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BB5326" w14:textId="77777777" w:rsidR="00ED61F0" w:rsidRDefault="00ED61F0" w:rsidP="00ED61F0">
      <w:pPr>
        <w:jc w:val="center"/>
        <w:rPr>
          <w:b/>
          <w:bCs/>
        </w:rPr>
      </w:pPr>
    </w:p>
    <w:p w14:paraId="3D61EBE0" w14:textId="77777777" w:rsidR="00ED61F0" w:rsidRDefault="00ED61F0" w:rsidP="00ED61F0">
      <w:pPr>
        <w:jc w:val="center"/>
        <w:rPr>
          <w:b/>
          <w:bCs/>
        </w:rPr>
      </w:pPr>
    </w:p>
    <w:p w14:paraId="2E20A994" w14:textId="77777777" w:rsidR="00ED61F0" w:rsidRDefault="00ED61F0" w:rsidP="00ED61F0">
      <w:pPr>
        <w:jc w:val="center"/>
        <w:rPr>
          <w:b/>
          <w:bCs/>
        </w:rPr>
      </w:pPr>
    </w:p>
    <w:p w14:paraId="14881109" w14:textId="77777777" w:rsidR="00ED61F0" w:rsidRDefault="00ED61F0" w:rsidP="00ED61F0">
      <w:pPr>
        <w:jc w:val="center"/>
        <w:rPr>
          <w:b/>
          <w:bCs/>
        </w:rPr>
      </w:pPr>
    </w:p>
    <w:p w14:paraId="456628F0" w14:textId="3616675C" w:rsidR="00544D6C" w:rsidRDefault="00544D6C" w:rsidP="00ED61F0">
      <w:pPr>
        <w:jc w:val="center"/>
      </w:pPr>
      <w:r w:rsidRPr="00ED61F0">
        <w:rPr>
          <w:b/>
          <w:bCs/>
        </w:rPr>
        <w:t>Programme:</w:t>
      </w:r>
      <w:r w:rsidR="00ED61F0">
        <w:t xml:space="preserve"> </w:t>
      </w:r>
      <w:r w:rsidRPr="00ED61F0">
        <w:rPr>
          <w:i/>
          <w:iCs/>
          <w:u w:val="single"/>
        </w:rPr>
        <w:t>BSc (Hons) Health and Social Care</w:t>
      </w:r>
    </w:p>
    <w:p w14:paraId="7B3D562D" w14:textId="6F57FF51" w:rsidR="00544D6C" w:rsidRDefault="00544D6C" w:rsidP="00ED61F0">
      <w:pPr>
        <w:jc w:val="center"/>
      </w:pPr>
      <w:r w:rsidRPr="00ED61F0">
        <w:rPr>
          <w:b/>
          <w:bCs/>
        </w:rPr>
        <w:t>Module:</w:t>
      </w:r>
      <w:r w:rsidR="00ED61F0">
        <w:t xml:space="preserve"> </w:t>
      </w:r>
      <w:r w:rsidRPr="00ED61F0">
        <w:rPr>
          <w:i/>
          <w:iCs/>
          <w:u w:val="single"/>
        </w:rPr>
        <w:t>Health, Wellbeing and Sustainable Development</w:t>
      </w:r>
    </w:p>
    <w:p w14:paraId="7B200397" w14:textId="0ACC837F" w:rsidR="00544D6C" w:rsidRDefault="00544D6C" w:rsidP="00ED61F0">
      <w:pPr>
        <w:jc w:val="center"/>
      </w:pPr>
      <w:r w:rsidRPr="00ED61F0">
        <w:rPr>
          <w:b/>
          <w:bCs/>
        </w:rPr>
        <w:t xml:space="preserve">Module </w:t>
      </w:r>
      <w:r w:rsidR="00ED61F0" w:rsidRPr="00ED61F0">
        <w:rPr>
          <w:b/>
          <w:bCs/>
        </w:rPr>
        <w:t>C</w:t>
      </w:r>
      <w:r w:rsidRPr="00ED61F0">
        <w:rPr>
          <w:b/>
          <w:bCs/>
        </w:rPr>
        <w:t>ode:</w:t>
      </w:r>
      <w:r w:rsidR="00ED61F0">
        <w:t xml:space="preserve"> </w:t>
      </w:r>
      <w:r w:rsidRPr="00ED61F0">
        <w:rPr>
          <w:i/>
          <w:iCs/>
          <w:u w:val="single"/>
        </w:rPr>
        <w:t>BMHP6030</w:t>
      </w:r>
    </w:p>
    <w:p w14:paraId="46CCB24B" w14:textId="11F9A476" w:rsidR="00A92403" w:rsidRDefault="00544D6C" w:rsidP="00ED61F0">
      <w:pPr>
        <w:jc w:val="center"/>
        <w:rPr>
          <w:i/>
          <w:iCs/>
          <w:u w:val="single"/>
        </w:rPr>
      </w:pPr>
      <w:r w:rsidRPr="00ED61F0">
        <w:rPr>
          <w:b/>
          <w:bCs/>
        </w:rPr>
        <w:t>Assignment Title:</w:t>
      </w:r>
      <w:r w:rsidR="00ED61F0">
        <w:t xml:space="preserve"> </w:t>
      </w:r>
      <w:r w:rsidRPr="00ED61F0">
        <w:rPr>
          <w:i/>
          <w:iCs/>
          <w:u w:val="single"/>
        </w:rPr>
        <w:t xml:space="preserve">Component </w:t>
      </w:r>
      <w:r w:rsidR="00B10105">
        <w:rPr>
          <w:i/>
          <w:iCs/>
          <w:u w:val="single"/>
        </w:rPr>
        <w:t>2</w:t>
      </w:r>
      <w:r w:rsidRPr="00ED61F0">
        <w:rPr>
          <w:i/>
          <w:iCs/>
          <w:u w:val="single"/>
        </w:rPr>
        <w:t xml:space="preserve">: </w:t>
      </w:r>
      <w:r w:rsidR="00B10105" w:rsidRPr="00B10105">
        <w:rPr>
          <w:i/>
          <w:iCs/>
          <w:u w:val="single"/>
        </w:rPr>
        <w:t>Written Assignment (Report)</w:t>
      </w:r>
      <w:r w:rsidR="00B10105">
        <w:rPr>
          <w:i/>
          <w:iCs/>
          <w:u w:val="single"/>
        </w:rPr>
        <w:t xml:space="preserve">  </w:t>
      </w:r>
    </w:p>
    <w:p w14:paraId="4A59846F" w14:textId="7E564084" w:rsidR="00ED61F0" w:rsidRDefault="00ED61F0" w:rsidP="00ED61F0">
      <w:pPr>
        <w:jc w:val="center"/>
      </w:pPr>
    </w:p>
    <w:p w14:paraId="4DF5FF77" w14:textId="77777777" w:rsidR="00ED61F0" w:rsidRDefault="00ED61F0" w:rsidP="00ED61F0">
      <w:pPr>
        <w:jc w:val="center"/>
      </w:pPr>
    </w:p>
    <w:p w14:paraId="4844090D" w14:textId="751C0891" w:rsidR="00ED61F0" w:rsidRDefault="00ED61F0" w:rsidP="00ED61F0">
      <w:pPr>
        <w:jc w:val="center"/>
      </w:pPr>
    </w:p>
    <w:p w14:paraId="6015AF3A" w14:textId="14414F5A" w:rsidR="00ED61F0" w:rsidRDefault="00ED61F0" w:rsidP="00ED61F0">
      <w:pPr>
        <w:jc w:val="center"/>
      </w:pPr>
      <w:r>
        <w:t>Student Name:</w:t>
      </w:r>
      <w:r w:rsidR="0090648C">
        <w:t>Ionela Slavoiu</w:t>
      </w:r>
    </w:p>
    <w:p w14:paraId="39A511E4" w14:textId="75F4EBCD" w:rsidR="00ED61F0" w:rsidRDefault="00ED61F0" w:rsidP="00ED61F0">
      <w:pPr>
        <w:jc w:val="center"/>
      </w:pPr>
      <w:r>
        <w:t>Student ID:</w:t>
      </w:r>
      <w:r w:rsidR="0090648C">
        <w:t>2243457</w:t>
      </w:r>
    </w:p>
    <w:p w14:paraId="0187CFDD" w14:textId="01F84A29" w:rsidR="002A470A" w:rsidRDefault="002A470A" w:rsidP="00ED61F0"/>
    <w:p w14:paraId="2D41BDAB" w14:textId="4E161A7F" w:rsidR="00345F72" w:rsidRDefault="00345F72" w:rsidP="00ED61F0"/>
    <w:p w14:paraId="41034EA8" w14:textId="36ED58AD" w:rsidR="00345F72" w:rsidRDefault="00345F72" w:rsidP="00ED61F0"/>
    <w:p w14:paraId="4A6FAFED" w14:textId="39BCF116" w:rsidR="00345F72" w:rsidRDefault="00345F72" w:rsidP="00ED61F0"/>
    <w:p w14:paraId="2079B89A" w14:textId="78ABBD17" w:rsidR="00345F72" w:rsidRDefault="00345F72" w:rsidP="00ED61F0"/>
    <w:p w14:paraId="6F8210B1" w14:textId="6BC74185" w:rsidR="00345F72" w:rsidRDefault="00345F72" w:rsidP="00ED61F0"/>
    <w:p w14:paraId="562988D2" w14:textId="1272C3B9" w:rsidR="00345F72" w:rsidRDefault="00345F72" w:rsidP="00ED61F0"/>
    <w:p w14:paraId="57CB451B" w14:textId="77777777" w:rsidR="00345F72" w:rsidRDefault="00345F72" w:rsidP="00ED61F0"/>
    <w:sdt>
      <w:sdtPr>
        <w:rPr>
          <w:rFonts w:ascii="Arial" w:eastAsiaTheme="minorHAnsi" w:hAnsi="Arial" w:cstheme="minorBidi"/>
          <w:color w:val="auto"/>
          <w:sz w:val="24"/>
          <w:szCs w:val="22"/>
        </w:rPr>
        <w:id w:val="2088655987"/>
        <w:docPartObj>
          <w:docPartGallery w:val="Table of Contents"/>
          <w:docPartUnique/>
        </w:docPartObj>
      </w:sdtPr>
      <w:sdtEndPr>
        <w:rPr>
          <w:b/>
          <w:bCs/>
          <w:noProof/>
        </w:rPr>
      </w:sdtEndPr>
      <w:sdtContent>
        <w:p w14:paraId="523E110C" w14:textId="341F3A6F" w:rsidR="002A470A" w:rsidRPr="002A470A" w:rsidRDefault="002A470A" w:rsidP="00345F72">
          <w:pPr>
            <w:pStyle w:val="TOCHeading"/>
            <w:spacing w:after="240" w:line="360" w:lineRule="auto"/>
            <w:rPr>
              <w:rFonts w:ascii="Arial" w:hAnsi="Arial" w:cs="Arial"/>
              <w:i/>
              <w:iCs/>
              <w:color w:val="auto"/>
              <w:sz w:val="24"/>
              <w:szCs w:val="24"/>
              <w:u w:val="single"/>
            </w:rPr>
          </w:pPr>
          <w:r w:rsidRPr="002A470A">
            <w:rPr>
              <w:rFonts w:ascii="Arial" w:hAnsi="Arial" w:cs="Arial"/>
              <w:i/>
              <w:iCs/>
              <w:color w:val="auto"/>
              <w:sz w:val="24"/>
              <w:szCs w:val="24"/>
              <w:u w:val="single"/>
            </w:rPr>
            <w:t>Table of Contents</w:t>
          </w:r>
        </w:p>
        <w:p w14:paraId="54B5190F" w14:textId="114F7224" w:rsidR="00CF3E67" w:rsidRDefault="002A470A">
          <w:pPr>
            <w:pStyle w:val="TOC1"/>
            <w:tabs>
              <w:tab w:val="right" w:leader="dot" w:pos="9350"/>
            </w:tabs>
            <w:rPr>
              <w:rFonts w:asciiTheme="minorHAnsi" w:eastAsiaTheme="minorEastAsia" w:hAnsiTheme="minorHAnsi"/>
              <w:noProof/>
              <w:sz w:val="22"/>
              <w:lang w:val="en-US"/>
            </w:rPr>
          </w:pPr>
          <w:r w:rsidRPr="002A470A">
            <w:rPr>
              <w:rFonts w:cs="Arial"/>
              <w:szCs w:val="24"/>
            </w:rPr>
            <w:fldChar w:fldCharType="begin"/>
          </w:r>
          <w:r w:rsidRPr="002A470A">
            <w:rPr>
              <w:rFonts w:cs="Arial"/>
              <w:szCs w:val="24"/>
            </w:rPr>
            <w:instrText xml:space="preserve"> TOC \o "1-3" \h \z \u </w:instrText>
          </w:r>
          <w:r w:rsidRPr="002A470A">
            <w:rPr>
              <w:rFonts w:cs="Arial"/>
              <w:szCs w:val="24"/>
            </w:rPr>
            <w:fldChar w:fldCharType="separate"/>
          </w:r>
          <w:hyperlink w:anchor="_Toc232446400" w:history="1">
            <w:r w:rsidR="00CF3E67" w:rsidRPr="003E00BB">
              <w:rPr>
                <w:rStyle w:val="Hyperlink"/>
                <w:noProof/>
              </w:rPr>
              <w:t>Introduction</w:t>
            </w:r>
            <w:r w:rsidR="00CF3E67">
              <w:rPr>
                <w:noProof/>
                <w:webHidden/>
              </w:rPr>
              <w:tab/>
            </w:r>
            <w:r w:rsidR="00CF3E67">
              <w:rPr>
                <w:noProof/>
                <w:webHidden/>
              </w:rPr>
              <w:fldChar w:fldCharType="begin"/>
            </w:r>
            <w:r w:rsidR="00CF3E67">
              <w:rPr>
                <w:noProof/>
                <w:webHidden/>
              </w:rPr>
              <w:instrText xml:space="preserve"> PAGEREF _Toc232446400 \h </w:instrText>
            </w:r>
            <w:r w:rsidR="00CF3E67">
              <w:rPr>
                <w:noProof/>
                <w:webHidden/>
              </w:rPr>
            </w:r>
            <w:r w:rsidR="00CF3E67">
              <w:rPr>
                <w:noProof/>
                <w:webHidden/>
              </w:rPr>
              <w:fldChar w:fldCharType="separate"/>
            </w:r>
            <w:r w:rsidR="00CF3E67">
              <w:rPr>
                <w:noProof/>
                <w:webHidden/>
              </w:rPr>
              <w:t>3</w:t>
            </w:r>
            <w:r w:rsidR="00CF3E67">
              <w:rPr>
                <w:noProof/>
                <w:webHidden/>
              </w:rPr>
              <w:fldChar w:fldCharType="end"/>
            </w:r>
          </w:hyperlink>
        </w:p>
        <w:p w14:paraId="428F3794" w14:textId="1D085475" w:rsidR="00CF3E67" w:rsidRDefault="00CF3E67">
          <w:pPr>
            <w:pStyle w:val="TOC1"/>
            <w:tabs>
              <w:tab w:val="right" w:leader="dot" w:pos="9350"/>
            </w:tabs>
            <w:rPr>
              <w:rFonts w:asciiTheme="minorHAnsi" w:eastAsiaTheme="minorEastAsia" w:hAnsiTheme="minorHAnsi"/>
              <w:noProof/>
              <w:sz w:val="22"/>
              <w:lang w:val="en-US"/>
            </w:rPr>
          </w:pPr>
          <w:hyperlink w:anchor="_Toc232446401" w:history="1">
            <w:r w:rsidRPr="003E00BB">
              <w:rPr>
                <w:rStyle w:val="Hyperlink"/>
                <w:noProof/>
              </w:rPr>
              <w:t>Section 1: SDG 3 – Good Health and Wellbeing</w:t>
            </w:r>
            <w:r>
              <w:rPr>
                <w:noProof/>
                <w:webHidden/>
              </w:rPr>
              <w:tab/>
            </w:r>
            <w:r>
              <w:rPr>
                <w:noProof/>
                <w:webHidden/>
              </w:rPr>
              <w:fldChar w:fldCharType="begin"/>
            </w:r>
            <w:r>
              <w:rPr>
                <w:noProof/>
                <w:webHidden/>
              </w:rPr>
              <w:instrText xml:space="preserve"> PAGEREF _Toc232446401 \h </w:instrText>
            </w:r>
            <w:r>
              <w:rPr>
                <w:noProof/>
                <w:webHidden/>
              </w:rPr>
            </w:r>
            <w:r>
              <w:rPr>
                <w:noProof/>
                <w:webHidden/>
              </w:rPr>
              <w:fldChar w:fldCharType="separate"/>
            </w:r>
            <w:r>
              <w:rPr>
                <w:noProof/>
                <w:webHidden/>
              </w:rPr>
              <w:t>3</w:t>
            </w:r>
            <w:r>
              <w:rPr>
                <w:noProof/>
                <w:webHidden/>
              </w:rPr>
              <w:fldChar w:fldCharType="end"/>
            </w:r>
          </w:hyperlink>
        </w:p>
        <w:p w14:paraId="0B540E86" w14:textId="7D0AEFAE" w:rsidR="00CF3E67" w:rsidRDefault="00CF3E67">
          <w:pPr>
            <w:pStyle w:val="TOC2"/>
            <w:tabs>
              <w:tab w:val="right" w:leader="dot" w:pos="9350"/>
            </w:tabs>
            <w:rPr>
              <w:rFonts w:asciiTheme="minorHAnsi" w:eastAsiaTheme="minorEastAsia" w:hAnsiTheme="minorHAnsi"/>
              <w:noProof/>
              <w:sz w:val="22"/>
              <w:lang w:val="en-US"/>
            </w:rPr>
          </w:pPr>
          <w:hyperlink w:anchor="_Toc232446402" w:history="1">
            <w:r w:rsidRPr="003E00BB">
              <w:rPr>
                <w:rStyle w:val="Hyperlink"/>
                <w:noProof/>
              </w:rPr>
              <w:t>Global Pathways to Health Equity</w:t>
            </w:r>
            <w:r>
              <w:rPr>
                <w:noProof/>
                <w:webHidden/>
              </w:rPr>
              <w:tab/>
            </w:r>
            <w:r>
              <w:rPr>
                <w:noProof/>
                <w:webHidden/>
              </w:rPr>
              <w:fldChar w:fldCharType="begin"/>
            </w:r>
            <w:r>
              <w:rPr>
                <w:noProof/>
                <w:webHidden/>
              </w:rPr>
              <w:instrText xml:space="preserve"> PAGEREF _Toc232446402 \h </w:instrText>
            </w:r>
            <w:r>
              <w:rPr>
                <w:noProof/>
                <w:webHidden/>
              </w:rPr>
            </w:r>
            <w:r>
              <w:rPr>
                <w:noProof/>
                <w:webHidden/>
              </w:rPr>
              <w:fldChar w:fldCharType="separate"/>
            </w:r>
            <w:r>
              <w:rPr>
                <w:noProof/>
                <w:webHidden/>
              </w:rPr>
              <w:t>3</w:t>
            </w:r>
            <w:r>
              <w:rPr>
                <w:noProof/>
                <w:webHidden/>
              </w:rPr>
              <w:fldChar w:fldCharType="end"/>
            </w:r>
          </w:hyperlink>
        </w:p>
        <w:p w14:paraId="32BDD16B" w14:textId="7A8F286E" w:rsidR="00CF3E67" w:rsidRDefault="00CF3E67">
          <w:pPr>
            <w:pStyle w:val="TOC2"/>
            <w:tabs>
              <w:tab w:val="right" w:leader="dot" w:pos="9350"/>
            </w:tabs>
            <w:rPr>
              <w:rFonts w:asciiTheme="minorHAnsi" w:eastAsiaTheme="minorEastAsia" w:hAnsiTheme="minorHAnsi"/>
              <w:noProof/>
              <w:sz w:val="22"/>
              <w:lang w:val="en-US"/>
            </w:rPr>
          </w:pPr>
          <w:hyperlink w:anchor="_Toc232446403" w:history="1">
            <w:r w:rsidRPr="003E00BB">
              <w:rPr>
                <w:rStyle w:val="Hyperlink"/>
                <w:noProof/>
              </w:rPr>
              <w:t>National Health Policies in the UK</w:t>
            </w:r>
            <w:r>
              <w:rPr>
                <w:noProof/>
                <w:webHidden/>
              </w:rPr>
              <w:tab/>
            </w:r>
            <w:r>
              <w:rPr>
                <w:noProof/>
                <w:webHidden/>
              </w:rPr>
              <w:fldChar w:fldCharType="begin"/>
            </w:r>
            <w:r>
              <w:rPr>
                <w:noProof/>
                <w:webHidden/>
              </w:rPr>
              <w:instrText xml:space="preserve"> PAGEREF _Toc232446403 \h </w:instrText>
            </w:r>
            <w:r>
              <w:rPr>
                <w:noProof/>
                <w:webHidden/>
              </w:rPr>
            </w:r>
            <w:r>
              <w:rPr>
                <w:noProof/>
                <w:webHidden/>
              </w:rPr>
              <w:fldChar w:fldCharType="separate"/>
            </w:r>
            <w:r>
              <w:rPr>
                <w:noProof/>
                <w:webHidden/>
              </w:rPr>
              <w:t>4</w:t>
            </w:r>
            <w:r>
              <w:rPr>
                <w:noProof/>
                <w:webHidden/>
              </w:rPr>
              <w:fldChar w:fldCharType="end"/>
            </w:r>
          </w:hyperlink>
        </w:p>
        <w:p w14:paraId="3717CC30" w14:textId="3D74A912" w:rsidR="00CF3E67" w:rsidRDefault="00CF3E67">
          <w:pPr>
            <w:pStyle w:val="TOC2"/>
            <w:tabs>
              <w:tab w:val="right" w:leader="dot" w:pos="9350"/>
            </w:tabs>
            <w:rPr>
              <w:rFonts w:asciiTheme="minorHAnsi" w:eastAsiaTheme="minorEastAsia" w:hAnsiTheme="minorHAnsi"/>
              <w:noProof/>
              <w:sz w:val="22"/>
              <w:lang w:val="en-US"/>
            </w:rPr>
          </w:pPr>
          <w:hyperlink w:anchor="_Toc232446404" w:history="1">
            <w:r w:rsidRPr="003E00BB">
              <w:rPr>
                <w:rStyle w:val="Hyperlink"/>
                <w:noProof/>
              </w:rPr>
              <w:t>Local Health Delivery and Community Action</w:t>
            </w:r>
            <w:r>
              <w:rPr>
                <w:noProof/>
                <w:webHidden/>
              </w:rPr>
              <w:tab/>
            </w:r>
            <w:r>
              <w:rPr>
                <w:noProof/>
                <w:webHidden/>
              </w:rPr>
              <w:fldChar w:fldCharType="begin"/>
            </w:r>
            <w:r>
              <w:rPr>
                <w:noProof/>
                <w:webHidden/>
              </w:rPr>
              <w:instrText xml:space="preserve"> PAGEREF _Toc232446404 \h </w:instrText>
            </w:r>
            <w:r>
              <w:rPr>
                <w:noProof/>
                <w:webHidden/>
              </w:rPr>
            </w:r>
            <w:r>
              <w:rPr>
                <w:noProof/>
                <w:webHidden/>
              </w:rPr>
              <w:fldChar w:fldCharType="separate"/>
            </w:r>
            <w:r>
              <w:rPr>
                <w:noProof/>
                <w:webHidden/>
              </w:rPr>
              <w:t>4</w:t>
            </w:r>
            <w:r>
              <w:rPr>
                <w:noProof/>
                <w:webHidden/>
              </w:rPr>
              <w:fldChar w:fldCharType="end"/>
            </w:r>
          </w:hyperlink>
        </w:p>
        <w:p w14:paraId="270130DF" w14:textId="1239E881" w:rsidR="00CF3E67" w:rsidRDefault="00CF3E67">
          <w:pPr>
            <w:pStyle w:val="TOC2"/>
            <w:tabs>
              <w:tab w:val="right" w:leader="dot" w:pos="9350"/>
            </w:tabs>
            <w:rPr>
              <w:rFonts w:asciiTheme="minorHAnsi" w:eastAsiaTheme="minorEastAsia" w:hAnsiTheme="minorHAnsi"/>
              <w:noProof/>
              <w:sz w:val="22"/>
              <w:lang w:val="en-US"/>
            </w:rPr>
          </w:pPr>
          <w:hyperlink w:anchor="_Toc232446405" w:history="1">
            <w:r w:rsidRPr="003E00BB">
              <w:rPr>
                <w:rStyle w:val="Hyperlink"/>
                <w:noProof/>
              </w:rPr>
              <w:t>Critical Evaluation</w:t>
            </w:r>
            <w:r>
              <w:rPr>
                <w:noProof/>
                <w:webHidden/>
              </w:rPr>
              <w:tab/>
            </w:r>
            <w:r>
              <w:rPr>
                <w:noProof/>
                <w:webHidden/>
              </w:rPr>
              <w:fldChar w:fldCharType="begin"/>
            </w:r>
            <w:r>
              <w:rPr>
                <w:noProof/>
                <w:webHidden/>
              </w:rPr>
              <w:instrText xml:space="preserve"> PAGEREF _Toc232446405 \h </w:instrText>
            </w:r>
            <w:r>
              <w:rPr>
                <w:noProof/>
                <w:webHidden/>
              </w:rPr>
            </w:r>
            <w:r>
              <w:rPr>
                <w:noProof/>
                <w:webHidden/>
              </w:rPr>
              <w:fldChar w:fldCharType="separate"/>
            </w:r>
            <w:r>
              <w:rPr>
                <w:noProof/>
                <w:webHidden/>
              </w:rPr>
              <w:t>5</w:t>
            </w:r>
            <w:r>
              <w:rPr>
                <w:noProof/>
                <w:webHidden/>
              </w:rPr>
              <w:fldChar w:fldCharType="end"/>
            </w:r>
          </w:hyperlink>
        </w:p>
        <w:p w14:paraId="73BC8FE9" w14:textId="0E50FF67" w:rsidR="00CF3E67" w:rsidRDefault="00CF3E67">
          <w:pPr>
            <w:pStyle w:val="TOC2"/>
            <w:tabs>
              <w:tab w:val="right" w:leader="dot" w:pos="9350"/>
            </w:tabs>
            <w:rPr>
              <w:rFonts w:asciiTheme="minorHAnsi" w:eastAsiaTheme="minorEastAsia" w:hAnsiTheme="minorHAnsi"/>
              <w:noProof/>
              <w:sz w:val="22"/>
              <w:lang w:val="en-US"/>
            </w:rPr>
          </w:pPr>
          <w:hyperlink w:anchor="_Toc232446406" w:history="1">
            <w:r w:rsidRPr="003E00BB">
              <w:rPr>
                <w:rStyle w:val="Hyperlink"/>
                <w:noProof/>
              </w:rPr>
              <w:t>Strategic Recommendations</w:t>
            </w:r>
            <w:r>
              <w:rPr>
                <w:noProof/>
                <w:webHidden/>
              </w:rPr>
              <w:tab/>
            </w:r>
            <w:r>
              <w:rPr>
                <w:noProof/>
                <w:webHidden/>
              </w:rPr>
              <w:fldChar w:fldCharType="begin"/>
            </w:r>
            <w:r>
              <w:rPr>
                <w:noProof/>
                <w:webHidden/>
              </w:rPr>
              <w:instrText xml:space="preserve"> PAGEREF _Toc232446406 \h </w:instrText>
            </w:r>
            <w:r>
              <w:rPr>
                <w:noProof/>
                <w:webHidden/>
              </w:rPr>
            </w:r>
            <w:r>
              <w:rPr>
                <w:noProof/>
                <w:webHidden/>
              </w:rPr>
              <w:fldChar w:fldCharType="separate"/>
            </w:r>
            <w:r>
              <w:rPr>
                <w:noProof/>
                <w:webHidden/>
              </w:rPr>
              <w:t>6</w:t>
            </w:r>
            <w:r>
              <w:rPr>
                <w:noProof/>
                <w:webHidden/>
              </w:rPr>
              <w:fldChar w:fldCharType="end"/>
            </w:r>
          </w:hyperlink>
        </w:p>
        <w:p w14:paraId="23E9C0A0" w14:textId="2D54AD6C" w:rsidR="00CF3E67" w:rsidRDefault="00CF3E67">
          <w:pPr>
            <w:pStyle w:val="TOC1"/>
            <w:tabs>
              <w:tab w:val="right" w:leader="dot" w:pos="9350"/>
            </w:tabs>
            <w:rPr>
              <w:rFonts w:asciiTheme="minorHAnsi" w:eastAsiaTheme="minorEastAsia" w:hAnsiTheme="minorHAnsi"/>
              <w:noProof/>
              <w:sz w:val="22"/>
              <w:lang w:val="en-US"/>
            </w:rPr>
          </w:pPr>
          <w:hyperlink w:anchor="_Toc232446407" w:history="1">
            <w:r w:rsidRPr="003E00BB">
              <w:rPr>
                <w:rStyle w:val="Hyperlink"/>
                <w:noProof/>
              </w:rPr>
              <w:t>Section 2: SDG 10 – Reduced Inequalities</w:t>
            </w:r>
            <w:r>
              <w:rPr>
                <w:noProof/>
                <w:webHidden/>
              </w:rPr>
              <w:tab/>
            </w:r>
            <w:r>
              <w:rPr>
                <w:noProof/>
                <w:webHidden/>
              </w:rPr>
              <w:fldChar w:fldCharType="begin"/>
            </w:r>
            <w:r>
              <w:rPr>
                <w:noProof/>
                <w:webHidden/>
              </w:rPr>
              <w:instrText xml:space="preserve"> PAGEREF _Toc232446407 \h </w:instrText>
            </w:r>
            <w:r>
              <w:rPr>
                <w:noProof/>
                <w:webHidden/>
              </w:rPr>
            </w:r>
            <w:r>
              <w:rPr>
                <w:noProof/>
                <w:webHidden/>
              </w:rPr>
              <w:fldChar w:fldCharType="separate"/>
            </w:r>
            <w:r>
              <w:rPr>
                <w:noProof/>
                <w:webHidden/>
              </w:rPr>
              <w:t>6</w:t>
            </w:r>
            <w:r>
              <w:rPr>
                <w:noProof/>
                <w:webHidden/>
              </w:rPr>
              <w:fldChar w:fldCharType="end"/>
            </w:r>
          </w:hyperlink>
        </w:p>
        <w:p w14:paraId="598F9204" w14:textId="328284FE" w:rsidR="00CF3E67" w:rsidRDefault="00CF3E67">
          <w:pPr>
            <w:pStyle w:val="TOC2"/>
            <w:tabs>
              <w:tab w:val="right" w:leader="dot" w:pos="9350"/>
            </w:tabs>
            <w:rPr>
              <w:rFonts w:asciiTheme="minorHAnsi" w:eastAsiaTheme="minorEastAsia" w:hAnsiTheme="minorHAnsi"/>
              <w:noProof/>
              <w:sz w:val="22"/>
              <w:lang w:val="en-US"/>
            </w:rPr>
          </w:pPr>
          <w:hyperlink w:anchor="_Toc232446408" w:history="1">
            <w:r w:rsidRPr="003E00BB">
              <w:rPr>
                <w:rStyle w:val="Hyperlink"/>
                <w:noProof/>
              </w:rPr>
              <w:t>Advancing Global Equality Through Sustainable Development</w:t>
            </w:r>
            <w:r>
              <w:rPr>
                <w:noProof/>
                <w:webHidden/>
              </w:rPr>
              <w:tab/>
            </w:r>
            <w:r>
              <w:rPr>
                <w:noProof/>
                <w:webHidden/>
              </w:rPr>
              <w:fldChar w:fldCharType="begin"/>
            </w:r>
            <w:r>
              <w:rPr>
                <w:noProof/>
                <w:webHidden/>
              </w:rPr>
              <w:instrText xml:space="preserve"> PAGEREF _Toc232446408 \h </w:instrText>
            </w:r>
            <w:r>
              <w:rPr>
                <w:noProof/>
                <w:webHidden/>
              </w:rPr>
            </w:r>
            <w:r>
              <w:rPr>
                <w:noProof/>
                <w:webHidden/>
              </w:rPr>
              <w:fldChar w:fldCharType="separate"/>
            </w:r>
            <w:r>
              <w:rPr>
                <w:noProof/>
                <w:webHidden/>
              </w:rPr>
              <w:t>6</w:t>
            </w:r>
            <w:r>
              <w:rPr>
                <w:noProof/>
                <w:webHidden/>
              </w:rPr>
              <w:fldChar w:fldCharType="end"/>
            </w:r>
          </w:hyperlink>
        </w:p>
        <w:p w14:paraId="73E17FC3" w14:textId="764557D8" w:rsidR="00CF3E67" w:rsidRDefault="00CF3E67">
          <w:pPr>
            <w:pStyle w:val="TOC2"/>
            <w:tabs>
              <w:tab w:val="right" w:leader="dot" w:pos="9350"/>
            </w:tabs>
            <w:rPr>
              <w:rFonts w:asciiTheme="minorHAnsi" w:eastAsiaTheme="minorEastAsia" w:hAnsiTheme="minorHAnsi"/>
              <w:noProof/>
              <w:sz w:val="22"/>
              <w:lang w:val="en-US"/>
            </w:rPr>
          </w:pPr>
          <w:hyperlink w:anchor="_Toc232446409" w:history="1">
            <w:r w:rsidRPr="003E00BB">
              <w:rPr>
                <w:rStyle w:val="Hyperlink"/>
                <w:noProof/>
              </w:rPr>
              <w:t>National Policy Responses to Inequality in the UK</w:t>
            </w:r>
            <w:r>
              <w:rPr>
                <w:noProof/>
                <w:webHidden/>
              </w:rPr>
              <w:tab/>
            </w:r>
            <w:r>
              <w:rPr>
                <w:noProof/>
                <w:webHidden/>
              </w:rPr>
              <w:fldChar w:fldCharType="begin"/>
            </w:r>
            <w:r>
              <w:rPr>
                <w:noProof/>
                <w:webHidden/>
              </w:rPr>
              <w:instrText xml:space="preserve"> PAGEREF _Toc232446409 \h </w:instrText>
            </w:r>
            <w:r>
              <w:rPr>
                <w:noProof/>
                <w:webHidden/>
              </w:rPr>
            </w:r>
            <w:r>
              <w:rPr>
                <w:noProof/>
                <w:webHidden/>
              </w:rPr>
              <w:fldChar w:fldCharType="separate"/>
            </w:r>
            <w:r>
              <w:rPr>
                <w:noProof/>
                <w:webHidden/>
              </w:rPr>
              <w:t>7</w:t>
            </w:r>
            <w:r>
              <w:rPr>
                <w:noProof/>
                <w:webHidden/>
              </w:rPr>
              <w:fldChar w:fldCharType="end"/>
            </w:r>
          </w:hyperlink>
        </w:p>
        <w:p w14:paraId="2CEF53A7" w14:textId="1FF5EB14" w:rsidR="00CF3E67" w:rsidRDefault="00CF3E67">
          <w:pPr>
            <w:pStyle w:val="TOC2"/>
            <w:tabs>
              <w:tab w:val="right" w:leader="dot" w:pos="9350"/>
            </w:tabs>
            <w:rPr>
              <w:rFonts w:asciiTheme="minorHAnsi" w:eastAsiaTheme="minorEastAsia" w:hAnsiTheme="minorHAnsi"/>
              <w:noProof/>
              <w:sz w:val="22"/>
              <w:lang w:val="en-US"/>
            </w:rPr>
          </w:pPr>
          <w:hyperlink w:anchor="_Toc232446410" w:history="1">
            <w:r w:rsidRPr="003E00BB">
              <w:rPr>
                <w:rStyle w:val="Hyperlink"/>
                <w:noProof/>
              </w:rPr>
              <w:t>Local Action and Community Empowerment</w:t>
            </w:r>
            <w:r>
              <w:rPr>
                <w:noProof/>
                <w:webHidden/>
              </w:rPr>
              <w:tab/>
            </w:r>
            <w:r>
              <w:rPr>
                <w:noProof/>
                <w:webHidden/>
              </w:rPr>
              <w:fldChar w:fldCharType="begin"/>
            </w:r>
            <w:r>
              <w:rPr>
                <w:noProof/>
                <w:webHidden/>
              </w:rPr>
              <w:instrText xml:space="preserve"> PAGEREF _Toc232446410 \h </w:instrText>
            </w:r>
            <w:r>
              <w:rPr>
                <w:noProof/>
                <w:webHidden/>
              </w:rPr>
            </w:r>
            <w:r>
              <w:rPr>
                <w:noProof/>
                <w:webHidden/>
              </w:rPr>
              <w:fldChar w:fldCharType="separate"/>
            </w:r>
            <w:r>
              <w:rPr>
                <w:noProof/>
                <w:webHidden/>
              </w:rPr>
              <w:t>7</w:t>
            </w:r>
            <w:r>
              <w:rPr>
                <w:noProof/>
                <w:webHidden/>
              </w:rPr>
              <w:fldChar w:fldCharType="end"/>
            </w:r>
          </w:hyperlink>
        </w:p>
        <w:p w14:paraId="7468F239" w14:textId="7803C4A5" w:rsidR="00CF3E67" w:rsidRDefault="00CF3E67">
          <w:pPr>
            <w:pStyle w:val="TOC2"/>
            <w:tabs>
              <w:tab w:val="right" w:leader="dot" w:pos="9350"/>
            </w:tabs>
            <w:rPr>
              <w:rFonts w:asciiTheme="minorHAnsi" w:eastAsiaTheme="minorEastAsia" w:hAnsiTheme="minorHAnsi"/>
              <w:noProof/>
              <w:sz w:val="22"/>
              <w:lang w:val="en-US"/>
            </w:rPr>
          </w:pPr>
          <w:hyperlink w:anchor="_Toc232446411" w:history="1">
            <w:r w:rsidRPr="003E00BB">
              <w:rPr>
                <w:rStyle w:val="Hyperlink"/>
                <w:noProof/>
              </w:rPr>
              <w:t>Critical Assessment of Policy Effectiveness</w:t>
            </w:r>
            <w:r>
              <w:rPr>
                <w:noProof/>
                <w:webHidden/>
              </w:rPr>
              <w:tab/>
            </w:r>
            <w:r>
              <w:rPr>
                <w:noProof/>
                <w:webHidden/>
              </w:rPr>
              <w:fldChar w:fldCharType="begin"/>
            </w:r>
            <w:r>
              <w:rPr>
                <w:noProof/>
                <w:webHidden/>
              </w:rPr>
              <w:instrText xml:space="preserve"> PAGEREF _Toc232446411 \h </w:instrText>
            </w:r>
            <w:r>
              <w:rPr>
                <w:noProof/>
                <w:webHidden/>
              </w:rPr>
            </w:r>
            <w:r>
              <w:rPr>
                <w:noProof/>
                <w:webHidden/>
              </w:rPr>
              <w:fldChar w:fldCharType="separate"/>
            </w:r>
            <w:r>
              <w:rPr>
                <w:noProof/>
                <w:webHidden/>
              </w:rPr>
              <w:t>8</w:t>
            </w:r>
            <w:r>
              <w:rPr>
                <w:noProof/>
                <w:webHidden/>
              </w:rPr>
              <w:fldChar w:fldCharType="end"/>
            </w:r>
          </w:hyperlink>
        </w:p>
        <w:p w14:paraId="79217CA0" w14:textId="0EA5991B" w:rsidR="00CF3E67" w:rsidRDefault="00CF3E67">
          <w:pPr>
            <w:pStyle w:val="TOC2"/>
            <w:tabs>
              <w:tab w:val="right" w:leader="dot" w:pos="9350"/>
            </w:tabs>
            <w:rPr>
              <w:rFonts w:asciiTheme="minorHAnsi" w:eastAsiaTheme="minorEastAsia" w:hAnsiTheme="minorHAnsi"/>
              <w:noProof/>
              <w:sz w:val="22"/>
              <w:lang w:val="en-US"/>
            </w:rPr>
          </w:pPr>
          <w:hyperlink w:anchor="_Toc232446412" w:history="1">
            <w:r w:rsidRPr="003E00BB">
              <w:rPr>
                <w:rStyle w:val="Hyperlink"/>
                <w:noProof/>
              </w:rPr>
              <w:t>Strategic Recommendations for Greater Equity</w:t>
            </w:r>
            <w:r>
              <w:rPr>
                <w:noProof/>
                <w:webHidden/>
              </w:rPr>
              <w:tab/>
            </w:r>
            <w:r>
              <w:rPr>
                <w:noProof/>
                <w:webHidden/>
              </w:rPr>
              <w:fldChar w:fldCharType="begin"/>
            </w:r>
            <w:r>
              <w:rPr>
                <w:noProof/>
                <w:webHidden/>
              </w:rPr>
              <w:instrText xml:space="preserve"> PAGEREF _Toc232446412 \h </w:instrText>
            </w:r>
            <w:r>
              <w:rPr>
                <w:noProof/>
                <w:webHidden/>
              </w:rPr>
            </w:r>
            <w:r>
              <w:rPr>
                <w:noProof/>
                <w:webHidden/>
              </w:rPr>
              <w:fldChar w:fldCharType="separate"/>
            </w:r>
            <w:r>
              <w:rPr>
                <w:noProof/>
                <w:webHidden/>
              </w:rPr>
              <w:t>8</w:t>
            </w:r>
            <w:r>
              <w:rPr>
                <w:noProof/>
                <w:webHidden/>
              </w:rPr>
              <w:fldChar w:fldCharType="end"/>
            </w:r>
          </w:hyperlink>
        </w:p>
        <w:p w14:paraId="14B6F326" w14:textId="2F713906" w:rsidR="00CF3E67" w:rsidRDefault="00CF3E67">
          <w:pPr>
            <w:pStyle w:val="TOC1"/>
            <w:tabs>
              <w:tab w:val="right" w:leader="dot" w:pos="9350"/>
            </w:tabs>
            <w:rPr>
              <w:rFonts w:asciiTheme="minorHAnsi" w:eastAsiaTheme="minorEastAsia" w:hAnsiTheme="minorHAnsi"/>
              <w:noProof/>
              <w:sz w:val="22"/>
              <w:lang w:val="en-US"/>
            </w:rPr>
          </w:pPr>
          <w:hyperlink w:anchor="_Toc232446413" w:history="1">
            <w:r w:rsidRPr="003E00BB">
              <w:rPr>
                <w:rStyle w:val="Hyperlink"/>
                <w:noProof/>
              </w:rPr>
              <w:t>Conclusion</w:t>
            </w:r>
            <w:r>
              <w:rPr>
                <w:noProof/>
                <w:webHidden/>
              </w:rPr>
              <w:tab/>
            </w:r>
            <w:r>
              <w:rPr>
                <w:noProof/>
                <w:webHidden/>
              </w:rPr>
              <w:fldChar w:fldCharType="begin"/>
            </w:r>
            <w:r>
              <w:rPr>
                <w:noProof/>
                <w:webHidden/>
              </w:rPr>
              <w:instrText xml:space="preserve"> PAGEREF _Toc232446413 \h </w:instrText>
            </w:r>
            <w:r>
              <w:rPr>
                <w:noProof/>
                <w:webHidden/>
              </w:rPr>
            </w:r>
            <w:r>
              <w:rPr>
                <w:noProof/>
                <w:webHidden/>
              </w:rPr>
              <w:fldChar w:fldCharType="separate"/>
            </w:r>
            <w:r>
              <w:rPr>
                <w:noProof/>
                <w:webHidden/>
              </w:rPr>
              <w:t>9</w:t>
            </w:r>
            <w:r>
              <w:rPr>
                <w:noProof/>
                <w:webHidden/>
              </w:rPr>
              <w:fldChar w:fldCharType="end"/>
            </w:r>
          </w:hyperlink>
        </w:p>
        <w:p w14:paraId="499AB75F" w14:textId="73169042" w:rsidR="00CF3E67" w:rsidRDefault="00CF3E67">
          <w:pPr>
            <w:pStyle w:val="TOC1"/>
            <w:tabs>
              <w:tab w:val="right" w:leader="dot" w:pos="9350"/>
            </w:tabs>
            <w:rPr>
              <w:rFonts w:asciiTheme="minorHAnsi" w:eastAsiaTheme="minorEastAsia" w:hAnsiTheme="minorHAnsi"/>
              <w:noProof/>
              <w:sz w:val="22"/>
              <w:lang w:val="en-US"/>
            </w:rPr>
          </w:pPr>
          <w:hyperlink w:anchor="_Toc232446414" w:history="1">
            <w:r w:rsidRPr="003E00BB">
              <w:rPr>
                <w:rStyle w:val="Hyperlink"/>
                <w:noProof/>
              </w:rPr>
              <w:t>References</w:t>
            </w:r>
            <w:r>
              <w:rPr>
                <w:noProof/>
                <w:webHidden/>
              </w:rPr>
              <w:tab/>
            </w:r>
            <w:r>
              <w:rPr>
                <w:noProof/>
                <w:webHidden/>
              </w:rPr>
              <w:fldChar w:fldCharType="begin"/>
            </w:r>
            <w:r>
              <w:rPr>
                <w:noProof/>
                <w:webHidden/>
              </w:rPr>
              <w:instrText xml:space="preserve"> PAGEREF _Toc232446414 \h </w:instrText>
            </w:r>
            <w:r>
              <w:rPr>
                <w:noProof/>
                <w:webHidden/>
              </w:rPr>
            </w:r>
            <w:r>
              <w:rPr>
                <w:noProof/>
                <w:webHidden/>
              </w:rPr>
              <w:fldChar w:fldCharType="separate"/>
            </w:r>
            <w:r>
              <w:rPr>
                <w:noProof/>
                <w:webHidden/>
              </w:rPr>
              <w:t>10</w:t>
            </w:r>
            <w:r>
              <w:rPr>
                <w:noProof/>
                <w:webHidden/>
              </w:rPr>
              <w:fldChar w:fldCharType="end"/>
            </w:r>
          </w:hyperlink>
        </w:p>
        <w:p w14:paraId="3220E94E" w14:textId="4F7984B0" w:rsidR="002A470A" w:rsidRDefault="002A470A" w:rsidP="002A470A">
          <w:r w:rsidRPr="002A470A">
            <w:rPr>
              <w:rFonts w:cs="Arial"/>
              <w:b/>
              <w:bCs/>
              <w:noProof/>
              <w:szCs w:val="24"/>
            </w:rPr>
            <w:fldChar w:fldCharType="end"/>
          </w:r>
        </w:p>
      </w:sdtContent>
    </w:sdt>
    <w:p w14:paraId="15F960D6" w14:textId="7004C1B2" w:rsidR="00ED61F0" w:rsidRDefault="00ED61F0" w:rsidP="00ED61F0"/>
    <w:p w14:paraId="071CC90D" w14:textId="77777777" w:rsidR="000F3617" w:rsidRDefault="000F3617" w:rsidP="00345F72">
      <w:pPr>
        <w:spacing w:line="259" w:lineRule="auto"/>
      </w:pPr>
    </w:p>
    <w:p w14:paraId="6699D143" w14:textId="77777777" w:rsidR="000F3617" w:rsidRDefault="000F3617" w:rsidP="00345F72">
      <w:pPr>
        <w:spacing w:line="259" w:lineRule="auto"/>
      </w:pPr>
    </w:p>
    <w:p w14:paraId="67094F77" w14:textId="77777777" w:rsidR="000F3617" w:rsidRDefault="000F3617" w:rsidP="00345F72">
      <w:pPr>
        <w:spacing w:line="259" w:lineRule="auto"/>
      </w:pPr>
    </w:p>
    <w:p w14:paraId="3C6080BA" w14:textId="77777777" w:rsidR="000F3617" w:rsidRDefault="000F3617" w:rsidP="00345F72">
      <w:pPr>
        <w:spacing w:line="259" w:lineRule="auto"/>
      </w:pPr>
    </w:p>
    <w:p w14:paraId="27C263ED" w14:textId="77777777" w:rsidR="000F3617" w:rsidRDefault="000F3617" w:rsidP="00345F72">
      <w:pPr>
        <w:spacing w:line="259" w:lineRule="auto"/>
      </w:pPr>
    </w:p>
    <w:p w14:paraId="3E562EBE" w14:textId="77777777" w:rsidR="000F3617" w:rsidRDefault="000F3617" w:rsidP="00345F72">
      <w:pPr>
        <w:spacing w:line="259" w:lineRule="auto"/>
      </w:pPr>
    </w:p>
    <w:p w14:paraId="00025DC9" w14:textId="77777777" w:rsidR="000F3617" w:rsidRDefault="000F3617" w:rsidP="00345F72">
      <w:pPr>
        <w:spacing w:line="259" w:lineRule="auto"/>
      </w:pPr>
    </w:p>
    <w:p w14:paraId="7281F30D" w14:textId="75D48B15" w:rsidR="00ED61F0" w:rsidRDefault="00345F72" w:rsidP="000F3617">
      <w:pPr>
        <w:pStyle w:val="Heading1"/>
      </w:pPr>
      <w:bookmarkStart w:id="0" w:name="_Toc232446400"/>
      <w:r>
        <w:t>Introduction</w:t>
      </w:r>
      <w:bookmarkEnd w:id="0"/>
    </w:p>
    <w:p w14:paraId="75E8A521" w14:textId="370CC7DB" w:rsidR="000F3617" w:rsidRDefault="007D1EDF" w:rsidP="000F3617">
      <w:r w:rsidRPr="007D1EDF">
        <w:t xml:space="preserve">Health and wellbeing are multi-faceted concepts that include physical, mental and social functioning and are increasingly influenced by global agendas on sustainability (Carlsson, 2026). The Sustainable Development Goals (SDGs) are set by the United Nations and are a global roadmap for tackling health inequities and sustainable development, globally (United Nations, 2025). SDG 3 (Good Health and Wellbeing) is about ensuring healthy lives and promoting wellbeing for all ages, and SDG 10 is </w:t>
      </w:r>
      <w:r>
        <w:t>based on</w:t>
      </w:r>
      <w:r w:rsidRPr="007D1EDF">
        <w:t xml:space="preserve"> reducing inequalities within and between populations (The Global Goals, 2025). National health policy in the United Kingdom (UK) including the NHS Long Term Plan focuses on prevention, integrated care and addressing health inequalities at the local systems (NHS England, 2026). This report is a critical examination of the effectiveness of global, national and local strategies in relation to SDG 3 and SDG 10, and involves the use of secondary evidence to assess outcomes and disparities. The recommendations are made on the basis of the data gathered, aimed at reinforcing the policy implementation, increasing equity and strengthening long-term sustainability of the health systems globally, nationally and locally. </w:t>
      </w:r>
      <w:r>
        <w:t>In general</w:t>
      </w:r>
      <w:r w:rsidRPr="007D1EDF">
        <w:t>, integrated analysis provides an analytical foundation for the critical evaluation of policy effectiveness within the context of the interconnectedness of global health priorities</w:t>
      </w:r>
      <w:r w:rsidR="000F3617" w:rsidRPr="000F3617">
        <w:t>.</w:t>
      </w:r>
    </w:p>
    <w:p w14:paraId="09BF6097" w14:textId="0DE92E7D" w:rsidR="003C3B3B" w:rsidRDefault="003C3B3B" w:rsidP="000F3617"/>
    <w:p w14:paraId="45A93CA3" w14:textId="461DD0A4" w:rsidR="003C3B3B" w:rsidRDefault="00937D78" w:rsidP="00EA35A4">
      <w:pPr>
        <w:pStyle w:val="Heading1"/>
      </w:pPr>
      <w:bookmarkStart w:id="1" w:name="_Toc232446401"/>
      <w:r w:rsidRPr="00937D78">
        <w:t>Section 1: SDG 3 – Good Health and Wellbeing</w:t>
      </w:r>
      <w:bookmarkEnd w:id="1"/>
    </w:p>
    <w:p w14:paraId="588A9EA8" w14:textId="2771C73A" w:rsidR="006D43F7" w:rsidRDefault="006D43F7" w:rsidP="00EA35A4">
      <w:pPr>
        <w:pStyle w:val="Heading2"/>
      </w:pPr>
      <w:bookmarkStart w:id="2" w:name="_Toc232446402"/>
      <w:r>
        <w:t>Global Pathways to Health Equity</w:t>
      </w:r>
      <w:bookmarkEnd w:id="2"/>
    </w:p>
    <w:p w14:paraId="58F57B1B" w14:textId="27FC962B" w:rsidR="006D43F7" w:rsidRDefault="007D1EDF" w:rsidP="006D43F7">
      <w:r>
        <w:t xml:space="preserve">The </w:t>
      </w:r>
      <w:r w:rsidRPr="007D1EDF">
        <w:t>SDG 3 promotes and protects healthy lives and wellbeing for all at every age by tackling the major burden of diseases either by prevention or by providing access to care universally (United Nations, 2025). Universal health coverage is a key priority for the World Health Organi</w:t>
      </w:r>
      <w:r w:rsidR="006E4BB4">
        <w:t>s</w:t>
      </w:r>
      <w:r w:rsidRPr="007D1EDF">
        <w:t xml:space="preserve">ation (WHO), in which everyone is able to access basic health services without incurring financial burden (WHO, 2026). Some of the global health goals are to end preventable neonatal deaths, combat communicable diseases including HIV, TB and malaria and reduce maternal mortality (UNICEF, 2024). Non communicable diseases are responsible for around 74% of deaths globally, emphasising the need for preventive health strategies, and strengthening health system resilience is also key, especially </w:t>
      </w:r>
      <w:r>
        <w:t>in regards to the</w:t>
      </w:r>
      <w:r w:rsidRPr="007D1EDF">
        <w:t xml:space="preserve"> impact of the COVID 19 pandemic (The Health Policy Partnership, 2024). There are still huge health disparities between high- and low-income countries, with the life expectancy gap between some regions being over 30 years and investment is seen as the most cost-effective way of improving health outcomes for populations, and in primary healthcare is seen as a key example of investment </w:t>
      </w:r>
      <w:r w:rsidR="006D43F7">
        <w:t>(</w:t>
      </w:r>
      <w:r w:rsidR="00B222D2">
        <w:t>BMA</w:t>
      </w:r>
      <w:r w:rsidR="006D43F7">
        <w:t>, 202</w:t>
      </w:r>
      <w:r w:rsidR="00B222D2">
        <w:t>6</w:t>
      </w:r>
      <w:r w:rsidR="006D43F7">
        <w:t>).</w:t>
      </w:r>
    </w:p>
    <w:p w14:paraId="5C80A01C" w14:textId="77777777" w:rsidR="006D43F7" w:rsidRDefault="006D43F7" w:rsidP="006D43F7"/>
    <w:p w14:paraId="72771A7A" w14:textId="2759A788" w:rsidR="006D43F7" w:rsidRDefault="006D43F7" w:rsidP="00EA35A4">
      <w:pPr>
        <w:pStyle w:val="Heading2"/>
      </w:pPr>
      <w:bookmarkStart w:id="3" w:name="_Toc232446403"/>
      <w:r>
        <w:t xml:space="preserve">National Health </w:t>
      </w:r>
      <w:r w:rsidR="00EA35A4">
        <w:t>Policies</w:t>
      </w:r>
      <w:r>
        <w:t xml:space="preserve"> in the UK</w:t>
      </w:r>
      <w:bookmarkEnd w:id="3"/>
    </w:p>
    <w:p w14:paraId="5E3FC1DD" w14:textId="7366517E" w:rsidR="006D43F7" w:rsidRDefault="00575723" w:rsidP="006D43F7">
      <w:r w:rsidRPr="00575723">
        <w:t>At national level, SDG3 principles are being realised in the UK via the NHS Long Term Plan (NHS England, 2026) which centres on prevention, integrated care systems and reducing health inequalities. The UK Health Security Agency (UKHSA) is dedicated to protecting the public by monitoring diseases, organi</w:t>
      </w:r>
      <w:r w:rsidR="006E4BB4">
        <w:t>s</w:t>
      </w:r>
      <w:r w:rsidRPr="00575723">
        <w:t xml:space="preserve">ing vaccinations and preparing for emergencies, lessons learned from COVID 19 (Alothman et al., 2025). The Core20PLUS5 framework is used to guide health inequalities policy in England through focusing on the most deprived populations and priority clinical areas (The King's Fund, 2023). Public health interventions, such as cancer, cardiovascular disease and diabetes screening programmes, are also in place in the NHS to detect disease early and improve survival rates (NIHR Evidence, 2024). However, NHS staffing levels continue to be a concern and funding restrict the capacity of services. There is continued evidence of socioeconomic deprivation and differential health outcomes between lower income groups and higher income groups, with lower income groups having increased morbidity and shorter life expectancies (ONS, 2022). </w:t>
      </w:r>
      <w:r>
        <w:t>Therefore</w:t>
      </w:r>
      <w:r w:rsidRPr="00575723">
        <w:t>, national policies have been established to promote health improvement, but inequalities and capacity issues persist</w:t>
      </w:r>
      <w:r>
        <w:t>.</w:t>
      </w:r>
      <w:r w:rsidR="00E115C1">
        <w:t xml:space="preserve"> </w:t>
      </w:r>
    </w:p>
    <w:p w14:paraId="4EFD2BC0" w14:textId="77777777" w:rsidR="006D43F7" w:rsidRDefault="006D43F7" w:rsidP="006D43F7"/>
    <w:p w14:paraId="2D13ADFB" w14:textId="75324BBB" w:rsidR="006D43F7" w:rsidRDefault="006D43F7" w:rsidP="00EA35A4">
      <w:pPr>
        <w:pStyle w:val="Heading2"/>
      </w:pPr>
      <w:bookmarkStart w:id="4" w:name="_Toc232446404"/>
      <w:r>
        <w:t>Local Health Delivery and Community Action</w:t>
      </w:r>
      <w:bookmarkEnd w:id="4"/>
    </w:p>
    <w:p w14:paraId="67064275" w14:textId="799F9F51" w:rsidR="006D43F7" w:rsidRDefault="00575723" w:rsidP="006D43F7">
      <w:r w:rsidRPr="00575723">
        <w:t xml:space="preserve">Community-based health programmes are implemented at local level by NHS Trusts and local authorities, and aim to address issues of chronic disease prevention and health promotion (Alothman et al., 2025). Preventative services like NHS cancer, cardiovascular disease and diabetes screening lead to earlier diagnosis and to fewer avoidable deaths (Saund et al., 2026). There has been an increase in NHS Talking Therapies services and demand remains high, especially amongst young people, which is outstripping services (BMA, 2026). Furthermore, In terms of community action, the community-based interventions provided by the voluntary sector organisations are related to health improvement and reduce the burden on acute services (Royal Society for Public Health, 2025). </w:t>
      </w:r>
      <w:r w:rsidR="00D07F20" w:rsidRPr="00575723">
        <w:t>Consequently</w:t>
      </w:r>
      <w:r w:rsidRPr="00575723">
        <w:t>, local partnerships support prevention efforts, but service demand remains higher than capacity.</w:t>
      </w:r>
    </w:p>
    <w:p w14:paraId="76307F42" w14:textId="77777777" w:rsidR="006D43F7" w:rsidRDefault="006D43F7" w:rsidP="006D43F7"/>
    <w:p w14:paraId="2FCEC705" w14:textId="430FB4A0" w:rsidR="006D43F7" w:rsidRDefault="006D43F7" w:rsidP="00EA35A4">
      <w:pPr>
        <w:pStyle w:val="Heading2"/>
      </w:pPr>
      <w:bookmarkStart w:id="5" w:name="_Toc232446405"/>
      <w:r>
        <w:t>Critical Evaluation</w:t>
      </w:r>
      <w:bookmarkEnd w:id="5"/>
    </w:p>
    <w:p w14:paraId="325EB0DC" w14:textId="77777777" w:rsidR="00D07F20" w:rsidRDefault="00D07F20" w:rsidP="00D07F20">
      <w:r>
        <w:t xml:space="preserve">Healthcare policies related to SDG 3 have increased access to services and improved preventive healthcare systems, but have been limited in their ability to deliver impact due to structural and systemic issues in the UK's healthcare system (United Nations, 2025). NHS organisations have not been able to cope with increasing demand, leading to increased waiting times and delayed access to treatment for some specialties due to persistent financial pressures (The Health Policy Partnership, 2024). In addition, workforce problems remain a threat to the quality of care and staff wellbeing and organisational resilience in nursing, general practice and mental health services (The Health Foundation 2026). </w:t>
      </w:r>
    </w:p>
    <w:p w14:paraId="1EA8E183" w14:textId="77ADB553" w:rsidR="00D07F20" w:rsidRDefault="00D07F20" w:rsidP="00D07F20">
      <w:r>
        <w:t xml:space="preserve">Although policy commitments have been made to address the inequalities in health, there are still important geographical differences in healthy life expectancy and health outcomes between disadvantaged and more affluent areas (Carlsson, 2026). Digital health technologies have enhanced efficiency and access to services, but inequitable access to digital resources may deepen the existing socioeconomic inequities among vulnerable populations (BMA, 2026). Furthermore, the economic benefit of preventive interventions is significant over the long-term, with disparities in participation rates across deprived communities reducing their effectiveness in the reduction of population-level health inequalities, in both terms and in the longer term </w:t>
      </w:r>
      <w:r w:rsidR="00972769" w:rsidRPr="00972769">
        <w:t>(</w:t>
      </w:r>
      <w:r w:rsidR="00D00C82" w:rsidRPr="00D00C82">
        <w:t>NIHR Evidence</w:t>
      </w:r>
      <w:r w:rsidR="00972769" w:rsidRPr="00972769">
        <w:t>, 202</w:t>
      </w:r>
      <w:r w:rsidR="00D00C82">
        <w:t>4</w:t>
      </w:r>
      <w:r w:rsidR="00972769" w:rsidRPr="00972769">
        <w:t xml:space="preserve">). </w:t>
      </w:r>
      <w:r w:rsidRPr="00D07F20">
        <w:t>Therefore, targeted investment and equity-focused reform are essential across NHS</w:t>
      </w:r>
      <w:r>
        <w:t xml:space="preserve"> guiding principles.</w:t>
      </w:r>
    </w:p>
    <w:p w14:paraId="3E4A879D" w14:textId="77777777" w:rsidR="00C7501A" w:rsidRDefault="00C7501A" w:rsidP="006D43F7"/>
    <w:p w14:paraId="7781EE67" w14:textId="48A8B87E" w:rsidR="00972769" w:rsidRDefault="00972769" w:rsidP="00972769">
      <w:pPr>
        <w:pStyle w:val="Heading2"/>
      </w:pPr>
      <w:bookmarkStart w:id="6" w:name="_Toc232446406"/>
      <w:r w:rsidRPr="00972769">
        <w:t>Strategic Recommendations</w:t>
      </w:r>
      <w:bookmarkEnd w:id="6"/>
    </w:p>
    <w:p w14:paraId="5DE816FE" w14:textId="5D33FE6A" w:rsidR="00C7501A" w:rsidRDefault="00972769" w:rsidP="00972769">
      <w:r w:rsidRPr="00972769">
        <w:t xml:space="preserve">Strengthening </w:t>
      </w:r>
      <w:r w:rsidR="00D07F20" w:rsidRPr="00D07F20">
        <w:t>prevention and early intervention should be a policy priority, as it will lead to a decrease in preventable disease burden and help to achieve better population health outcomes (WHO, 2026). To support workforce shortages, recruitment, training and retention initiatives in the NHS need to be improved to maintain capacity and service quality, as well as expanding equitable access to digital health services, alongside targeted digital literacy programmes, can help to address the barriers faced by disadvantaged groups (The Global Goals 2025). There is a need for greater integration between primary, secondary and community services, to enhance continuity of care and minimise unnecessary hospital admissions (The King's Fund, 2023). Finally, investment in public health infrastructure and ongoing monitoring of population health through data can help pave the way for better service planning that is more effective and equitable</w:t>
      </w:r>
      <w:r w:rsidR="00FE05FB">
        <w:t>.</w:t>
      </w:r>
      <w:r w:rsidR="00481106">
        <w:t xml:space="preserve"> </w:t>
      </w:r>
      <w:r w:rsidR="00481106">
        <w:br/>
      </w:r>
    </w:p>
    <w:p w14:paraId="2D14EE79" w14:textId="77777777" w:rsidR="007D3856" w:rsidRDefault="007D3856" w:rsidP="007D3856">
      <w:pPr>
        <w:pStyle w:val="Heading1"/>
      </w:pPr>
      <w:bookmarkStart w:id="7" w:name="_Toc232446407"/>
      <w:r>
        <w:t>Section 2: SDG 10 – Reduced Inequalities</w:t>
      </w:r>
      <w:bookmarkEnd w:id="7"/>
    </w:p>
    <w:p w14:paraId="752A8673" w14:textId="4B2C0E38" w:rsidR="007D3856" w:rsidRDefault="007D3856" w:rsidP="007D3856">
      <w:pPr>
        <w:pStyle w:val="Heading2"/>
      </w:pPr>
      <w:bookmarkStart w:id="8" w:name="_Toc232446408"/>
      <w:r>
        <w:t>Advancing Global Equality Through Sustainable Development</w:t>
      </w:r>
      <w:bookmarkEnd w:id="8"/>
    </w:p>
    <w:p w14:paraId="176DE012" w14:textId="45CB3915" w:rsidR="002D6CDD" w:rsidRDefault="0019717F" w:rsidP="007D3856">
      <w:r w:rsidRPr="0019717F">
        <w:t>The SDG 10 aims to address inequalities within and between countries, including differences in income, opportunity and social inclusion, across populations (European Commission, 2026). The aim acknowledges that unequal access to resources, education, healthcare and employment negatively impacts sustainable development and social cohesion (Bhandari, 2024). Income inequality is also high in the world, with the richest 10% having a disproportionate share from the rest of the income from the world (World Inequality Report 2026). SDG 10 also targets gender, disability, ethnicity and migration status inequalities, as they have a strong impact on health and wellbeing outcomes (WHO, 2026). Inequality has become a key priority for inclusive economic growth and enhancing population wellbeing globally (International Labour Organi</w:t>
      </w:r>
      <w:r w:rsidR="006E4BB4">
        <w:t>s</w:t>
      </w:r>
      <w:r w:rsidRPr="0019717F">
        <w:t xml:space="preserve">ation, 2025). </w:t>
      </w:r>
      <w:r w:rsidR="00B26A1F">
        <w:t>E</w:t>
      </w:r>
      <w:r w:rsidRPr="0019717F">
        <w:t>vidence</w:t>
      </w:r>
      <w:r w:rsidR="00B26A1F">
        <w:t xml:space="preserve"> showed</w:t>
      </w:r>
      <w:r w:rsidRPr="0019717F">
        <w:t xml:space="preserve"> that societies with lower levels of inequality tend to have better health, increased social mobility, and increased social cohesion </w:t>
      </w:r>
      <w:r w:rsidR="002D6CDD" w:rsidRPr="002D6CDD">
        <w:t>(</w:t>
      </w:r>
      <w:r w:rsidR="00512505" w:rsidRPr="00512505">
        <w:t>The Health Policy Partnership, 2024</w:t>
      </w:r>
      <w:r w:rsidR="002D6CDD" w:rsidRPr="002D6CDD">
        <w:t>).</w:t>
      </w:r>
      <w:r w:rsidR="002D6CDD">
        <w:t xml:space="preserve"> </w:t>
      </w:r>
      <w:r w:rsidR="00512505">
        <w:t xml:space="preserve"> </w:t>
      </w:r>
    </w:p>
    <w:p w14:paraId="72A7C28C" w14:textId="77777777" w:rsidR="00512505" w:rsidRDefault="00512505" w:rsidP="007D3856"/>
    <w:p w14:paraId="37D15C58" w14:textId="518E5BC2" w:rsidR="007D3856" w:rsidRDefault="007D3856" w:rsidP="00A12140">
      <w:pPr>
        <w:pStyle w:val="Heading2"/>
      </w:pPr>
      <w:bookmarkStart w:id="9" w:name="_Toc232446409"/>
      <w:r>
        <w:t xml:space="preserve">National Policy Responses to Inequality in the </w:t>
      </w:r>
      <w:r w:rsidR="00A12140">
        <w:t>UK</w:t>
      </w:r>
      <w:bookmarkEnd w:id="9"/>
    </w:p>
    <w:p w14:paraId="75D06F5C" w14:textId="09EB12E9" w:rsidR="007D3856" w:rsidRDefault="0019717F" w:rsidP="007D3856">
      <w:r w:rsidRPr="0019717F">
        <w:t>In the UK, the Equality Act 2010 is a detailed piece of legislation designed to prevent people being discriminated against on the basis of age, disability, race, religion or sex (Acas, 2025). The NHS Core20PLUS5 approach identifies the most deprived 20% of the population and allocates priority to geographical areas with the largest health inequalities and this approach aims to tackle inequalities in outcomes for treatment and recovery for mental health, chronic respiratory disease and cancer care and for the health of pregnant women and their babies (The King’s Fund, 2023). Furthermore, the Levelling Up agenda seeks to address regional disparities by enhancing economic opportunity, education, housing and health outcomes in disadvantaged communities (Bhandari, 2024). Thus</w:t>
      </w:r>
      <w:r w:rsidR="00B26A1F">
        <w:t>,</w:t>
      </w:r>
      <w:r w:rsidRPr="0019717F">
        <w:t xml:space="preserve"> these programmes recognise that inequalities are hugely shaped by broader social determinants such as income, employment and living conditions</w:t>
      </w:r>
      <w:r w:rsidR="00566AB3">
        <w:t xml:space="preserve">. </w:t>
      </w:r>
    </w:p>
    <w:p w14:paraId="584D22FE" w14:textId="77777777" w:rsidR="007D3856" w:rsidRDefault="007D3856" w:rsidP="007D3856"/>
    <w:p w14:paraId="31434F35" w14:textId="2D53E523" w:rsidR="007D3856" w:rsidRDefault="007D3856" w:rsidP="00BE75B9">
      <w:pPr>
        <w:pStyle w:val="Heading2"/>
      </w:pPr>
      <w:bookmarkStart w:id="10" w:name="_Toc232446410"/>
      <w:r>
        <w:t>Local Action and Community Empowerment</w:t>
      </w:r>
      <w:bookmarkEnd w:id="10"/>
    </w:p>
    <w:p w14:paraId="7E426BF5" w14:textId="65F40AC0" w:rsidR="007D3856" w:rsidRDefault="00B26A1F" w:rsidP="007D3856">
      <w:r w:rsidRPr="00B26A1F">
        <w:t xml:space="preserve">Community outreach initiatives are integral to enhancing access to critical services and reaching populations that are under-served at community level. The health inclusion services are for vulnerable groups such as homeless people, refugees and socially excluded population groups that often face barriers to accessing health care (BMA, 2026). In addition, voluntary sector organisations play a significant role in advocacy, health promotion and culturally appropriate services to </w:t>
      </w:r>
      <w:r w:rsidR="00A54A80">
        <w:t>address requirements</w:t>
      </w:r>
      <w:r w:rsidRPr="00B26A1F">
        <w:t xml:space="preserve"> of community groups </w:t>
      </w:r>
      <w:r w:rsidR="00A54A80" w:rsidRPr="00A54A80">
        <w:t xml:space="preserve">variability </w:t>
      </w:r>
      <w:r w:rsidRPr="00B26A1F">
        <w:t>(The Health Foundation, 2026). Strengthening of service coordination and responsiveness to local challenges through collaborative partnerships between local authorities, health care providers and community organisations (Carlsson, 2026). Therefore, integrated community collaboration is an effective and sustainable approach to health inequalities reduction and access to services across populations</w:t>
      </w:r>
      <w:r w:rsidR="000D6AE7">
        <w:t>.</w:t>
      </w:r>
    </w:p>
    <w:p w14:paraId="55348FB0" w14:textId="77777777" w:rsidR="007D3856" w:rsidRDefault="007D3856" w:rsidP="007D3856"/>
    <w:p w14:paraId="2FA0A100" w14:textId="068A37BA" w:rsidR="007D3856" w:rsidRDefault="007D3856" w:rsidP="00BE75B9">
      <w:pPr>
        <w:pStyle w:val="Heading2"/>
      </w:pPr>
      <w:bookmarkStart w:id="11" w:name="_Toc232446411"/>
      <w:r>
        <w:t>Critical Assessment of Policy Effectiveness</w:t>
      </w:r>
      <w:bookmarkEnd w:id="11"/>
    </w:p>
    <w:p w14:paraId="2C909963" w14:textId="64A5D6FA" w:rsidR="00B26A1F" w:rsidRDefault="00B26A1F" w:rsidP="00B26A1F">
      <w:r>
        <w:t xml:space="preserve">Whilst the effectiveness of SDG 10 related policies is still constrained by longstanding structural inequalities that continue to influence health and social outcomes within the UK (Institute of Health Equity, 2026). People in deprived neighbourhoods are still living on average 10 years shorter than healthy lives than people in affluent neighbourhoods and inequalities in the rates of preventable diseases are still large, even after decades of policy work (ONS, 2022). Soci-economic disadvantages, such as poverty, precarious employment and substandard housing, still limit access to resources that promote health and wellbeing, and existing policy interventions have had limited impact on </w:t>
      </w:r>
      <w:r w:rsidR="00992181">
        <w:t>undertaking</w:t>
      </w:r>
      <w:r>
        <w:t xml:space="preserve"> the root causes of injustice (NIHR Evidence, 2024). </w:t>
      </w:r>
    </w:p>
    <w:p w14:paraId="712911DD" w14:textId="157FB355" w:rsidR="007D3856" w:rsidRDefault="00B26A1F" w:rsidP="00B26A1F">
      <w:r>
        <w:t xml:space="preserve">While the Equality Act 2010 is a fairly comprehensive piece of legislation, </w:t>
      </w:r>
      <w:r w:rsidR="00E12582">
        <w:t>its lacks</w:t>
      </w:r>
      <w:r>
        <w:t xml:space="preserve"> consist</w:t>
      </w:r>
      <w:r w:rsidR="00E12582">
        <w:t>ency on</w:t>
      </w:r>
      <w:r>
        <w:t xml:space="preserve"> being applied and continuing institutional discrimination reduces its ability to achieve equitable outcomes on the ground (World Inequality Report, 2026). Beyond that, inequalities have persisted in the region, indicating that national measures have been much less effective in </w:t>
      </w:r>
      <w:r w:rsidR="00992181">
        <w:t>encountering</w:t>
      </w:r>
      <w:r>
        <w:t xml:space="preserve"> inequalities across the broader social determinants of health (The Health Foundation, 2026). Declining local government funding has also </w:t>
      </w:r>
      <w:r w:rsidR="006E4BB4">
        <w:t>endangered</w:t>
      </w:r>
      <w:r>
        <w:t xml:space="preserve"> the availability of community services to provide targeted support to vulnerable populations, reinforcing and widening inequities </w:t>
      </w:r>
      <w:r w:rsidR="00992181">
        <w:t>exists</w:t>
      </w:r>
      <w:r>
        <w:t xml:space="preserve"> (The Health Policy Partnership, 2024). Thus, despite policy efforts, inequities in structure remain, resulting in inequitable health outcomes across the nation</w:t>
      </w:r>
      <w:r w:rsidR="00CD334D">
        <w:t>.</w:t>
      </w:r>
    </w:p>
    <w:p w14:paraId="467DB6F0" w14:textId="77777777" w:rsidR="00BE75B9" w:rsidRDefault="00BE75B9" w:rsidP="007D3856"/>
    <w:p w14:paraId="297C760F" w14:textId="7F887D09" w:rsidR="007D3856" w:rsidRDefault="007D3856" w:rsidP="00BE75B9">
      <w:pPr>
        <w:pStyle w:val="Heading2"/>
      </w:pPr>
      <w:bookmarkStart w:id="12" w:name="_Toc232446412"/>
      <w:r>
        <w:t>Strategic Recommendations for Greater Equity</w:t>
      </w:r>
      <w:bookmarkEnd w:id="12"/>
    </w:p>
    <w:p w14:paraId="1BDE09DC" w14:textId="6BBEEF88" w:rsidR="00481106" w:rsidRDefault="00992181" w:rsidP="007D3856">
      <w:r w:rsidRPr="00992181">
        <w:t xml:space="preserve">Addressing inequalities requires ongoing investment in disadvantaged communities, and targeted funding structures to meet the health and social needs of those communities (Institute of Health Equity, 2025). Enhancing data-driven monitoring systems would facilitate the identification of inequality trends and assist in evidence-based policy-making (Alothman et al., 2025). Increasing culturally competent healthcare services is crucial to increasing access to and uptake of services, while maintaining trust in services among diverse populations (WHO, 2026). Improved integration of services through better collaboration between health and social care services, local authorities and voluntary organisations can boost services for people who lack good health and social care today and experience better health and social care outcomes (The King’s Fund, 2023). The </w:t>
      </w:r>
      <w:r w:rsidR="007A748B">
        <w:t>requirement is to</w:t>
      </w:r>
      <w:r w:rsidRPr="00992181">
        <w:t xml:space="preserve"> </w:t>
      </w:r>
      <w:r w:rsidR="007A748B">
        <w:t>adopt a</w:t>
      </w:r>
      <w:r w:rsidRPr="00992181">
        <w:t xml:space="preserve"> comprehensive approach across the social determinants, for instance by co-ordinating interventions in employment, housing and education, remains a key principle for long-term inequality reduction (European Commission, 2026). </w:t>
      </w:r>
    </w:p>
    <w:p w14:paraId="3C95E0C0" w14:textId="5CDBF6E5" w:rsidR="00BB681A" w:rsidRDefault="00BB681A" w:rsidP="007D3856"/>
    <w:p w14:paraId="2D64D575" w14:textId="2FA76332" w:rsidR="00BB681A" w:rsidRDefault="00BB681A" w:rsidP="002D6CDD">
      <w:pPr>
        <w:pStyle w:val="Heading1"/>
      </w:pPr>
      <w:bookmarkStart w:id="13" w:name="_Toc232446413"/>
      <w:r>
        <w:t>Conclusion</w:t>
      </w:r>
      <w:bookmarkEnd w:id="13"/>
    </w:p>
    <w:p w14:paraId="0AF3F8FE" w14:textId="2E8E5DE1" w:rsidR="00C7501A" w:rsidRDefault="00992181" w:rsidP="00992181">
      <w:r>
        <w:t xml:space="preserve">This report reveals the strong links between SDG 3 and SDG 10 in driving population health and wellbeing in global, national and local settings. SDG 3 demonstrates strong progress in enhancing access to healthcare services and prevention; efforts to make health systems more resilient are also advanced, but there are still considerable gaps in the effectiveness of services due to workforce shortages and inequities in access, as well as the growing demand for services. SDG 10, which highlights the impact of structural inequalities in access to goods and services, including income, education, housing and employment, on health outcomes, further reveals the cycles of disadvantage experienced across groups. </w:t>
      </w:r>
      <w:r w:rsidR="003B193A" w:rsidRPr="003B193A">
        <w:t xml:space="preserve">This analysis highlights that without </w:t>
      </w:r>
      <w:r w:rsidR="003B193A">
        <w:t>addressing</w:t>
      </w:r>
      <w:r w:rsidR="003B193A" w:rsidRPr="003B193A">
        <w:t xml:space="preserve"> wider social and economic determinants, health outcomes cannot be improved.</w:t>
      </w:r>
      <w:r w:rsidR="00CF3E67">
        <w:t xml:space="preserve"> </w:t>
      </w:r>
      <w:r>
        <w:t xml:space="preserve">The results highlight the importance of having a holistic approach to policy development for sustainable health gains and tackling inequalities. A coordinated approach between health systems, government policies and community organisations is needed to achieve efficiency, equity and access to services and resources. </w:t>
      </w:r>
    </w:p>
    <w:p w14:paraId="1165051F" w14:textId="2F40822B" w:rsidR="000F3617" w:rsidRDefault="000F3617" w:rsidP="00BB681A">
      <w:pPr>
        <w:pStyle w:val="Heading1"/>
      </w:pPr>
      <w:bookmarkStart w:id="14" w:name="_Toc232446414"/>
      <w:r>
        <w:t>References</w:t>
      </w:r>
      <w:bookmarkEnd w:id="14"/>
    </w:p>
    <w:p w14:paraId="47C7270D" w14:textId="77777777" w:rsidR="00BB681A" w:rsidRDefault="00BB681A" w:rsidP="00C7501A">
      <w:pPr>
        <w:ind w:left="720" w:hanging="720"/>
      </w:pPr>
      <w:r w:rsidRPr="00025D4A">
        <w:t xml:space="preserve">Acas (2025). Discrimination and the Law. [online] ACAS. Available at: </w:t>
      </w:r>
      <w:hyperlink r:id="rId8" w:history="1">
        <w:r w:rsidRPr="00EA27CA">
          <w:rPr>
            <w:rStyle w:val="Hyperlink"/>
          </w:rPr>
          <w:t>https://www.acas.org.uk/discrimination-and-the-law</w:t>
        </w:r>
      </w:hyperlink>
      <w:r>
        <w:t xml:space="preserve"> </w:t>
      </w:r>
      <w:r w:rsidRPr="00025D4A">
        <w:t>[Accessed 15 Jun. 2026].</w:t>
      </w:r>
      <w:r>
        <w:t xml:space="preserve"> </w:t>
      </w:r>
    </w:p>
    <w:p w14:paraId="3E3203B3" w14:textId="77777777" w:rsidR="00BB681A" w:rsidRDefault="00BB681A" w:rsidP="00C7501A">
      <w:pPr>
        <w:ind w:left="720" w:hanging="720"/>
      </w:pPr>
      <w:r w:rsidRPr="00845BC4">
        <w:t xml:space="preserve">Alothman, A. K. A., Alsowailem, A. I. A., Alarfaj, A. M. A., Almohaimeed, M. S. A., ALAlawi, H. J., Almutair, S. A., ... </w:t>
      </w:r>
      <w:r>
        <w:t>and</w:t>
      </w:r>
      <w:r w:rsidRPr="00845BC4">
        <w:t xml:space="preserve"> Albather, K. A. (2025). The Role Of Public Health Surveillance In Strengthening Health Security. The Review of Diabetic Studies, 635-646.</w:t>
      </w:r>
    </w:p>
    <w:p w14:paraId="1FC4CC09" w14:textId="77777777" w:rsidR="00BB681A" w:rsidRDefault="00BB681A" w:rsidP="00C7501A">
      <w:pPr>
        <w:ind w:left="720" w:hanging="720"/>
      </w:pPr>
      <w:r w:rsidRPr="004B044D">
        <w:t>Bhandari, M. P. (2024). What is next for the sustainable development goals, what are the challenges concerning SDG 10—reduced inequalities?. Sustainable Earth Reviews, 7(1), 23.</w:t>
      </w:r>
      <w:r>
        <w:t xml:space="preserve"> </w:t>
      </w:r>
    </w:p>
    <w:p w14:paraId="5BD43F39" w14:textId="77777777" w:rsidR="00BB681A" w:rsidRDefault="00BB681A" w:rsidP="00C7501A">
      <w:pPr>
        <w:ind w:left="720" w:hanging="720"/>
      </w:pPr>
      <w:r w:rsidRPr="00B222D2">
        <w:t xml:space="preserve">BMA (2026). Health inequalities in England | British Medical Association. [online] The British Medical Association is the trade union and professional body for doctors in the UK. Available at: </w:t>
      </w:r>
      <w:hyperlink r:id="rId9" w:history="1">
        <w:r w:rsidRPr="00EA27CA">
          <w:rPr>
            <w:rStyle w:val="Hyperlink"/>
          </w:rPr>
          <w:t>https://www.bma.org.uk/what-we-do/population-health/addressing-social-determinants-that-influence-health/health-inequalities-in-england</w:t>
        </w:r>
      </w:hyperlink>
      <w:r>
        <w:t xml:space="preserve"> </w:t>
      </w:r>
      <w:r w:rsidRPr="00B222D2">
        <w:t>[Accessed 15 Jun. 2026].</w:t>
      </w:r>
      <w:r>
        <w:t xml:space="preserve"> </w:t>
      </w:r>
    </w:p>
    <w:p w14:paraId="788A5242" w14:textId="77777777" w:rsidR="00BB681A" w:rsidRDefault="00BB681A" w:rsidP="00C7501A">
      <w:pPr>
        <w:ind w:left="720" w:hanging="720"/>
      </w:pPr>
      <w:r w:rsidRPr="000F3617">
        <w:t>Carlsson, M. (2026). Conceptions of the relation between well-being and sustainability in social theories, global policy and education research. Health Education, 1-16.</w:t>
      </w:r>
      <w:r>
        <w:t xml:space="preserve"> </w:t>
      </w:r>
    </w:p>
    <w:p w14:paraId="6D82A509" w14:textId="77777777" w:rsidR="00BB681A" w:rsidRDefault="00BB681A" w:rsidP="00C7501A">
      <w:pPr>
        <w:ind w:left="720" w:hanging="720"/>
      </w:pPr>
      <w:r w:rsidRPr="004B044D">
        <w:t xml:space="preserve">European Commission (2026). SDG 10 - Reduced inequalities - Statistics Explained - Eurostat. [online] ec.europa.eu. Available at: </w:t>
      </w:r>
      <w:hyperlink r:id="rId10" w:history="1">
        <w:r w:rsidRPr="00EA27CA">
          <w:rPr>
            <w:rStyle w:val="Hyperlink"/>
          </w:rPr>
          <w:t>https://ec.europa.eu/eurostat/statistics-explained/index.php?title=SDG_10_-_Reduced_inequalities</w:t>
        </w:r>
      </w:hyperlink>
      <w:r>
        <w:t xml:space="preserve"> </w:t>
      </w:r>
      <w:r w:rsidRPr="004B044D">
        <w:t>[Accessed 15 Jun. 2026].</w:t>
      </w:r>
      <w:r>
        <w:t xml:space="preserve"> </w:t>
      </w:r>
    </w:p>
    <w:p w14:paraId="48023C3C" w14:textId="77777777" w:rsidR="00BB681A" w:rsidRDefault="00BB681A" w:rsidP="00C7501A">
      <w:pPr>
        <w:ind w:left="720" w:hanging="720"/>
      </w:pPr>
      <w:r w:rsidRPr="000D6AE7">
        <w:t xml:space="preserve">Institute of Health Equity. (2025). Health Equity in England: the Marmot Review 10 Years On. [online] Institute of Health Equity. Available at: </w:t>
      </w:r>
      <w:hyperlink r:id="rId11" w:history="1">
        <w:r w:rsidRPr="00EA27CA">
          <w:rPr>
            <w:rStyle w:val="Hyperlink"/>
          </w:rPr>
          <w:t>https://www.instituteofhealthequity.org/resources-reports/marmot-review-10-years-on/the-marmot-review-10-years-on-full-report.pdf</w:t>
        </w:r>
      </w:hyperlink>
      <w:r>
        <w:t xml:space="preserve"> </w:t>
      </w:r>
      <w:r w:rsidRPr="000D6AE7">
        <w:t>[Accessed 15 Jun. 2026].</w:t>
      </w:r>
      <w:r>
        <w:t xml:space="preserve"> </w:t>
      </w:r>
    </w:p>
    <w:p w14:paraId="18CDAE47" w14:textId="2AE362FC" w:rsidR="00BB681A" w:rsidRDefault="00BB681A" w:rsidP="00C7501A">
      <w:pPr>
        <w:ind w:left="720" w:hanging="720"/>
      </w:pPr>
      <w:r w:rsidRPr="00F35892">
        <w:t>International Labour Organi</w:t>
      </w:r>
      <w:r w:rsidR="006E4BB4">
        <w:t>s</w:t>
      </w:r>
      <w:r w:rsidRPr="00F35892">
        <w:t xml:space="preserve">ation. (2025). Reducing inequalities for sustainable development. [online] Available at: </w:t>
      </w:r>
      <w:hyperlink r:id="rId12" w:history="1">
        <w:r w:rsidRPr="00EA27CA">
          <w:rPr>
            <w:rStyle w:val="Hyperlink"/>
          </w:rPr>
          <w:t>https://www.ilo.org/resource/statement/reducing-inequalities-sustainable-development</w:t>
        </w:r>
      </w:hyperlink>
      <w:r>
        <w:t xml:space="preserve"> </w:t>
      </w:r>
      <w:r w:rsidRPr="00F35892">
        <w:t>[Accessed 15 Jun. 2026].</w:t>
      </w:r>
      <w:r>
        <w:t xml:space="preserve"> </w:t>
      </w:r>
    </w:p>
    <w:p w14:paraId="25A3A386" w14:textId="77777777" w:rsidR="00BB681A" w:rsidRDefault="00BB681A" w:rsidP="00F20AE7">
      <w:pPr>
        <w:ind w:left="720" w:hanging="720"/>
      </w:pPr>
      <w:r w:rsidRPr="00322BED">
        <w:t xml:space="preserve">NHS England (2026). Our approach to reducing healthcare inequalities. [online] www.england.nhs.uk. Available at: </w:t>
      </w:r>
      <w:hyperlink r:id="rId13" w:history="1">
        <w:r w:rsidRPr="00EA27CA">
          <w:rPr>
            <w:rStyle w:val="Hyperlink"/>
          </w:rPr>
          <w:t>https://www.england.nhs.uk/about/equality/equality-hub/national-healthcare-inequalities-improvement-programme/our-approach-to-reducing-healthcare-inequalities/</w:t>
        </w:r>
      </w:hyperlink>
      <w:r>
        <w:t xml:space="preserve"> </w:t>
      </w:r>
      <w:r w:rsidRPr="00322BED">
        <w:t>[Accessed 15 Jun. 2026].</w:t>
      </w:r>
      <w:r>
        <w:t xml:space="preserve"> </w:t>
      </w:r>
    </w:p>
    <w:p w14:paraId="11C51B55" w14:textId="77777777" w:rsidR="00BB681A" w:rsidRDefault="00BB681A" w:rsidP="00C7501A">
      <w:pPr>
        <w:ind w:left="720" w:hanging="720"/>
      </w:pPr>
      <w:r w:rsidRPr="00F77B76">
        <w:t>NIHR Evidence (2024). Is the NHS Health Check improving our population’s health? [online] doi:</w:t>
      </w:r>
      <w:r>
        <w:t xml:space="preserve"> </w:t>
      </w:r>
      <w:hyperlink r:id="rId14" w:history="1">
        <w:r w:rsidRPr="00EA27CA">
          <w:rPr>
            <w:rStyle w:val="Hyperlink"/>
          </w:rPr>
          <w:t>https://evidence.nihr.ac.uk/alert/is-the-nhs-health-check-improving-our-populations-health/</w:t>
        </w:r>
      </w:hyperlink>
      <w:r w:rsidRPr="00F77B76">
        <w:t>.</w:t>
      </w:r>
      <w:r>
        <w:t xml:space="preserve"> </w:t>
      </w:r>
      <w:r w:rsidRPr="00F77B76">
        <w:t>[Accessed 15 Jun. 2026].</w:t>
      </w:r>
      <w:r>
        <w:t xml:space="preserve"> </w:t>
      </w:r>
    </w:p>
    <w:p w14:paraId="51B64293" w14:textId="77777777" w:rsidR="00BB681A" w:rsidRDefault="00BB681A" w:rsidP="00C7501A">
      <w:pPr>
        <w:ind w:left="720" w:hanging="720"/>
      </w:pPr>
      <w:r w:rsidRPr="00922269">
        <w:t>ONS (2022). Health state life expectancies by national deprivation deciles, England: 2018 to 2020. [online] Office for National Statistics</w:t>
      </w:r>
      <w:r>
        <w:t xml:space="preserve">. </w:t>
      </w:r>
      <w:r w:rsidRPr="00922269">
        <w:t xml:space="preserve">www.ons.gov.uk. Available at: </w:t>
      </w:r>
      <w:hyperlink r:id="rId15" w:history="1">
        <w:r w:rsidRPr="00EA27CA">
          <w:rPr>
            <w:rStyle w:val="Hyperlink"/>
          </w:rPr>
          <w:t>https://www.ons.gov.uk/peoplepopulationandcommunity/healthandsocialcare/healthinequalities/bulletins/healthstatelifeexpectanciesbyindexofmultipledeprivationimd/2018to2020</w:t>
        </w:r>
      </w:hyperlink>
      <w:r>
        <w:t xml:space="preserve"> </w:t>
      </w:r>
      <w:r w:rsidRPr="00922269">
        <w:t>[Accessed 15 Jun. 2026].</w:t>
      </w:r>
      <w:r>
        <w:t xml:space="preserve"> </w:t>
      </w:r>
    </w:p>
    <w:p w14:paraId="5824F22B" w14:textId="77777777" w:rsidR="00BB681A" w:rsidRDefault="00BB681A" w:rsidP="00C7501A">
      <w:pPr>
        <w:ind w:left="720" w:hanging="720"/>
      </w:pPr>
      <w:r w:rsidRPr="002E18D7">
        <w:t xml:space="preserve">Royal Society for Public Health (2025). Celebrating social prescribing: how it improves health and tackles inequalities. [online] Rsph.org.uk. Available at: </w:t>
      </w:r>
      <w:hyperlink r:id="rId16" w:history="1">
        <w:r w:rsidRPr="00EA27CA">
          <w:rPr>
            <w:rStyle w:val="Hyperlink"/>
          </w:rPr>
          <w:t>https://www.rsph.org.uk/insights/celebrating-social-prescribing-how-it-improves-health-and-tackles-inequalities/</w:t>
        </w:r>
      </w:hyperlink>
      <w:r>
        <w:t xml:space="preserve"> </w:t>
      </w:r>
      <w:r w:rsidRPr="002E18D7">
        <w:t>[Accessed 15 Jun. 2026].</w:t>
      </w:r>
      <w:r>
        <w:t xml:space="preserve"> </w:t>
      </w:r>
    </w:p>
    <w:p w14:paraId="1C6B43A0" w14:textId="77777777" w:rsidR="00BB681A" w:rsidRPr="000F3617" w:rsidRDefault="00BB681A" w:rsidP="00F20AE7">
      <w:pPr>
        <w:ind w:left="720" w:hanging="720"/>
      </w:pPr>
      <w:r w:rsidRPr="002D5F86">
        <w:t xml:space="preserve">Saund, J., Vanoli, J., Masselot, P., O'Neill, S., </w:t>
      </w:r>
      <w:r>
        <w:t>and</w:t>
      </w:r>
      <w:r w:rsidRPr="002D5F86">
        <w:t xml:space="preserve"> Dodhia, H. (2026). NHS Health Checks are associated with improved survival in an ethnically diverse cohort. The British journal of general practice: the journal of the Royal College of General Practitioners.</w:t>
      </w:r>
      <w:r>
        <w:t xml:space="preserve"> </w:t>
      </w:r>
    </w:p>
    <w:p w14:paraId="5A0E0918" w14:textId="77777777" w:rsidR="00BB681A" w:rsidRDefault="00BB681A" w:rsidP="00F20AE7">
      <w:pPr>
        <w:ind w:left="720" w:hanging="720"/>
      </w:pPr>
      <w:r>
        <w:t xml:space="preserve">The Global Goals (2025). Goal 3: Good health and well-being. [online] The Global Goals. Available at: </w:t>
      </w:r>
      <w:hyperlink r:id="rId17" w:history="1">
        <w:r w:rsidRPr="00EA27CA">
          <w:rPr>
            <w:rStyle w:val="Hyperlink"/>
          </w:rPr>
          <w:t>https://globalgoals.org/goals/3-good-health-and-well-being/</w:t>
        </w:r>
      </w:hyperlink>
      <w:r>
        <w:t xml:space="preserve"> [Accessed 15 Jun. 2026].</w:t>
      </w:r>
    </w:p>
    <w:p w14:paraId="677FD1DB" w14:textId="77777777" w:rsidR="00BB681A" w:rsidRDefault="00BB681A" w:rsidP="00C7501A">
      <w:pPr>
        <w:ind w:left="720" w:hanging="720"/>
      </w:pPr>
      <w:r w:rsidRPr="00CA130C">
        <w:t xml:space="preserve">The Health Foundation. (2026). Health and social care workforce. [online] Available at: </w:t>
      </w:r>
      <w:hyperlink r:id="rId18" w:history="1">
        <w:r w:rsidRPr="00EA27CA">
          <w:rPr>
            <w:rStyle w:val="Hyperlink"/>
          </w:rPr>
          <w:t>https://www.health.org.uk/reports-and-analysis/briefings/health-and-social-care-workforce</w:t>
        </w:r>
      </w:hyperlink>
      <w:r>
        <w:t xml:space="preserve"> </w:t>
      </w:r>
      <w:r w:rsidRPr="00CA130C">
        <w:t>[Accessed 15 Jun. 2026].</w:t>
      </w:r>
      <w:r>
        <w:t xml:space="preserve"> </w:t>
      </w:r>
    </w:p>
    <w:p w14:paraId="2DA2AD3B" w14:textId="77777777" w:rsidR="00BB681A" w:rsidRDefault="00BB681A" w:rsidP="00C7501A">
      <w:pPr>
        <w:ind w:left="720" w:hanging="720"/>
      </w:pPr>
      <w:r w:rsidRPr="00B222D2">
        <w:t xml:space="preserve">The Health Policy Partnership. (2024). Prioritising non-communicable diseases in post-pandemic recovery. [online] Available at: </w:t>
      </w:r>
      <w:hyperlink r:id="rId19" w:history="1">
        <w:r w:rsidRPr="00EA27CA">
          <w:rPr>
            <w:rStyle w:val="Hyperlink"/>
          </w:rPr>
          <w:t>https://www.healthpolicypartnership.com/project/prioritising-non-communicable-diseases-in-post-pandemic-recovery/</w:t>
        </w:r>
      </w:hyperlink>
      <w:r>
        <w:t xml:space="preserve"> </w:t>
      </w:r>
      <w:r w:rsidRPr="00B222D2">
        <w:t>[Accessed 15 Jun. 2026].</w:t>
      </w:r>
      <w:r>
        <w:t xml:space="preserve"> </w:t>
      </w:r>
    </w:p>
    <w:p w14:paraId="54DC6EC6" w14:textId="77777777" w:rsidR="00BB681A" w:rsidRDefault="00BB681A" w:rsidP="00C7501A">
      <w:pPr>
        <w:ind w:left="720" w:hanging="720"/>
      </w:pPr>
      <w:r w:rsidRPr="00845BC4">
        <w:t xml:space="preserve">The King’s Fund (2023). NHS England and tackling inequalities. [online] The King’s Fund. Available at: </w:t>
      </w:r>
      <w:hyperlink r:id="rId20" w:history="1">
        <w:r w:rsidRPr="00EA27CA">
          <w:rPr>
            <w:rStyle w:val="Hyperlink"/>
          </w:rPr>
          <w:t>https://www.kingsfund.org.uk/insight-and-analysis/blogs/nhs-england-tackling-inequalities-times-changing</w:t>
        </w:r>
      </w:hyperlink>
      <w:r>
        <w:t xml:space="preserve"> </w:t>
      </w:r>
      <w:r w:rsidRPr="00845BC4">
        <w:t>[Accessed 15 Jun. 2026].</w:t>
      </w:r>
      <w:r>
        <w:t xml:space="preserve"> </w:t>
      </w:r>
    </w:p>
    <w:p w14:paraId="27928091" w14:textId="77777777" w:rsidR="00BB681A" w:rsidRDefault="00BB681A" w:rsidP="00C7501A">
      <w:pPr>
        <w:ind w:left="720" w:hanging="720"/>
      </w:pPr>
      <w:r w:rsidRPr="00C7501A">
        <w:t xml:space="preserve">UNICEF (2024). SDG Goal 3: Good Health and Well-being. [online] Unicef. Available at: </w:t>
      </w:r>
      <w:hyperlink r:id="rId21" w:history="1">
        <w:r w:rsidRPr="00EA27CA">
          <w:rPr>
            <w:rStyle w:val="Hyperlink"/>
          </w:rPr>
          <w:t>https://data.unicef.org/sdgs/goal-3-good-health-wellbeing/</w:t>
        </w:r>
      </w:hyperlink>
      <w:r>
        <w:t xml:space="preserve"> </w:t>
      </w:r>
      <w:r w:rsidRPr="00C7501A">
        <w:t>[Accessed 15 Jun. 2026].</w:t>
      </w:r>
      <w:r>
        <w:t xml:space="preserve"> </w:t>
      </w:r>
    </w:p>
    <w:p w14:paraId="3A5AFDF6" w14:textId="77777777" w:rsidR="00BB681A" w:rsidRDefault="00BB681A" w:rsidP="00F20AE7">
      <w:pPr>
        <w:ind w:left="720" w:hanging="720"/>
      </w:pPr>
      <w:r>
        <w:t xml:space="preserve">United Nations (2025). The 17 sustainable development goals. [online] United Nations. Available at: </w:t>
      </w:r>
      <w:hyperlink r:id="rId22" w:history="1">
        <w:r w:rsidRPr="00EA27CA">
          <w:rPr>
            <w:rStyle w:val="Hyperlink"/>
          </w:rPr>
          <w:t>https://sdgs.un.org/goals</w:t>
        </w:r>
      </w:hyperlink>
      <w:r>
        <w:t xml:space="preserve"> [Accessed 15 Jun. 2026]. </w:t>
      </w:r>
    </w:p>
    <w:p w14:paraId="4FCDA48D" w14:textId="77777777" w:rsidR="00BB681A" w:rsidRDefault="00BB681A" w:rsidP="00C7501A">
      <w:pPr>
        <w:ind w:left="720" w:hanging="720"/>
      </w:pPr>
      <w:r>
        <w:t xml:space="preserve">WHO (2026). Universal Health Coverage. [online] www.who.int. Available at: </w:t>
      </w:r>
      <w:hyperlink r:id="rId23" w:history="1">
        <w:r w:rsidRPr="00EA27CA">
          <w:rPr>
            <w:rStyle w:val="Hyperlink"/>
          </w:rPr>
          <w:t>https://www.who.int/health-topics/universal-health-coverage</w:t>
        </w:r>
      </w:hyperlink>
      <w:r>
        <w:t xml:space="preserve"> [Accessed 15 Jun. 2026]. </w:t>
      </w:r>
    </w:p>
    <w:p w14:paraId="1F2E9B6D" w14:textId="77777777" w:rsidR="00BB681A" w:rsidRDefault="00BB681A" w:rsidP="00F20AE7">
      <w:pPr>
        <w:ind w:left="720" w:hanging="720"/>
      </w:pPr>
      <w:r w:rsidRPr="00FC1FE2">
        <w:t xml:space="preserve">World Inequality Report (2026). Global Economic Inequality - World Inequality Report 2026. [online] World Inequality Report 2026. Available at: </w:t>
      </w:r>
      <w:hyperlink r:id="rId24" w:history="1">
        <w:r w:rsidRPr="00EA27CA">
          <w:rPr>
            <w:rStyle w:val="Hyperlink"/>
          </w:rPr>
          <w:t>https://wir2026.wid.world/insight/global-economic-inequity/</w:t>
        </w:r>
      </w:hyperlink>
      <w:r>
        <w:t xml:space="preserve"> </w:t>
      </w:r>
      <w:r w:rsidRPr="00FC1FE2">
        <w:t>[Accessed 15 Jun. 2026].</w:t>
      </w:r>
      <w:r>
        <w:t xml:space="preserve"> </w:t>
      </w:r>
    </w:p>
    <w:p w14:paraId="5A948E93" w14:textId="77777777" w:rsidR="00345F72" w:rsidRPr="00695C4B" w:rsidRDefault="00345F72" w:rsidP="00345F72">
      <w:pPr>
        <w:spacing w:line="259" w:lineRule="auto"/>
      </w:pPr>
    </w:p>
    <w:sectPr w:rsidR="00345F72" w:rsidRPr="00695C4B">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8BF29E" w14:textId="77777777" w:rsidR="003C0691" w:rsidRDefault="003C0691" w:rsidP="004A2C54">
      <w:pPr>
        <w:spacing w:after="0" w:line="240" w:lineRule="auto"/>
      </w:pPr>
      <w:r>
        <w:separator/>
      </w:r>
    </w:p>
  </w:endnote>
  <w:endnote w:type="continuationSeparator" w:id="0">
    <w:p w14:paraId="2CE81143" w14:textId="77777777" w:rsidR="003C0691" w:rsidRDefault="003C0691" w:rsidP="004A2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47870322"/>
      <w:docPartObj>
        <w:docPartGallery w:val="Page Numbers (Bottom of Page)"/>
        <w:docPartUnique/>
      </w:docPartObj>
    </w:sdtPr>
    <w:sdtEndPr>
      <w:rPr>
        <w:noProof/>
      </w:rPr>
    </w:sdtEndPr>
    <w:sdtContent>
      <w:p w14:paraId="31DCCEAD" w14:textId="77777777" w:rsidR="001B4C2E" w:rsidRDefault="001B4C2E">
        <w:pPr>
          <w:pStyle w:val="Footer"/>
          <w:jc w:val="right"/>
        </w:pPr>
        <w:r>
          <w:fldChar w:fldCharType="begin"/>
        </w:r>
        <w:r>
          <w:instrText xml:space="preserve"> PAGE   \* MERGEFORMAT </w:instrText>
        </w:r>
        <w:r>
          <w:fldChar w:fldCharType="separate"/>
        </w:r>
        <w:r w:rsidR="00313136">
          <w:rPr>
            <w:noProof/>
          </w:rPr>
          <w:t>1</w:t>
        </w:r>
        <w:r>
          <w:rPr>
            <w:noProof/>
          </w:rPr>
          <w:fldChar w:fldCharType="end"/>
        </w:r>
      </w:p>
    </w:sdtContent>
  </w:sdt>
  <w:p w14:paraId="7EF17FE9" w14:textId="77777777" w:rsidR="001B2CC4" w:rsidRDefault="001B2C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EC9A64" w14:textId="77777777" w:rsidR="003C0691" w:rsidRDefault="003C0691" w:rsidP="004A2C54">
      <w:pPr>
        <w:spacing w:after="0" w:line="240" w:lineRule="auto"/>
      </w:pPr>
      <w:r>
        <w:separator/>
      </w:r>
    </w:p>
  </w:footnote>
  <w:footnote w:type="continuationSeparator" w:id="0">
    <w:p w14:paraId="5A718495" w14:textId="77777777" w:rsidR="003C0691" w:rsidRDefault="003C0691" w:rsidP="004A2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C27234"/>
    <w:multiLevelType w:val="hybridMultilevel"/>
    <w:tmpl w:val="AC2CA308"/>
    <w:lvl w:ilvl="0" w:tplc="540EFE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071304"/>
    <w:multiLevelType w:val="hybridMultilevel"/>
    <w:tmpl w:val="E9480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4627E5"/>
    <w:multiLevelType w:val="hybridMultilevel"/>
    <w:tmpl w:val="13EE0A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E95849"/>
    <w:multiLevelType w:val="multilevel"/>
    <w:tmpl w:val="569A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904C5F"/>
    <w:multiLevelType w:val="hybridMultilevel"/>
    <w:tmpl w:val="18C4754C"/>
    <w:lvl w:ilvl="0" w:tplc="49CEF4B6">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B1AC8336">
      <w:numFmt w:val="bullet"/>
      <w:lvlText w:val="o"/>
      <w:lvlJc w:val="left"/>
      <w:pPr>
        <w:ind w:left="1447" w:hanging="360"/>
      </w:pPr>
      <w:rPr>
        <w:rFonts w:ascii="Courier New" w:eastAsia="Courier New" w:hAnsi="Courier New" w:cs="Courier New" w:hint="default"/>
        <w:b w:val="0"/>
        <w:bCs w:val="0"/>
        <w:i w:val="0"/>
        <w:iCs w:val="0"/>
        <w:spacing w:val="0"/>
        <w:w w:val="100"/>
        <w:sz w:val="22"/>
        <w:szCs w:val="22"/>
        <w:lang w:val="en-US" w:eastAsia="en-US" w:bidi="ar-SA"/>
      </w:rPr>
    </w:lvl>
    <w:lvl w:ilvl="2" w:tplc="39EEA916">
      <w:numFmt w:val="bullet"/>
      <w:lvlText w:val="•"/>
      <w:lvlJc w:val="left"/>
      <w:pPr>
        <w:ind w:left="2994" w:hanging="360"/>
      </w:pPr>
      <w:rPr>
        <w:rFonts w:hint="default"/>
        <w:lang w:val="en-US" w:eastAsia="en-US" w:bidi="ar-SA"/>
      </w:rPr>
    </w:lvl>
    <w:lvl w:ilvl="3" w:tplc="29A89CC2">
      <w:numFmt w:val="bullet"/>
      <w:lvlText w:val="•"/>
      <w:lvlJc w:val="left"/>
      <w:pPr>
        <w:ind w:left="4549" w:hanging="360"/>
      </w:pPr>
      <w:rPr>
        <w:rFonts w:hint="default"/>
        <w:lang w:val="en-US" w:eastAsia="en-US" w:bidi="ar-SA"/>
      </w:rPr>
    </w:lvl>
    <w:lvl w:ilvl="4" w:tplc="49467040">
      <w:numFmt w:val="bullet"/>
      <w:lvlText w:val="•"/>
      <w:lvlJc w:val="left"/>
      <w:pPr>
        <w:ind w:left="6103" w:hanging="360"/>
      </w:pPr>
      <w:rPr>
        <w:rFonts w:hint="default"/>
        <w:lang w:val="en-US" w:eastAsia="en-US" w:bidi="ar-SA"/>
      </w:rPr>
    </w:lvl>
    <w:lvl w:ilvl="5" w:tplc="A1581CF4">
      <w:numFmt w:val="bullet"/>
      <w:lvlText w:val="•"/>
      <w:lvlJc w:val="left"/>
      <w:pPr>
        <w:ind w:left="7658" w:hanging="360"/>
      </w:pPr>
      <w:rPr>
        <w:rFonts w:hint="default"/>
        <w:lang w:val="en-US" w:eastAsia="en-US" w:bidi="ar-SA"/>
      </w:rPr>
    </w:lvl>
    <w:lvl w:ilvl="6" w:tplc="41663E3A">
      <w:numFmt w:val="bullet"/>
      <w:lvlText w:val="•"/>
      <w:lvlJc w:val="left"/>
      <w:pPr>
        <w:ind w:left="9212" w:hanging="360"/>
      </w:pPr>
      <w:rPr>
        <w:rFonts w:hint="default"/>
        <w:lang w:val="en-US" w:eastAsia="en-US" w:bidi="ar-SA"/>
      </w:rPr>
    </w:lvl>
    <w:lvl w:ilvl="7" w:tplc="9F142C1E">
      <w:numFmt w:val="bullet"/>
      <w:lvlText w:val="•"/>
      <w:lvlJc w:val="left"/>
      <w:pPr>
        <w:ind w:left="10767" w:hanging="360"/>
      </w:pPr>
      <w:rPr>
        <w:rFonts w:hint="default"/>
        <w:lang w:val="en-US" w:eastAsia="en-US" w:bidi="ar-SA"/>
      </w:rPr>
    </w:lvl>
    <w:lvl w:ilvl="8" w:tplc="E40E940E">
      <w:numFmt w:val="bullet"/>
      <w:lvlText w:val="•"/>
      <w:lvlJc w:val="left"/>
      <w:pPr>
        <w:ind w:left="12321" w:hanging="360"/>
      </w:pPr>
      <w:rPr>
        <w:rFonts w:hint="default"/>
        <w:lang w:val="en-US" w:eastAsia="en-US" w:bidi="ar-SA"/>
      </w:rPr>
    </w:lvl>
  </w:abstractNum>
  <w:abstractNum w:abstractNumId="5" w15:restartNumberingAfterBreak="0">
    <w:nsid w:val="6EA75EBF"/>
    <w:multiLevelType w:val="hybridMultilevel"/>
    <w:tmpl w:val="1666B046"/>
    <w:lvl w:ilvl="0" w:tplc="02D4C122">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EA267486">
      <w:numFmt w:val="bullet"/>
      <w:lvlText w:val="•"/>
      <w:lvlJc w:val="left"/>
      <w:pPr>
        <w:ind w:left="2191" w:hanging="361"/>
      </w:pPr>
      <w:rPr>
        <w:rFonts w:hint="default"/>
        <w:lang w:val="en-US" w:eastAsia="en-US" w:bidi="ar-SA"/>
      </w:rPr>
    </w:lvl>
    <w:lvl w:ilvl="2" w:tplc="ADF05B40">
      <w:numFmt w:val="bullet"/>
      <w:lvlText w:val="•"/>
      <w:lvlJc w:val="left"/>
      <w:pPr>
        <w:ind w:left="3662" w:hanging="361"/>
      </w:pPr>
      <w:rPr>
        <w:rFonts w:hint="default"/>
        <w:lang w:val="en-US" w:eastAsia="en-US" w:bidi="ar-SA"/>
      </w:rPr>
    </w:lvl>
    <w:lvl w:ilvl="3" w:tplc="03205F0A">
      <w:numFmt w:val="bullet"/>
      <w:lvlText w:val="•"/>
      <w:lvlJc w:val="left"/>
      <w:pPr>
        <w:ind w:left="5133" w:hanging="361"/>
      </w:pPr>
      <w:rPr>
        <w:rFonts w:hint="default"/>
        <w:lang w:val="en-US" w:eastAsia="en-US" w:bidi="ar-SA"/>
      </w:rPr>
    </w:lvl>
    <w:lvl w:ilvl="4" w:tplc="58AC4604">
      <w:numFmt w:val="bullet"/>
      <w:lvlText w:val="•"/>
      <w:lvlJc w:val="left"/>
      <w:pPr>
        <w:ind w:left="6604" w:hanging="361"/>
      </w:pPr>
      <w:rPr>
        <w:rFonts w:hint="default"/>
        <w:lang w:val="en-US" w:eastAsia="en-US" w:bidi="ar-SA"/>
      </w:rPr>
    </w:lvl>
    <w:lvl w:ilvl="5" w:tplc="9A2859E0">
      <w:numFmt w:val="bullet"/>
      <w:lvlText w:val="•"/>
      <w:lvlJc w:val="left"/>
      <w:pPr>
        <w:ind w:left="8075" w:hanging="361"/>
      </w:pPr>
      <w:rPr>
        <w:rFonts w:hint="default"/>
        <w:lang w:val="en-US" w:eastAsia="en-US" w:bidi="ar-SA"/>
      </w:rPr>
    </w:lvl>
    <w:lvl w:ilvl="6" w:tplc="80361AB0">
      <w:numFmt w:val="bullet"/>
      <w:lvlText w:val="•"/>
      <w:lvlJc w:val="left"/>
      <w:pPr>
        <w:ind w:left="9546" w:hanging="361"/>
      </w:pPr>
      <w:rPr>
        <w:rFonts w:hint="default"/>
        <w:lang w:val="en-US" w:eastAsia="en-US" w:bidi="ar-SA"/>
      </w:rPr>
    </w:lvl>
    <w:lvl w:ilvl="7" w:tplc="3DC069CC">
      <w:numFmt w:val="bullet"/>
      <w:lvlText w:val="•"/>
      <w:lvlJc w:val="left"/>
      <w:pPr>
        <w:ind w:left="11017" w:hanging="361"/>
      </w:pPr>
      <w:rPr>
        <w:rFonts w:hint="default"/>
        <w:lang w:val="en-US" w:eastAsia="en-US" w:bidi="ar-SA"/>
      </w:rPr>
    </w:lvl>
    <w:lvl w:ilvl="8" w:tplc="113212B8">
      <w:numFmt w:val="bullet"/>
      <w:lvlText w:val="•"/>
      <w:lvlJc w:val="left"/>
      <w:pPr>
        <w:ind w:left="12488" w:hanging="361"/>
      </w:pPr>
      <w:rPr>
        <w:rFonts w:hint="default"/>
        <w:lang w:val="en-US" w:eastAsia="en-US" w:bidi="ar-SA"/>
      </w:rPr>
    </w:lvl>
  </w:abstractNum>
  <w:num w:numId="1" w16cid:durableId="836268968">
    <w:abstractNumId w:val="5"/>
  </w:num>
  <w:num w:numId="2" w16cid:durableId="1648314812">
    <w:abstractNumId w:val="4"/>
  </w:num>
  <w:num w:numId="3" w16cid:durableId="907155104">
    <w:abstractNumId w:val="1"/>
  </w:num>
  <w:num w:numId="4" w16cid:durableId="922106134">
    <w:abstractNumId w:val="3"/>
  </w:num>
  <w:num w:numId="5" w16cid:durableId="1069768277">
    <w:abstractNumId w:val="0"/>
  </w:num>
  <w:num w:numId="6" w16cid:durableId="113849155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7CB"/>
    <w:rsid w:val="00003BBF"/>
    <w:rsid w:val="00020F77"/>
    <w:rsid w:val="0002266D"/>
    <w:rsid w:val="00025D4A"/>
    <w:rsid w:val="000270E4"/>
    <w:rsid w:val="0003451F"/>
    <w:rsid w:val="00070329"/>
    <w:rsid w:val="00074531"/>
    <w:rsid w:val="000748DC"/>
    <w:rsid w:val="00084BBB"/>
    <w:rsid w:val="000922E4"/>
    <w:rsid w:val="000932E2"/>
    <w:rsid w:val="000A0F28"/>
    <w:rsid w:val="000A25A0"/>
    <w:rsid w:val="000A5035"/>
    <w:rsid w:val="000A7127"/>
    <w:rsid w:val="000A777C"/>
    <w:rsid w:val="000A7927"/>
    <w:rsid w:val="000B604D"/>
    <w:rsid w:val="000C06F5"/>
    <w:rsid w:val="000D0A72"/>
    <w:rsid w:val="000D6AE7"/>
    <w:rsid w:val="000D738F"/>
    <w:rsid w:val="000F3617"/>
    <w:rsid w:val="00100461"/>
    <w:rsid w:val="001053AF"/>
    <w:rsid w:val="00114EA3"/>
    <w:rsid w:val="0011534B"/>
    <w:rsid w:val="00117EDF"/>
    <w:rsid w:val="00125661"/>
    <w:rsid w:val="00125C12"/>
    <w:rsid w:val="00130E9F"/>
    <w:rsid w:val="001317F8"/>
    <w:rsid w:val="001456F2"/>
    <w:rsid w:val="00160843"/>
    <w:rsid w:val="001634AD"/>
    <w:rsid w:val="001636E9"/>
    <w:rsid w:val="00177C1D"/>
    <w:rsid w:val="001834C7"/>
    <w:rsid w:val="0019717F"/>
    <w:rsid w:val="001A17E4"/>
    <w:rsid w:val="001A1F9B"/>
    <w:rsid w:val="001B2CC4"/>
    <w:rsid w:val="001B4C2E"/>
    <w:rsid w:val="001C0F41"/>
    <w:rsid w:val="001D0469"/>
    <w:rsid w:val="001D09C5"/>
    <w:rsid w:val="001D2071"/>
    <w:rsid w:val="001D25DC"/>
    <w:rsid w:val="001D5479"/>
    <w:rsid w:val="001D7DA5"/>
    <w:rsid w:val="001E037B"/>
    <w:rsid w:val="001E1F1A"/>
    <w:rsid w:val="001F3905"/>
    <w:rsid w:val="00206EA8"/>
    <w:rsid w:val="00213E8A"/>
    <w:rsid w:val="00215337"/>
    <w:rsid w:val="002202C1"/>
    <w:rsid w:val="00222044"/>
    <w:rsid w:val="00226700"/>
    <w:rsid w:val="00227183"/>
    <w:rsid w:val="00230189"/>
    <w:rsid w:val="002327BD"/>
    <w:rsid w:val="002351AD"/>
    <w:rsid w:val="00236A9C"/>
    <w:rsid w:val="0025129E"/>
    <w:rsid w:val="002557EE"/>
    <w:rsid w:val="002620EF"/>
    <w:rsid w:val="00263DEC"/>
    <w:rsid w:val="00277720"/>
    <w:rsid w:val="0029194F"/>
    <w:rsid w:val="0029485F"/>
    <w:rsid w:val="002A470A"/>
    <w:rsid w:val="002A7BBD"/>
    <w:rsid w:val="002B1441"/>
    <w:rsid w:val="002C0282"/>
    <w:rsid w:val="002C0EDE"/>
    <w:rsid w:val="002C3B8C"/>
    <w:rsid w:val="002D2938"/>
    <w:rsid w:val="002D3DA0"/>
    <w:rsid w:val="002D5F86"/>
    <w:rsid w:val="002D6923"/>
    <w:rsid w:val="002D6CDD"/>
    <w:rsid w:val="002E18D7"/>
    <w:rsid w:val="002E600F"/>
    <w:rsid w:val="002F027F"/>
    <w:rsid w:val="002F4EBD"/>
    <w:rsid w:val="00313136"/>
    <w:rsid w:val="00315559"/>
    <w:rsid w:val="00322BED"/>
    <w:rsid w:val="00326ECB"/>
    <w:rsid w:val="00330A82"/>
    <w:rsid w:val="003357A3"/>
    <w:rsid w:val="00345F72"/>
    <w:rsid w:val="00346FB6"/>
    <w:rsid w:val="00366CAA"/>
    <w:rsid w:val="00375171"/>
    <w:rsid w:val="00381C88"/>
    <w:rsid w:val="00387AD6"/>
    <w:rsid w:val="003950A2"/>
    <w:rsid w:val="003A0876"/>
    <w:rsid w:val="003A0F0F"/>
    <w:rsid w:val="003A135F"/>
    <w:rsid w:val="003A16B8"/>
    <w:rsid w:val="003B193A"/>
    <w:rsid w:val="003B5EA7"/>
    <w:rsid w:val="003C0691"/>
    <w:rsid w:val="003C0F13"/>
    <w:rsid w:val="003C1201"/>
    <w:rsid w:val="003C3B3B"/>
    <w:rsid w:val="003D22B1"/>
    <w:rsid w:val="003D64FF"/>
    <w:rsid w:val="003E337F"/>
    <w:rsid w:val="003E4D4C"/>
    <w:rsid w:val="003E5024"/>
    <w:rsid w:val="0040655B"/>
    <w:rsid w:val="004067CB"/>
    <w:rsid w:val="00420ADD"/>
    <w:rsid w:val="00422327"/>
    <w:rsid w:val="00426986"/>
    <w:rsid w:val="004324AA"/>
    <w:rsid w:val="004408FD"/>
    <w:rsid w:val="0045032B"/>
    <w:rsid w:val="00451382"/>
    <w:rsid w:val="004536E0"/>
    <w:rsid w:val="00453767"/>
    <w:rsid w:val="00454279"/>
    <w:rsid w:val="00462354"/>
    <w:rsid w:val="004740BA"/>
    <w:rsid w:val="00481106"/>
    <w:rsid w:val="0048415B"/>
    <w:rsid w:val="0049053E"/>
    <w:rsid w:val="00494DD1"/>
    <w:rsid w:val="00497B13"/>
    <w:rsid w:val="004A1D34"/>
    <w:rsid w:val="004A2C54"/>
    <w:rsid w:val="004A50BB"/>
    <w:rsid w:val="004B044D"/>
    <w:rsid w:val="004B0A6E"/>
    <w:rsid w:val="004B227E"/>
    <w:rsid w:val="004B6633"/>
    <w:rsid w:val="004C3ED3"/>
    <w:rsid w:val="004C62EB"/>
    <w:rsid w:val="004D3E9B"/>
    <w:rsid w:val="004E4373"/>
    <w:rsid w:val="004F6BE5"/>
    <w:rsid w:val="004F79FA"/>
    <w:rsid w:val="00501B64"/>
    <w:rsid w:val="00506E27"/>
    <w:rsid w:val="00511DED"/>
    <w:rsid w:val="00512505"/>
    <w:rsid w:val="00524310"/>
    <w:rsid w:val="00534EE8"/>
    <w:rsid w:val="00536B7C"/>
    <w:rsid w:val="00544D6C"/>
    <w:rsid w:val="00551E37"/>
    <w:rsid w:val="00560EBD"/>
    <w:rsid w:val="005654EC"/>
    <w:rsid w:val="00566AB3"/>
    <w:rsid w:val="00575723"/>
    <w:rsid w:val="00580DCB"/>
    <w:rsid w:val="0059065E"/>
    <w:rsid w:val="00591771"/>
    <w:rsid w:val="00597272"/>
    <w:rsid w:val="005A4572"/>
    <w:rsid w:val="005A60A9"/>
    <w:rsid w:val="005E0052"/>
    <w:rsid w:val="005E4830"/>
    <w:rsid w:val="005E4E45"/>
    <w:rsid w:val="005F48A8"/>
    <w:rsid w:val="006075AB"/>
    <w:rsid w:val="00621374"/>
    <w:rsid w:val="00623A2A"/>
    <w:rsid w:val="00626DE6"/>
    <w:rsid w:val="006355BF"/>
    <w:rsid w:val="006477A0"/>
    <w:rsid w:val="00661BA3"/>
    <w:rsid w:val="006705D1"/>
    <w:rsid w:val="006746BC"/>
    <w:rsid w:val="0067669D"/>
    <w:rsid w:val="00685592"/>
    <w:rsid w:val="00695C4B"/>
    <w:rsid w:val="006C0B23"/>
    <w:rsid w:val="006C1B4E"/>
    <w:rsid w:val="006C2305"/>
    <w:rsid w:val="006C4BEA"/>
    <w:rsid w:val="006C6BD7"/>
    <w:rsid w:val="006D0CC1"/>
    <w:rsid w:val="006D43F7"/>
    <w:rsid w:val="006D4CCB"/>
    <w:rsid w:val="006E4BB4"/>
    <w:rsid w:val="006E5388"/>
    <w:rsid w:val="006E69DA"/>
    <w:rsid w:val="00705A0A"/>
    <w:rsid w:val="00714C40"/>
    <w:rsid w:val="0071504F"/>
    <w:rsid w:val="00734D2E"/>
    <w:rsid w:val="00734E1E"/>
    <w:rsid w:val="00741EA6"/>
    <w:rsid w:val="00744384"/>
    <w:rsid w:val="007454CF"/>
    <w:rsid w:val="00757DBC"/>
    <w:rsid w:val="00764ED4"/>
    <w:rsid w:val="00787C94"/>
    <w:rsid w:val="0079153F"/>
    <w:rsid w:val="007A7422"/>
    <w:rsid w:val="007A748B"/>
    <w:rsid w:val="007B0271"/>
    <w:rsid w:val="007D1EDF"/>
    <w:rsid w:val="007D3856"/>
    <w:rsid w:val="007E2A51"/>
    <w:rsid w:val="0080474E"/>
    <w:rsid w:val="00805496"/>
    <w:rsid w:val="00807320"/>
    <w:rsid w:val="0080751B"/>
    <w:rsid w:val="00821D14"/>
    <w:rsid w:val="0084074D"/>
    <w:rsid w:val="00842CDA"/>
    <w:rsid w:val="00845BC4"/>
    <w:rsid w:val="00855948"/>
    <w:rsid w:val="0086364B"/>
    <w:rsid w:val="00870FC9"/>
    <w:rsid w:val="008820F3"/>
    <w:rsid w:val="008D6D24"/>
    <w:rsid w:val="008E23B2"/>
    <w:rsid w:val="008F0C55"/>
    <w:rsid w:val="009056EA"/>
    <w:rsid w:val="00905713"/>
    <w:rsid w:val="0090648C"/>
    <w:rsid w:val="009079B1"/>
    <w:rsid w:val="00910226"/>
    <w:rsid w:val="00911FEA"/>
    <w:rsid w:val="00922269"/>
    <w:rsid w:val="00930870"/>
    <w:rsid w:val="009324B1"/>
    <w:rsid w:val="009375C9"/>
    <w:rsid w:val="00937D78"/>
    <w:rsid w:val="00940F1C"/>
    <w:rsid w:val="009428AB"/>
    <w:rsid w:val="009442D0"/>
    <w:rsid w:val="00946260"/>
    <w:rsid w:val="009514AC"/>
    <w:rsid w:val="00953628"/>
    <w:rsid w:val="00963C85"/>
    <w:rsid w:val="00972769"/>
    <w:rsid w:val="0097328A"/>
    <w:rsid w:val="00973B34"/>
    <w:rsid w:val="00973F25"/>
    <w:rsid w:val="00976BCE"/>
    <w:rsid w:val="00981967"/>
    <w:rsid w:val="009846B0"/>
    <w:rsid w:val="00990352"/>
    <w:rsid w:val="009903F4"/>
    <w:rsid w:val="00990E28"/>
    <w:rsid w:val="00992181"/>
    <w:rsid w:val="009979FB"/>
    <w:rsid w:val="009A6BDF"/>
    <w:rsid w:val="009C35B4"/>
    <w:rsid w:val="009C5CA6"/>
    <w:rsid w:val="009C710C"/>
    <w:rsid w:val="009D170C"/>
    <w:rsid w:val="009D3103"/>
    <w:rsid w:val="009D6B6B"/>
    <w:rsid w:val="009E5061"/>
    <w:rsid w:val="009E552B"/>
    <w:rsid w:val="009E75A9"/>
    <w:rsid w:val="00A10EC1"/>
    <w:rsid w:val="00A12140"/>
    <w:rsid w:val="00A14CD3"/>
    <w:rsid w:val="00A16EF3"/>
    <w:rsid w:val="00A3399C"/>
    <w:rsid w:val="00A33AA2"/>
    <w:rsid w:val="00A34420"/>
    <w:rsid w:val="00A42408"/>
    <w:rsid w:val="00A54A80"/>
    <w:rsid w:val="00A63660"/>
    <w:rsid w:val="00A64AFC"/>
    <w:rsid w:val="00A71778"/>
    <w:rsid w:val="00A73EC9"/>
    <w:rsid w:val="00A821AD"/>
    <w:rsid w:val="00A836B4"/>
    <w:rsid w:val="00A84BB7"/>
    <w:rsid w:val="00A86106"/>
    <w:rsid w:val="00A92403"/>
    <w:rsid w:val="00A941B0"/>
    <w:rsid w:val="00A94273"/>
    <w:rsid w:val="00AB0F77"/>
    <w:rsid w:val="00AB22D0"/>
    <w:rsid w:val="00AC5087"/>
    <w:rsid w:val="00AD2249"/>
    <w:rsid w:val="00AF3533"/>
    <w:rsid w:val="00B00E45"/>
    <w:rsid w:val="00B024F8"/>
    <w:rsid w:val="00B10105"/>
    <w:rsid w:val="00B13668"/>
    <w:rsid w:val="00B142DE"/>
    <w:rsid w:val="00B222D2"/>
    <w:rsid w:val="00B2293D"/>
    <w:rsid w:val="00B26A1F"/>
    <w:rsid w:val="00B301B6"/>
    <w:rsid w:val="00B3051B"/>
    <w:rsid w:val="00B31652"/>
    <w:rsid w:val="00B33B8E"/>
    <w:rsid w:val="00B3731E"/>
    <w:rsid w:val="00B42C9E"/>
    <w:rsid w:val="00B467F0"/>
    <w:rsid w:val="00B46E56"/>
    <w:rsid w:val="00B4755B"/>
    <w:rsid w:val="00B53713"/>
    <w:rsid w:val="00B61A47"/>
    <w:rsid w:val="00B83935"/>
    <w:rsid w:val="00B849BA"/>
    <w:rsid w:val="00B92AD0"/>
    <w:rsid w:val="00B930E5"/>
    <w:rsid w:val="00B96B21"/>
    <w:rsid w:val="00BB0405"/>
    <w:rsid w:val="00BB681A"/>
    <w:rsid w:val="00BD111E"/>
    <w:rsid w:val="00BD228C"/>
    <w:rsid w:val="00BD4415"/>
    <w:rsid w:val="00BD4583"/>
    <w:rsid w:val="00BD5A8F"/>
    <w:rsid w:val="00BD5C4A"/>
    <w:rsid w:val="00BE1A94"/>
    <w:rsid w:val="00BE75B9"/>
    <w:rsid w:val="00BF17AF"/>
    <w:rsid w:val="00BF3442"/>
    <w:rsid w:val="00C01032"/>
    <w:rsid w:val="00C01F72"/>
    <w:rsid w:val="00C07F53"/>
    <w:rsid w:val="00C1148D"/>
    <w:rsid w:val="00C24E96"/>
    <w:rsid w:val="00C33F14"/>
    <w:rsid w:val="00C40A9C"/>
    <w:rsid w:val="00C40FE3"/>
    <w:rsid w:val="00C448FB"/>
    <w:rsid w:val="00C45CFD"/>
    <w:rsid w:val="00C65B40"/>
    <w:rsid w:val="00C7501A"/>
    <w:rsid w:val="00C76977"/>
    <w:rsid w:val="00C769BE"/>
    <w:rsid w:val="00C923B9"/>
    <w:rsid w:val="00C92423"/>
    <w:rsid w:val="00C92782"/>
    <w:rsid w:val="00C937BB"/>
    <w:rsid w:val="00CA1153"/>
    <w:rsid w:val="00CA130C"/>
    <w:rsid w:val="00CA1D1D"/>
    <w:rsid w:val="00CA42F1"/>
    <w:rsid w:val="00CA4B8D"/>
    <w:rsid w:val="00CA7327"/>
    <w:rsid w:val="00CB5388"/>
    <w:rsid w:val="00CC6B98"/>
    <w:rsid w:val="00CD0ADD"/>
    <w:rsid w:val="00CD0F3A"/>
    <w:rsid w:val="00CD334D"/>
    <w:rsid w:val="00CD662B"/>
    <w:rsid w:val="00CD6894"/>
    <w:rsid w:val="00CE463A"/>
    <w:rsid w:val="00CE4C4B"/>
    <w:rsid w:val="00CE6B39"/>
    <w:rsid w:val="00CF0272"/>
    <w:rsid w:val="00CF3E67"/>
    <w:rsid w:val="00CF5C79"/>
    <w:rsid w:val="00CF6DDF"/>
    <w:rsid w:val="00CF7866"/>
    <w:rsid w:val="00D00C82"/>
    <w:rsid w:val="00D01174"/>
    <w:rsid w:val="00D07F20"/>
    <w:rsid w:val="00D328BA"/>
    <w:rsid w:val="00D55714"/>
    <w:rsid w:val="00D56FCB"/>
    <w:rsid w:val="00D610CE"/>
    <w:rsid w:val="00D61D14"/>
    <w:rsid w:val="00D62230"/>
    <w:rsid w:val="00D91689"/>
    <w:rsid w:val="00D9707B"/>
    <w:rsid w:val="00DA0C44"/>
    <w:rsid w:val="00DA2271"/>
    <w:rsid w:val="00DA2EE1"/>
    <w:rsid w:val="00DB48D0"/>
    <w:rsid w:val="00DB6655"/>
    <w:rsid w:val="00DD2C2F"/>
    <w:rsid w:val="00DD48ED"/>
    <w:rsid w:val="00DD6E1E"/>
    <w:rsid w:val="00DE5D22"/>
    <w:rsid w:val="00DF1906"/>
    <w:rsid w:val="00DF3559"/>
    <w:rsid w:val="00DF3CB7"/>
    <w:rsid w:val="00E054C8"/>
    <w:rsid w:val="00E115C1"/>
    <w:rsid w:val="00E12582"/>
    <w:rsid w:val="00E258F9"/>
    <w:rsid w:val="00E25AFA"/>
    <w:rsid w:val="00E2725F"/>
    <w:rsid w:val="00E275B3"/>
    <w:rsid w:val="00E34A96"/>
    <w:rsid w:val="00E50AE9"/>
    <w:rsid w:val="00E55366"/>
    <w:rsid w:val="00E573DD"/>
    <w:rsid w:val="00E6516A"/>
    <w:rsid w:val="00E670CB"/>
    <w:rsid w:val="00E70FE5"/>
    <w:rsid w:val="00E84A56"/>
    <w:rsid w:val="00EA35A4"/>
    <w:rsid w:val="00EA48F4"/>
    <w:rsid w:val="00EA7961"/>
    <w:rsid w:val="00EB1FAE"/>
    <w:rsid w:val="00EB366A"/>
    <w:rsid w:val="00ED4C27"/>
    <w:rsid w:val="00ED5D80"/>
    <w:rsid w:val="00ED61F0"/>
    <w:rsid w:val="00EE6B66"/>
    <w:rsid w:val="00EF5EA5"/>
    <w:rsid w:val="00F00FB7"/>
    <w:rsid w:val="00F02F2F"/>
    <w:rsid w:val="00F10B7F"/>
    <w:rsid w:val="00F13957"/>
    <w:rsid w:val="00F20AE7"/>
    <w:rsid w:val="00F22690"/>
    <w:rsid w:val="00F26DD5"/>
    <w:rsid w:val="00F34374"/>
    <w:rsid w:val="00F35892"/>
    <w:rsid w:val="00F42A39"/>
    <w:rsid w:val="00F43D2A"/>
    <w:rsid w:val="00F4423D"/>
    <w:rsid w:val="00F53977"/>
    <w:rsid w:val="00F56F72"/>
    <w:rsid w:val="00F64322"/>
    <w:rsid w:val="00F67897"/>
    <w:rsid w:val="00F77B76"/>
    <w:rsid w:val="00F938E1"/>
    <w:rsid w:val="00F96858"/>
    <w:rsid w:val="00F97D50"/>
    <w:rsid w:val="00FA3BA2"/>
    <w:rsid w:val="00FB41D9"/>
    <w:rsid w:val="00FB43CB"/>
    <w:rsid w:val="00FB6937"/>
    <w:rsid w:val="00FC1FE2"/>
    <w:rsid w:val="00FD1D27"/>
    <w:rsid w:val="00FE05FB"/>
    <w:rsid w:val="00FE1C6C"/>
    <w:rsid w:val="00FE2E88"/>
    <w:rsid w:val="00FE4B2C"/>
    <w:rsid w:val="00FF06AF"/>
    <w:rsid w:val="00FF34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D079"/>
  <w15:chartTrackingRefBased/>
  <w15:docId w15:val="{885D0CCC-A9D5-4FF8-8A85-760BD452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7EE"/>
    <w:pPr>
      <w:spacing w:line="360" w:lineRule="auto"/>
    </w:pPr>
    <w:rPr>
      <w:rFonts w:ascii="Arial" w:hAnsi="Arial"/>
      <w:sz w:val="24"/>
      <w:lang w:val="en-GB"/>
    </w:rPr>
  </w:style>
  <w:style w:type="paragraph" w:styleId="Heading1">
    <w:name w:val="heading 1"/>
    <w:basedOn w:val="Normal"/>
    <w:next w:val="Normal"/>
    <w:link w:val="Heading1Char"/>
    <w:uiPriority w:val="9"/>
    <w:qFormat/>
    <w:rsid w:val="009E75A9"/>
    <w:pPr>
      <w:keepNext/>
      <w:keepLines/>
      <w:spacing w:before="360" w:after="1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EA35A4"/>
    <w:pPr>
      <w:keepNext/>
      <w:keepLines/>
      <w:spacing w:before="160" w:after="120"/>
      <w:outlineLvl w:val="1"/>
    </w:pPr>
    <w:rPr>
      <w:rFonts w:eastAsiaTheme="majorEastAsia" w:cstheme="majorBidi"/>
      <w:i/>
      <w:szCs w:val="26"/>
      <w:u w:val="thick"/>
    </w:rPr>
  </w:style>
  <w:style w:type="paragraph" w:styleId="Heading3">
    <w:name w:val="heading 3"/>
    <w:basedOn w:val="Normal"/>
    <w:next w:val="Normal"/>
    <w:link w:val="Heading3Char"/>
    <w:uiPriority w:val="9"/>
    <w:unhideWhenUsed/>
    <w:qFormat/>
    <w:rsid w:val="009442D0"/>
    <w:pPr>
      <w:keepNext/>
      <w:keepLines/>
      <w:spacing w:before="40" w:after="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57EE"/>
    <w:pPr>
      <w:spacing w:after="0" w:line="360" w:lineRule="auto"/>
    </w:pPr>
    <w:rPr>
      <w:rFonts w:ascii="Arial" w:hAnsi="Arial"/>
      <w:sz w:val="24"/>
      <w:lang w:val="en-GB"/>
    </w:rPr>
  </w:style>
  <w:style w:type="character" w:customStyle="1" w:styleId="Heading1Char">
    <w:name w:val="Heading 1 Char"/>
    <w:basedOn w:val="DefaultParagraphFont"/>
    <w:link w:val="Heading1"/>
    <w:uiPriority w:val="9"/>
    <w:rsid w:val="009E75A9"/>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EA35A4"/>
    <w:rPr>
      <w:rFonts w:ascii="Arial" w:eastAsiaTheme="majorEastAsia" w:hAnsi="Arial" w:cstheme="majorBidi"/>
      <w:i/>
      <w:sz w:val="24"/>
      <w:szCs w:val="26"/>
      <w:u w:val="thick"/>
      <w:lang w:val="en-GB"/>
    </w:rPr>
  </w:style>
  <w:style w:type="character" w:customStyle="1" w:styleId="Heading3Char">
    <w:name w:val="Heading 3 Char"/>
    <w:basedOn w:val="DefaultParagraphFont"/>
    <w:link w:val="Heading3"/>
    <w:uiPriority w:val="9"/>
    <w:rsid w:val="009442D0"/>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4A2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C54"/>
    <w:rPr>
      <w:rFonts w:ascii="Times New Roman" w:hAnsi="Times New Roman"/>
      <w:sz w:val="24"/>
    </w:rPr>
  </w:style>
  <w:style w:type="paragraph" w:styleId="Footer">
    <w:name w:val="footer"/>
    <w:basedOn w:val="Normal"/>
    <w:link w:val="FooterChar"/>
    <w:uiPriority w:val="99"/>
    <w:unhideWhenUsed/>
    <w:rsid w:val="004A2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C54"/>
    <w:rPr>
      <w:rFonts w:ascii="Times New Roman" w:hAnsi="Times New Roman"/>
      <w:sz w:val="24"/>
    </w:rPr>
  </w:style>
  <w:style w:type="character" w:styleId="Hyperlink">
    <w:name w:val="Hyperlink"/>
    <w:basedOn w:val="DefaultParagraphFont"/>
    <w:uiPriority w:val="99"/>
    <w:unhideWhenUsed/>
    <w:rsid w:val="003D22B1"/>
    <w:rPr>
      <w:color w:val="0563C1" w:themeColor="hyperlink"/>
      <w:u w:val="single"/>
    </w:rPr>
  </w:style>
  <w:style w:type="paragraph" w:styleId="BodyText">
    <w:name w:val="Body Text"/>
    <w:basedOn w:val="Normal"/>
    <w:link w:val="BodyTextChar"/>
    <w:uiPriority w:val="99"/>
    <w:semiHidden/>
    <w:unhideWhenUsed/>
    <w:rsid w:val="009A6BDF"/>
    <w:pPr>
      <w:spacing w:after="120"/>
    </w:pPr>
  </w:style>
  <w:style w:type="character" w:customStyle="1" w:styleId="BodyTextChar">
    <w:name w:val="Body Text Char"/>
    <w:basedOn w:val="DefaultParagraphFont"/>
    <w:link w:val="BodyText"/>
    <w:uiPriority w:val="99"/>
    <w:semiHidden/>
    <w:rsid w:val="009A6BDF"/>
    <w:rPr>
      <w:rFonts w:ascii="Times New Roman" w:hAnsi="Times New Roman"/>
      <w:sz w:val="24"/>
    </w:rPr>
  </w:style>
  <w:style w:type="paragraph" w:styleId="ListParagraph">
    <w:name w:val="List Paragraph"/>
    <w:basedOn w:val="Normal"/>
    <w:uiPriority w:val="34"/>
    <w:qFormat/>
    <w:rsid w:val="009A6BDF"/>
    <w:pPr>
      <w:ind w:left="720"/>
      <w:contextualSpacing/>
    </w:pPr>
  </w:style>
  <w:style w:type="table" w:styleId="TableGrid">
    <w:name w:val="Table Grid"/>
    <w:basedOn w:val="TableNormal"/>
    <w:uiPriority w:val="39"/>
    <w:rsid w:val="00426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269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1634AD"/>
    <w:pPr>
      <w:spacing w:after="200" w:line="240" w:lineRule="auto"/>
    </w:pPr>
    <w:rPr>
      <w:i/>
      <w:iCs/>
      <w:color w:val="44546A" w:themeColor="text2"/>
      <w:sz w:val="18"/>
      <w:szCs w:val="18"/>
    </w:rPr>
  </w:style>
  <w:style w:type="character" w:styleId="Strong">
    <w:name w:val="Strong"/>
    <w:basedOn w:val="DefaultParagraphFont"/>
    <w:uiPriority w:val="22"/>
    <w:qFormat/>
    <w:rsid w:val="008E23B2"/>
    <w:rPr>
      <w:b/>
      <w:bCs/>
    </w:rPr>
  </w:style>
  <w:style w:type="table" w:styleId="GridTable4-Accent5">
    <w:name w:val="Grid Table 4 Accent 5"/>
    <w:basedOn w:val="TableNormal"/>
    <w:uiPriority w:val="49"/>
    <w:rsid w:val="00F02F2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D01174"/>
    <w:rPr>
      <w:color w:val="605E5C"/>
      <w:shd w:val="clear" w:color="auto" w:fill="E1DFDD"/>
    </w:rPr>
  </w:style>
  <w:style w:type="paragraph" w:styleId="TOCHeading">
    <w:name w:val="TOC Heading"/>
    <w:basedOn w:val="Heading1"/>
    <w:next w:val="Normal"/>
    <w:uiPriority w:val="39"/>
    <w:unhideWhenUsed/>
    <w:qFormat/>
    <w:rsid w:val="004F6BE5"/>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F6BE5"/>
    <w:pPr>
      <w:spacing w:after="100"/>
    </w:pPr>
  </w:style>
  <w:style w:type="paragraph" w:styleId="TOC2">
    <w:name w:val="toc 2"/>
    <w:basedOn w:val="Normal"/>
    <w:next w:val="Normal"/>
    <w:autoRedefine/>
    <w:uiPriority w:val="39"/>
    <w:unhideWhenUsed/>
    <w:rsid w:val="004F6BE5"/>
    <w:pPr>
      <w:spacing w:after="100"/>
      <w:ind w:left="240"/>
    </w:pPr>
  </w:style>
  <w:style w:type="paragraph" w:styleId="TOC3">
    <w:name w:val="toc 3"/>
    <w:basedOn w:val="Normal"/>
    <w:next w:val="Normal"/>
    <w:autoRedefine/>
    <w:uiPriority w:val="39"/>
    <w:unhideWhenUsed/>
    <w:rsid w:val="004F6BE5"/>
    <w:pPr>
      <w:spacing w:after="100"/>
      <w:ind w:left="480"/>
    </w:pPr>
  </w:style>
  <w:style w:type="paragraph" w:styleId="NormalWeb">
    <w:name w:val="Normal (Web)"/>
    <w:basedOn w:val="Normal"/>
    <w:uiPriority w:val="99"/>
    <w:semiHidden/>
    <w:unhideWhenUsed/>
    <w:rsid w:val="00D55714"/>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68698">
      <w:bodyDiv w:val="1"/>
      <w:marLeft w:val="0"/>
      <w:marRight w:val="0"/>
      <w:marTop w:val="0"/>
      <w:marBottom w:val="0"/>
      <w:divBdr>
        <w:top w:val="none" w:sz="0" w:space="0" w:color="auto"/>
        <w:left w:val="none" w:sz="0" w:space="0" w:color="auto"/>
        <w:bottom w:val="none" w:sz="0" w:space="0" w:color="auto"/>
        <w:right w:val="none" w:sz="0" w:space="0" w:color="auto"/>
      </w:divBdr>
    </w:div>
    <w:div w:id="4984739">
      <w:bodyDiv w:val="1"/>
      <w:marLeft w:val="0"/>
      <w:marRight w:val="0"/>
      <w:marTop w:val="0"/>
      <w:marBottom w:val="0"/>
      <w:divBdr>
        <w:top w:val="none" w:sz="0" w:space="0" w:color="auto"/>
        <w:left w:val="none" w:sz="0" w:space="0" w:color="auto"/>
        <w:bottom w:val="none" w:sz="0" w:space="0" w:color="auto"/>
        <w:right w:val="none" w:sz="0" w:space="0" w:color="auto"/>
      </w:divBdr>
    </w:div>
    <w:div w:id="14355388">
      <w:bodyDiv w:val="1"/>
      <w:marLeft w:val="0"/>
      <w:marRight w:val="0"/>
      <w:marTop w:val="0"/>
      <w:marBottom w:val="0"/>
      <w:divBdr>
        <w:top w:val="none" w:sz="0" w:space="0" w:color="auto"/>
        <w:left w:val="none" w:sz="0" w:space="0" w:color="auto"/>
        <w:bottom w:val="none" w:sz="0" w:space="0" w:color="auto"/>
        <w:right w:val="none" w:sz="0" w:space="0" w:color="auto"/>
      </w:divBdr>
      <w:divsChild>
        <w:div w:id="301732738">
          <w:marLeft w:val="0"/>
          <w:marRight w:val="0"/>
          <w:marTop w:val="0"/>
          <w:marBottom w:val="0"/>
          <w:divBdr>
            <w:top w:val="none" w:sz="0" w:space="0" w:color="auto"/>
            <w:left w:val="none" w:sz="0" w:space="0" w:color="auto"/>
            <w:bottom w:val="none" w:sz="0" w:space="0" w:color="auto"/>
            <w:right w:val="none" w:sz="0" w:space="0" w:color="auto"/>
          </w:divBdr>
          <w:divsChild>
            <w:div w:id="17535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2835">
      <w:bodyDiv w:val="1"/>
      <w:marLeft w:val="0"/>
      <w:marRight w:val="0"/>
      <w:marTop w:val="0"/>
      <w:marBottom w:val="0"/>
      <w:divBdr>
        <w:top w:val="none" w:sz="0" w:space="0" w:color="auto"/>
        <w:left w:val="none" w:sz="0" w:space="0" w:color="auto"/>
        <w:bottom w:val="none" w:sz="0" w:space="0" w:color="auto"/>
        <w:right w:val="none" w:sz="0" w:space="0" w:color="auto"/>
      </w:divBdr>
      <w:divsChild>
        <w:div w:id="840201851">
          <w:marLeft w:val="0"/>
          <w:marRight w:val="0"/>
          <w:marTop w:val="0"/>
          <w:marBottom w:val="0"/>
          <w:divBdr>
            <w:top w:val="none" w:sz="0" w:space="0" w:color="auto"/>
            <w:left w:val="none" w:sz="0" w:space="0" w:color="auto"/>
            <w:bottom w:val="none" w:sz="0" w:space="0" w:color="auto"/>
            <w:right w:val="none" w:sz="0" w:space="0" w:color="auto"/>
          </w:divBdr>
          <w:divsChild>
            <w:div w:id="94977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55715">
      <w:bodyDiv w:val="1"/>
      <w:marLeft w:val="0"/>
      <w:marRight w:val="0"/>
      <w:marTop w:val="0"/>
      <w:marBottom w:val="0"/>
      <w:divBdr>
        <w:top w:val="none" w:sz="0" w:space="0" w:color="auto"/>
        <w:left w:val="none" w:sz="0" w:space="0" w:color="auto"/>
        <w:bottom w:val="none" w:sz="0" w:space="0" w:color="auto"/>
        <w:right w:val="none" w:sz="0" w:space="0" w:color="auto"/>
      </w:divBdr>
      <w:divsChild>
        <w:div w:id="2076736527">
          <w:marLeft w:val="0"/>
          <w:marRight w:val="0"/>
          <w:marTop w:val="0"/>
          <w:marBottom w:val="0"/>
          <w:divBdr>
            <w:top w:val="none" w:sz="0" w:space="0" w:color="auto"/>
            <w:left w:val="none" w:sz="0" w:space="0" w:color="auto"/>
            <w:bottom w:val="none" w:sz="0" w:space="0" w:color="auto"/>
            <w:right w:val="none" w:sz="0" w:space="0" w:color="auto"/>
          </w:divBdr>
          <w:divsChild>
            <w:div w:id="128950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6517">
      <w:bodyDiv w:val="1"/>
      <w:marLeft w:val="0"/>
      <w:marRight w:val="0"/>
      <w:marTop w:val="0"/>
      <w:marBottom w:val="0"/>
      <w:divBdr>
        <w:top w:val="none" w:sz="0" w:space="0" w:color="auto"/>
        <w:left w:val="none" w:sz="0" w:space="0" w:color="auto"/>
        <w:bottom w:val="none" w:sz="0" w:space="0" w:color="auto"/>
        <w:right w:val="none" w:sz="0" w:space="0" w:color="auto"/>
      </w:divBdr>
      <w:divsChild>
        <w:div w:id="1216548228">
          <w:marLeft w:val="0"/>
          <w:marRight w:val="0"/>
          <w:marTop w:val="0"/>
          <w:marBottom w:val="0"/>
          <w:divBdr>
            <w:top w:val="none" w:sz="0" w:space="0" w:color="auto"/>
            <w:left w:val="none" w:sz="0" w:space="0" w:color="auto"/>
            <w:bottom w:val="none" w:sz="0" w:space="0" w:color="auto"/>
            <w:right w:val="none" w:sz="0" w:space="0" w:color="auto"/>
          </w:divBdr>
          <w:divsChild>
            <w:div w:id="101970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22084">
      <w:bodyDiv w:val="1"/>
      <w:marLeft w:val="0"/>
      <w:marRight w:val="0"/>
      <w:marTop w:val="0"/>
      <w:marBottom w:val="0"/>
      <w:divBdr>
        <w:top w:val="none" w:sz="0" w:space="0" w:color="auto"/>
        <w:left w:val="none" w:sz="0" w:space="0" w:color="auto"/>
        <w:bottom w:val="none" w:sz="0" w:space="0" w:color="auto"/>
        <w:right w:val="none" w:sz="0" w:space="0" w:color="auto"/>
      </w:divBdr>
    </w:div>
    <w:div w:id="79108494">
      <w:bodyDiv w:val="1"/>
      <w:marLeft w:val="0"/>
      <w:marRight w:val="0"/>
      <w:marTop w:val="0"/>
      <w:marBottom w:val="0"/>
      <w:divBdr>
        <w:top w:val="none" w:sz="0" w:space="0" w:color="auto"/>
        <w:left w:val="none" w:sz="0" w:space="0" w:color="auto"/>
        <w:bottom w:val="none" w:sz="0" w:space="0" w:color="auto"/>
        <w:right w:val="none" w:sz="0" w:space="0" w:color="auto"/>
      </w:divBdr>
    </w:div>
    <w:div w:id="83037688">
      <w:bodyDiv w:val="1"/>
      <w:marLeft w:val="0"/>
      <w:marRight w:val="0"/>
      <w:marTop w:val="0"/>
      <w:marBottom w:val="0"/>
      <w:divBdr>
        <w:top w:val="none" w:sz="0" w:space="0" w:color="auto"/>
        <w:left w:val="none" w:sz="0" w:space="0" w:color="auto"/>
        <w:bottom w:val="none" w:sz="0" w:space="0" w:color="auto"/>
        <w:right w:val="none" w:sz="0" w:space="0" w:color="auto"/>
      </w:divBdr>
    </w:div>
    <w:div w:id="128593982">
      <w:bodyDiv w:val="1"/>
      <w:marLeft w:val="0"/>
      <w:marRight w:val="0"/>
      <w:marTop w:val="0"/>
      <w:marBottom w:val="0"/>
      <w:divBdr>
        <w:top w:val="none" w:sz="0" w:space="0" w:color="auto"/>
        <w:left w:val="none" w:sz="0" w:space="0" w:color="auto"/>
        <w:bottom w:val="none" w:sz="0" w:space="0" w:color="auto"/>
        <w:right w:val="none" w:sz="0" w:space="0" w:color="auto"/>
      </w:divBdr>
      <w:divsChild>
        <w:div w:id="1597595872">
          <w:marLeft w:val="0"/>
          <w:marRight w:val="0"/>
          <w:marTop w:val="0"/>
          <w:marBottom w:val="0"/>
          <w:divBdr>
            <w:top w:val="none" w:sz="0" w:space="0" w:color="auto"/>
            <w:left w:val="none" w:sz="0" w:space="0" w:color="auto"/>
            <w:bottom w:val="none" w:sz="0" w:space="0" w:color="auto"/>
            <w:right w:val="none" w:sz="0" w:space="0" w:color="auto"/>
          </w:divBdr>
          <w:divsChild>
            <w:div w:id="1058436617">
              <w:marLeft w:val="0"/>
              <w:marRight w:val="0"/>
              <w:marTop w:val="0"/>
              <w:marBottom w:val="0"/>
              <w:divBdr>
                <w:top w:val="none" w:sz="0" w:space="0" w:color="auto"/>
                <w:left w:val="none" w:sz="0" w:space="0" w:color="auto"/>
                <w:bottom w:val="none" w:sz="0" w:space="0" w:color="auto"/>
                <w:right w:val="none" w:sz="0" w:space="0" w:color="auto"/>
              </w:divBdr>
              <w:divsChild>
                <w:div w:id="82576089">
                  <w:marLeft w:val="0"/>
                  <w:marRight w:val="0"/>
                  <w:marTop w:val="0"/>
                  <w:marBottom w:val="0"/>
                  <w:divBdr>
                    <w:top w:val="none" w:sz="0" w:space="0" w:color="auto"/>
                    <w:left w:val="none" w:sz="0" w:space="0" w:color="auto"/>
                    <w:bottom w:val="none" w:sz="0" w:space="0" w:color="auto"/>
                    <w:right w:val="none" w:sz="0" w:space="0" w:color="auto"/>
                  </w:divBdr>
                  <w:divsChild>
                    <w:div w:id="1625230827">
                      <w:marLeft w:val="0"/>
                      <w:marRight w:val="0"/>
                      <w:marTop w:val="0"/>
                      <w:marBottom w:val="0"/>
                      <w:divBdr>
                        <w:top w:val="none" w:sz="0" w:space="0" w:color="auto"/>
                        <w:left w:val="none" w:sz="0" w:space="0" w:color="auto"/>
                        <w:bottom w:val="none" w:sz="0" w:space="0" w:color="auto"/>
                        <w:right w:val="none" w:sz="0" w:space="0" w:color="auto"/>
                      </w:divBdr>
                      <w:divsChild>
                        <w:div w:id="351104577">
                          <w:marLeft w:val="0"/>
                          <w:marRight w:val="0"/>
                          <w:marTop w:val="0"/>
                          <w:marBottom w:val="0"/>
                          <w:divBdr>
                            <w:top w:val="none" w:sz="0" w:space="0" w:color="auto"/>
                            <w:left w:val="none" w:sz="0" w:space="0" w:color="auto"/>
                            <w:bottom w:val="none" w:sz="0" w:space="0" w:color="auto"/>
                            <w:right w:val="none" w:sz="0" w:space="0" w:color="auto"/>
                          </w:divBdr>
                          <w:divsChild>
                            <w:div w:id="630860870">
                              <w:marLeft w:val="0"/>
                              <w:marRight w:val="0"/>
                              <w:marTop w:val="0"/>
                              <w:marBottom w:val="0"/>
                              <w:divBdr>
                                <w:top w:val="none" w:sz="0" w:space="0" w:color="auto"/>
                                <w:left w:val="none" w:sz="0" w:space="0" w:color="auto"/>
                                <w:bottom w:val="none" w:sz="0" w:space="0" w:color="auto"/>
                                <w:right w:val="none" w:sz="0" w:space="0" w:color="auto"/>
                              </w:divBdr>
                              <w:divsChild>
                                <w:div w:id="731586253">
                                  <w:marLeft w:val="0"/>
                                  <w:marRight w:val="0"/>
                                  <w:marTop w:val="0"/>
                                  <w:marBottom w:val="0"/>
                                  <w:divBdr>
                                    <w:top w:val="none" w:sz="0" w:space="0" w:color="auto"/>
                                    <w:left w:val="none" w:sz="0" w:space="0" w:color="auto"/>
                                    <w:bottom w:val="none" w:sz="0" w:space="0" w:color="auto"/>
                                    <w:right w:val="none" w:sz="0" w:space="0" w:color="auto"/>
                                  </w:divBdr>
                                  <w:divsChild>
                                    <w:div w:id="156769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111273">
      <w:bodyDiv w:val="1"/>
      <w:marLeft w:val="0"/>
      <w:marRight w:val="0"/>
      <w:marTop w:val="0"/>
      <w:marBottom w:val="0"/>
      <w:divBdr>
        <w:top w:val="none" w:sz="0" w:space="0" w:color="auto"/>
        <w:left w:val="none" w:sz="0" w:space="0" w:color="auto"/>
        <w:bottom w:val="none" w:sz="0" w:space="0" w:color="auto"/>
        <w:right w:val="none" w:sz="0" w:space="0" w:color="auto"/>
      </w:divBdr>
    </w:div>
    <w:div w:id="159348072">
      <w:bodyDiv w:val="1"/>
      <w:marLeft w:val="0"/>
      <w:marRight w:val="0"/>
      <w:marTop w:val="0"/>
      <w:marBottom w:val="0"/>
      <w:divBdr>
        <w:top w:val="none" w:sz="0" w:space="0" w:color="auto"/>
        <w:left w:val="none" w:sz="0" w:space="0" w:color="auto"/>
        <w:bottom w:val="none" w:sz="0" w:space="0" w:color="auto"/>
        <w:right w:val="none" w:sz="0" w:space="0" w:color="auto"/>
      </w:divBdr>
      <w:divsChild>
        <w:div w:id="1925340467">
          <w:marLeft w:val="0"/>
          <w:marRight w:val="0"/>
          <w:marTop w:val="0"/>
          <w:marBottom w:val="0"/>
          <w:divBdr>
            <w:top w:val="none" w:sz="0" w:space="0" w:color="auto"/>
            <w:left w:val="none" w:sz="0" w:space="0" w:color="auto"/>
            <w:bottom w:val="none" w:sz="0" w:space="0" w:color="auto"/>
            <w:right w:val="none" w:sz="0" w:space="0" w:color="auto"/>
          </w:divBdr>
          <w:divsChild>
            <w:div w:id="130901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5582">
      <w:bodyDiv w:val="1"/>
      <w:marLeft w:val="0"/>
      <w:marRight w:val="0"/>
      <w:marTop w:val="0"/>
      <w:marBottom w:val="0"/>
      <w:divBdr>
        <w:top w:val="none" w:sz="0" w:space="0" w:color="auto"/>
        <w:left w:val="none" w:sz="0" w:space="0" w:color="auto"/>
        <w:bottom w:val="none" w:sz="0" w:space="0" w:color="auto"/>
        <w:right w:val="none" w:sz="0" w:space="0" w:color="auto"/>
      </w:divBdr>
    </w:div>
    <w:div w:id="166487270">
      <w:bodyDiv w:val="1"/>
      <w:marLeft w:val="0"/>
      <w:marRight w:val="0"/>
      <w:marTop w:val="0"/>
      <w:marBottom w:val="0"/>
      <w:divBdr>
        <w:top w:val="none" w:sz="0" w:space="0" w:color="auto"/>
        <w:left w:val="none" w:sz="0" w:space="0" w:color="auto"/>
        <w:bottom w:val="none" w:sz="0" w:space="0" w:color="auto"/>
        <w:right w:val="none" w:sz="0" w:space="0" w:color="auto"/>
      </w:divBdr>
    </w:div>
    <w:div w:id="174157124">
      <w:bodyDiv w:val="1"/>
      <w:marLeft w:val="0"/>
      <w:marRight w:val="0"/>
      <w:marTop w:val="0"/>
      <w:marBottom w:val="0"/>
      <w:divBdr>
        <w:top w:val="none" w:sz="0" w:space="0" w:color="auto"/>
        <w:left w:val="none" w:sz="0" w:space="0" w:color="auto"/>
        <w:bottom w:val="none" w:sz="0" w:space="0" w:color="auto"/>
        <w:right w:val="none" w:sz="0" w:space="0" w:color="auto"/>
      </w:divBdr>
    </w:div>
    <w:div w:id="268973594">
      <w:bodyDiv w:val="1"/>
      <w:marLeft w:val="0"/>
      <w:marRight w:val="0"/>
      <w:marTop w:val="0"/>
      <w:marBottom w:val="0"/>
      <w:divBdr>
        <w:top w:val="none" w:sz="0" w:space="0" w:color="auto"/>
        <w:left w:val="none" w:sz="0" w:space="0" w:color="auto"/>
        <w:bottom w:val="none" w:sz="0" w:space="0" w:color="auto"/>
        <w:right w:val="none" w:sz="0" w:space="0" w:color="auto"/>
      </w:divBdr>
    </w:div>
    <w:div w:id="274025045">
      <w:bodyDiv w:val="1"/>
      <w:marLeft w:val="0"/>
      <w:marRight w:val="0"/>
      <w:marTop w:val="0"/>
      <w:marBottom w:val="0"/>
      <w:divBdr>
        <w:top w:val="none" w:sz="0" w:space="0" w:color="auto"/>
        <w:left w:val="none" w:sz="0" w:space="0" w:color="auto"/>
        <w:bottom w:val="none" w:sz="0" w:space="0" w:color="auto"/>
        <w:right w:val="none" w:sz="0" w:space="0" w:color="auto"/>
      </w:divBdr>
    </w:div>
    <w:div w:id="290940399">
      <w:bodyDiv w:val="1"/>
      <w:marLeft w:val="0"/>
      <w:marRight w:val="0"/>
      <w:marTop w:val="0"/>
      <w:marBottom w:val="0"/>
      <w:divBdr>
        <w:top w:val="none" w:sz="0" w:space="0" w:color="auto"/>
        <w:left w:val="none" w:sz="0" w:space="0" w:color="auto"/>
        <w:bottom w:val="none" w:sz="0" w:space="0" w:color="auto"/>
        <w:right w:val="none" w:sz="0" w:space="0" w:color="auto"/>
      </w:divBdr>
      <w:divsChild>
        <w:div w:id="1267079507">
          <w:marLeft w:val="0"/>
          <w:marRight w:val="0"/>
          <w:marTop w:val="0"/>
          <w:marBottom w:val="0"/>
          <w:divBdr>
            <w:top w:val="none" w:sz="0" w:space="0" w:color="auto"/>
            <w:left w:val="none" w:sz="0" w:space="0" w:color="auto"/>
            <w:bottom w:val="none" w:sz="0" w:space="0" w:color="auto"/>
            <w:right w:val="none" w:sz="0" w:space="0" w:color="auto"/>
          </w:divBdr>
          <w:divsChild>
            <w:div w:id="1604455980">
              <w:marLeft w:val="0"/>
              <w:marRight w:val="0"/>
              <w:marTop w:val="0"/>
              <w:marBottom w:val="0"/>
              <w:divBdr>
                <w:top w:val="none" w:sz="0" w:space="0" w:color="auto"/>
                <w:left w:val="none" w:sz="0" w:space="0" w:color="auto"/>
                <w:bottom w:val="none" w:sz="0" w:space="0" w:color="auto"/>
                <w:right w:val="none" w:sz="0" w:space="0" w:color="auto"/>
              </w:divBdr>
              <w:divsChild>
                <w:div w:id="830676159">
                  <w:marLeft w:val="0"/>
                  <w:marRight w:val="0"/>
                  <w:marTop w:val="0"/>
                  <w:marBottom w:val="0"/>
                  <w:divBdr>
                    <w:top w:val="none" w:sz="0" w:space="0" w:color="auto"/>
                    <w:left w:val="none" w:sz="0" w:space="0" w:color="auto"/>
                    <w:bottom w:val="none" w:sz="0" w:space="0" w:color="auto"/>
                    <w:right w:val="none" w:sz="0" w:space="0" w:color="auto"/>
                  </w:divBdr>
                  <w:divsChild>
                    <w:div w:id="427042810">
                      <w:marLeft w:val="0"/>
                      <w:marRight w:val="0"/>
                      <w:marTop w:val="0"/>
                      <w:marBottom w:val="0"/>
                      <w:divBdr>
                        <w:top w:val="none" w:sz="0" w:space="0" w:color="auto"/>
                        <w:left w:val="none" w:sz="0" w:space="0" w:color="auto"/>
                        <w:bottom w:val="none" w:sz="0" w:space="0" w:color="auto"/>
                        <w:right w:val="none" w:sz="0" w:space="0" w:color="auto"/>
                      </w:divBdr>
                      <w:divsChild>
                        <w:div w:id="1926725588">
                          <w:marLeft w:val="0"/>
                          <w:marRight w:val="0"/>
                          <w:marTop w:val="0"/>
                          <w:marBottom w:val="0"/>
                          <w:divBdr>
                            <w:top w:val="none" w:sz="0" w:space="0" w:color="auto"/>
                            <w:left w:val="none" w:sz="0" w:space="0" w:color="auto"/>
                            <w:bottom w:val="none" w:sz="0" w:space="0" w:color="auto"/>
                            <w:right w:val="none" w:sz="0" w:space="0" w:color="auto"/>
                          </w:divBdr>
                          <w:divsChild>
                            <w:div w:id="2109961294">
                              <w:marLeft w:val="0"/>
                              <w:marRight w:val="0"/>
                              <w:marTop w:val="0"/>
                              <w:marBottom w:val="0"/>
                              <w:divBdr>
                                <w:top w:val="none" w:sz="0" w:space="0" w:color="auto"/>
                                <w:left w:val="none" w:sz="0" w:space="0" w:color="auto"/>
                                <w:bottom w:val="none" w:sz="0" w:space="0" w:color="auto"/>
                                <w:right w:val="none" w:sz="0" w:space="0" w:color="auto"/>
                              </w:divBdr>
                              <w:divsChild>
                                <w:div w:id="332073501">
                                  <w:marLeft w:val="0"/>
                                  <w:marRight w:val="0"/>
                                  <w:marTop w:val="0"/>
                                  <w:marBottom w:val="0"/>
                                  <w:divBdr>
                                    <w:top w:val="none" w:sz="0" w:space="0" w:color="auto"/>
                                    <w:left w:val="none" w:sz="0" w:space="0" w:color="auto"/>
                                    <w:bottom w:val="none" w:sz="0" w:space="0" w:color="auto"/>
                                    <w:right w:val="none" w:sz="0" w:space="0" w:color="auto"/>
                                  </w:divBdr>
                                  <w:divsChild>
                                    <w:div w:id="27456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035603">
      <w:bodyDiv w:val="1"/>
      <w:marLeft w:val="0"/>
      <w:marRight w:val="0"/>
      <w:marTop w:val="0"/>
      <w:marBottom w:val="0"/>
      <w:divBdr>
        <w:top w:val="none" w:sz="0" w:space="0" w:color="auto"/>
        <w:left w:val="none" w:sz="0" w:space="0" w:color="auto"/>
        <w:bottom w:val="none" w:sz="0" w:space="0" w:color="auto"/>
        <w:right w:val="none" w:sz="0" w:space="0" w:color="auto"/>
      </w:divBdr>
    </w:div>
    <w:div w:id="349451848">
      <w:bodyDiv w:val="1"/>
      <w:marLeft w:val="0"/>
      <w:marRight w:val="0"/>
      <w:marTop w:val="0"/>
      <w:marBottom w:val="0"/>
      <w:divBdr>
        <w:top w:val="none" w:sz="0" w:space="0" w:color="auto"/>
        <w:left w:val="none" w:sz="0" w:space="0" w:color="auto"/>
        <w:bottom w:val="none" w:sz="0" w:space="0" w:color="auto"/>
        <w:right w:val="none" w:sz="0" w:space="0" w:color="auto"/>
      </w:divBdr>
      <w:divsChild>
        <w:div w:id="737896799">
          <w:marLeft w:val="0"/>
          <w:marRight w:val="0"/>
          <w:marTop w:val="0"/>
          <w:marBottom w:val="0"/>
          <w:divBdr>
            <w:top w:val="none" w:sz="0" w:space="0" w:color="auto"/>
            <w:left w:val="none" w:sz="0" w:space="0" w:color="auto"/>
            <w:bottom w:val="none" w:sz="0" w:space="0" w:color="auto"/>
            <w:right w:val="none" w:sz="0" w:space="0" w:color="auto"/>
          </w:divBdr>
          <w:divsChild>
            <w:div w:id="56807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204688">
      <w:bodyDiv w:val="1"/>
      <w:marLeft w:val="0"/>
      <w:marRight w:val="0"/>
      <w:marTop w:val="0"/>
      <w:marBottom w:val="0"/>
      <w:divBdr>
        <w:top w:val="none" w:sz="0" w:space="0" w:color="auto"/>
        <w:left w:val="none" w:sz="0" w:space="0" w:color="auto"/>
        <w:bottom w:val="none" w:sz="0" w:space="0" w:color="auto"/>
        <w:right w:val="none" w:sz="0" w:space="0" w:color="auto"/>
      </w:divBdr>
    </w:div>
    <w:div w:id="381028154">
      <w:bodyDiv w:val="1"/>
      <w:marLeft w:val="0"/>
      <w:marRight w:val="0"/>
      <w:marTop w:val="0"/>
      <w:marBottom w:val="0"/>
      <w:divBdr>
        <w:top w:val="none" w:sz="0" w:space="0" w:color="auto"/>
        <w:left w:val="none" w:sz="0" w:space="0" w:color="auto"/>
        <w:bottom w:val="none" w:sz="0" w:space="0" w:color="auto"/>
        <w:right w:val="none" w:sz="0" w:space="0" w:color="auto"/>
      </w:divBdr>
    </w:div>
    <w:div w:id="403071046">
      <w:bodyDiv w:val="1"/>
      <w:marLeft w:val="0"/>
      <w:marRight w:val="0"/>
      <w:marTop w:val="0"/>
      <w:marBottom w:val="0"/>
      <w:divBdr>
        <w:top w:val="none" w:sz="0" w:space="0" w:color="auto"/>
        <w:left w:val="none" w:sz="0" w:space="0" w:color="auto"/>
        <w:bottom w:val="none" w:sz="0" w:space="0" w:color="auto"/>
        <w:right w:val="none" w:sz="0" w:space="0" w:color="auto"/>
      </w:divBdr>
    </w:div>
    <w:div w:id="408042230">
      <w:bodyDiv w:val="1"/>
      <w:marLeft w:val="0"/>
      <w:marRight w:val="0"/>
      <w:marTop w:val="0"/>
      <w:marBottom w:val="0"/>
      <w:divBdr>
        <w:top w:val="none" w:sz="0" w:space="0" w:color="auto"/>
        <w:left w:val="none" w:sz="0" w:space="0" w:color="auto"/>
        <w:bottom w:val="none" w:sz="0" w:space="0" w:color="auto"/>
        <w:right w:val="none" w:sz="0" w:space="0" w:color="auto"/>
      </w:divBdr>
    </w:div>
    <w:div w:id="414013765">
      <w:bodyDiv w:val="1"/>
      <w:marLeft w:val="0"/>
      <w:marRight w:val="0"/>
      <w:marTop w:val="0"/>
      <w:marBottom w:val="0"/>
      <w:divBdr>
        <w:top w:val="none" w:sz="0" w:space="0" w:color="auto"/>
        <w:left w:val="none" w:sz="0" w:space="0" w:color="auto"/>
        <w:bottom w:val="none" w:sz="0" w:space="0" w:color="auto"/>
        <w:right w:val="none" w:sz="0" w:space="0" w:color="auto"/>
      </w:divBdr>
      <w:divsChild>
        <w:div w:id="44643302">
          <w:marLeft w:val="0"/>
          <w:marRight w:val="0"/>
          <w:marTop w:val="0"/>
          <w:marBottom w:val="0"/>
          <w:divBdr>
            <w:top w:val="none" w:sz="0" w:space="0" w:color="auto"/>
            <w:left w:val="none" w:sz="0" w:space="0" w:color="auto"/>
            <w:bottom w:val="none" w:sz="0" w:space="0" w:color="auto"/>
            <w:right w:val="none" w:sz="0" w:space="0" w:color="auto"/>
          </w:divBdr>
          <w:divsChild>
            <w:div w:id="205160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75040">
      <w:bodyDiv w:val="1"/>
      <w:marLeft w:val="0"/>
      <w:marRight w:val="0"/>
      <w:marTop w:val="0"/>
      <w:marBottom w:val="0"/>
      <w:divBdr>
        <w:top w:val="none" w:sz="0" w:space="0" w:color="auto"/>
        <w:left w:val="none" w:sz="0" w:space="0" w:color="auto"/>
        <w:bottom w:val="none" w:sz="0" w:space="0" w:color="auto"/>
        <w:right w:val="none" w:sz="0" w:space="0" w:color="auto"/>
      </w:divBdr>
      <w:divsChild>
        <w:div w:id="1580138797">
          <w:marLeft w:val="0"/>
          <w:marRight w:val="0"/>
          <w:marTop w:val="0"/>
          <w:marBottom w:val="0"/>
          <w:divBdr>
            <w:top w:val="none" w:sz="0" w:space="0" w:color="auto"/>
            <w:left w:val="none" w:sz="0" w:space="0" w:color="auto"/>
            <w:bottom w:val="none" w:sz="0" w:space="0" w:color="auto"/>
            <w:right w:val="none" w:sz="0" w:space="0" w:color="auto"/>
          </w:divBdr>
          <w:divsChild>
            <w:div w:id="183752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23278">
      <w:bodyDiv w:val="1"/>
      <w:marLeft w:val="0"/>
      <w:marRight w:val="0"/>
      <w:marTop w:val="0"/>
      <w:marBottom w:val="0"/>
      <w:divBdr>
        <w:top w:val="none" w:sz="0" w:space="0" w:color="auto"/>
        <w:left w:val="none" w:sz="0" w:space="0" w:color="auto"/>
        <w:bottom w:val="none" w:sz="0" w:space="0" w:color="auto"/>
        <w:right w:val="none" w:sz="0" w:space="0" w:color="auto"/>
      </w:divBdr>
    </w:div>
    <w:div w:id="470444310">
      <w:bodyDiv w:val="1"/>
      <w:marLeft w:val="0"/>
      <w:marRight w:val="0"/>
      <w:marTop w:val="0"/>
      <w:marBottom w:val="0"/>
      <w:divBdr>
        <w:top w:val="none" w:sz="0" w:space="0" w:color="auto"/>
        <w:left w:val="none" w:sz="0" w:space="0" w:color="auto"/>
        <w:bottom w:val="none" w:sz="0" w:space="0" w:color="auto"/>
        <w:right w:val="none" w:sz="0" w:space="0" w:color="auto"/>
      </w:divBdr>
      <w:divsChild>
        <w:div w:id="1211965947">
          <w:marLeft w:val="0"/>
          <w:marRight w:val="0"/>
          <w:marTop w:val="0"/>
          <w:marBottom w:val="0"/>
          <w:divBdr>
            <w:top w:val="none" w:sz="0" w:space="0" w:color="auto"/>
            <w:left w:val="none" w:sz="0" w:space="0" w:color="auto"/>
            <w:bottom w:val="none" w:sz="0" w:space="0" w:color="auto"/>
            <w:right w:val="none" w:sz="0" w:space="0" w:color="auto"/>
          </w:divBdr>
          <w:divsChild>
            <w:div w:id="164169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76871">
      <w:bodyDiv w:val="1"/>
      <w:marLeft w:val="0"/>
      <w:marRight w:val="0"/>
      <w:marTop w:val="0"/>
      <w:marBottom w:val="0"/>
      <w:divBdr>
        <w:top w:val="none" w:sz="0" w:space="0" w:color="auto"/>
        <w:left w:val="none" w:sz="0" w:space="0" w:color="auto"/>
        <w:bottom w:val="none" w:sz="0" w:space="0" w:color="auto"/>
        <w:right w:val="none" w:sz="0" w:space="0" w:color="auto"/>
      </w:divBdr>
      <w:divsChild>
        <w:div w:id="1666123891">
          <w:marLeft w:val="0"/>
          <w:marRight w:val="0"/>
          <w:marTop w:val="0"/>
          <w:marBottom w:val="0"/>
          <w:divBdr>
            <w:top w:val="none" w:sz="0" w:space="0" w:color="auto"/>
            <w:left w:val="none" w:sz="0" w:space="0" w:color="auto"/>
            <w:bottom w:val="none" w:sz="0" w:space="0" w:color="auto"/>
            <w:right w:val="none" w:sz="0" w:space="0" w:color="auto"/>
          </w:divBdr>
          <w:divsChild>
            <w:div w:id="48825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74642">
      <w:bodyDiv w:val="1"/>
      <w:marLeft w:val="0"/>
      <w:marRight w:val="0"/>
      <w:marTop w:val="0"/>
      <w:marBottom w:val="0"/>
      <w:divBdr>
        <w:top w:val="none" w:sz="0" w:space="0" w:color="auto"/>
        <w:left w:val="none" w:sz="0" w:space="0" w:color="auto"/>
        <w:bottom w:val="none" w:sz="0" w:space="0" w:color="auto"/>
        <w:right w:val="none" w:sz="0" w:space="0" w:color="auto"/>
      </w:divBdr>
      <w:divsChild>
        <w:div w:id="2031906191">
          <w:marLeft w:val="0"/>
          <w:marRight w:val="0"/>
          <w:marTop w:val="0"/>
          <w:marBottom w:val="0"/>
          <w:divBdr>
            <w:top w:val="none" w:sz="0" w:space="0" w:color="auto"/>
            <w:left w:val="none" w:sz="0" w:space="0" w:color="auto"/>
            <w:bottom w:val="none" w:sz="0" w:space="0" w:color="auto"/>
            <w:right w:val="none" w:sz="0" w:space="0" w:color="auto"/>
          </w:divBdr>
          <w:divsChild>
            <w:div w:id="90669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161666">
      <w:bodyDiv w:val="1"/>
      <w:marLeft w:val="0"/>
      <w:marRight w:val="0"/>
      <w:marTop w:val="0"/>
      <w:marBottom w:val="0"/>
      <w:divBdr>
        <w:top w:val="none" w:sz="0" w:space="0" w:color="auto"/>
        <w:left w:val="none" w:sz="0" w:space="0" w:color="auto"/>
        <w:bottom w:val="none" w:sz="0" w:space="0" w:color="auto"/>
        <w:right w:val="none" w:sz="0" w:space="0" w:color="auto"/>
      </w:divBdr>
      <w:divsChild>
        <w:div w:id="1970236691">
          <w:marLeft w:val="0"/>
          <w:marRight w:val="0"/>
          <w:marTop w:val="0"/>
          <w:marBottom w:val="0"/>
          <w:divBdr>
            <w:top w:val="none" w:sz="0" w:space="0" w:color="auto"/>
            <w:left w:val="none" w:sz="0" w:space="0" w:color="auto"/>
            <w:bottom w:val="none" w:sz="0" w:space="0" w:color="auto"/>
            <w:right w:val="none" w:sz="0" w:space="0" w:color="auto"/>
          </w:divBdr>
          <w:divsChild>
            <w:div w:id="9340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09443">
      <w:bodyDiv w:val="1"/>
      <w:marLeft w:val="0"/>
      <w:marRight w:val="0"/>
      <w:marTop w:val="0"/>
      <w:marBottom w:val="0"/>
      <w:divBdr>
        <w:top w:val="none" w:sz="0" w:space="0" w:color="auto"/>
        <w:left w:val="none" w:sz="0" w:space="0" w:color="auto"/>
        <w:bottom w:val="none" w:sz="0" w:space="0" w:color="auto"/>
        <w:right w:val="none" w:sz="0" w:space="0" w:color="auto"/>
      </w:divBdr>
    </w:div>
    <w:div w:id="584999369">
      <w:bodyDiv w:val="1"/>
      <w:marLeft w:val="0"/>
      <w:marRight w:val="0"/>
      <w:marTop w:val="0"/>
      <w:marBottom w:val="0"/>
      <w:divBdr>
        <w:top w:val="none" w:sz="0" w:space="0" w:color="auto"/>
        <w:left w:val="none" w:sz="0" w:space="0" w:color="auto"/>
        <w:bottom w:val="none" w:sz="0" w:space="0" w:color="auto"/>
        <w:right w:val="none" w:sz="0" w:space="0" w:color="auto"/>
      </w:divBdr>
      <w:divsChild>
        <w:div w:id="1267543124">
          <w:marLeft w:val="0"/>
          <w:marRight w:val="0"/>
          <w:marTop w:val="0"/>
          <w:marBottom w:val="0"/>
          <w:divBdr>
            <w:top w:val="none" w:sz="0" w:space="0" w:color="auto"/>
            <w:left w:val="none" w:sz="0" w:space="0" w:color="auto"/>
            <w:bottom w:val="none" w:sz="0" w:space="0" w:color="auto"/>
            <w:right w:val="none" w:sz="0" w:space="0" w:color="auto"/>
          </w:divBdr>
          <w:divsChild>
            <w:div w:id="11626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679952">
      <w:bodyDiv w:val="1"/>
      <w:marLeft w:val="0"/>
      <w:marRight w:val="0"/>
      <w:marTop w:val="0"/>
      <w:marBottom w:val="0"/>
      <w:divBdr>
        <w:top w:val="none" w:sz="0" w:space="0" w:color="auto"/>
        <w:left w:val="none" w:sz="0" w:space="0" w:color="auto"/>
        <w:bottom w:val="none" w:sz="0" w:space="0" w:color="auto"/>
        <w:right w:val="none" w:sz="0" w:space="0" w:color="auto"/>
      </w:divBdr>
      <w:divsChild>
        <w:div w:id="876157955">
          <w:marLeft w:val="0"/>
          <w:marRight w:val="0"/>
          <w:marTop w:val="0"/>
          <w:marBottom w:val="0"/>
          <w:divBdr>
            <w:top w:val="none" w:sz="0" w:space="0" w:color="auto"/>
            <w:left w:val="none" w:sz="0" w:space="0" w:color="auto"/>
            <w:bottom w:val="none" w:sz="0" w:space="0" w:color="auto"/>
            <w:right w:val="none" w:sz="0" w:space="0" w:color="auto"/>
          </w:divBdr>
          <w:divsChild>
            <w:div w:id="340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34312">
      <w:bodyDiv w:val="1"/>
      <w:marLeft w:val="0"/>
      <w:marRight w:val="0"/>
      <w:marTop w:val="0"/>
      <w:marBottom w:val="0"/>
      <w:divBdr>
        <w:top w:val="none" w:sz="0" w:space="0" w:color="auto"/>
        <w:left w:val="none" w:sz="0" w:space="0" w:color="auto"/>
        <w:bottom w:val="none" w:sz="0" w:space="0" w:color="auto"/>
        <w:right w:val="none" w:sz="0" w:space="0" w:color="auto"/>
      </w:divBdr>
      <w:divsChild>
        <w:div w:id="801652584">
          <w:marLeft w:val="0"/>
          <w:marRight w:val="0"/>
          <w:marTop w:val="0"/>
          <w:marBottom w:val="0"/>
          <w:divBdr>
            <w:top w:val="none" w:sz="0" w:space="0" w:color="auto"/>
            <w:left w:val="none" w:sz="0" w:space="0" w:color="auto"/>
            <w:bottom w:val="none" w:sz="0" w:space="0" w:color="auto"/>
            <w:right w:val="none" w:sz="0" w:space="0" w:color="auto"/>
          </w:divBdr>
          <w:divsChild>
            <w:div w:id="189735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615226">
      <w:bodyDiv w:val="1"/>
      <w:marLeft w:val="0"/>
      <w:marRight w:val="0"/>
      <w:marTop w:val="0"/>
      <w:marBottom w:val="0"/>
      <w:divBdr>
        <w:top w:val="none" w:sz="0" w:space="0" w:color="auto"/>
        <w:left w:val="none" w:sz="0" w:space="0" w:color="auto"/>
        <w:bottom w:val="none" w:sz="0" w:space="0" w:color="auto"/>
        <w:right w:val="none" w:sz="0" w:space="0" w:color="auto"/>
      </w:divBdr>
      <w:divsChild>
        <w:div w:id="999692374">
          <w:marLeft w:val="0"/>
          <w:marRight w:val="0"/>
          <w:marTop w:val="0"/>
          <w:marBottom w:val="0"/>
          <w:divBdr>
            <w:top w:val="none" w:sz="0" w:space="0" w:color="auto"/>
            <w:left w:val="none" w:sz="0" w:space="0" w:color="auto"/>
            <w:bottom w:val="none" w:sz="0" w:space="0" w:color="auto"/>
            <w:right w:val="none" w:sz="0" w:space="0" w:color="auto"/>
          </w:divBdr>
          <w:divsChild>
            <w:div w:id="108156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01210">
      <w:bodyDiv w:val="1"/>
      <w:marLeft w:val="0"/>
      <w:marRight w:val="0"/>
      <w:marTop w:val="0"/>
      <w:marBottom w:val="0"/>
      <w:divBdr>
        <w:top w:val="none" w:sz="0" w:space="0" w:color="auto"/>
        <w:left w:val="none" w:sz="0" w:space="0" w:color="auto"/>
        <w:bottom w:val="none" w:sz="0" w:space="0" w:color="auto"/>
        <w:right w:val="none" w:sz="0" w:space="0" w:color="auto"/>
      </w:divBdr>
    </w:div>
    <w:div w:id="658657676">
      <w:bodyDiv w:val="1"/>
      <w:marLeft w:val="0"/>
      <w:marRight w:val="0"/>
      <w:marTop w:val="0"/>
      <w:marBottom w:val="0"/>
      <w:divBdr>
        <w:top w:val="none" w:sz="0" w:space="0" w:color="auto"/>
        <w:left w:val="none" w:sz="0" w:space="0" w:color="auto"/>
        <w:bottom w:val="none" w:sz="0" w:space="0" w:color="auto"/>
        <w:right w:val="none" w:sz="0" w:space="0" w:color="auto"/>
      </w:divBdr>
    </w:div>
    <w:div w:id="667754608">
      <w:bodyDiv w:val="1"/>
      <w:marLeft w:val="0"/>
      <w:marRight w:val="0"/>
      <w:marTop w:val="0"/>
      <w:marBottom w:val="0"/>
      <w:divBdr>
        <w:top w:val="none" w:sz="0" w:space="0" w:color="auto"/>
        <w:left w:val="none" w:sz="0" w:space="0" w:color="auto"/>
        <w:bottom w:val="none" w:sz="0" w:space="0" w:color="auto"/>
        <w:right w:val="none" w:sz="0" w:space="0" w:color="auto"/>
      </w:divBdr>
    </w:div>
    <w:div w:id="674504752">
      <w:bodyDiv w:val="1"/>
      <w:marLeft w:val="0"/>
      <w:marRight w:val="0"/>
      <w:marTop w:val="0"/>
      <w:marBottom w:val="0"/>
      <w:divBdr>
        <w:top w:val="none" w:sz="0" w:space="0" w:color="auto"/>
        <w:left w:val="none" w:sz="0" w:space="0" w:color="auto"/>
        <w:bottom w:val="none" w:sz="0" w:space="0" w:color="auto"/>
        <w:right w:val="none" w:sz="0" w:space="0" w:color="auto"/>
      </w:divBdr>
    </w:div>
    <w:div w:id="715275929">
      <w:bodyDiv w:val="1"/>
      <w:marLeft w:val="0"/>
      <w:marRight w:val="0"/>
      <w:marTop w:val="0"/>
      <w:marBottom w:val="0"/>
      <w:divBdr>
        <w:top w:val="none" w:sz="0" w:space="0" w:color="auto"/>
        <w:left w:val="none" w:sz="0" w:space="0" w:color="auto"/>
        <w:bottom w:val="none" w:sz="0" w:space="0" w:color="auto"/>
        <w:right w:val="none" w:sz="0" w:space="0" w:color="auto"/>
      </w:divBdr>
    </w:div>
    <w:div w:id="718746789">
      <w:bodyDiv w:val="1"/>
      <w:marLeft w:val="0"/>
      <w:marRight w:val="0"/>
      <w:marTop w:val="0"/>
      <w:marBottom w:val="0"/>
      <w:divBdr>
        <w:top w:val="none" w:sz="0" w:space="0" w:color="auto"/>
        <w:left w:val="none" w:sz="0" w:space="0" w:color="auto"/>
        <w:bottom w:val="none" w:sz="0" w:space="0" w:color="auto"/>
        <w:right w:val="none" w:sz="0" w:space="0" w:color="auto"/>
      </w:divBdr>
      <w:divsChild>
        <w:div w:id="2128740810">
          <w:marLeft w:val="0"/>
          <w:marRight w:val="0"/>
          <w:marTop w:val="0"/>
          <w:marBottom w:val="0"/>
          <w:divBdr>
            <w:top w:val="none" w:sz="0" w:space="0" w:color="auto"/>
            <w:left w:val="none" w:sz="0" w:space="0" w:color="auto"/>
            <w:bottom w:val="none" w:sz="0" w:space="0" w:color="auto"/>
            <w:right w:val="none" w:sz="0" w:space="0" w:color="auto"/>
          </w:divBdr>
          <w:divsChild>
            <w:div w:id="1703287890">
              <w:marLeft w:val="0"/>
              <w:marRight w:val="0"/>
              <w:marTop w:val="0"/>
              <w:marBottom w:val="0"/>
              <w:divBdr>
                <w:top w:val="none" w:sz="0" w:space="0" w:color="auto"/>
                <w:left w:val="none" w:sz="0" w:space="0" w:color="auto"/>
                <w:bottom w:val="none" w:sz="0" w:space="0" w:color="auto"/>
                <w:right w:val="none" w:sz="0" w:space="0" w:color="auto"/>
              </w:divBdr>
              <w:divsChild>
                <w:div w:id="1069961384">
                  <w:marLeft w:val="0"/>
                  <w:marRight w:val="0"/>
                  <w:marTop w:val="0"/>
                  <w:marBottom w:val="0"/>
                  <w:divBdr>
                    <w:top w:val="none" w:sz="0" w:space="0" w:color="auto"/>
                    <w:left w:val="none" w:sz="0" w:space="0" w:color="auto"/>
                    <w:bottom w:val="none" w:sz="0" w:space="0" w:color="auto"/>
                    <w:right w:val="none" w:sz="0" w:space="0" w:color="auto"/>
                  </w:divBdr>
                  <w:divsChild>
                    <w:div w:id="973872048">
                      <w:marLeft w:val="0"/>
                      <w:marRight w:val="0"/>
                      <w:marTop w:val="0"/>
                      <w:marBottom w:val="0"/>
                      <w:divBdr>
                        <w:top w:val="none" w:sz="0" w:space="0" w:color="auto"/>
                        <w:left w:val="none" w:sz="0" w:space="0" w:color="auto"/>
                        <w:bottom w:val="none" w:sz="0" w:space="0" w:color="auto"/>
                        <w:right w:val="none" w:sz="0" w:space="0" w:color="auto"/>
                      </w:divBdr>
                      <w:divsChild>
                        <w:div w:id="119734627">
                          <w:marLeft w:val="0"/>
                          <w:marRight w:val="0"/>
                          <w:marTop w:val="0"/>
                          <w:marBottom w:val="0"/>
                          <w:divBdr>
                            <w:top w:val="none" w:sz="0" w:space="0" w:color="auto"/>
                            <w:left w:val="none" w:sz="0" w:space="0" w:color="auto"/>
                            <w:bottom w:val="none" w:sz="0" w:space="0" w:color="auto"/>
                            <w:right w:val="none" w:sz="0" w:space="0" w:color="auto"/>
                          </w:divBdr>
                          <w:divsChild>
                            <w:div w:id="1291395151">
                              <w:marLeft w:val="0"/>
                              <w:marRight w:val="0"/>
                              <w:marTop w:val="0"/>
                              <w:marBottom w:val="0"/>
                              <w:divBdr>
                                <w:top w:val="none" w:sz="0" w:space="0" w:color="auto"/>
                                <w:left w:val="none" w:sz="0" w:space="0" w:color="auto"/>
                                <w:bottom w:val="none" w:sz="0" w:space="0" w:color="auto"/>
                                <w:right w:val="none" w:sz="0" w:space="0" w:color="auto"/>
                              </w:divBdr>
                              <w:divsChild>
                                <w:div w:id="450978454">
                                  <w:marLeft w:val="0"/>
                                  <w:marRight w:val="0"/>
                                  <w:marTop w:val="0"/>
                                  <w:marBottom w:val="0"/>
                                  <w:divBdr>
                                    <w:top w:val="none" w:sz="0" w:space="0" w:color="auto"/>
                                    <w:left w:val="none" w:sz="0" w:space="0" w:color="auto"/>
                                    <w:bottom w:val="none" w:sz="0" w:space="0" w:color="auto"/>
                                    <w:right w:val="none" w:sz="0" w:space="0" w:color="auto"/>
                                  </w:divBdr>
                                  <w:divsChild>
                                    <w:div w:id="81025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861503">
      <w:bodyDiv w:val="1"/>
      <w:marLeft w:val="0"/>
      <w:marRight w:val="0"/>
      <w:marTop w:val="0"/>
      <w:marBottom w:val="0"/>
      <w:divBdr>
        <w:top w:val="none" w:sz="0" w:space="0" w:color="auto"/>
        <w:left w:val="none" w:sz="0" w:space="0" w:color="auto"/>
        <w:bottom w:val="none" w:sz="0" w:space="0" w:color="auto"/>
        <w:right w:val="none" w:sz="0" w:space="0" w:color="auto"/>
      </w:divBdr>
      <w:divsChild>
        <w:div w:id="143010029">
          <w:marLeft w:val="0"/>
          <w:marRight w:val="0"/>
          <w:marTop w:val="0"/>
          <w:marBottom w:val="0"/>
          <w:divBdr>
            <w:top w:val="none" w:sz="0" w:space="0" w:color="auto"/>
            <w:left w:val="none" w:sz="0" w:space="0" w:color="auto"/>
            <w:bottom w:val="none" w:sz="0" w:space="0" w:color="auto"/>
            <w:right w:val="none" w:sz="0" w:space="0" w:color="auto"/>
          </w:divBdr>
          <w:divsChild>
            <w:div w:id="1405910152">
              <w:marLeft w:val="0"/>
              <w:marRight w:val="0"/>
              <w:marTop w:val="0"/>
              <w:marBottom w:val="0"/>
              <w:divBdr>
                <w:top w:val="none" w:sz="0" w:space="0" w:color="auto"/>
                <w:left w:val="none" w:sz="0" w:space="0" w:color="auto"/>
                <w:bottom w:val="none" w:sz="0" w:space="0" w:color="auto"/>
                <w:right w:val="none" w:sz="0" w:space="0" w:color="auto"/>
              </w:divBdr>
              <w:divsChild>
                <w:div w:id="446196465">
                  <w:marLeft w:val="0"/>
                  <w:marRight w:val="0"/>
                  <w:marTop w:val="0"/>
                  <w:marBottom w:val="0"/>
                  <w:divBdr>
                    <w:top w:val="none" w:sz="0" w:space="0" w:color="auto"/>
                    <w:left w:val="none" w:sz="0" w:space="0" w:color="auto"/>
                    <w:bottom w:val="none" w:sz="0" w:space="0" w:color="auto"/>
                    <w:right w:val="none" w:sz="0" w:space="0" w:color="auto"/>
                  </w:divBdr>
                  <w:divsChild>
                    <w:div w:id="996152118">
                      <w:marLeft w:val="0"/>
                      <w:marRight w:val="0"/>
                      <w:marTop w:val="0"/>
                      <w:marBottom w:val="0"/>
                      <w:divBdr>
                        <w:top w:val="none" w:sz="0" w:space="0" w:color="auto"/>
                        <w:left w:val="none" w:sz="0" w:space="0" w:color="auto"/>
                        <w:bottom w:val="none" w:sz="0" w:space="0" w:color="auto"/>
                        <w:right w:val="none" w:sz="0" w:space="0" w:color="auto"/>
                      </w:divBdr>
                      <w:divsChild>
                        <w:div w:id="1216165209">
                          <w:marLeft w:val="0"/>
                          <w:marRight w:val="0"/>
                          <w:marTop w:val="0"/>
                          <w:marBottom w:val="0"/>
                          <w:divBdr>
                            <w:top w:val="none" w:sz="0" w:space="0" w:color="auto"/>
                            <w:left w:val="none" w:sz="0" w:space="0" w:color="auto"/>
                            <w:bottom w:val="none" w:sz="0" w:space="0" w:color="auto"/>
                            <w:right w:val="none" w:sz="0" w:space="0" w:color="auto"/>
                          </w:divBdr>
                          <w:divsChild>
                            <w:div w:id="1464229523">
                              <w:marLeft w:val="0"/>
                              <w:marRight w:val="0"/>
                              <w:marTop w:val="0"/>
                              <w:marBottom w:val="0"/>
                              <w:divBdr>
                                <w:top w:val="none" w:sz="0" w:space="0" w:color="auto"/>
                                <w:left w:val="none" w:sz="0" w:space="0" w:color="auto"/>
                                <w:bottom w:val="none" w:sz="0" w:space="0" w:color="auto"/>
                                <w:right w:val="none" w:sz="0" w:space="0" w:color="auto"/>
                              </w:divBdr>
                              <w:divsChild>
                                <w:div w:id="845706264">
                                  <w:marLeft w:val="0"/>
                                  <w:marRight w:val="0"/>
                                  <w:marTop w:val="0"/>
                                  <w:marBottom w:val="0"/>
                                  <w:divBdr>
                                    <w:top w:val="none" w:sz="0" w:space="0" w:color="auto"/>
                                    <w:left w:val="none" w:sz="0" w:space="0" w:color="auto"/>
                                    <w:bottom w:val="none" w:sz="0" w:space="0" w:color="auto"/>
                                    <w:right w:val="none" w:sz="0" w:space="0" w:color="auto"/>
                                  </w:divBdr>
                                  <w:divsChild>
                                    <w:div w:id="124318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704300">
      <w:bodyDiv w:val="1"/>
      <w:marLeft w:val="0"/>
      <w:marRight w:val="0"/>
      <w:marTop w:val="0"/>
      <w:marBottom w:val="0"/>
      <w:divBdr>
        <w:top w:val="none" w:sz="0" w:space="0" w:color="auto"/>
        <w:left w:val="none" w:sz="0" w:space="0" w:color="auto"/>
        <w:bottom w:val="none" w:sz="0" w:space="0" w:color="auto"/>
        <w:right w:val="none" w:sz="0" w:space="0" w:color="auto"/>
      </w:divBdr>
      <w:divsChild>
        <w:div w:id="1926457659">
          <w:marLeft w:val="0"/>
          <w:marRight w:val="0"/>
          <w:marTop w:val="0"/>
          <w:marBottom w:val="0"/>
          <w:divBdr>
            <w:top w:val="none" w:sz="0" w:space="0" w:color="auto"/>
            <w:left w:val="none" w:sz="0" w:space="0" w:color="auto"/>
            <w:bottom w:val="none" w:sz="0" w:space="0" w:color="auto"/>
            <w:right w:val="none" w:sz="0" w:space="0" w:color="auto"/>
          </w:divBdr>
          <w:divsChild>
            <w:div w:id="43321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8648">
      <w:bodyDiv w:val="1"/>
      <w:marLeft w:val="0"/>
      <w:marRight w:val="0"/>
      <w:marTop w:val="0"/>
      <w:marBottom w:val="0"/>
      <w:divBdr>
        <w:top w:val="none" w:sz="0" w:space="0" w:color="auto"/>
        <w:left w:val="none" w:sz="0" w:space="0" w:color="auto"/>
        <w:bottom w:val="none" w:sz="0" w:space="0" w:color="auto"/>
        <w:right w:val="none" w:sz="0" w:space="0" w:color="auto"/>
      </w:divBdr>
      <w:divsChild>
        <w:div w:id="1588617497">
          <w:marLeft w:val="0"/>
          <w:marRight w:val="0"/>
          <w:marTop w:val="0"/>
          <w:marBottom w:val="0"/>
          <w:divBdr>
            <w:top w:val="none" w:sz="0" w:space="0" w:color="auto"/>
            <w:left w:val="none" w:sz="0" w:space="0" w:color="auto"/>
            <w:bottom w:val="none" w:sz="0" w:space="0" w:color="auto"/>
            <w:right w:val="none" w:sz="0" w:space="0" w:color="auto"/>
          </w:divBdr>
          <w:divsChild>
            <w:div w:id="556431741">
              <w:marLeft w:val="0"/>
              <w:marRight w:val="0"/>
              <w:marTop w:val="0"/>
              <w:marBottom w:val="0"/>
              <w:divBdr>
                <w:top w:val="none" w:sz="0" w:space="0" w:color="auto"/>
                <w:left w:val="none" w:sz="0" w:space="0" w:color="auto"/>
                <w:bottom w:val="none" w:sz="0" w:space="0" w:color="auto"/>
                <w:right w:val="none" w:sz="0" w:space="0" w:color="auto"/>
              </w:divBdr>
              <w:divsChild>
                <w:div w:id="1196696145">
                  <w:marLeft w:val="0"/>
                  <w:marRight w:val="0"/>
                  <w:marTop w:val="0"/>
                  <w:marBottom w:val="0"/>
                  <w:divBdr>
                    <w:top w:val="none" w:sz="0" w:space="0" w:color="auto"/>
                    <w:left w:val="none" w:sz="0" w:space="0" w:color="auto"/>
                    <w:bottom w:val="none" w:sz="0" w:space="0" w:color="auto"/>
                    <w:right w:val="none" w:sz="0" w:space="0" w:color="auto"/>
                  </w:divBdr>
                  <w:divsChild>
                    <w:div w:id="1009723467">
                      <w:marLeft w:val="0"/>
                      <w:marRight w:val="0"/>
                      <w:marTop w:val="0"/>
                      <w:marBottom w:val="0"/>
                      <w:divBdr>
                        <w:top w:val="none" w:sz="0" w:space="0" w:color="auto"/>
                        <w:left w:val="none" w:sz="0" w:space="0" w:color="auto"/>
                        <w:bottom w:val="none" w:sz="0" w:space="0" w:color="auto"/>
                        <w:right w:val="none" w:sz="0" w:space="0" w:color="auto"/>
                      </w:divBdr>
                      <w:divsChild>
                        <w:div w:id="684401488">
                          <w:marLeft w:val="0"/>
                          <w:marRight w:val="0"/>
                          <w:marTop w:val="0"/>
                          <w:marBottom w:val="0"/>
                          <w:divBdr>
                            <w:top w:val="none" w:sz="0" w:space="0" w:color="auto"/>
                            <w:left w:val="none" w:sz="0" w:space="0" w:color="auto"/>
                            <w:bottom w:val="none" w:sz="0" w:space="0" w:color="auto"/>
                            <w:right w:val="none" w:sz="0" w:space="0" w:color="auto"/>
                          </w:divBdr>
                          <w:divsChild>
                            <w:div w:id="62111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589871">
      <w:bodyDiv w:val="1"/>
      <w:marLeft w:val="0"/>
      <w:marRight w:val="0"/>
      <w:marTop w:val="0"/>
      <w:marBottom w:val="0"/>
      <w:divBdr>
        <w:top w:val="none" w:sz="0" w:space="0" w:color="auto"/>
        <w:left w:val="none" w:sz="0" w:space="0" w:color="auto"/>
        <w:bottom w:val="none" w:sz="0" w:space="0" w:color="auto"/>
        <w:right w:val="none" w:sz="0" w:space="0" w:color="auto"/>
      </w:divBdr>
      <w:divsChild>
        <w:div w:id="474488478">
          <w:marLeft w:val="0"/>
          <w:marRight w:val="0"/>
          <w:marTop w:val="0"/>
          <w:marBottom w:val="0"/>
          <w:divBdr>
            <w:top w:val="none" w:sz="0" w:space="0" w:color="auto"/>
            <w:left w:val="none" w:sz="0" w:space="0" w:color="auto"/>
            <w:bottom w:val="none" w:sz="0" w:space="0" w:color="auto"/>
            <w:right w:val="none" w:sz="0" w:space="0" w:color="auto"/>
          </w:divBdr>
          <w:divsChild>
            <w:div w:id="57077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99194">
      <w:bodyDiv w:val="1"/>
      <w:marLeft w:val="0"/>
      <w:marRight w:val="0"/>
      <w:marTop w:val="0"/>
      <w:marBottom w:val="0"/>
      <w:divBdr>
        <w:top w:val="none" w:sz="0" w:space="0" w:color="auto"/>
        <w:left w:val="none" w:sz="0" w:space="0" w:color="auto"/>
        <w:bottom w:val="none" w:sz="0" w:space="0" w:color="auto"/>
        <w:right w:val="none" w:sz="0" w:space="0" w:color="auto"/>
      </w:divBdr>
      <w:divsChild>
        <w:div w:id="1279868811">
          <w:marLeft w:val="0"/>
          <w:marRight w:val="0"/>
          <w:marTop w:val="0"/>
          <w:marBottom w:val="0"/>
          <w:divBdr>
            <w:top w:val="none" w:sz="0" w:space="0" w:color="auto"/>
            <w:left w:val="none" w:sz="0" w:space="0" w:color="auto"/>
            <w:bottom w:val="none" w:sz="0" w:space="0" w:color="auto"/>
            <w:right w:val="none" w:sz="0" w:space="0" w:color="auto"/>
          </w:divBdr>
          <w:divsChild>
            <w:div w:id="57404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329232">
      <w:bodyDiv w:val="1"/>
      <w:marLeft w:val="0"/>
      <w:marRight w:val="0"/>
      <w:marTop w:val="0"/>
      <w:marBottom w:val="0"/>
      <w:divBdr>
        <w:top w:val="none" w:sz="0" w:space="0" w:color="auto"/>
        <w:left w:val="none" w:sz="0" w:space="0" w:color="auto"/>
        <w:bottom w:val="none" w:sz="0" w:space="0" w:color="auto"/>
        <w:right w:val="none" w:sz="0" w:space="0" w:color="auto"/>
      </w:divBdr>
    </w:div>
    <w:div w:id="858471549">
      <w:bodyDiv w:val="1"/>
      <w:marLeft w:val="0"/>
      <w:marRight w:val="0"/>
      <w:marTop w:val="0"/>
      <w:marBottom w:val="0"/>
      <w:divBdr>
        <w:top w:val="none" w:sz="0" w:space="0" w:color="auto"/>
        <w:left w:val="none" w:sz="0" w:space="0" w:color="auto"/>
        <w:bottom w:val="none" w:sz="0" w:space="0" w:color="auto"/>
        <w:right w:val="none" w:sz="0" w:space="0" w:color="auto"/>
      </w:divBdr>
    </w:div>
    <w:div w:id="871770088">
      <w:bodyDiv w:val="1"/>
      <w:marLeft w:val="0"/>
      <w:marRight w:val="0"/>
      <w:marTop w:val="0"/>
      <w:marBottom w:val="0"/>
      <w:divBdr>
        <w:top w:val="none" w:sz="0" w:space="0" w:color="auto"/>
        <w:left w:val="none" w:sz="0" w:space="0" w:color="auto"/>
        <w:bottom w:val="none" w:sz="0" w:space="0" w:color="auto"/>
        <w:right w:val="none" w:sz="0" w:space="0" w:color="auto"/>
      </w:divBdr>
      <w:divsChild>
        <w:div w:id="13920511">
          <w:marLeft w:val="0"/>
          <w:marRight w:val="0"/>
          <w:marTop w:val="0"/>
          <w:marBottom w:val="0"/>
          <w:divBdr>
            <w:top w:val="none" w:sz="0" w:space="0" w:color="auto"/>
            <w:left w:val="none" w:sz="0" w:space="0" w:color="auto"/>
            <w:bottom w:val="none" w:sz="0" w:space="0" w:color="auto"/>
            <w:right w:val="none" w:sz="0" w:space="0" w:color="auto"/>
          </w:divBdr>
          <w:divsChild>
            <w:div w:id="49715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84681">
      <w:bodyDiv w:val="1"/>
      <w:marLeft w:val="0"/>
      <w:marRight w:val="0"/>
      <w:marTop w:val="0"/>
      <w:marBottom w:val="0"/>
      <w:divBdr>
        <w:top w:val="none" w:sz="0" w:space="0" w:color="auto"/>
        <w:left w:val="none" w:sz="0" w:space="0" w:color="auto"/>
        <w:bottom w:val="none" w:sz="0" w:space="0" w:color="auto"/>
        <w:right w:val="none" w:sz="0" w:space="0" w:color="auto"/>
      </w:divBdr>
      <w:divsChild>
        <w:div w:id="1103919104">
          <w:marLeft w:val="0"/>
          <w:marRight w:val="0"/>
          <w:marTop w:val="0"/>
          <w:marBottom w:val="0"/>
          <w:divBdr>
            <w:top w:val="none" w:sz="0" w:space="0" w:color="auto"/>
            <w:left w:val="none" w:sz="0" w:space="0" w:color="auto"/>
            <w:bottom w:val="none" w:sz="0" w:space="0" w:color="auto"/>
            <w:right w:val="none" w:sz="0" w:space="0" w:color="auto"/>
          </w:divBdr>
          <w:divsChild>
            <w:div w:id="19048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1761">
      <w:bodyDiv w:val="1"/>
      <w:marLeft w:val="0"/>
      <w:marRight w:val="0"/>
      <w:marTop w:val="0"/>
      <w:marBottom w:val="0"/>
      <w:divBdr>
        <w:top w:val="none" w:sz="0" w:space="0" w:color="auto"/>
        <w:left w:val="none" w:sz="0" w:space="0" w:color="auto"/>
        <w:bottom w:val="none" w:sz="0" w:space="0" w:color="auto"/>
        <w:right w:val="none" w:sz="0" w:space="0" w:color="auto"/>
      </w:divBdr>
    </w:div>
    <w:div w:id="904922305">
      <w:bodyDiv w:val="1"/>
      <w:marLeft w:val="0"/>
      <w:marRight w:val="0"/>
      <w:marTop w:val="0"/>
      <w:marBottom w:val="0"/>
      <w:divBdr>
        <w:top w:val="none" w:sz="0" w:space="0" w:color="auto"/>
        <w:left w:val="none" w:sz="0" w:space="0" w:color="auto"/>
        <w:bottom w:val="none" w:sz="0" w:space="0" w:color="auto"/>
        <w:right w:val="none" w:sz="0" w:space="0" w:color="auto"/>
      </w:divBdr>
    </w:div>
    <w:div w:id="908881248">
      <w:bodyDiv w:val="1"/>
      <w:marLeft w:val="0"/>
      <w:marRight w:val="0"/>
      <w:marTop w:val="0"/>
      <w:marBottom w:val="0"/>
      <w:divBdr>
        <w:top w:val="none" w:sz="0" w:space="0" w:color="auto"/>
        <w:left w:val="none" w:sz="0" w:space="0" w:color="auto"/>
        <w:bottom w:val="none" w:sz="0" w:space="0" w:color="auto"/>
        <w:right w:val="none" w:sz="0" w:space="0" w:color="auto"/>
      </w:divBdr>
      <w:divsChild>
        <w:div w:id="2114473644">
          <w:marLeft w:val="0"/>
          <w:marRight w:val="0"/>
          <w:marTop w:val="0"/>
          <w:marBottom w:val="0"/>
          <w:divBdr>
            <w:top w:val="none" w:sz="0" w:space="0" w:color="auto"/>
            <w:left w:val="none" w:sz="0" w:space="0" w:color="auto"/>
            <w:bottom w:val="none" w:sz="0" w:space="0" w:color="auto"/>
            <w:right w:val="none" w:sz="0" w:space="0" w:color="auto"/>
          </w:divBdr>
          <w:divsChild>
            <w:div w:id="3360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360705">
      <w:bodyDiv w:val="1"/>
      <w:marLeft w:val="0"/>
      <w:marRight w:val="0"/>
      <w:marTop w:val="0"/>
      <w:marBottom w:val="0"/>
      <w:divBdr>
        <w:top w:val="none" w:sz="0" w:space="0" w:color="auto"/>
        <w:left w:val="none" w:sz="0" w:space="0" w:color="auto"/>
        <w:bottom w:val="none" w:sz="0" w:space="0" w:color="auto"/>
        <w:right w:val="none" w:sz="0" w:space="0" w:color="auto"/>
      </w:divBdr>
    </w:div>
    <w:div w:id="926381062">
      <w:bodyDiv w:val="1"/>
      <w:marLeft w:val="0"/>
      <w:marRight w:val="0"/>
      <w:marTop w:val="0"/>
      <w:marBottom w:val="0"/>
      <w:divBdr>
        <w:top w:val="none" w:sz="0" w:space="0" w:color="auto"/>
        <w:left w:val="none" w:sz="0" w:space="0" w:color="auto"/>
        <w:bottom w:val="none" w:sz="0" w:space="0" w:color="auto"/>
        <w:right w:val="none" w:sz="0" w:space="0" w:color="auto"/>
      </w:divBdr>
    </w:div>
    <w:div w:id="940991200">
      <w:bodyDiv w:val="1"/>
      <w:marLeft w:val="0"/>
      <w:marRight w:val="0"/>
      <w:marTop w:val="0"/>
      <w:marBottom w:val="0"/>
      <w:divBdr>
        <w:top w:val="none" w:sz="0" w:space="0" w:color="auto"/>
        <w:left w:val="none" w:sz="0" w:space="0" w:color="auto"/>
        <w:bottom w:val="none" w:sz="0" w:space="0" w:color="auto"/>
        <w:right w:val="none" w:sz="0" w:space="0" w:color="auto"/>
      </w:divBdr>
      <w:divsChild>
        <w:div w:id="41101787">
          <w:marLeft w:val="0"/>
          <w:marRight w:val="0"/>
          <w:marTop w:val="0"/>
          <w:marBottom w:val="0"/>
          <w:divBdr>
            <w:top w:val="none" w:sz="0" w:space="0" w:color="auto"/>
            <w:left w:val="none" w:sz="0" w:space="0" w:color="auto"/>
            <w:bottom w:val="none" w:sz="0" w:space="0" w:color="auto"/>
            <w:right w:val="none" w:sz="0" w:space="0" w:color="auto"/>
          </w:divBdr>
          <w:divsChild>
            <w:div w:id="573858646">
              <w:marLeft w:val="0"/>
              <w:marRight w:val="0"/>
              <w:marTop w:val="0"/>
              <w:marBottom w:val="0"/>
              <w:divBdr>
                <w:top w:val="none" w:sz="0" w:space="0" w:color="auto"/>
                <w:left w:val="none" w:sz="0" w:space="0" w:color="auto"/>
                <w:bottom w:val="none" w:sz="0" w:space="0" w:color="auto"/>
                <w:right w:val="none" w:sz="0" w:space="0" w:color="auto"/>
              </w:divBdr>
              <w:divsChild>
                <w:div w:id="1509252173">
                  <w:marLeft w:val="0"/>
                  <w:marRight w:val="0"/>
                  <w:marTop w:val="0"/>
                  <w:marBottom w:val="0"/>
                  <w:divBdr>
                    <w:top w:val="none" w:sz="0" w:space="0" w:color="auto"/>
                    <w:left w:val="none" w:sz="0" w:space="0" w:color="auto"/>
                    <w:bottom w:val="none" w:sz="0" w:space="0" w:color="auto"/>
                    <w:right w:val="none" w:sz="0" w:space="0" w:color="auto"/>
                  </w:divBdr>
                  <w:divsChild>
                    <w:div w:id="204914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978642">
      <w:bodyDiv w:val="1"/>
      <w:marLeft w:val="0"/>
      <w:marRight w:val="0"/>
      <w:marTop w:val="0"/>
      <w:marBottom w:val="0"/>
      <w:divBdr>
        <w:top w:val="none" w:sz="0" w:space="0" w:color="auto"/>
        <w:left w:val="none" w:sz="0" w:space="0" w:color="auto"/>
        <w:bottom w:val="none" w:sz="0" w:space="0" w:color="auto"/>
        <w:right w:val="none" w:sz="0" w:space="0" w:color="auto"/>
      </w:divBdr>
      <w:divsChild>
        <w:div w:id="523592112">
          <w:marLeft w:val="0"/>
          <w:marRight w:val="0"/>
          <w:marTop w:val="0"/>
          <w:marBottom w:val="0"/>
          <w:divBdr>
            <w:top w:val="none" w:sz="0" w:space="0" w:color="auto"/>
            <w:left w:val="none" w:sz="0" w:space="0" w:color="auto"/>
            <w:bottom w:val="none" w:sz="0" w:space="0" w:color="auto"/>
            <w:right w:val="none" w:sz="0" w:space="0" w:color="auto"/>
          </w:divBdr>
          <w:divsChild>
            <w:div w:id="41515337">
              <w:marLeft w:val="0"/>
              <w:marRight w:val="0"/>
              <w:marTop w:val="0"/>
              <w:marBottom w:val="0"/>
              <w:divBdr>
                <w:top w:val="none" w:sz="0" w:space="0" w:color="auto"/>
                <w:left w:val="none" w:sz="0" w:space="0" w:color="auto"/>
                <w:bottom w:val="none" w:sz="0" w:space="0" w:color="auto"/>
                <w:right w:val="none" w:sz="0" w:space="0" w:color="auto"/>
              </w:divBdr>
              <w:divsChild>
                <w:div w:id="1487747683">
                  <w:marLeft w:val="0"/>
                  <w:marRight w:val="0"/>
                  <w:marTop w:val="0"/>
                  <w:marBottom w:val="0"/>
                  <w:divBdr>
                    <w:top w:val="none" w:sz="0" w:space="0" w:color="auto"/>
                    <w:left w:val="none" w:sz="0" w:space="0" w:color="auto"/>
                    <w:bottom w:val="none" w:sz="0" w:space="0" w:color="auto"/>
                    <w:right w:val="none" w:sz="0" w:space="0" w:color="auto"/>
                  </w:divBdr>
                  <w:divsChild>
                    <w:div w:id="1612125011">
                      <w:marLeft w:val="0"/>
                      <w:marRight w:val="0"/>
                      <w:marTop w:val="0"/>
                      <w:marBottom w:val="0"/>
                      <w:divBdr>
                        <w:top w:val="none" w:sz="0" w:space="0" w:color="auto"/>
                        <w:left w:val="none" w:sz="0" w:space="0" w:color="auto"/>
                        <w:bottom w:val="none" w:sz="0" w:space="0" w:color="auto"/>
                        <w:right w:val="none" w:sz="0" w:space="0" w:color="auto"/>
                      </w:divBdr>
                      <w:divsChild>
                        <w:div w:id="1190532357">
                          <w:marLeft w:val="0"/>
                          <w:marRight w:val="0"/>
                          <w:marTop w:val="0"/>
                          <w:marBottom w:val="0"/>
                          <w:divBdr>
                            <w:top w:val="none" w:sz="0" w:space="0" w:color="auto"/>
                            <w:left w:val="none" w:sz="0" w:space="0" w:color="auto"/>
                            <w:bottom w:val="none" w:sz="0" w:space="0" w:color="auto"/>
                            <w:right w:val="none" w:sz="0" w:space="0" w:color="auto"/>
                          </w:divBdr>
                          <w:divsChild>
                            <w:div w:id="390009345">
                              <w:marLeft w:val="0"/>
                              <w:marRight w:val="0"/>
                              <w:marTop w:val="0"/>
                              <w:marBottom w:val="0"/>
                              <w:divBdr>
                                <w:top w:val="none" w:sz="0" w:space="0" w:color="auto"/>
                                <w:left w:val="none" w:sz="0" w:space="0" w:color="auto"/>
                                <w:bottom w:val="none" w:sz="0" w:space="0" w:color="auto"/>
                                <w:right w:val="none" w:sz="0" w:space="0" w:color="auto"/>
                              </w:divBdr>
                              <w:divsChild>
                                <w:div w:id="46867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109592">
      <w:bodyDiv w:val="1"/>
      <w:marLeft w:val="0"/>
      <w:marRight w:val="0"/>
      <w:marTop w:val="0"/>
      <w:marBottom w:val="0"/>
      <w:divBdr>
        <w:top w:val="none" w:sz="0" w:space="0" w:color="auto"/>
        <w:left w:val="none" w:sz="0" w:space="0" w:color="auto"/>
        <w:bottom w:val="none" w:sz="0" w:space="0" w:color="auto"/>
        <w:right w:val="none" w:sz="0" w:space="0" w:color="auto"/>
      </w:divBdr>
      <w:divsChild>
        <w:div w:id="1195073998">
          <w:marLeft w:val="0"/>
          <w:marRight w:val="0"/>
          <w:marTop w:val="0"/>
          <w:marBottom w:val="0"/>
          <w:divBdr>
            <w:top w:val="none" w:sz="0" w:space="0" w:color="auto"/>
            <w:left w:val="none" w:sz="0" w:space="0" w:color="auto"/>
            <w:bottom w:val="none" w:sz="0" w:space="0" w:color="auto"/>
            <w:right w:val="none" w:sz="0" w:space="0" w:color="auto"/>
          </w:divBdr>
          <w:divsChild>
            <w:div w:id="24415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429753">
      <w:bodyDiv w:val="1"/>
      <w:marLeft w:val="0"/>
      <w:marRight w:val="0"/>
      <w:marTop w:val="0"/>
      <w:marBottom w:val="0"/>
      <w:divBdr>
        <w:top w:val="none" w:sz="0" w:space="0" w:color="auto"/>
        <w:left w:val="none" w:sz="0" w:space="0" w:color="auto"/>
        <w:bottom w:val="none" w:sz="0" w:space="0" w:color="auto"/>
        <w:right w:val="none" w:sz="0" w:space="0" w:color="auto"/>
      </w:divBdr>
      <w:divsChild>
        <w:div w:id="1324353022">
          <w:marLeft w:val="0"/>
          <w:marRight w:val="0"/>
          <w:marTop w:val="0"/>
          <w:marBottom w:val="0"/>
          <w:divBdr>
            <w:top w:val="none" w:sz="0" w:space="0" w:color="auto"/>
            <w:left w:val="none" w:sz="0" w:space="0" w:color="auto"/>
            <w:bottom w:val="none" w:sz="0" w:space="0" w:color="auto"/>
            <w:right w:val="none" w:sz="0" w:space="0" w:color="auto"/>
          </w:divBdr>
          <w:divsChild>
            <w:div w:id="1842115704">
              <w:marLeft w:val="0"/>
              <w:marRight w:val="0"/>
              <w:marTop w:val="0"/>
              <w:marBottom w:val="0"/>
              <w:divBdr>
                <w:top w:val="none" w:sz="0" w:space="0" w:color="auto"/>
                <w:left w:val="none" w:sz="0" w:space="0" w:color="auto"/>
                <w:bottom w:val="none" w:sz="0" w:space="0" w:color="auto"/>
                <w:right w:val="none" w:sz="0" w:space="0" w:color="auto"/>
              </w:divBdr>
            </w:div>
          </w:divsChild>
        </w:div>
        <w:div w:id="774399596">
          <w:marLeft w:val="0"/>
          <w:marRight w:val="0"/>
          <w:marTop w:val="0"/>
          <w:marBottom w:val="0"/>
          <w:divBdr>
            <w:top w:val="none" w:sz="0" w:space="0" w:color="auto"/>
            <w:left w:val="none" w:sz="0" w:space="0" w:color="auto"/>
            <w:bottom w:val="none" w:sz="0" w:space="0" w:color="auto"/>
            <w:right w:val="none" w:sz="0" w:space="0" w:color="auto"/>
          </w:divBdr>
          <w:divsChild>
            <w:div w:id="207214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85853">
      <w:bodyDiv w:val="1"/>
      <w:marLeft w:val="0"/>
      <w:marRight w:val="0"/>
      <w:marTop w:val="0"/>
      <w:marBottom w:val="0"/>
      <w:divBdr>
        <w:top w:val="none" w:sz="0" w:space="0" w:color="auto"/>
        <w:left w:val="none" w:sz="0" w:space="0" w:color="auto"/>
        <w:bottom w:val="none" w:sz="0" w:space="0" w:color="auto"/>
        <w:right w:val="none" w:sz="0" w:space="0" w:color="auto"/>
      </w:divBdr>
    </w:div>
    <w:div w:id="1001472823">
      <w:bodyDiv w:val="1"/>
      <w:marLeft w:val="0"/>
      <w:marRight w:val="0"/>
      <w:marTop w:val="0"/>
      <w:marBottom w:val="0"/>
      <w:divBdr>
        <w:top w:val="none" w:sz="0" w:space="0" w:color="auto"/>
        <w:left w:val="none" w:sz="0" w:space="0" w:color="auto"/>
        <w:bottom w:val="none" w:sz="0" w:space="0" w:color="auto"/>
        <w:right w:val="none" w:sz="0" w:space="0" w:color="auto"/>
      </w:divBdr>
      <w:divsChild>
        <w:div w:id="72092057">
          <w:marLeft w:val="0"/>
          <w:marRight w:val="0"/>
          <w:marTop w:val="0"/>
          <w:marBottom w:val="0"/>
          <w:divBdr>
            <w:top w:val="none" w:sz="0" w:space="0" w:color="auto"/>
            <w:left w:val="none" w:sz="0" w:space="0" w:color="auto"/>
            <w:bottom w:val="none" w:sz="0" w:space="0" w:color="auto"/>
            <w:right w:val="none" w:sz="0" w:space="0" w:color="auto"/>
          </w:divBdr>
          <w:divsChild>
            <w:div w:id="1193424306">
              <w:marLeft w:val="0"/>
              <w:marRight w:val="0"/>
              <w:marTop w:val="0"/>
              <w:marBottom w:val="0"/>
              <w:divBdr>
                <w:top w:val="none" w:sz="0" w:space="0" w:color="auto"/>
                <w:left w:val="none" w:sz="0" w:space="0" w:color="auto"/>
                <w:bottom w:val="none" w:sz="0" w:space="0" w:color="auto"/>
                <w:right w:val="none" w:sz="0" w:space="0" w:color="auto"/>
              </w:divBdr>
            </w:div>
          </w:divsChild>
        </w:div>
        <w:div w:id="1995065334">
          <w:marLeft w:val="0"/>
          <w:marRight w:val="0"/>
          <w:marTop w:val="0"/>
          <w:marBottom w:val="0"/>
          <w:divBdr>
            <w:top w:val="none" w:sz="0" w:space="0" w:color="auto"/>
            <w:left w:val="none" w:sz="0" w:space="0" w:color="auto"/>
            <w:bottom w:val="none" w:sz="0" w:space="0" w:color="auto"/>
            <w:right w:val="none" w:sz="0" w:space="0" w:color="auto"/>
          </w:divBdr>
          <w:divsChild>
            <w:div w:id="101708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62869">
      <w:bodyDiv w:val="1"/>
      <w:marLeft w:val="0"/>
      <w:marRight w:val="0"/>
      <w:marTop w:val="0"/>
      <w:marBottom w:val="0"/>
      <w:divBdr>
        <w:top w:val="none" w:sz="0" w:space="0" w:color="auto"/>
        <w:left w:val="none" w:sz="0" w:space="0" w:color="auto"/>
        <w:bottom w:val="none" w:sz="0" w:space="0" w:color="auto"/>
        <w:right w:val="none" w:sz="0" w:space="0" w:color="auto"/>
      </w:divBdr>
      <w:divsChild>
        <w:div w:id="345064738">
          <w:marLeft w:val="0"/>
          <w:marRight w:val="0"/>
          <w:marTop w:val="0"/>
          <w:marBottom w:val="0"/>
          <w:divBdr>
            <w:top w:val="none" w:sz="0" w:space="0" w:color="auto"/>
            <w:left w:val="none" w:sz="0" w:space="0" w:color="auto"/>
            <w:bottom w:val="none" w:sz="0" w:space="0" w:color="auto"/>
            <w:right w:val="none" w:sz="0" w:space="0" w:color="auto"/>
          </w:divBdr>
          <w:divsChild>
            <w:div w:id="10763445">
              <w:marLeft w:val="0"/>
              <w:marRight w:val="0"/>
              <w:marTop w:val="0"/>
              <w:marBottom w:val="0"/>
              <w:divBdr>
                <w:top w:val="none" w:sz="0" w:space="0" w:color="auto"/>
                <w:left w:val="none" w:sz="0" w:space="0" w:color="auto"/>
                <w:bottom w:val="none" w:sz="0" w:space="0" w:color="auto"/>
                <w:right w:val="none" w:sz="0" w:space="0" w:color="auto"/>
              </w:divBdr>
              <w:divsChild>
                <w:div w:id="920718774">
                  <w:marLeft w:val="0"/>
                  <w:marRight w:val="0"/>
                  <w:marTop w:val="0"/>
                  <w:marBottom w:val="0"/>
                  <w:divBdr>
                    <w:top w:val="none" w:sz="0" w:space="0" w:color="auto"/>
                    <w:left w:val="none" w:sz="0" w:space="0" w:color="auto"/>
                    <w:bottom w:val="none" w:sz="0" w:space="0" w:color="auto"/>
                    <w:right w:val="none" w:sz="0" w:space="0" w:color="auto"/>
                  </w:divBdr>
                  <w:divsChild>
                    <w:div w:id="240674764">
                      <w:marLeft w:val="0"/>
                      <w:marRight w:val="0"/>
                      <w:marTop w:val="0"/>
                      <w:marBottom w:val="0"/>
                      <w:divBdr>
                        <w:top w:val="none" w:sz="0" w:space="0" w:color="auto"/>
                        <w:left w:val="none" w:sz="0" w:space="0" w:color="auto"/>
                        <w:bottom w:val="none" w:sz="0" w:space="0" w:color="auto"/>
                        <w:right w:val="none" w:sz="0" w:space="0" w:color="auto"/>
                      </w:divBdr>
                      <w:divsChild>
                        <w:div w:id="1933511841">
                          <w:marLeft w:val="0"/>
                          <w:marRight w:val="0"/>
                          <w:marTop w:val="0"/>
                          <w:marBottom w:val="0"/>
                          <w:divBdr>
                            <w:top w:val="none" w:sz="0" w:space="0" w:color="auto"/>
                            <w:left w:val="none" w:sz="0" w:space="0" w:color="auto"/>
                            <w:bottom w:val="none" w:sz="0" w:space="0" w:color="auto"/>
                            <w:right w:val="none" w:sz="0" w:space="0" w:color="auto"/>
                          </w:divBdr>
                          <w:divsChild>
                            <w:div w:id="163152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483628">
      <w:bodyDiv w:val="1"/>
      <w:marLeft w:val="0"/>
      <w:marRight w:val="0"/>
      <w:marTop w:val="0"/>
      <w:marBottom w:val="0"/>
      <w:divBdr>
        <w:top w:val="none" w:sz="0" w:space="0" w:color="auto"/>
        <w:left w:val="none" w:sz="0" w:space="0" w:color="auto"/>
        <w:bottom w:val="none" w:sz="0" w:space="0" w:color="auto"/>
        <w:right w:val="none" w:sz="0" w:space="0" w:color="auto"/>
      </w:divBdr>
      <w:divsChild>
        <w:div w:id="1466700950">
          <w:marLeft w:val="0"/>
          <w:marRight w:val="0"/>
          <w:marTop w:val="0"/>
          <w:marBottom w:val="0"/>
          <w:divBdr>
            <w:top w:val="none" w:sz="0" w:space="0" w:color="auto"/>
            <w:left w:val="none" w:sz="0" w:space="0" w:color="auto"/>
            <w:bottom w:val="none" w:sz="0" w:space="0" w:color="auto"/>
            <w:right w:val="none" w:sz="0" w:space="0" w:color="auto"/>
          </w:divBdr>
          <w:divsChild>
            <w:div w:id="15068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446359">
      <w:bodyDiv w:val="1"/>
      <w:marLeft w:val="0"/>
      <w:marRight w:val="0"/>
      <w:marTop w:val="0"/>
      <w:marBottom w:val="0"/>
      <w:divBdr>
        <w:top w:val="none" w:sz="0" w:space="0" w:color="auto"/>
        <w:left w:val="none" w:sz="0" w:space="0" w:color="auto"/>
        <w:bottom w:val="none" w:sz="0" w:space="0" w:color="auto"/>
        <w:right w:val="none" w:sz="0" w:space="0" w:color="auto"/>
      </w:divBdr>
    </w:div>
    <w:div w:id="1061060006">
      <w:bodyDiv w:val="1"/>
      <w:marLeft w:val="0"/>
      <w:marRight w:val="0"/>
      <w:marTop w:val="0"/>
      <w:marBottom w:val="0"/>
      <w:divBdr>
        <w:top w:val="none" w:sz="0" w:space="0" w:color="auto"/>
        <w:left w:val="none" w:sz="0" w:space="0" w:color="auto"/>
        <w:bottom w:val="none" w:sz="0" w:space="0" w:color="auto"/>
        <w:right w:val="none" w:sz="0" w:space="0" w:color="auto"/>
      </w:divBdr>
    </w:div>
    <w:div w:id="1149632528">
      <w:bodyDiv w:val="1"/>
      <w:marLeft w:val="0"/>
      <w:marRight w:val="0"/>
      <w:marTop w:val="0"/>
      <w:marBottom w:val="0"/>
      <w:divBdr>
        <w:top w:val="none" w:sz="0" w:space="0" w:color="auto"/>
        <w:left w:val="none" w:sz="0" w:space="0" w:color="auto"/>
        <w:bottom w:val="none" w:sz="0" w:space="0" w:color="auto"/>
        <w:right w:val="none" w:sz="0" w:space="0" w:color="auto"/>
      </w:divBdr>
    </w:div>
    <w:div w:id="1159617203">
      <w:bodyDiv w:val="1"/>
      <w:marLeft w:val="0"/>
      <w:marRight w:val="0"/>
      <w:marTop w:val="0"/>
      <w:marBottom w:val="0"/>
      <w:divBdr>
        <w:top w:val="none" w:sz="0" w:space="0" w:color="auto"/>
        <w:left w:val="none" w:sz="0" w:space="0" w:color="auto"/>
        <w:bottom w:val="none" w:sz="0" w:space="0" w:color="auto"/>
        <w:right w:val="none" w:sz="0" w:space="0" w:color="auto"/>
      </w:divBdr>
      <w:divsChild>
        <w:div w:id="2059358022">
          <w:marLeft w:val="0"/>
          <w:marRight w:val="0"/>
          <w:marTop w:val="0"/>
          <w:marBottom w:val="0"/>
          <w:divBdr>
            <w:top w:val="none" w:sz="0" w:space="0" w:color="auto"/>
            <w:left w:val="none" w:sz="0" w:space="0" w:color="auto"/>
            <w:bottom w:val="none" w:sz="0" w:space="0" w:color="auto"/>
            <w:right w:val="none" w:sz="0" w:space="0" w:color="auto"/>
          </w:divBdr>
          <w:divsChild>
            <w:div w:id="1160535443">
              <w:marLeft w:val="0"/>
              <w:marRight w:val="0"/>
              <w:marTop w:val="0"/>
              <w:marBottom w:val="0"/>
              <w:divBdr>
                <w:top w:val="none" w:sz="0" w:space="0" w:color="auto"/>
                <w:left w:val="none" w:sz="0" w:space="0" w:color="auto"/>
                <w:bottom w:val="none" w:sz="0" w:space="0" w:color="auto"/>
                <w:right w:val="none" w:sz="0" w:space="0" w:color="auto"/>
              </w:divBdr>
              <w:divsChild>
                <w:div w:id="284628044">
                  <w:marLeft w:val="0"/>
                  <w:marRight w:val="0"/>
                  <w:marTop w:val="0"/>
                  <w:marBottom w:val="0"/>
                  <w:divBdr>
                    <w:top w:val="none" w:sz="0" w:space="0" w:color="auto"/>
                    <w:left w:val="none" w:sz="0" w:space="0" w:color="auto"/>
                    <w:bottom w:val="none" w:sz="0" w:space="0" w:color="auto"/>
                    <w:right w:val="none" w:sz="0" w:space="0" w:color="auto"/>
                  </w:divBdr>
                  <w:divsChild>
                    <w:div w:id="571428646">
                      <w:marLeft w:val="0"/>
                      <w:marRight w:val="0"/>
                      <w:marTop w:val="0"/>
                      <w:marBottom w:val="0"/>
                      <w:divBdr>
                        <w:top w:val="none" w:sz="0" w:space="0" w:color="auto"/>
                        <w:left w:val="none" w:sz="0" w:space="0" w:color="auto"/>
                        <w:bottom w:val="none" w:sz="0" w:space="0" w:color="auto"/>
                        <w:right w:val="none" w:sz="0" w:space="0" w:color="auto"/>
                      </w:divBdr>
                      <w:divsChild>
                        <w:div w:id="1831553063">
                          <w:marLeft w:val="0"/>
                          <w:marRight w:val="0"/>
                          <w:marTop w:val="0"/>
                          <w:marBottom w:val="0"/>
                          <w:divBdr>
                            <w:top w:val="none" w:sz="0" w:space="0" w:color="auto"/>
                            <w:left w:val="none" w:sz="0" w:space="0" w:color="auto"/>
                            <w:bottom w:val="none" w:sz="0" w:space="0" w:color="auto"/>
                            <w:right w:val="none" w:sz="0" w:space="0" w:color="auto"/>
                          </w:divBdr>
                          <w:divsChild>
                            <w:div w:id="1150904040">
                              <w:marLeft w:val="0"/>
                              <w:marRight w:val="0"/>
                              <w:marTop w:val="0"/>
                              <w:marBottom w:val="0"/>
                              <w:divBdr>
                                <w:top w:val="none" w:sz="0" w:space="0" w:color="auto"/>
                                <w:left w:val="none" w:sz="0" w:space="0" w:color="auto"/>
                                <w:bottom w:val="none" w:sz="0" w:space="0" w:color="auto"/>
                                <w:right w:val="none" w:sz="0" w:space="0" w:color="auto"/>
                              </w:divBdr>
                              <w:divsChild>
                                <w:div w:id="1792700452">
                                  <w:marLeft w:val="0"/>
                                  <w:marRight w:val="0"/>
                                  <w:marTop w:val="0"/>
                                  <w:marBottom w:val="0"/>
                                  <w:divBdr>
                                    <w:top w:val="none" w:sz="0" w:space="0" w:color="auto"/>
                                    <w:left w:val="none" w:sz="0" w:space="0" w:color="auto"/>
                                    <w:bottom w:val="none" w:sz="0" w:space="0" w:color="auto"/>
                                    <w:right w:val="none" w:sz="0" w:space="0" w:color="auto"/>
                                  </w:divBdr>
                                  <w:divsChild>
                                    <w:div w:id="168836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826898">
      <w:bodyDiv w:val="1"/>
      <w:marLeft w:val="0"/>
      <w:marRight w:val="0"/>
      <w:marTop w:val="0"/>
      <w:marBottom w:val="0"/>
      <w:divBdr>
        <w:top w:val="none" w:sz="0" w:space="0" w:color="auto"/>
        <w:left w:val="none" w:sz="0" w:space="0" w:color="auto"/>
        <w:bottom w:val="none" w:sz="0" w:space="0" w:color="auto"/>
        <w:right w:val="none" w:sz="0" w:space="0" w:color="auto"/>
      </w:divBdr>
      <w:divsChild>
        <w:div w:id="2117366163">
          <w:marLeft w:val="0"/>
          <w:marRight w:val="0"/>
          <w:marTop w:val="0"/>
          <w:marBottom w:val="0"/>
          <w:divBdr>
            <w:top w:val="none" w:sz="0" w:space="0" w:color="auto"/>
            <w:left w:val="none" w:sz="0" w:space="0" w:color="auto"/>
            <w:bottom w:val="none" w:sz="0" w:space="0" w:color="auto"/>
            <w:right w:val="none" w:sz="0" w:space="0" w:color="auto"/>
          </w:divBdr>
          <w:divsChild>
            <w:div w:id="204220602">
              <w:marLeft w:val="0"/>
              <w:marRight w:val="0"/>
              <w:marTop w:val="0"/>
              <w:marBottom w:val="0"/>
              <w:divBdr>
                <w:top w:val="none" w:sz="0" w:space="0" w:color="auto"/>
                <w:left w:val="none" w:sz="0" w:space="0" w:color="auto"/>
                <w:bottom w:val="none" w:sz="0" w:space="0" w:color="auto"/>
                <w:right w:val="none" w:sz="0" w:space="0" w:color="auto"/>
              </w:divBdr>
              <w:divsChild>
                <w:div w:id="1043864058">
                  <w:marLeft w:val="0"/>
                  <w:marRight w:val="0"/>
                  <w:marTop w:val="0"/>
                  <w:marBottom w:val="0"/>
                  <w:divBdr>
                    <w:top w:val="none" w:sz="0" w:space="0" w:color="auto"/>
                    <w:left w:val="none" w:sz="0" w:space="0" w:color="auto"/>
                    <w:bottom w:val="none" w:sz="0" w:space="0" w:color="auto"/>
                    <w:right w:val="none" w:sz="0" w:space="0" w:color="auto"/>
                  </w:divBdr>
                  <w:divsChild>
                    <w:div w:id="1060439706">
                      <w:marLeft w:val="0"/>
                      <w:marRight w:val="0"/>
                      <w:marTop w:val="0"/>
                      <w:marBottom w:val="0"/>
                      <w:divBdr>
                        <w:top w:val="none" w:sz="0" w:space="0" w:color="auto"/>
                        <w:left w:val="none" w:sz="0" w:space="0" w:color="auto"/>
                        <w:bottom w:val="none" w:sz="0" w:space="0" w:color="auto"/>
                        <w:right w:val="none" w:sz="0" w:space="0" w:color="auto"/>
                      </w:divBdr>
                      <w:divsChild>
                        <w:div w:id="1092707030">
                          <w:marLeft w:val="0"/>
                          <w:marRight w:val="0"/>
                          <w:marTop w:val="0"/>
                          <w:marBottom w:val="0"/>
                          <w:divBdr>
                            <w:top w:val="none" w:sz="0" w:space="0" w:color="auto"/>
                            <w:left w:val="none" w:sz="0" w:space="0" w:color="auto"/>
                            <w:bottom w:val="none" w:sz="0" w:space="0" w:color="auto"/>
                            <w:right w:val="none" w:sz="0" w:space="0" w:color="auto"/>
                          </w:divBdr>
                          <w:divsChild>
                            <w:div w:id="1804154528">
                              <w:marLeft w:val="0"/>
                              <w:marRight w:val="0"/>
                              <w:marTop w:val="0"/>
                              <w:marBottom w:val="0"/>
                              <w:divBdr>
                                <w:top w:val="none" w:sz="0" w:space="0" w:color="auto"/>
                                <w:left w:val="none" w:sz="0" w:space="0" w:color="auto"/>
                                <w:bottom w:val="none" w:sz="0" w:space="0" w:color="auto"/>
                                <w:right w:val="none" w:sz="0" w:space="0" w:color="auto"/>
                              </w:divBdr>
                              <w:divsChild>
                                <w:div w:id="9962749">
                                  <w:marLeft w:val="0"/>
                                  <w:marRight w:val="0"/>
                                  <w:marTop w:val="0"/>
                                  <w:marBottom w:val="0"/>
                                  <w:divBdr>
                                    <w:top w:val="none" w:sz="0" w:space="0" w:color="auto"/>
                                    <w:left w:val="none" w:sz="0" w:space="0" w:color="auto"/>
                                    <w:bottom w:val="none" w:sz="0" w:space="0" w:color="auto"/>
                                    <w:right w:val="none" w:sz="0" w:space="0" w:color="auto"/>
                                  </w:divBdr>
                                  <w:divsChild>
                                    <w:div w:id="121261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878590">
      <w:bodyDiv w:val="1"/>
      <w:marLeft w:val="0"/>
      <w:marRight w:val="0"/>
      <w:marTop w:val="0"/>
      <w:marBottom w:val="0"/>
      <w:divBdr>
        <w:top w:val="none" w:sz="0" w:space="0" w:color="auto"/>
        <w:left w:val="none" w:sz="0" w:space="0" w:color="auto"/>
        <w:bottom w:val="none" w:sz="0" w:space="0" w:color="auto"/>
        <w:right w:val="none" w:sz="0" w:space="0" w:color="auto"/>
      </w:divBdr>
      <w:divsChild>
        <w:div w:id="1448545970">
          <w:marLeft w:val="0"/>
          <w:marRight w:val="0"/>
          <w:marTop w:val="0"/>
          <w:marBottom w:val="0"/>
          <w:divBdr>
            <w:top w:val="none" w:sz="0" w:space="0" w:color="auto"/>
            <w:left w:val="none" w:sz="0" w:space="0" w:color="auto"/>
            <w:bottom w:val="none" w:sz="0" w:space="0" w:color="auto"/>
            <w:right w:val="none" w:sz="0" w:space="0" w:color="auto"/>
          </w:divBdr>
          <w:divsChild>
            <w:div w:id="55798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51904">
      <w:bodyDiv w:val="1"/>
      <w:marLeft w:val="0"/>
      <w:marRight w:val="0"/>
      <w:marTop w:val="0"/>
      <w:marBottom w:val="0"/>
      <w:divBdr>
        <w:top w:val="none" w:sz="0" w:space="0" w:color="auto"/>
        <w:left w:val="none" w:sz="0" w:space="0" w:color="auto"/>
        <w:bottom w:val="none" w:sz="0" w:space="0" w:color="auto"/>
        <w:right w:val="none" w:sz="0" w:space="0" w:color="auto"/>
      </w:divBdr>
      <w:divsChild>
        <w:div w:id="226381334">
          <w:marLeft w:val="0"/>
          <w:marRight w:val="0"/>
          <w:marTop w:val="0"/>
          <w:marBottom w:val="0"/>
          <w:divBdr>
            <w:top w:val="none" w:sz="0" w:space="0" w:color="auto"/>
            <w:left w:val="none" w:sz="0" w:space="0" w:color="auto"/>
            <w:bottom w:val="none" w:sz="0" w:space="0" w:color="auto"/>
            <w:right w:val="none" w:sz="0" w:space="0" w:color="auto"/>
          </w:divBdr>
          <w:divsChild>
            <w:div w:id="177408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137705">
      <w:bodyDiv w:val="1"/>
      <w:marLeft w:val="0"/>
      <w:marRight w:val="0"/>
      <w:marTop w:val="0"/>
      <w:marBottom w:val="0"/>
      <w:divBdr>
        <w:top w:val="none" w:sz="0" w:space="0" w:color="auto"/>
        <w:left w:val="none" w:sz="0" w:space="0" w:color="auto"/>
        <w:bottom w:val="none" w:sz="0" w:space="0" w:color="auto"/>
        <w:right w:val="none" w:sz="0" w:space="0" w:color="auto"/>
      </w:divBdr>
    </w:div>
    <w:div w:id="1246914615">
      <w:bodyDiv w:val="1"/>
      <w:marLeft w:val="0"/>
      <w:marRight w:val="0"/>
      <w:marTop w:val="0"/>
      <w:marBottom w:val="0"/>
      <w:divBdr>
        <w:top w:val="none" w:sz="0" w:space="0" w:color="auto"/>
        <w:left w:val="none" w:sz="0" w:space="0" w:color="auto"/>
        <w:bottom w:val="none" w:sz="0" w:space="0" w:color="auto"/>
        <w:right w:val="none" w:sz="0" w:space="0" w:color="auto"/>
      </w:divBdr>
      <w:divsChild>
        <w:div w:id="2004818839">
          <w:marLeft w:val="0"/>
          <w:marRight w:val="0"/>
          <w:marTop w:val="0"/>
          <w:marBottom w:val="0"/>
          <w:divBdr>
            <w:top w:val="none" w:sz="0" w:space="0" w:color="auto"/>
            <w:left w:val="none" w:sz="0" w:space="0" w:color="auto"/>
            <w:bottom w:val="none" w:sz="0" w:space="0" w:color="auto"/>
            <w:right w:val="none" w:sz="0" w:space="0" w:color="auto"/>
          </w:divBdr>
          <w:divsChild>
            <w:div w:id="1573738872">
              <w:marLeft w:val="0"/>
              <w:marRight w:val="0"/>
              <w:marTop w:val="0"/>
              <w:marBottom w:val="0"/>
              <w:divBdr>
                <w:top w:val="none" w:sz="0" w:space="0" w:color="auto"/>
                <w:left w:val="none" w:sz="0" w:space="0" w:color="auto"/>
                <w:bottom w:val="none" w:sz="0" w:space="0" w:color="auto"/>
                <w:right w:val="none" w:sz="0" w:space="0" w:color="auto"/>
              </w:divBdr>
            </w:div>
          </w:divsChild>
        </w:div>
        <w:div w:id="1100443457">
          <w:marLeft w:val="0"/>
          <w:marRight w:val="0"/>
          <w:marTop w:val="0"/>
          <w:marBottom w:val="0"/>
          <w:divBdr>
            <w:top w:val="none" w:sz="0" w:space="0" w:color="auto"/>
            <w:left w:val="none" w:sz="0" w:space="0" w:color="auto"/>
            <w:bottom w:val="none" w:sz="0" w:space="0" w:color="auto"/>
            <w:right w:val="none" w:sz="0" w:space="0" w:color="auto"/>
          </w:divBdr>
          <w:divsChild>
            <w:div w:id="18835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08753">
      <w:bodyDiv w:val="1"/>
      <w:marLeft w:val="0"/>
      <w:marRight w:val="0"/>
      <w:marTop w:val="0"/>
      <w:marBottom w:val="0"/>
      <w:divBdr>
        <w:top w:val="none" w:sz="0" w:space="0" w:color="auto"/>
        <w:left w:val="none" w:sz="0" w:space="0" w:color="auto"/>
        <w:bottom w:val="none" w:sz="0" w:space="0" w:color="auto"/>
        <w:right w:val="none" w:sz="0" w:space="0" w:color="auto"/>
      </w:divBdr>
    </w:div>
    <w:div w:id="1297368460">
      <w:bodyDiv w:val="1"/>
      <w:marLeft w:val="0"/>
      <w:marRight w:val="0"/>
      <w:marTop w:val="0"/>
      <w:marBottom w:val="0"/>
      <w:divBdr>
        <w:top w:val="none" w:sz="0" w:space="0" w:color="auto"/>
        <w:left w:val="none" w:sz="0" w:space="0" w:color="auto"/>
        <w:bottom w:val="none" w:sz="0" w:space="0" w:color="auto"/>
        <w:right w:val="none" w:sz="0" w:space="0" w:color="auto"/>
      </w:divBdr>
    </w:div>
    <w:div w:id="1302661251">
      <w:bodyDiv w:val="1"/>
      <w:marLeft w:val="0"/>
      <w:marRight w:val="0"/>
      <w:marTop w:val="0"/>
      <w:marBottom w:val="0"/>
      <w:divBdr>
        <w:top w:val="none" w:sz="0" w:space="0" w:color="auto"/>
        <w:left w:val="none" w:sz="0" w:space="0" w:color="auto"/>
        <w:bottom w:val="none" w:sz="0" w:space="0" w:color="auto"/>
        <w:right w:val="none" w:sz="0" w:space="0" w:color="auto"/>
      </w:divBdr>
    </w:div>
    <w:div w:id="1318530259">
      <w:bodyDiv w:val="1"/>
      <w:marLeft w:val="0"/>
      <w:marRight w:val="0"/>
      <w:marTop w:val="0"/>
      <w:marBottom w:val="0"/>
      <w:divBdr>
        <w:top w:val="none" w:sz="0" w:space="0" w:color="auto"/>
        <w:left w:val="none" w:sz="0" w:space="0" w:color="auto"/>
        <w:bottom w:val="none" w:sz="0" w:space="0" w:color="auto"/>
        <w:right w:val="none" w:sz="0" w:space="0" w:color="auto"/>
      </w:divBdr>
    </w:div>
    <w:div w:id="1345286731">
      <w:bodyDiv w:val="1"/>
      <w:marLeft w:val="0"/>
      <w:marRight w:val="0"/>
      <w:marTop w:val="0"/>
      <w:marBottom w:val="0"/>
      <w:divBdr>
        <w:top w:val="none" w:sz="0" w:space="0" w:color="auto"/>
        <w:left w:val="none" w:sz="0" w:space="0" w:color="auto"/>
        <w:bottom w:val="none" w:sz="0" w:space="0" w:color="auto"/>
        <w:right w:val="none" w:sz="0" w:space="0" w:color="auto"/>
      </w:divBdr>
      <w:divsChild>
        <w:div w:id="1365060433">
          <w:marLeft w:val="0"/>
          <w:marRight w:val="0"/>
          <w:marTop w:val="0"/>
          <w:marBottom w:val="0"/>
          <w:divBdr>
            <w:top w:val="none" w:sz="0" w:space="0" w:color="auto"/>
            <w:left w:val="none" w:sz="0" w:space="0" w:color="auto"/>
            <w:bottom w:val="none" w:sz="0" w:space="0" w:color="auto"/>
            <w:right w:val="none" w:sz="0" w:space="0" w:color="auto"/>
          </w:divBdr>
          <w:divsChild>
            <w:div w:id="953757021">
              <w:marLeft w:val="0"/>
              <w:marRight w:val="0"/>
              <w:marTop w:val="0"/>
              <w:marBottom w:val="0"/>
              <w:divBdr>
                <w:top w:val="none" w:sz="0" w:space="0" w:color="auto"/>
                <w:left w:val="none" w:sz="0" w:space="0" w:color="auto"/>
                <w:bottom w:val="none" w:sz="0" w:space="0" w:color="auto"/>
                <w:right w:val="none" w:sz="0" w:space="0" w:color="auto"/>
              </w:divBdr>
              <w:divsChild>
                <w:div w:id="366373303">
                  <w:marLeft w:val="0"/>
                  <w:marRight w:val="0"/>
                  <w:marTop w:val="0"/>
                  <w:marBottom w:val="0"/>
                  <w:divBdr>
                    <w:top w:val="none" w:sz="0" w:space="0" w:color="auto"/>
                    <w:left w:val="none" w:sz="0" w:space="0" w:color="auto"/>
                    <w:bottom w:val="none" w:sz="0" w:space="0" w:color="auto"/>
                    <w:right w:val="none" w:sz="0" w:space="0" w:color="auto"/>
                  </w:divBdr>
                  <w:divsChild>
                    <w:div w:id="1602683998">
                      <w:marLeft w:val="0"/>
                      <w:marRight w:val="0"/>
                      <w:marTop w:val="0"/>
                      <w:marBottom w:val="0"/>
                      <w:divBdr>
                        <w:top w:val="none" w:sz="0" w:space="0" w:color="auto"/>
                        <w:left w:val="none" w:sz="0" w:space="0" w:color="auto"/>
                        <w:bottom w:val="none" w:sz="0" w:space="0" w:color="auto"/>
                        <w:right w:val="none" w:sz="0" w:space="0" w:color="auto"/>
                      </w:divBdr>
                      <w:divsChild>
                        <w:div w:id="1165852230">
                          <w:marLeft w:val="0"/>
                          <w:marRight w:val="0"/>
                          <w:marTop w:val="0"/>
                          <w:marBottom w:val="0"/>
                          <w:divBdr>
                            <w:top w:val="none" w:sz="0" w:space="0" w:color="auto"/>
                            <w:left w:val="none" w:sz="0" w:space="0" w:color="auto"/>
                            <w:bottom w:val="none" w:sz="0" w:space="0" w:color="auto"/>
                            <w:right w:val="none" w:sz="0" w:space="0" w:color="auto"/>
                          </w:divBdr>
                          <w:divsChild>
                            <w:div w:id="407188749">
                              <w:marLeft w:val="0"/>
                              <w:marRight w:val="0"/>
                              <w:marTop w:val="0"/>
                              <w:marBottom w:val="0"/>
                              <w:divBdr>
                                <w:top w:val="none" w:sz="0" w:space="0" w:color="auto"/>
                                <w:left w:val="none" w:sz="0" w:space="0" w:color="auto"/>
                                <w:bottom w:val="none" w:sz="0" w:space="0" w:color="auto"/>
                                <w:right w:val="none" w:sz="0" w:space="0" w:color="auto"/>
                              </w:divBdr>
                              <w:divsChild>
                                <w:div w:id="2006274127">
                                  <w:marLeft w:val="0"/>
                                  <w:marRight w:val="0"/>
                                  <w:marTop w:val="0"/>
                                  <w:marBottom w:val="0"/>
                                  <w:divBdr>
                                    <w:top w:val="none" w:sz="0" w:space="0" w:color="auto"/>
                                    <w:left w:val="none" w:sz="0" w:space="0" w:color="auto"/>
                                    <w:bottom w:val="none" w:sz="0" w:space="0" w:color="auto"/>
                                    <w:right w:val="none" w:sz="0" w:space="0" w:color="auto"/>
                                  </w:divBdr>
                                  <w:divsChild>
                                    <w:div w:id="19432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442222">
      <w:bodyDiv w:val="1"/>
      <w:marLeft w:val="0"/>
      <w:marRight w:val="0"/>
      <w:marTop w:val="0"/>
      <w:marBottom w:val="0"/>
      <w:divBdr>
        <w:top w:val="none" w:sz="0" w:space="0" w:color="auto"/>
        <w:left w:val="none" w:sz="0" w:space="0" w:color="auto"/>
        <w:bottom w:val="none" w:sz="0" w:space="0" w:color="auto"/>
        <w:right w:val="none" w:sz="0" w:space="0" w:color="auto"/>
      </w:divBdr>
      <w:divsChild>
        <w:div w:id="1140346020">
          <w:marLeft w:val="0"/>
          <w:marRight w:val="0"/>
          <w:marTop w:val="0"/>
          <w:marBottom w:val="0"/>
          <w:divBdr>
            <w:top w:val="none" w:sz="0" w:space="0" w:color="auto"/>
            <w:left w:val="none" w:sz="0" w:space="0" w:color="auto"/>
            <w:bottom w:val="none" w:sz="0" w:space="0" w:color="auto"/>
            <w:right w:val="none" w:sz="0" w:space="0" w:color="auto"/>
          </w:divBdr>
          <w:divsChild>
            <w:div w:id="530152268">
              <w:marLeft w:val="0"/>
              <w:marRight w:val="0"/>
              <w:marTop w:val="0"/>
              <w:marBottom w:val="0"/>
              <w:divBdr>
                <w:top w:val="none" w:sz="0" w:space="0" w:color="auto"/>
                <w:left w:val="none" w:sz="0" w:space="0" w:color="auto"/>
                <w:bottom w:val="none" w:sz="0" w:space="0" w:color="auto"/>
                <w:right w:val="none" w:sz="0" w:space="0" w:color="auto"/>
              </w:divBdr>
              <w:divsChild>
                <w:div w:id="881943540">
                  <w:marLeft w:val="0"/>
                  <w:marRight w:val="0"/>
                  <w:marTop w:val="0"/>
                  <w:marBottom w:val="0"/>
                  <w:divBdr>
                    <w:top w:val="none" w:sz="0" w:space="0" w:color="auto"/>
                    <w:left w:val="none" w:sz="0" w:space="0" w:color="auto"/>
                    <w:bottom w:val="none" w:sz="0" w:space="0" w:color="auto"/>
                    <w:right w:val="none" w:sz="0" w:space="0" w:color="auto"/>
                  </w:divBdr>
                  <w:divsChild>
                    <w:div w:id="1703700458">
                      <w:marLeft w:val="0"/>
                      <w:marRight w:val="0"/>
                      <w:marTop w:val="0"/>
                      <w:marBottom w:val="0"/>
                      <w:divBdr>
                        <w:top w:val="none" w:sz="0" w:space="0" w:color="auto"/>
                        <w:left w:val="none" w:sz="0" w:space="0" w:color="auto"/>
                        <w:bottom w:val="none" w:sz="0" w:space="0" w:color="auto"/>
                        <w:right w:val="none" w:sz="0" w:space="0" w:color="auto"/>
                      </w:divBdr>
                      <w:divsChild>
                        <w:div w:id="1447776718">
                          <w:marLeft w:val="0"/>
                          <w:marRight w:val="0"/>
                          <w:marTop w:val="0"/>
                          <w:marBottom w:val="0"/>
                          <w:divBdr>
                            <w:top w:val="none" w:sz="0" w:space="0" w:color="auto"/>
                            <w:left w:val="none" w:sz="0" w:space="0" w:color="auto"/>
                            <w:bottom w:val="none" w:sz="0" w:space="0" w:color="auto"/>
                            <w:right w:val="none" w:sz="0" w:space="0" w:color="auto"/>
                          </w:divBdr>
                          <w:divsChild>
                            <w:div w:id="85342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8024521">
      <w:bodyDiv w:val="1"/>
      <w:marLeft w:val="0"/>
      <w:marRight w:val="0"/>
      <w:marTop w:val="0"/>
      <w:marBottom w:val="0"/>
      <w:divBdr>
        <w:top w:val="none" w:sz="0" w:space="0" w:color="auto"/>
        <w:left w:val="none" w:sz="0" w:space="0" w:color="auto"/>
        <w:bottom w:val="none" w:sz="0" w:space="0" w:color="auto"/>
        <w:right w:val="none" w:sz="0" w:space="0" w:color="auto"/>
      </w:divBdr>
    </w:div>
    <w:div w:id="1362591493">
      <w:bodyDiv w:val="1"/>
      <w:marLeft w:val="0"/>
      <w:marRight w:val="0"/>
      <w:marTop w:val="0"/>
      <w:marBottom w:val="0"/>
      <w:divBdr>
        <w:top w:val="none" w:sz="0" w:space="0" w:color="auto"/>
        <w:left w:val="none" w:sz="0" w:space="0" w:color="auto"/>
        <w:bottom w:val="none" w:sz="0" w:space="0" w:color="auto"/>
        <w:right w:val="none" w:sz="0" w:space="0" w:color="auto"/>
      </w:divBdr>
    </w:div>
    <w:div w:id="1384794254">
      <w:bodyDiv w:val="1"/>
      <w:marLeft w:val="0"/>
      <w:marRight w:val="0"/>
      <w:marTop w:val="0"/>
      <w:marBottom w:val="0"/>
      <w:divBdr>
        <w:top w:val="none" w:sz="0" w:space="0" w:color="auto"/>
        <w:left w:val="none" w:sz="0" w:space="0" w:color="auto"/>
        <w:bottom w:val="none" w:sz="0" w:space="0" w:color="auto"/>
        <w:right w:val="none" w:sz="0" w:space="0" w:color="auto"/>
      </w:divBdr>
    </w:div>
    <w:div w:id="1396004884">
      <w:bodyDiv w:val="1"/>
      <w:marLeft w:val="0"/>
      <w:marRight w:val="0"/>
      <w:marTop w:val="0"/>
      <w:marBottom w:val="0"/>
      <w:divBdr>
        <w:top w:val="none" w:sz="0" w:space="0" w:color="auto"/>
        <w:left w:val="none" w:sz="0" w:space="0" w:color="auto"/>
        <w:bottom w:val="none" w:sz="0" w:space="0" w:color="auto"/>
        <w:right w:val="none" w:sz="0" w:space="0" w:color="auto"/>
      </w:divBdr>
    </w:div>
    <w:div w:id="1414934035">
      <w:bodyDiv w:val="1"/>
      <w:marLeft w:val="0"/>
      <w:marRight w:val="0"/>
      <w:marTop w:val="0"/>
      <w:marBottom w:val="0"/>
      <w:divBdr>
        <w:top w:val="none" w:sz="0" w:space="0" w:color="auto"/>
        <w:left w:val="none" w:sz="0" w:space="0" w:color="auto"/>
        <w:bottom w:val="none" w:sz="0" w:space="0" w:color="auto"/>
        <w:right w:val="none" w:sz="0" w:space="0" w:color="auto"/>
      </w:divBdr>
      <w:divsChild>
        <w:div w:id="1591960997">
          <w:marLeft w:val="0"/>
          <w:marRight w:val="0"/>
          <w:marTop w:val="0"/>
          <w:marBottom w:val="0"/>
          <w:divBdr>
            <w:top w:val="none" w:sz="0" w:space="0" w:color="auto"/>
            <w:left w:val="none" w:sz="0" w:space="0" w:color="auto"/>
            <w:bottom w:val="none" w:sz="0" w:space="0" w:color="auto"/>
            <w:right w:val="none" w:sz="0" w:space="0" w:color="auto"/>
          </w:divBdr>
          <w:divsChild>
            <w:div w:id="1312751652">
              <w:marLeft w:val="0"/>
              <w:marRight w:val="0"/>
              <w:marTop w:val="0"/>
              <w:marBottom w:val="0"/>
              <w:divBdr>
                <w:top w:val="none" w:sz="0" w:space="0" w:color="auto"/>
                <w:left w:val="none" w:sz="0" w:space="0" w:color="auto"/>
                <w:bottom w:val="none" w:sz="0" w:space="0" w:color="auto"/>
                <w:right w:val="none" w:sz="0" w:space="0" w:color="auto"/>
              </w:divBdr>
              <w:divsChild>
                <w:div w:id="1960143461">
                  <w:marLeft w:val="0"/>
                  <w:marRight w:val="0"/>
                  <w:marTop w:val="0"/>
                  <w:marBottom w:val="0"/>
                  <w:divBdr>
                    <w:top w:val="none" w:sz="0" w:space="0" w:color="auto"/>
                    <w:left w:val="none" w:sz="0" w:space="0" w:color="auto"/>
                    <w:bottom w:val="none" w:sz="0" w:space="0" w:color="auto"/>
                    <w:right w:val="none" w:sz="0" w:space="0" w:color="auto"/>
                  </w:divBdr>
                  <w:divsChild>
                    <w:div w:id="118689135">
                      <w:marLeft w:val="0"/>
                      <w:marRight w:val="0"/>
                      <w:marTop w:val="0"/>
                      <w:marBottom w:val="0"/>
                      <w:divBdr>
                        <w:top w:val="none" w:sz="0" w:space="0" w:color="auto"/>
                        <w:left w:val="none" w:sz="0" w:space="0" w:color="auto"/>
                        <w:bottom w:val="none" w:sz="0" w:space="0" w:color="auto"/>
                        <w:right w:val="none" w:sz="0" w:space="0" w:color="auto"/>
                      </w:divBdr>
                      <w:divsChild>
                        <w:div w:id="1562130679">
                          <w:marLeft w:val="0"/>
                          <w:marRight w:val="0"/>
                          <w:marTop w:val="0"/>
                          <w:marBottom w:val="0"/>
                          <w:divBdr>
                            <w:top w:val="none" w:sz="0" w:space="0" w:color="auto"/>
                            <w:left w:val="none" w:sz="0" w:space="0" w:color="auto"/>
                            <w:bottom w:val="none" w:sz="0" w:space="0" w:color="auto"/>
                            <w:right w:val="none" w:sz="0" w:space="0" w:color="auto"/>
                          </w:divBdr>
                          <w:divsChild>
                            <w:div w:id="1268731071">
                              <w:marLeft w:val="0"/>
                              <w:marRight w:val="0"/>
                              <w:marTop w:val="0"/>
                              <w:marBottom w:val="0"/>
                              <w:divBdr>
                                <w:top w:val="none" w:sz="0" w:space="0" w:color="auto"/>
                                <w:left w:val="none" w:sz="0" w:space="0" w:color="auto"/>
                                <w:bottom w:val="none" w:sz="0" w:space="0" w:color="auto"/>
                                <w:right w:val="none" w:sz="0" w:space="0" w:color="auto"/>
                              </w:divBdr>
                              <w:divsChild>
                                <w:div w:id="934509782">
                                  <w:marLeft w:val="0"/>
                                  <w:marRight w:val="0"/>
                                  <w:marTop w:val="0"/>
                                  <w:marBottom w:val="0"/>
                                  <w:divBdr>
                                    <w:top w:val="none" w:sz="0" w:space="0" w:color="auto"/>
                                    <w:left w:val="none" w:sz="0" w:space="0" w:color="auto"/>
                                    <w:bottom w:val="none" w:sz="0" w:space="0" w:color="auto"/>
                                    <w:right w:val="none" w:sz="0" w:space="0" w:color="auto"/>
                                  </w:divBdr>
                                  <w:divsChild>
                                    <w:div w:id="544220477">
                                      <w:marLeft w:val="0"/>
                                      <w:marRight w:val="0"/>
                                      <w:marTop w:val="0"/>
                                      <w:marBottom w:val="0"/>
                                      <w:divBdr>
                                        <w:top w:val="none" w:sz="0" w:space="0" w:color="auto"/>
                                        <w:left w:val="none" w:sz="0" w:space="0" w:color="auto"/>
                                        <w:bottom w:val="none" w:sz="0" w:space="0" w:color="auto"/>
                                        <w:right w:val="none" w:sz="0" w:space="0" w:color="auto"/>
                                      </w:divBdr>
                                      <w:divsChild>
                                        <w:div w:id="175190530">
                                          <w:marLeft w:val="0"/>
                                          <w:marRight w:val="0"/>
                                          <w:marTop w:val="0"/>
                                          <w:marBottom w:val="0"/>
                                          <w:divBdr>
                                            <w:top w:val="none" w:sz="0" w:space="0" w:color="auto"/>
                                            <w:left w:val="none" w:sz="0" w:space="0" w:color="auto"/>
                                            <w:bottom w:val="none" w:sz="0" w:space="0" w:color="auto"/>
                                            <w:right w:val="none" w:sz="0" w:space="0" w:color="auto"/>
                                          </w:divBdr>
                                          <w:divsChild>
                                            <w:div w:id="101646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895833">
          <w:marLeft w:val="0"/>
          <w:marRight w:val="0"/>
          <w:marTop w:val="0"/>
          <w:marBottom w:val="0"/>
          <w:divBdr>
            <w:top w:val="none" w:sz="0" w:space="0" w:color="auto"/>
            <w:left w:val="none" w:sz="0" w:space="0" w:color="auto"/>
            <w:bottom w:val="none" w:sz="0" w:space="0" w:color="auto"/>
            <w:right w:val="none" w:sz="0" w:space="0" w:color="auto"/>
          </w:divBdr>
          <w:divsChild>
            <w:div w:id="506676124">
              <w:marLeft w:val="0"/>
              <w:marRight w:val="0"/>
              <w:marTop w:val="0"/>
              <w:marBottom w:val="0"/>
              <w:divBdr>
                <w:top w:val="none" w:sz="0" w:space="0" w:color="auto"/>
                <w:left w:val="none" w:sz="0" w:space="0" w:color="auto"/>
                <w:bottom w:val="none" w:sz="0" w:space="0" w:color="auto"/>
                <w:right w:val="none" w:sz="0" w:space="0" w:color="auto"/>
              </w:divBdr>
              <w:divsChild>
                <w:div w:id="1160315721">
                  <w:marLeft w:val="0"/>
                  <w:marRight w:val="0"/>
                  <w:marTop w:val="0"/>
                  <w:marBottom w:val="0"/>
                  <w:divBdr>
                    <w:top w:val="none" w:sz="0" w:space="0" w:color="auto"/>
                    <w:left w:val="none" w:sz="0" w:space="0" w:color="auto"/>
                    <w:bottom w:val="none" w:sz="0" w:space="0" w:color="auto"/>
                    <w:right w:val="none" w:sz="0" w:space="0" w:color="auto"/>
                  </w:divBdr>
                  <w:divsChild>
                    <w:div w:id="1187522451">
                      <w:marLeft w:val="0"/>
                      <w:marRight w:val="0"/>
                      <w:marTop w:val="0"/>
                      <w:marBottom w:val="0"/>
                      <w:divBdr>
                        <w:top w:val="none" w:sz="0" w:space="0" w:color="auto"/>
                        <w:left w:val="none" w:sz="0" w:space="0" w:color="auto"/>
                        <w:bottom w:val="none" w:sz="0" w:space="0" w:color="auto"/>
                        <w:right w:val="none" w:sz="0" w:space="0" w:color="auto"/>
                      </w:divBdr>
                      <w:divsChild>
                        <w:div w:id="2060981531">
                          <w:marLeft w:val="0"/>
                          <w:marRight w:val="0"/>
                          <w:marTop w:val="0"/>
                          <w:marBottom w:val="0"/>
                          <w:divBdr>
                            <w:top w:val="none" w:sz="0" w:space="0" w:color="auto"/>
                            <w:left w:val="none" w:sz="0" w:space="0" w:color="auto"/>
                            <w:bottom w:val="none" w:sz="0" w:space="0" w:color="auto"/>
                            <w:right w:val="none" w:sz="0" w:space="0" w:color="auto"/>
                          </w:divBdr>
                          <w:divsChild>
                            <w:div w:id="1122915460">
                              <w:marLeft w:val="0"/>
                              <w:marRight w:val="0"/>
                              <w:marTop w:val="0"/>
                              <w:marBottom w:val="0"/>
                              <w:divBdr>
                                <w:top w:val="none" w:sz="0" w:space="0" w:color="auto"/>
                                <w:left w:val="none" w:sz="0" w:space="0" w:color="auto"/>
                                <w:bottom w:val="none" w:sz="0" w:space="0" w:color="auto"/>
                                <w:right w:val="none" w:sz="0" w:space="0" w:color="auto"/>
                              </w:divBdr>
                              <w:divsChild>
                                <w:div w:id="45956519">
                                  <w:marLeft w:val="0"/>
                                  <w:marRight w:val="0"/>
                                  <w:marTop w:val="0"/>
                                  <w:marBottom w:val="0"/>
                                  <w:divBdr>
                                    <w:top w:val="none" w:sz="0" w:space="0" w:color="auto"/>
                                    <w:left w:val="none" w:sz="0" w:space="0" w:color="auto"/>
                                    <w:bottom w:val="none" w:sz="0" w:space="0" w:color="auto"/>
                                    <w:right w:val="none" w:sz="0" w:space="0" w:color="auto"/>
                                  </w:divBdr>
                                  <w:divsChild>
                                    <w:div w:id="1253274575">
                                      <w:marLeft w:val="0"/>
                                      <w:marRight w:val="0"/>
                                      <w:marTop w:val="0"/>
                                      <w:marBottom w:val="0"/>
                                      <w:divBdr>
                                        <w:top w:val="none" w:sz="0" w:space="0" w:color="auto"/>
                                        <w:left w:val="none" w:sz="0" w:space="0" w:color="auto"/>
                                        <w:bottom w:val="none" w:sz="0" w:space="0" w:color="auto"/>
                                        <w:right w:val="none" w:sz="0" w:space="0" w:color="auto"/>
                                      </w:divBdr>
                                      <w:divsChild>
                                        <w:div w:id="1496996992">
                                          <w:marLeft w:val="0"/>
                                          <w:marRight w:val="0"/>
                                          <w:marTop w:val="0"/>
                                          <w:marBottom w:val="0"/>
                                          <w:divBdr>
                                            <w:top w:val="none" w:sz="0" w:space="0" w:color="auto"/>
                                            <w:left w:val="none" w:sz="0" w:space="0" w:color="auto"/>
                                            <w:bottom w:val="none" w:sz="0" w:space="0" w:color="auto"/>
                                            <w:right w:val="none" w:sz="0" w:space="0" w:color="auto"/>
                                          </w:divBdr>
                                          <w:divsChild>
                                            <w:div w:id="1469978094">
                                              <w:marLeft w:val="0"/>
                                              <w:marRight w:val="0"/>
                                              <w:marTop w:val="0"/>
                                              <w:marBottom w:val="0"/>
                                              <w:divBdr>
                                                <w:top w:val="none" w:sz="0" w:space="0" w:color="auto"/>
                                                <w:left w:val="none" w:sz="0" w:space="0" w:color="auto"/>
                                                <w:bottom w:val="none" w:sz="0" w:space="0" w:color="auto"/>
                                                <w:right w:val="none" w:sz="0" w:space="0" w:color="auto"/>
                                              </w:divBdr>
                                              <w:divsChild>
                                                <w:div w:id="51072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5319940">
      <w:bodyDiv w:val="1"/>
      <w:marLeft w:val="0"/>
      <w:marRight w:val="0"/>
      <w:marTop w:val="0"/>
      <w:marBottom w:val="0"/>
      <w:divBdr>
        <w:top w:val="none" w:sz="0" w:space="0" w:color="auto"/>
        <w:left w:val="none" w:sz="0" w:space="0" w:color="auto"/>
        <w:bottom w:val="none" w:sz="0" w:space="0" w:color="auto"/>
        <w:right w:val="none" w:sz="0" w:space="0" w:color="auto"/>
      </w:divBdr>
    </w:div>
    <w:div w:id="1429539395">
      <w:bodyDiv w:val="1"/>
      <w:marLeft w:val="0"/>
      <w:marRight w:val="0"/>
      <w:marTop w:val="0"/>
      <w:marBottom w:val="0"/>
      <w:divBdr>
        <w:top w:val="none" w:sz="0" w:space="0" w:color="auto"/>
        <w:left w:val="none" w:sz="0" w:space="0" w:color="auto"/>
        <w:bottom w:val="none" w:sz="0" w:space="0" w:color="auto"/>
        <w:right w:val="none" w:sz="0" w:space="0" w:color="auto"/>
      </w:divBdr>
    </w:div>
    <w:div w:id="1468545064">
      <w:bodyDiv w:val="1"/>
      <w:marLeft w:val="0"/>
      <w:marRight w:val="0"/>
      <w:marTop w:val="0"/>
      <w:marBottom w:val="0"/>
      <w:divBdr>
        <w:top w:val="none" w:sz="0" w:space="0" w:color="auto"/>
        <w:left w:val="none" w:sz="0" w:space="0" w:color="auto"/>
        <w:bottom w:val="none" w:sz="0" w:space="0" w:color="auto"/>
        <w:right w:val="none" w:sz="0" w:space="0" w:color="auto"/>
      </w:divBdr>
      <w:divsChild>
        <w:div w:id="226962053">
          <w:marLeft w:val="0"/>
          <w:marRight w:val="0"/>
          <w:marTop w:val="0"/>
          <w:marBottom w:val="0"/>
          <w:divBdr>
            <w:top w:val="none" w:sz="0" w:space="0" w:color="auto"/>
            <w:left w:val="none" w:sz="0" w:space="0" w:color="auto"/>
            <w:bottom w:val="none" w:sz="0" w:space="0" w:color="auto"/>
            <w:right w:val="none" w:sz="0" w:space="0" w:color="auto"/>
          </w:divBdr>
          <w:divsChild>
            <w:div w:id="1204249904">
              <w:marLeft w:val="0"/>
              <w:marRight w:val="0"/>
              <w:marTop w:val="0"/>
              <w:marBottom w:val="0"/>
              <w:divBdr>
                <w:top w:val="none" w:sz="0" w:space="0" w:color="auto"/>
                <w:left w:val="none" w:sz="0" w:space="0" w:color="auto"/>
                <w:bottom w:val="none" w:sz="0" w:space="0" w:color="auto"/>
                <w:right w:val="none" w:sz="0" w:space="0" w:color="auto"/>
              </w:divBdr>
              <w:divsChild>
                <w:div w:id="340088470">
                  <w:marLeft w:val="0"/>
                  <w:marRight w:val="0"/>
                  <w:marTop w:val="0"/>
                  <w:marBottom w:val="0"/>
                  <w:divBdr>
                    <w:top w:val="none" w:sz="0" w:space="0" w:color="auto"/>
                    <w:left w:val="none" w:sz="0" w:space="0" w:color="auto"/>
                    <w:bottom w:val="none" w:sz="0" w:space="0" w:color="auto"/>
                    <w:right w:val="none" w:sz="0" w:space="0" w:color="auto"/>
                  </w:divBdr>
                  <w:divsChild>
                    <w:div w:id="3630174">
                      <w:marLeft w:val="0"/>
                      <w:marRight w:val="0"/>
                      <w:marTop w:val="0"/>
                      <w:marBottom w:val="0"/>
                      <w:divBdr>
                        <w:top w:val="none" w:sz="0" w:space="0" w:color="auto"/>
                        <w:left w:val="none" w:sz="0" w:space="0" w:color="auto"/>
                        <w:bottom w:val="none" w:sz="0" w:space="0" w:color="auto"/>
                        <w:right w:val="none" w:sz="0" w:space="0" w:color="auto"/>
                      </w:divBdr>
                      <w:divsChild>
                        <w:div w:id="1016269721">
                          <w:marLeft w:val="0"/>
                          <w:marRight w:val="0"/>
                          <w:marTop w:val="0"/>
                          <w:marBottom w:val="0"/>
                          <w:divBdr>
                            <w:top w:val="none" w:sz="0" w:space="0" w:color="auto"/>
                            <w:left w:val="none" w:sz="0" w:space="0" w:color="auto"/>
                            <w:bottom w:val="none" w:sz="0" w:space="0" w:color="auto"/>
                            <w:right w:val="none" w:sz="0" w:space="0" w:color="auto"/>
                          </w:divBdr>
                          <w:divsChild>
                            <w:div w:id="1191650345">
                              <w:marLeft w:val="0"/>
                              <w:marRight w:val="0"/>
                              <w:marTop w:val="0"/>
                              <w:marBottom w:val="0"/>
                              <w:divBdr>
                                <w:top w:val="none" w:sz="0" w:space="0" w:color="auto"/>
                                <w:left w:val="none" w:sz="0" w:space="0" w:color="auto"/>
                                <w:bottom w:val="none" w:sz="0" w:space="0" w:color="auto"/>
                                <w:right w:val="none" w:sz="0" w:space="0" w:color="auto"/>
                              </w:divBdr>
                              <w:divsChild>
                                <w:div w:id="755059252">
                                  <w:marLeft w:val="0"/>
                                  <w:marRight w:val="0"/>
                                  <w:marTop w:val="0"/>
                                  <w:marBottom w:val="0"/>
                                  <w:divBdr>
                                    <w:top w:val="none" w:sz="0" w:space="0" w:color="auto"/>
                                    <w:left w:val="none" w:sz="0" w:space="0" w:color="auto"/>
                                    <w:bottom w:val="none" w:sz="0" w:space="0" w:color="auto"/>
                                    <w:right w:val="none" w:sz="0" w:space="0" w:color="auto"/>
                                  </w:divBdr>
                                  <w:divsChild>
                                    <w:div w:id="112184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2234448">
      <w:bodyDiv w:val="1"/>
      <w:marLeft w:val="0"/>
      <w:marRight w:val="0"/>
      <w:marTop w:val="0"/>
      <w:marBottom w:val="0"/>
      <w:divBdr>
        <w:top w:val="none" w:sz="0" w:space="0" w:color="auto"/>
        <w:left w:val="none" w:sz="0" w:space="0" w:color="auto"/>
        <w:bottom w:val="none" w:sz="0" w:space="0" w:color="auto"/>
        <w:right w:val="none" w:sz="0" w:space="0" w:color="auto"/>
      </w:divBdr>
      <w:divsChild>
        <w:div w:id="870846317">
          <w:marLeft w:val="0"/>
          <w:marRight w:val="0"/>
          <w:marTop w:val="0"/>
          <w:marBottom w:val="0"/>
          <w:divBdr>
            <w:top w:val="none" w:sz="0" w:space="0" w:color="auto"/>
            <w:left w:val="none" w:sz="0" w:space="0" w:color="auto"/>
            <w:bottom w:val="none" w:sz="0" w:space="0" w:color="auto"/>
            <w:right w:val="none" w:sz="0" w:space="0" w:color="auto"/>
          </w:divBdr>
          <w:divsChild>
            <w:div w:id="197984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870395">
      <w:bodyDiv w:val="1"/>
      <w:marLeft w:val="0"/>
      <w:marRight w:val="0"/>
      <w:marTop w:val="0"/>
      <w:marBottom w:val="0"/>
      <w:divBdr>
        <w:top w:val="none" w:sz="0" w:space="0" w:color="auto"/>
        <w:left w:val="none" w:sz="0" w:space="0" w:color="auto"/>
        <w:bottom w:val="none" w:sz="0" w:space="0" w:color="auto"/>
        <w:right w:val="none" w:sz="0" w:space="0" w:color="auto"/>
      </w:divBdr>
      <w:divsChild>
        <w:div w:id="1143884814">
          <w:marLeft w:val="0"/>
          <w:marRight w:val="0"/>
          <w:marTop w:val="0"/>
          <w:marBottom w:val="0"/>
          <w:divBdr>
            <w:top w:val="none" w:sz="0" w:space="0" w:color="auto"/>
            <w:left w:val="none" w:sz="0" w:space="0" w:color="auto"/>
            <w:bottom w:val="none" w:sz="0" w:space="0" w:color="auto"/>
            <w:right w:val="none" w:sz="0" w:space="0" w:color="auto"/>
          </w:divBdr>
          <w:divsChild>
            <w:div w:id="170952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214556">
      <w:bodyDiv w:val="1"/>
      <w:marLeft w:val="0"/>
      <w:marRight w:val="0"/>
      <w:marTop w:val="0"/>
      <w:marBottom w:val="0"/>
      <w:divBdr>
        <w:top w:val="none" w:sz="0" w:space="0" w:color="auto"/>
        <w:left w:val="none" w:sz="0" w:space="0" w:color="auto"/>
        <w:bottom w:val="none" w:sz="0" w:space="0" w:color="auto"/>
        <w:right w:val="none" w:sz="0" w:space="0" w:color="auto"/>
      </w:divBdr>
    </w:div>
    <w:div w:id="1601908345">
      <w:bodyDiv w:val="1"/>
      <w:marLeft w:val="0"/>
      <w:marRight w:val="0"/>
      <w:marTop w:val="0"/>
      <w:marBottom w:val="0"/>
      <w:divBdr>
        <w:top w:val="none" w:sz="0" w:space="0" w:color="auto"/>
        <w:left w:val="none" w:sz="0" w:space="0" w:color="auto"/>
        <w:bottom w:val="none" w:sz="0" w:space="0" w:color="auto"/>
        <w:right w:val="none" w:sz="0" w:space="0" w:color="auto"/>
      </w:divBdr>
    </w:div>
    <w:div w:id="1639912842">
      <w:bodyDiv w:val="1"/>
      <w:marLeft w:val="0"/>
      <w:marRight w:val="0"/>
      <w:marTop w:val="0"/>
      <w:marBottom w:val="0"/>
      <w:divBdr>
        <w:top w:val="none" w:sz="0" w:space="0" w:color="auto"/>
        <w:left w:val="none" w:sz="0" w:space="0" w:color="auto"/>
        <w:bottom w:val="none" w:sz="0" w:space="0" w:color="auto"/>
        <w:right w:val="none" w:sz="0" w:space="0" w:color="auto"/>
      </w:divBdr>
    </w:div>
    <w:div w:id="1693071237">
      <w:bodyDiv w:val="1"/>
      <w:marLeft w:val="0"/>
      <w:marRight w:val="0"/>
      <w:marTop w:val="0"/>
      <w:marBottom w:val="0"/>
      <w:divBdr>
        <w:top w:val="none" w:sz="0" w:space="0" w:color="auto"/>
        <w:left w:val="none" w:sz="0" w:space="0" w:color="auto"/>
        <w:bottom w:val="none" w:sz="0" w:space="0" w:color="auto"/>
        <w:right w:val="none" w:sz="0" w:space="0" w:color="auto"/>
      </w:divBdr>
    </w:div>
    <w:div w:id="1700816771">
      <w:bodyDiv w:val="1"/>
      <w:marLeft w:val="0"/>
      <w:marRight w:val="0"/>
      <w:marTop w:val="0"/>
      <w:marBottom w:val="0"/>
      <w:divBdr>
        <w:top w:val="none" w:sz="0" w:space="0" w:color="auto"/>
        <w:left w:val="none" w:sz="0" w:space="0" w:color="auto"/>
        <w:bottom w:val="none" w:sz="0" w:space="0" w:color="auto"/>
        <w:right w:val="none" w:sz="0" w:space="0" w:color="auto"/>
      </w:divBdr>
    </w:div>
    <w:div w:id="1708752517">
      <w:bodyDiv w:val="1"/>
      <w:marLeft w:val="0"/>
      <w:marRight w:val="0"/>
      <w:marTop w:val="0"/>
      <w:marBottom w:val="0"/>
      <w:divBdr>
        <w:top w:val="none" w:sz="0" w:space="0" w:color="auto"/>
        <w:left w:val="none" w:sz="0" w:space="0" w:color="auto"/>
        <w:bottom w:val="none" w:sz="0" w:space="0" w:color="auto"/>
        <w:right w:val="none" w:sz="0" w:space="0" w:color="auto"/>
      </w:divBdr>
    </w:div>
    <w:div w:id="1718623327">
      <w:bodyDiv w:val="1"/>
      <w:marLeft w:val="0"/>
      <w:marRight w:val="0"/>
      <w:marTop w:val="0"/>
      <w:marBottom w:val="0"/>
      <w:divBdr>
        <w:top w:val="none" w:sz="0" w:space="0" w:color="auto"/>
        <w:left w:val="none" w:sz="0" w:space="0" w:color="auto"/>
        <w:bottom w:val="none" w:sz="0" w:space="0" w:color="auto"/>
        <w:right w:val="none" w:sz="0" w:space="0" w:color="auto"/>
      </w:divBdr>
      <w:divsChild>
        <w:div w:id="677853451">
          <w:marLeft w:val="0"/>
          <w:marRight w:val="0"/>
          <w:marTop w:val="0"/>
          <w:marBottom w:val="0"/>
          <w:divBdr>
            <w:top w:val="none" w:sz="0" w:space="0" w:color="auto"/>
            <w:left w:val="none" w:sz="0" w:space="0" w:color="auto"/>
            <w:bottom w:val="none" w:sz="0" w:space="0" w:color="auto"/>
            <w:right w:val="none" w:sz="0" w:space="0" w:color="auto"/>
          </w:divBdr>
          <w:divsChild>
            <w:div w:id="930089051">
              <w:marLeft w:val="0"/>
              <w:marRight w:val="0"/>
              <w:marTop w:val="0"/>
              <w:marBottom w:val="0"/>
              <w:divBdr>
                <w:top w:val="none" w:sz="0" w:space="0" w:color="auto"/>
                <w:left w:val="none" w:sz="0" w:space="0" w:color="auto"/>
                <w:bottom w:val="none" w:sz="0" w:space="0" w:color="auto"/>
                <w:right w:val="none" w:sz="0" w:space="0" w:color="auto"/>
              </w:divBdr>
              <w:divsChild>
                <w:div w:id="468207062">
                  <w:marLeft w:val="0"/>
                  <w:marRight w:val="0"/>
                  <w:marTop w:val="0"/>
                  <w:marBottom w:val="0"/>
                  <w:divBdr>
                    <w:top w:val="none" w:sz="0" w:space="0" w:color="auto"/>
                    <w:left w:val="none" w:sz="0" w:space="0" w:color="auto"/>
                    <w:bottom w:val="none" w:sz="0" w:space="0" w:color="auto"/>
                    <w:right w:val="none" w:sz="0" w:space="0" w:color="auto"/>
                  </w:divBdr>
                  <w:divsChild>
                    <w:div w:id="497044810">
                      <w:marLeft w:val="0"/>
                      <w:marRight w:val="0"/>
                      <w:marTop w:val="0"/>
                      <w:marBottom w:val="0"/>
                      <w:divBdr>
                        <w:top w:val="none" w:sz="0" w:space="0" w:color="auto"/>
                        <w:left w:val="none" w:sz="0" w:space="0" w:color="auto"/>
                        <w:bottom w:val="none" w:sz="0" w:space="0" w:color="auto"/>
                        <w:right w:val="none" w:sz="0" w:space="0" w:color="auto"/>
                      </w:divBdr>
                      <w:divsChild>
                        <w:div w:id="1629749255">
                          <w:marLeft w:val="0"/>
                          <w:marRight w:val="0"/>
                          <w:marTop w:val="0"/>
                          <w:marBottom w:val="0"/>
                          <w:divBdr>
                            <w:top w:val="none" w:sz="0" w:space="0" w:color="auto"/>
                            <w:left w:val="none" w:sz="0" w:space="0" w:color="auto"/>
                            <w:bottom w:val="none" w:sz="0" w:space="0" w:color="auto"/>
                            <w:right w:val="none" w:sz="0" w:space="0" w:color="auto"/>
                          </w:divBdr>
                          <w:divsChild>
                            <w:div w:id="9382013">
                              <w:marLeft w:val="0"/>
                              <w:marRight w:val="0"/>
                              <w:marTop w:val="0"/>
                              <w:marBottom w:val="0"/>
                              <w:divBdr>
                                <w:top w:val="none" w:sz="0" w:space="0" w:color="auto"/>
                                <w:left w:val="none" w:sz="0" w:space="0" w:color="auto"/>
                                <w:bottom w:val="none" w:sz="0" w:space="0" w:color="auto"/>
                                <w:right w:val="none" w:sz="0" w:space="0" w:color="auto"/>
                              </w:divBdr>
                              <w:divsChild>
                                <w:div w:id="9061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903912">
      <w:bodyDiv w:val="1"/>
      <w:marLeft w:val="0"/>
      <w:marRight w:val="0"/>
      <w:marTop w:val="0"/>
      <w:marBottom w:val="0"/>
      <w:divBdr>
        <w:top w:val="none" w:sz="0" w:space="0" w:color="auto"/>
        <w:left w:val="none" w:sz="0" w:space="0" w:color="auto"/>
        <w:bottom w:val="none" w:sz="0" w:space="0" w:color="auto"/>
        <w:right w:val="none" w:sz="0" w:space="0" w:color="auto"/>
      </w:divBdr>
      <w:divsChild>
        <w:div w:id="2099057524">
          <w:marLeft w:val="0"/>
          <w:marRight w:val="0"/>
          <w:marTop w:val="0"/>
          <w:marBottom w:val="0"/>
          <w:divBdr>
            <w:top w:val="none" w:sz="0" w:space="0" w:color="auto"/>
            <w:left w:val="none" w:sz="0" w:space="0" w:color="auto"/>
            <w:bottom w:val="none" w:sz="0" w:space="0" w:color="auto"/>
            <w:right w:val="none" w:sz="0" w:space="0" w:color="auto"/>
          </w:divBdr>
          <w:divsChild>
            <w:div w:id="723212721">
              <w:marLeft w:val="0"/>
              <w:marRight w:val="0"/>
              <w:marTop w:val="0"/>
              <w:marBottom w:val="0"/>
              <w:divBdr>
                <w:top w:val="none" w:sz="0" w:space="0" w:color="auto"/>
                <w:left w:val="none" w:sz="0" w:space="0" w:color="auto"/>
                <w:bottom w:val="none" w:sz="0" w:space="0" w:color="auto"/>
                <w:right w:val="none" w:sz="0" w:space="0" w:color="auto"/>
              </w:divBdr>
              <w:divsChild>
                <w:div w:id="518618625">
                  <w:marLeft w:val="0"/>
                  <w:marRight w:val="0"/>
                  <w:marTop w:val="0"/>
                  <w:marBottom w:val="0"/>
                  <w:divBdr>
                    <w:top w:val="none" w:sz="0" w:space="0" w:color="auto"/>
                    <w:left w:val="none" w:sz="0" w:space="0" w:color="auto"/>
                    <w:bottom w:val="none" w:sz="0" w:space="0" w:color="auto"/>
                    <w:right w:val="none" w:sz="0" w:space="0" w:color="auto"/>
                  </w:divBdr>
                  <w:divsChild>
                    <w:div w:id="19735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558811">
      <w:bodyDiv w:val="1"/>
      <w:marLeft w:val="0"/>
      <w:marRight w:val="0"/>
      <w:marTop w:val="0"/>
      <w:marBottom w:val="0"/>
      <w:divBdr>
        <w:top w:val="none" w:sz="0" w:space="0" w:color="auto"/>
        <w:left w:val="none" w:sz="0" w:space="0" w:color="auto"/>
        <w:bottom w:val="none" w:sz="0" w:space="0" w:color="auto"/>
        <w:right w:val="none" w:sz="0" w:space="0" w:color="auto"/>
      </w:divBdr>
    </w:div>
    <w:div w:id="1773551919">
      <w:bodyDiv w:val="1"/>
      <w:marLeft w:val="0"/>
      <w:marRight w:val="0"/>
      <w:marTop w:val="0"/>
      <w:marBottom w:val="0"/>
      <w:divBdr>
        <w:top w:val="none" w:sz="0" w:space="0" w:color="auto"/>
        <w:left w:val="none" w:sz="0" w:space="0" w:color="auto"/>
        <w:bottom w:val="none" w:sz="0" w:space="0" w:color="auto"/>
        <w:right w:val="none" w:sz="0" w:space="0" w:color="auto"/>
      </w:divBdr>
    </w:div>
    <w:div w:id="1794861905">
      <w:bodyDiv w:val="1"/>
      <w:marLeft w:val="0"/>
      <w:marRight w:val="0"/>
      <w:marTop w:val="0"/>
      <w:marBottom w:val="0"/>
      <w:divBdr>
        <w:top w:val="none" w:sz="0" w:space="0" w:color="auto"/>
        <w:left w:val="none" w:sz="0" w:space="0" w:color="auto"/>
        <w:bottom w:val="none" w:sz="0" w:space="0" w:color="auto"/>
        <w:right w:val="none" w:sz="0" w:space="0" w:color="auto"/>
      </w:divBdr>
    </w:div>
    <w:div w:id="1820918942">
      <w:bodyDiv w:val="1"/>
      <w:marLeft w:val="0"/>
      <w:marRight w:val="0"/>
      <w:marTop w:val="0"/>
      <w:marBottom w:val="0"/>
      <w:divBdr>
        <w:top w:val="none" w:sz="0" w:space="0" w:color="auto"/>
        <w:left w:val="none" w:sz="0" w:space="0" w:color="auto"/>
        <w:bottom w:val="none" w:sz="0" w:space="0" w:color="auto"/>
        <w:right w:val="none" w:sz="0" w:space="0" w:color="auto"/>
      </w:divBdr>
    </w:div>
    <w:div w:id="1825471697">
      <w:bodyDiv w:val="1"/>
      <w:marLeft w:val="0"/>
      <w:marRight w:val="0"/>
      <w:marTop w:val="0"/>
      <w:marBottom w:val="0"/>
      <w:divBdr>
        <w:top w:val="none" w:sz="0" w:space="0" w:color="auto"/>
        <w:left w:val="none" w:sz="0" w:space="0" w:color="auto"/>
        <w:bottom w:val="none" w:sz="0" w:space="0" w:color="auto"/>
        <w:right w:val="none" w:sz="0" w:space="0" w:color="auto"/>
      </w:divBdr>
    </w:div>
    <w:div w:id="1831216482">
      <w:bodyDiv w:val="1"/>
      <w:marLeft w:val="0"/>
      <w:marRight w:val="0"/>
      <w:marTop w:val="0"/>
      <w:marBottom w:val="0"/>
      <w:divBdr>
        <w:top w:val="none" w:sz="0" w:space="0" w:color="auto"/>
        <w:left w:val="none" w:sz="0" w:space="0" w:color="auto"/>
        <w:bottom w:val="none" w:sz="0" w:space="0" w:color="auto"/>
        <w:right w:val="none" w:sz="0" w:space="0" w:color="auto"/>
      </w:divBdr>
      <w:divsChild>
        <w:div w:id="833300232">
          <w:marLeft w:val="0"/>
          <w:marRight w:val="0"/>
          <w:marTop w:val="0"/>
          <w:marBottom w:val="0"/>
          <w:divBdr>
            <w:top w:val="none" w:sz="0" w:space="0" w:color="auto"/>
            <w:left w:val="none" w:sz="0" w:space="0" w:color="auto"/>
            <w:bottom w:val="none" w:sz="0" w:space="0" w:color="auto"/>
            <w:right w:val="none" w:sz="0" w:space="0" w:color="auto"/>
          </w:divBdr>
          <w:divsChild>
            <w:div w:id="1739745695">
              <w:marLeft w:val="0"/>
              <w:marRight w:val="0"/>
              <w:marTop w:val="0"/>
              <w:marBottom w:val="0"/>
              <w:divBdr>
                <w:top w:val="none" w:sz="0" w:space="0" w:color="auto"/>
                <w:left w:val="none" w:sz="0" w:space="0" w:color="auto"/>
                <w:bottom w:val="none" w:sz="0" w:space="0" w:color="auto"/>
                <w:right w:val="none" w:sz="0" w:space="0" w:color="auto"/>
              </w:divBdr>
              <w:divsChild>
                <w:div w:id="1896625011">
                  <w:marLeft w:val="0"/>
                  <w:marRight w:val="0"/>
                  <w:marTop w:val="0"/>
                  <w:marBottom w:val="0"/>
                  <w:divBdr>
                    <w:top w:val="none" w:sz="0" w:space="0" w:color="auto"/>
                    <w:left w:val="none" w:sz="0" w:space="0" w:color="auto"/>
                    <w:bottom w:val="none" w:sz="0" w:space="0" w:color="auto"/>
                    <w:right w:val="none" w:sz="0" w:space="0" w:color="auto"/>
                  </w:divBdr>
                  <w:divsChild>
                    <w:div w:id="1874339732">
                      <w:marLeft w:val="0"/>
                      <w:marRight w:val="0"/>
                      <w:marTop w:val="0"/>
                      <w:marBottom w:val="0"/>
                      <w:divBdr>
                        <w:top w:val="none" w:sz="0" w:space="0" w:color="auto"/>
                        <w:left w:val="none" w:sz="0" w:space="0" w:color="auto"/>
                        <w:bottom w:val="none" w:sz="0" w:space="0" w:color="auto"/>
                        <w:right w:val="none" w:sz="0" w:space="0" w:color="auto"/>
                      </w:divBdr>
                      <w:divsChild>
                        <w:div w:id="67315190">
                          <w:marLeft w:val="0"/>
                          <w:marRight w:val="0"/>
                          <w:marTop w:val="0"/>
                          <w:marBottom w:val="0"/>
                          <w:divBdr>
                            <w:top w:val="none" w:sz="0" w:space="0" w:color="auto"/>
                            <w:left w:val="none" w:sz="0" w:space="0" w:color="auto"/>
                            <w:bottom w:val="none" w:sz="0" w:space="0" w:color="auto"/>
                            <w:right w:val="none" w:sz="0" w:space="0" w:color="auto"/>
                          </w:divBdr>
                          <w:divsChild>
                            <w:div w:id="149291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133246">
      <w:bodyDiv w:val="1"/>
      <w:marLeft w:val="0"/>
      <w:marRight w:val="0"/>
      <w:marTop w:val="0"/>
      <w:marBottom w:val="0"/>
      <w:divBdr>
        <w:top w:val="none" w:sz="0" w:space="0" w:color="auto"/>
        <w:left w:val="none" w:sz="0" w:space="0" w:color="auto"/>
        <w:bottom w:val="none" w:sz="0" w:space="0" w:color="auto"/>
        <w:right w:val="none" w:sz="0" w:space="0" w:color="auto"/>
      </w:divBdr>
    </w:div>
    <w:div w:id="1881168935">
      <w:bodyDiv w:val="1"/>
      <w:marLeft w:val="0"/>
      <w:marRight w:val="0"/>
      <w:marTop w:val="0"/>
      <w:marBottom w:val="0"/>
      <w:divBdr>
        <w:top w:val="none" w:sz="0" w:space="0" w:color="auto"/>
        <w:left w:val="none" w:sz="0" w:space="0" w:color="auto"/>
        <w:bottom w:val="none" w:sz="0" w:space="0" w:color="auto"/>
        <w:right w:val="none" w:sz="0" w:space="0" w:color="auto"/>
      </w:divBdr>
      <w:divsChild>
        <w:div w:id="1944996065">
          <w:marLeft w:val="0"/>
          <w:marRight w:val="0"/>
          <w:marTop w:val="0"/>
          <w:marBottom w:val="0"/>
          <w:divBdr>
            <w:top w:val="none" w:sz="0" w:space="0" w:color="auto"/>
            <w:left w:val="none" w:sz="0" w:space="0" w:color="auto"/>
            <w:bottom w:val="none" w:sz="0" w:space="0" w:color="auto"/>
            <w:right w:val="none" w:sz="0" w:space="0" w:color="auto"/>
          </w:divBdr>
          <w:divsChild>
            <w:div w:id="310986229">
              <w:marLeft w:val="0"/>
              <w:marRight w:val="0"/>
              <w:marTop w:val="0"/>
              <w:marBottom w:val="0"/>
              <w:divBdr>
                <w:top w:val="none" w:sz="0" w:space="0" w:color="auto"/>
                <w:left w:val="none" w:sz="0" w:space="0" w:color="auto"/>
                <w:bottom w:val="none" w:sz="0" w:space="0" w:color="auto"/>
                <w:right w:val="none" w:sz="0" w:space="0" w:color="auto"/>
              </w:divBdr>
              <w:divsChild>
                <w:div w:id="720592146">
                  <w:marLeft w:val="0"/>
                  <w:marRight w:val="0"/>
                  <w:marTop w:val="0"/>
                  <w:marBottom w:val="0"/>
                  <w:divBdr>
                    <w:top w:val="none" w:sz="0" w:space="0" w:color="auto"/>
                    <w:left w:val="none" w:sz="0" w:space="0" w:color="auto"/>
                    <w:bottom w:val="none" w:sz="0" w:space="0" w:color="auto"/>
                    <w:right w:val="none" w:sz="0" w:space="0" w:color="auto"/>
                  </w:divBdr>
                  <w:divsChild>
                    <w:div w:id="224990687">
                      <w:marLeft w:val="0"/>
                      <w:marRight w:val="0"/>
                      <w:marTop w:val="0"/>
                      <w:marBottom w:val="0"/>
                      <w:divBdr>
                        <w:top w:val="none" w:sz="0" w:space="0" w:color="auto"/>
                        <w:left w:val="none" w:sz="0" w:space="0" w:color="auto"/>
                        <w:bottom w:val="none" w:sz="0" w:space="0" w:color="auto"/>
                        <w:right w:val="none" w:sz="0" w:space="0" w:color="auto"/>
                      </w:divBdr>
                      <w:divsChild>
                        <w:div w:id="285083325">
                          <w:marLeft w:val="0"/>
                          <w:marRight w:val="0"/>
                          <w:marTop w:val="0"/>
                          <w:marBottom w:val="0"/>
                          <w:divBdr>
                            <w:top w:val="none" w:sz="0" w:space="0" w:color="auto"/>
                            <w:left w:val="none" w:sz="0" w:space="0" w:color="auto"/>
                            <w:bottom w:val="none" w:sz="0" w:space="0" w:color="auto"/>
                            <w:right w:val="none" w:sz="0" w:space="0" w:color="auto"/>
                          </w:divBdr>
                          <w:divsChild>
                            <w:div w:id="137724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860262">
      <w:bodyDiv w:val="1"/>
      <w:marLeft w:val="0"/>
      <w:marRight w:val="0"/>
      <w:marTop w:val="0"/>
      <w:marBottom w:val="0"/>
      <w:divBdr>
        <w:top w:val="none" w:sz="0" w:space="0" w:color="auto"/>
        <w:left w:val="none" w:sz="0" w:space="0" w:color="auto"/>
        <w:bottom w:val="none" w:sz="0" w:space="0" w:color="auto"/>
        <w:right w:val="none" w:sz="0" w:space="0" w:color="auto"/>
      </w:divBdr>
    </w:div>
    <w:div w:id="1937326533">
      <w:bodyDiv w:val="1"/>
      <w:marLeft w:val="0"/>
      <w:marRight w:val="0"/>
      <w:marTop w:val="0"/>
      <w:marBottom w:val="0"/>
      <w:divBdr>
        <w:top w:val="none" w:sz="0" w:space="0" w:color="auto"/>
        <w:left w:val="none" w:sz="0" w:space="0" w:color="auto"/>
        <w:bottom w:val="none" w:sz="0" w:space="0" w:color="auto"/>
        <w:right w:val="none" w:sz="0" w:space="0" w:color="auto"/>
      </w:divBdr>
    </w:div>
    <w:div w:id="1980260699">
      <w:bodyDiv w:val="1"/>
      <w:marLeft w:val="0"/>
      <w:marRight w:val="0"/>
      <w:marTop w:val="0"/>
      <w:marBottom w:val="0"/>
      <w:divBdr>
        <w:top w:val="none" w:sz="0" w:space="0" w:color="auto"/>
        <w:left w:val="none" w:sz="0" w:space="0" w:color="auto"/>
        <w:bottom w:val="none" w:sz="0" w:space="0" w:color="auto"/>
        <w:right w:val="none" w:sz="0" w:space="0" w:color="auto"/>
      </w:divBdr>
    </w:div>
    <w:div w:id="2035492507">
      <w:bodyDiv w:val="1"/>
      <w:marLeft w:val="0"/>
      <w:marRight w:val="0"/>
      <w:marTop w:val="0"/>
      <w:marBottom w:val="0"/>
      <w:divBdr>
        <w:top w:val="none" w:sz="0" w:space="0" w:color="auto"/>
        <w:left w:val="none" w:sz="0" w:space="0" w:color="auto"/>
        <w:bottom w:val="none" w:sz="0" w:space="0" w:color="auto"/>
        <w:right w:val="none" w:sz="0" w:space="0" w:color="auto"/>
      </w:divBdr>
      <w:divsChild>
        <w:div w:id="886069788">
          <w:marLeft w:val="0"/>
          <w:marRight w:val="0"/>
          <w:marTop w:val="0"/>
          <w:marBottom w:val="0"/>
          <w:divBdr>
            <w:top w:val="none" w:sz="0" w:space="0" w:color="auto"/>
            <w:left w:val="none" w:sz="0" w:space="0" w:color="auto"/>
            <w:bottom w:val="none" w:sz="0" w:space="0" w:color="auto"/>
            <w:right w:val="none" w:sz="0" w:space="0" w:color="auto"/>
          </w:divBdr>
          <w:divsChild>
            <w:div w:id="1127167421">
              <w:marLeft w:val="0"/>
              <w:marRight w:val="0"/>
              <w:marTop w:val="0"/>
              <w:marBottom w:val="0"/>
              <w:divBdr>
                <w:top w:val="none" w:sz="0" w:space="0" w:color="auto"/>
                <w:left w:val="none" w:sz="0" w:space="0" w:color="auto"/>
                <w:bottom w:val="none" w:sz="0" w:space="0" w:color="auto"/>
                <w:right w:val="none" w:sz="0" w:space="0" w:color="auto"/>
              </w:divBdr>
              <w:divsChild>
                <w:div w:id="1131553920">
                  <w:marLeft w:val="0"/>
                  <w:marRight w:val="0"/>
                  <w:marTop w:val="0"/>
                  <w:marBottom w:val="0"/>
                  <w:divBdr>
                    <w:top w:val="none" w:sz="0" w:space="0" w:color="auto"/>
                    <w:left w:val="none" w:sz="0" w:space="0" w:color="auto"/>
                    <w:bottom w:val="none" w:sz="0" w:space="0" w:color="auto"/>
                    <w:right w:val="none" w:sz="0" w:space="0" w:color="auto"/>
                  </w:divBdr>
                  <w:divsChild>
                    <w:div w:id="1611624955">
                      <w:marLeft w:val="0"/>
                      <w:marRight w:val="0"/>
                      <w:marTop w:val="0"/>
                      <w:marBottom w:val="0"/>
                      <w:divBdr>
                        <w:top w:val="none" w:sz="0" w:space="0" w:color="auto"/>
                        <w:left w:val="none" w:sz="0" w:space="0" w:color="auto"/>
                        <w:bottom w:val="none" w:sz="0" w:space="0" w:color="auto"/>
                        <w:right w:val="none" w:sz="0" w:space="0" w:color="auto"/>
                      </w:divBdr>
                      <w:divsChild>
                        <w:div w:id="115418384">
                          <w:marLeft w:val="0"/>
                          <w:marRight w:val="0"/>
                          <w:marTop w:val="0"/>
                          <w:marBottom w:val="0"/>
                          <w:divBdr>
                            <w:top w:val="none" w:sz="0" w:space="0" w:color="auto"/>
                            <w:left w:val="none" w:sz="0" w:space="0" w:color="auto"/>
                            <w:bottom w:val="none" w:sz="0" w:space="0" w:color="auto"/>
                            <w:right w:val="none" w:sz="0" w:space="0" w:color="auto"/>
                          </w:divBdr>
                          <w:divsChild>
                            <w:div w:id="179806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3281603">
      <w:bodyDiv w:val="1"/>
      <w:marLeft w:val="0"/>
      <w:marRight w:val="0"/>
      <w:marTop w:val="0"/>
      <w:marBottom w:val="0"/>
      <w:divBdr>
        <w:top w:val="none" w:sz="0" w:space="0" w:color="auto"/>
        <w:left w:val="none" w:sz="0" w:space="0" w:color="auto"/>
        <w:bottom w:val="none" w:sz="0" w:space="0" w:color="auto"/>
        <w:right w:val="none" w:sz="0" w:space="0" w:color="auto"/>
      </w:divBdr>
    </w:div>
    <w:div w:id="2146661261">
      <w:bodyDiv w:val="1"/>
      <w:marLeft w:val="0"/>
      <w:marRight w:val="0"/>
      <w:marTop w:val="0"/>
      <w:marBottom w:val="0"/>
      <w:divBdr>
        <w:top w:val="none" w:sz="0" w:space="0" w:color="auto"/>
        <w:left w:val="none" w:sz="0" w:space="0" w:color="auto"/>
        <w:bottom w:val="none" w:sz="0" w:space="0" w:color="auto"/>
        <w:right w:val="none" w:sz="0" w:space="0" w:color="auto"/>
      </w:divBdr>
      <w:divsChild>
        <w:div w:id="1181317707">
          <w:marLeft w:val="0"/>
          <w:marRight w:val="0"/>
          <w:marTop w:val="0"/>
          <w:marBottom w:val="0"/>
          <w:divBdr>
            <w:top w:val="none" w:sz="0" w:space="0" w:color="auto"/>
            <w:left w:val="none" w:sz="0" w:space="0" w:color="auto"/>
            <w:bottom w:val="none" w:sz="0" w:space="0" w:color="auto"/>
            <w:right w:val="none" w:sz="0" w:space="0" w:color="auto"/>
          </w:divBdr>
          <w:divsChild>
            <w:div w:id="648171424">
              <w:marLeft w:val="0"/>
              <w:marRight w:val="0"/>
              <w:marTop w:val="0"/>
              <w:marBottom w:val="0"/>
              <w:divBdr>
                <w:top w:val="none" w:sz="0" w:space="0" w:color="auto"/>
                <w:left w:val="none" w:sz="0" w:space="0" w:color="auto"/>
                <w:bottom w:val="none" w:sz="0" w:space="0" w:color="auto"/>
                <w:right w:val="none" w:sz="0" w:space="0" w:color="auto"/>
              </w:divBdr>
            </w:div>
          </w:divsChild>
        </w:div>
        <w:div w:id="1401828744">
          <w:marLeft w:val="0"/>
          <w:marRight w:val="0"/>
          <w:marTop w:val="0"/>
          <w:marBottom w:val="0"/>
          <w:divBdr>
            <w:top w:val="none" w:sz="0" w:space="0" w:color="auto"/>
            <w:left w:val="none" w:sz="0" w:space="0" w:color="auto"/>
            <w:bottom w:val="none" w:sz="0" w:space="0" w:color="auto"/>
            <w:right w:val="none" w:sz="0" w:space="0" w:color="auto"/>
          </w:divBdr>
          <w:divsChild>
            <w:div w:id="10306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crimination-and-the-law" TargetMode="External"/><Relationship Id="rId13" Type="http://schemas.openxmlformats.org/officeDocument/2006/relationships/hyperlink" Target="https://www.england.nhs.uk/about/equality/equality-hub/national-healthcare-inequalities-improvement-programme/our-approach-to-reducing-healthcare-inequalities/" TargetMode="External"/><Relationship Id="rId18" Type="http://schemas.openxmlformats.org/officeDocument/2006/relationships/hyperlink" Target="https://www.health.org.uk/reports-and-analysis/briefings/health-and-social-care-workforc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ata.unicef.org/sdgs/goal-3-good-health-wellbeing/" TargetMode="External"/><Relationship Id="rId7" Type="http://schemas.openxmlformats.org/officeDocument/2006/relationships/endnotes" Target="endnotes.xml"/><Relationship Id="rId12" Type="http://schemas.openxmlformats.org/officeDocument/2006/relationships/hyperlink" Target="https://www.ilo.org/resource/statement/reducing-inequalities-sustainable-development" TargetMode="External"/><Relationship Id="rId17" Type="http://schemas.openxmlformats.org/officeDocument/2006/relationships/hyperlink" Target="https://globalgoals.org/goals/3-good-health-and-well-bein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sph.org.uk/insights/celebrating-social-prescribing-how-it-improves-health-and-tackles-inequalities/" TargetMode="External"/><Relationship Id="rId20" Type="http://schemas.openxmlformats.org/officeDocument/2006/relationships/hyperlink" Target="https://www.kingsfund.org.uk/insight-and-analysis/blogs/nhs-england-tackling-inequalities-times-chang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ituteofhealthequity.org/resources-reports/marmot-review-10-years-on/the-marmot-review-10-years-on-full-report.pdf" TargetMode="External"/><Relationship Id="rId24" Type="http://schemas.openxmlformats.org/officeDocument/2006/relationships/hyperlink" Target="https://wir2026.wid.world/insight/global-economic-inequity/" TargetMode="External"/><Relationship Id="rId5" Type="http://schemas.openxmlformats.org/officeDocument/2006/relationships/webSettings" Target="webSettings.xml"/><Relationship Id="rId15" Type="http://schemas.openxmlformats.org/officeDocument/2006/relationships/hyperlink" Target="https://www.ons.gov.uk/peoplepopulationandcommunity/healthandsocialcare/healthinequalities/bulletins/healthstatelifeexpectanciesbyindexofmultipledeprivationimd/2018to2020" TargetMode="External"/><Relationship Id="rId23" Type="http://schemas.openxmlformats.org/officeDocument/2006/relationships/hyperlink" Target="https://www.who.int/health-topics/universal-health-coverage" TargetMode="External"/><Relationship Id="rId10" Type="http://schemas.openxmlformats.org/officeDocument/2006/relationships/hyperlink" Target="https://ec.europa.eu/eurostat/statistics-explained/index.php?title=SDG_10_-_Reduced_inequalities" TargetMode="External"/><Relationship Id="rId19" Type="http://schemas.openxmlformats.org/officeDocument/2006/relationships/hyperlink" Target="https://www.healthpolicypartnership.com/project/prioritising-non-communicable-diseases-in-post-pandemic-recovery/" TargetMode="External"/><Relationship Id="rId4" Type="http://schemas.openxmlformats.org/officeDocument/2006/relationships/settings" Target="settings.xml"/><Relationship Id="rId9" Type="http://schemas.openxmlformats.org/officeDocument/2006/relationships/hyperlink" Target="https://www.bma.org.uk/what-we-do/population-health/addressing-social-determinants-that-influence-health/health-inequalities-in-england" TargetMode="External"/><Relationship Id="rId14" Type="http://schemas.openxmlformats.org/officeDocument/2006/relationships/hyperlink" Target="https://evidence.nihr.ac.uk/alert/is-the-nhs-health-check-improving-our-populations-health/" TargetMode="External"/><Relationship Id="rId22" Type="http://schemas.openxmlformats.org/officeDocument/2006/relationships/hyperlink" Target="https://sdgs.un.org/goal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3FB6E-10B9-4BDC-8FFA-BE2FD01D99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3454</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ionela slavoiu</cp:lastModifiedBy>
  <cp:revision>2</cp:revision>
  <dcterms:created xsi:type="dcterms:W3CDTF">2026-07-11T14:32:00Z</dcterms:created>
  <dcterms:modified xsi:type="dcterms:W3CDTF">2026-07-11T14:32:00Z</dcterms:modified>
</cp:coreProperties>
</file>