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094D8" w14:textId="77777777" w:rsidR="00B53A5E" w:rsidRPr="00171015" w:rsidRDefault="00B53A5E" w:rsidP="00171015">
      <w:pPr>
        <w:spacing w:before="40" w:after="40" w:line="360" w:lineRule="auto"/>
        <w:jc w:val="both"/>
        <w:rPr>
          <w:rFonts w:ascii="Times New Roman" w:hAnsi="Times New Roman" w:cs="Times New Roman"/>
        </w:rPr>
      </w:pPr>
    </w:p>
    <w:p w14:paraId="628AD951" w14:textId="77777777" w:rsidR="00B53A5E" w:rsidRPr="00171015" w:rsidRDefault="00B53A5E" w:rsidP="00171015">
      <w:pPr>
        <w:spacing w:before="40" w:after="40" w:line="360" w:lineRule="auto"/>
        <w:jc w:val="both"/>
        <w:rPr>
          <w:rFonts w:ascii="Times New Roman" w:hAnsi="Times New Roman" w:cs="Times New Roman"/>
        </w:rPr>
      </w:pPr>
    </w:p>
    <w:p w14:paraId="03BFD0C6" w14:textId="6BF65E2D" w:rsidR="00B53A5E" w:rsidRPr="00171015" w:rsidRDefault="0068564D" w:rsidP="0068564D">
      <w:pPr>
        <w:spacing w:before="40" w:after="40" w:line="360" w:lineRule="auto"/>
        <w:jc w:val="center"/>
        <w:rPr>
          <w:rFonts w:ascii="Times New Roman" w:hAnsi="Times New Roman" w:cs="Times New Roman"/>
        </w:rPr>
      </w:pPr>
      <w:r>
        <w:rPr>
          <w:noProof/>
        </w:rPr>
        <w:drawing>
          <wp:inline distT="0" distB="0" distL="0" distR="0" wp14:anchorId="6587E5BF" wp14:editId="2985C4E7">
            <wp:extent cx="1809524" cy="7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09524" cy="723810"/>
                    </a:xfrm>
                    <a:prstGeom prst="rect">
                      <a:avLst/>
                    </a:prstGeom>
                  </pic:spPr>
                </pic:pic>
              </a:graphicData>
            </a:graphic>
          </wp:inline>
        </w:drawing>
      </w:r>
    </w:p>
    <w:p w14:paraId="70B8E5F6" w14:textId="77777777" w:rsidR="00B53A5E" w:rsidRPr="00171015" w:rsidRDefault="00B53A5E" w:rsidP="00171015">
      <w:pPr>
        <w:spacing w:before="40" w:after="40" w:line="360" w:lineRule="auto"/>
        <w:jc w:val="both"/>
        <w:rPr>
          <w:rFonts w:ascii="Times New Roman" w:hAnsi="Times New Roman" w:cs="Times New Roman"/>
        </w:rPr>
      </w:pPr>
    </w:p>
    <w:p w14:paraId="005B0AC1" w14:textId="77777777" w:rsidR="00B53A5E" w:rsidRPr="00CF088E" w:rsidRDefault="00F23948" w:rsidP="00CF088E">
      <w:pPr>
        <w:spacing w:after="120" w:line="360" w:lineRule="auto"/>
        <w:jc w:val="center"/>
        <w:rPr>
          <w:rFonts w:ascii="Times New Roman" w:hAnsi="Times New Roman" w:cs="Times New Roman"/>
        </w:rPr>
      </w:pPr>
      <w:r w:rsidRPr="00CF088E">
        <w:rPr>
          <w:rFonts w:ascii="Times New Roman" w:hAnsi="Times New Roman" w:cs="Times New Roman"/>
          <w:b/>
          <w:bCs/>
        </w:rPr>
        <w:t>GLOBAL CHALLENGES</w:t>
      </w:r>
    </w:p>
    <w:p w14:paraId="17FBAF16" w14:textId="106EC80D" w:rsidR="00B53A5E" w:rsidRPr="00CF088E" w:rsidRDefault="00F23948" w:rsidP="0068564D">
      <w:pPr>
        <w:spacing w:after="60" w:line="360" w:lineRule="auto"/>
        <w:jc w:val="center"/>
        <w:rPr>
          <w:rFonts w:ascii="Times New Roman" w:hAnsi="Times New Roman" w:cs="Times New Roman"/>
        </w:rPr>
      </w:pPr>
      <w:r w:rsidRPr="00CF088E">
        <w:rPr>
          <w:rFonts w:ascii="Times New Roman" w:hAnsi="Times New Roman" w:cs="Times New Roman"/>
          <w:b/>
          <w:bCs/>
        </w:rPr>
        <w:t>Navigating Artificial Intelligence, Automation and Regulatory Risk:</w:t>
      </w:r>
      <w:r w:rsidR="0068564D">
        <w:rPr>
          <w:rFonts w:ascii="Times New Roman" w:hAnsi="Times New Roman" w:cs="Times New Roman"/>
          <w:b/>
          <w:bCs/>
        </w:rPr>
        <w:t xml:space="preserve"> </w:t>
      </w:r>
      <w:r w:rsidRPr="00CF088E">
        <w:rPr>
          <w:rFonts w:ascii="Times New Roman" w:hAnsi="Times New Roman" w:cs="Times New Roman"/>
          <w:b/>
          <w:bCs/>
        </w:rPr>
        <w:t>A Strategic Advisory Report on DHL Group</w:t>
      </w:r>
    </w:p>
    <w:p w14:paraId="2D78A880" w14:textId="5E8DFB2C" w:rsidR="00B53A5E" w:rsidRDefault="00F23948" w:rsidP="00CF088E">
      <w:pPr>
        <w:spacing w:after="80" w:line="360" w:lineRule="auto"/>
        <w:jc w:val="center"/>
        <w:rPr>
          <w:rFonts w:ascii="Times New Roman" w:hAnsi="Times New Roman" w:cs="Times New Roman"/>
        </w:rPr>
      </w:pPr>
      <w:r w:rsidRPr="00CF088E">
        <w:rPr>
          <w:rFonts w:ascii="Times New Roman" w:hAnsi="Times New Roman" w:cs="Times New Roman"/>
        </w:rPr>
        <w:t xml:space="preserve">Prepared for: RFD Global </w:t>
      </w:r>
      <w:r w:rsidR="00CF088E">
        <w:rPr>
          <w:rFonts w:ascii="Times New Roman" w:hAnsi="Times New Roman" w:cs="Times New Roman"/>
        </w:rPr>
        <w:t>-</w:t>
      </w:r>
      <w:r w:rsidRPr="00CF088E">
        <w:rPr>
          <w:rFonts w:ascii="Times New Roman" w:hAnsi="Times New Roman" w:cs="Times New Roman"/>
        </w:rPr>
        <w:t xml:space="preserve"> Internship Application Report</w:t>
      </w:r>
    </w:p>
    <w:p w14:paraId="07E9ACD1" w14:textId="04FD582B" w:rsidR="0068564D" w:rsidRDefault="0068564D" w:rsidP="00CF088E">
      <w:pPr>
        <w:spacing w:after="80" w:line="360" w:lineRule="auto"/>
        <w:jc w:val="center"/>
        <w:rPr>
          <w:rFonts w:ascii="Times New Roman" w:hAnsi="Times New Roman" w:cs="Times New Roman"/>
        </w:rPr>
      </w:pPr>
    </w:p>
    <w:p w14:paraId="062C1B01" w14:textId="50E2F0D0" w:rsidR="0068564D" w:rsidRDefault="0068564D" w:rsidP="00CF088E">
      <w:pPr>
        <w:spacing w:after="80" w:line="360" w:lineRule="auto"/>
        <w:jc w:val="center"/>
        <w:rPr>
          <w:rFonts w:ascii="Times New Roman" w:hAnsi="Times New Roman" w:cs="Times New Roman"/>
        </w:rPr>
      </w:pPr>
    </w:p>
    <w:p w14:paraId="54159241" w14:textId="118AB4F1" w:rsidR="0068564D" w:rsidRPr="0068564D" w:rsidRDefault="0068564D" w:rsidP="00CF088E">
      <w:pPr>
        <w:spacing w:after="80" w:line="360" w:lineRule="auto"/>
        <w:jc w:val="center"/>
        <w:rPr>
          <w:rFonts w:ascii="Times New Roman" w:hAnsi="Times New Roman" w:cs="Times New Roman"/>
          <w:b/>
          <w:bCs/>
          <w:sz w:val="32"/>
          <w:szCs w:val="32"/>
        </w:rPr>
      </w:pPr>
      <w:proofErr w:type="spellStart"/>
      <w:r w:rsidRPr="0068564D">
        <w:rPr>
          <w:rFonts w:ascii="Times New Roman" w:hAnsi="Times New Roman" w:cs="Times New Roman"/>
          <w:b/>
          <w:bCs/>
          <w:sz w:val="32"/>
          <w:szCs w:val="32"/>
        </w:rPr>
        <w:t>Ramim</w:t>
      </w:r>
      <w:proofErr w:type="spellEnd"/>
      <w:r w:rsidRPr="0068564D">
        <w:rPr>
          <w:rFonts w:ascii="Times New Roman" w:hAnsi="Times New Roman" w:cs="Times New Roman"/>
          <w:b/>
          <w:bCs/>
          <w:sz w:val="32"/>
          <w:szCs w:val="32"/>
        </w:rPr>
        <w:t xml:space="preserve"> Ahmed</w:t>
      </w:r>
    </w:p>
    <w:p w14:paraId="2D3D30AF" w14:textId="5A98A592" w:rsidR="0068564D" w:rsidRPr="0068564D" w:rsidRDefault="0068564D" w:rsidP="00CF088E">
      <w:pPr>
        <w:spacing w:after="80" w:line="360" w:lineRule="auto"/>
        <w:jc w:val="center"/>
        <w:rPr>
          <w:rFonts w:ascii="Times New Roman" w:hAnsi="Times New Roman" w:cs="Times New Roman"/>
          <w:b/>
          <w:bCs/>
          <w:sz w:val="32"/>
          <w:szCs w:val="32"/>
        </w:rPr>
      </w:pPr>
      <w:r w:rsidRPr="0068564D">
        <w:rPr>
          <w:rFonts w:ascii="Times New Roman" w:hAnsi="Times New Roman" w:cs="Times New Roman"/>
          <w:b/>
          <w:bCs/>
          <w:sz w:val="32"/>
          <w:szCs w:val="32"/>
        </w:rPr>
        <w:t>ID: 2516509</w:t>
      </w:r>
    </w:p>
    <w:p w14:paraId="62E64590" w14:textId="37078F69" w:rsidR="0068564D" w:rsidRDefault="0068564D" w:rsidP="00CF088E">
      <w:pPr>
        <w:spacing w:after="80" w:line="360" w:lineRule="auto"/>
        <w:jc w:val="center"/>
        <w:rPr>
          <w:rFonts w:ascii="Times New Roman" w:hAnsi="Times New Roman" w:cs="Times New Roman"/>
        </w:rPr>
      </w:pPr>
    </w:p>
    <w:p w14:paraId="381590C7" w14:textId="77777777" w:rsidR="0068564D" w:rsidRPr="00CF088E" w:rsidRDefault="0068564D" w:rsidP="00CF088E">
      <w:pPr>
        <w:spacing w:after="80" w:line="360" w:lineRule="auto"/>
        <w:jc w:val="center"/>
        <w:rPr>
          <w:rFonts w:ascii="Times New Roman" w:hAnsi="Times New Roman" w:cs="Times New Roman"/>
        </w:rPr>
      </w:pPr>
    </w:p>
    <w:p w14:paraId="08E4F13F" w14:textId="77777777" w:rsidR="00B53A5E" w:rsidRPr="00CF088E" w:rsidRDefault="00F23948" w:rsidP="00CF088E">
      <w:pPr>
        <w:spacing w:after="80" w:line="360" w:lineRule="auto"/>
        <w:jc w:val="center"/>
        <w:rPr>
          <w:rFonts w:ascii="Times New Roman" w:hAnsi="Times New Roman" w:cs="Times New Roman"/>
        </w:rPr>
      </w:pPr>
      <w:r w:rsidRPr="00CF088E">
        <w:rPr>
          <w:rFonts w:ascii="Times New Roman" w:hAnsi="Times New Roman" w:cs="Times New Roman"/>
        </w:rPr>
        <w:t>Module: BMMB7006 Global Business Challenges</w:t>
      </w:r>
    </w:p>
    <w:p w14:paraId="5207C0F2" w14:textId="77777777" w:rsidR="00B53A5E" w:rsidRPr="00CF088E" w:rsidRDefault="00F23948" w:rsidP="00CF088E">
      <w:pPr>
        <w:spacing w:after="80" w:line="360" w:lineRule="auto"/>
        <w:jc w:val="center"/>
        <w:rPr>
          <w:rFonts w:ascii="Times New Roman" w:hAnsi="Times New Roman" w:cs="Times New Roman"/>
        </w:rPr>
      </w:pPr>
      <w:r w:rsidRPr="00CF088E">
        <w:rPr>
          <w:rFonts w:ascii="Times New Roman" w:hAnsi="Times New Roman" w:cs="Times New Roman"/>
        </w:rPr>
        <w:t>University of Wales Trinity Saint David</w:t>
      </w:r>
    </w:p>
    <w:p w14:paraId="0E81F390" w14:textId="39027109" w:rsidR="00B53A5E" w:rsidRDefault="00F23948" w:rsidP="00CF088E">
      <w:pPr>
        <w:spacing w:line="360" w:lineRule="auto"/>
        <w:jc w:val="center"/>
        <w:rPr>
          <w:rFonts w:ascii="Times New Roman" w:hAnsi="Times New Roman" w:cs="Times New Roman"/>
        </w:rPr>
      </w:pPr>
      <w:r w:rsidRPr="00CF088E">
        <w:rPr>
          <w:rFonts w:ascii="Times New Roman" w:hAnsi="Times New Roman" w:cs="Times New Roman"/>
        </w:rPr>
        <w:t>April 2026</w:t>
      </w:r>
    </w:p>
    <w:p w14:paraId="2DB7262F" w14:textId="77777777" w:rsidR="00D05DD7" w:rsidRPr="00CF088E" w:rsidRDefault="00D05DD7" w:rsidP="00CF088E">
      <w:pPr>
        <w:spacing w:line="360" w:lineRule="auto"/>
        <w:jc w:val="center"/>
        <w:rPr>
          <w:rFonts w:ascii="Times New Roman" w:hAnsi="Times New Roman" w:cs="Times New Roman"/>
        </w:rPr>
      </w:pPr>
    </w:p>
    <w:p w14:paraId="2A698127" w14:textId="77777777" w:rsidR="00B53A5E" w:rsidRPr="00171015" w:rsidRDefault="00F23948" w:rsidP="00171015">
      <w:pPr>
        <w:spacing w:line="360" w:lineRule="auto"/>
        <w:jc w:val="both"/>
        <w:rPr>
          <w:rFonts w:ascii="Times New Roman" w:hAnsi="Times New Roman" w:cs="Times New Roman"/>
        </w:rPr>
      </w:pPr>
      <w:r w:rsidRPr="00171015">
        <w:rPr>
          <w:rFonts w:ascii="Times New Roman" w:hAnsi="Times New Roman" w:cs="Times New Roman"/>
        </w:rPr>
        <w:br w:type="page"/>
      </w:r>
    </w:p>
    <w:p w14:paraId="2C8C8498" w14:textId="77777777" w:rsidR="00B53A5E" w:rsidRPr="00CF088E" w:rsidRDefault="00F23948" w:rsidP="00CF088E">
      <w:pPr>
        <w:pStyle w:val="Heading1"/>
      </w:pPr>
      <w:bookmarkStart w:id="0" w:name="_Toc228186718"/>
      <w:r w:rsidRPr="00171015">
        <w:lastRenderedPageBreak/>
        <w:t>Executive Summary</w:t>
      </w:r>
      <w:bookmarkEnd w:id="0"/>
    </w:p>
    <w:p w14:paraId="50907B10" w14:textId="77777777" w:rsidR="009C1D4D" w:rsidRPr="00171015" w:rsidRDefault="009C1D4D" w:rsidP="00171015">
      <w:pPr>
        <w:spacing w:before="80" w:line="360" w:lineRule="auto"/>
        <w:jc w:val="both"/>
        <w:rPr>
          <w:rFonts w:ascii="Times New Roman" w:hAnsi="Times New Roman" w:cs="Times New Roman"/>
        </w:rPr>
      </w:pPr>
      <w:r w:rsidRPr="00171015">
        <w:rPr>
          <w:rFonts w:ascii="Times New Roman" w:hAnsi="Times New Roman" w:cs="Times New Roman"/>
        </w:rPr>
        <w:t>DHL Group, the biggest global logistics firm in terms of revenue is deploying artificial intelligence on a massive scale including warehouse automation, route optimization, automation of customs, and communication with customers. There are high strategic stakes. AI can also equip DHL with the means to reduce its operating costs, make its supply chain more resilient and competitive against its established rivals and technology-native new entrants. But when it became apparent that the opportunity is in how far the company can control the risks that accompany automation around the world, particularly as regulatory pressures in its two biggest markets, the United Kingdom and the European Union, are tugging in two different directions.</w:t>
      </w:r>
    </w:p>
    <w:p w14:paraId="3A5A5DBB" w14:textId="51CE085A" w:rsidR="00B53A5E" w:rsidRPr="00171015" w:rsidRDefault="009C1D4D"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UK continues to have a principles-based, sector-neutral AI regulating framework, which applies the existing regulators to allow them to apply their models to AI risk. Comparatively, the EU has introduced the first world regulation of AI, Regulation (EU) 2024/1689, which proposes legally binding requirements of high-risk AI systems, including logistics and automated decision-making. It is not only that this regulatory difference presents DHL with a compliance management challenge. It is an </w:t>
      </w:r>
      <w:proofErr w:type="spellStart"/>
      <w:r w:rsidRPr="00171015">
        <w:rPr>
          <w:rFonts w:ascii="Times New Roman" w:hAnsi="Times New Roman" w:cs="Times New Roman"/>
        </w:rPr>
        <w:t>operationalenvironment</w:t>
      </w:r>
      <w:proofErr w:type="spellEnd"/>
      <w:r w:rsidRPr="00171015">
        <w:rPr>
          <w:rFonts w:ascii="Times New Roman" w:hAnsi="Times New Roman" w:cs="Times New Roman"/>
        </w:rPr>
        <w:t xml:space="preserve"> feature, which will determine competitive advantage, supply chain design and customer trust in the years to </w:t>
      </w:r>
      <w:proofErr w:type="spellStart"/>
      <w:r w:rsidRPr="00171015">
        <w:rPr>
          <w:rFonts w:ascii="Times New Roman" w:hAnsi="Times New Roman" w:cs="Times New Roman"/>
        </w:rPr>
        <w:t>come.This</w:t>
      </w:r>
      <w:proofErr w:type="spellEnd"/>
      <w:r w:rsidRPr="00171015">
        <w:rPr>
          <w:rFonts w:ascii="Times New Roman" w:hAnsi="Times New Roman" w:cs="Times New Roman"/>
        </w:rPr>
        <w:t xml:space="preserve"> report applies PESTLE analysis, Porters Five Forces, Porters Diamond, Risk Management Theory, Corporate Governance Systems and Hofstede Cultural dimensions to </w:t>
      </w:r>
      <w:proofErr w:type="spellStart"/>
      <w:r w:rsidRPr="00171015">
        <w:rPr>
          <w:rFonts w:ascii="Times New Roman" w:hAnsi="Times New Roman" w:cs="Times New Roman"/>
        </w:rPr>
        <w:t>analyse</w:t>
      </w:r>
      <w:proofErr w:type="spellEnd"/>
      <w:r w:rsidRPr="00171015">
        <w:rPr>
          <w:rFonts w:ascii="Times New Roman" w:hAnsi="Times New Roman" w:cs="Times New Roman"/>
        </w:rPr>
        <w:t xml:space="preserve"> the strategic position of DHL. It concludes with a costed, incremental implementation plan which is supposed to be prospective of the regulatory manner of travelling as opposed to responsive to it.</w:t>
      </w:r>
      <w:r w:rsidR="00F23948" w:rsidRPr="00171015">
        <w:rPr>
          <w:rFonts w:ascii="Times New Roman" w:hAnsi="Times New Roman" w:cs="Times New Roman"/>
        </w:rPr>
        <w:br w:type="page"/>
      </w:r>
    </w:p>
    <w:sdt>
      <w:sdtPr>
        <w:rPr>
          <w:rFonts w:asciiTheme="minorHAnsi" w:eastAsiaTheme="minorEastAsia" w:hAnsiTheme="minorHAnsi" w:cstheme="minorBidi"/>
          <w:color w:val="auto"/>
          <w:sz w:val="24"/>
          <w:szCs w:val="24"/>
        </w:rPr>
        <w:id w:val="1185566043"/>
        <w:docPartObj>
          <w:docPartGallery w:val="Table of Contents"/>
          <w:docPartUnique/>
        </w:docPartObj>
      </w:sdtPr>
      <w:sdtEndPr>
        <w:rPr>
          <w:b/>
          <w:bCs/>
          <w:noProof/>
        </w:rPr>
      </w:sdtEndPr>
      <w:sdtContent>
        <w:p w14:paraId="1FFD0344" w14:textId="02E19674" w:rsidR="00CF088E" w:rsidRDefault="00CF088E">
          <w:pPr>
            <w:pStyle w:val="TOCHeading"/>
          </w:pPr>
          <w:r>
            <w:t>Table of Contents</w:t>
          </w:r>
        </w:p>
        <w:p w14:paraId="0B12F915" w14:textId="6A0B8C0F" w:rsidR="00CF088E" w:rsidRDefault="00CF088E">
          <w:pPr>
            <w:pStyle w:val="TOC1"/>
            <w:tabs>
              <w:tab w:val="right" w:leader="dot" w:pos="9376"/>
            </w:tabs>
            <w:rPr>
              <w:noProof/>
            </w:rPr>
          </w:pPr>
          <w:r>
            <w:fldChar w:fldCharType="begin"/>
          </w:r>
          <w:r>
            <w:instrText xml:space="preserve"> TOC \o "1-3" \h \z \u </w:instrText>
          </w:r>
          <w:r>
            <w:fldChar w:fldCharType="separate"/>
          </w:r>
          <w:hyperlink w:anchor="_Toc228186718" w:history="1">
            <w:r w:rsidRPr="00E25214">
              <w:rPr>
                <w:rStyle w:val="Hyperlink"/>
                <w:noProof/>
              </w:rPr>
              <w:t>Executive Summary</w:t>
            </w:r>
            <w:r>
              <w:rPr>
                <w:noProof/>
                <w:webHidden/>
              </w:rPr>
              <w:tab/>
            </w:r>
            <w:r>
              <w:rPr>
                <w:noProof/>
                <w:webHidden/>
              </w:rPr>
              <w:fldChar w:fldCharType="begin"/>
            </w:r>
            <w:r>
              <w:rPr>
                <w:noProof/>
                <w:webHidden/>
              </w:rPr>
              <w:instrText xml:space="preserve"> PAGEREF _Toc228186718 \h </w:instrText>
            </w:r>
            <w:r>
              <w:rPr>
                <w:noProof/>
                <w:webHidden/>
              </w:rPr>
            </w:r>
            <w:r>
              <w:rPr>
                <w:noProof/>
                <w:webHidden/>
              </w:rPr>
              <w:fldChar w:fldCharType="separate"/>
            </w:r>
            <w:r>
              <w:rPr>
                <w:noProof/>
                <w:webHidden/>
              </w:rPr>
              <w:t>2</w:t>
            </w:r>
            <w:r>
              <w:rPr>
                <w:noProof/>
                <w:webHidden/>
              </w:rPr>
              <w:fldChar w:fldCharType="end"/>
            </w:r>
          </w:hyperlink>
        </w:p>
        <w:p w14:paraId="71EA5BD0" w14:textId="70A78523" w:rsidR="00CF088E" w:rsidRDefault="00E078B8">
          <w:pPr>
            <w:pStyle w:val="TOC1"/>
            <w:tabs>
              <w:tab w:val="right" w:leader="dot" w:pos="9376"/>
            </w:tabs>
            <w:rPr>
              <w:noProof/>
            </w:rPr>
          </w:pPr>
          <w:hyperlink w:anchor="_Toc228186719" w:history="1">
            <w:r w:rsidR="00CF088E" w:rsidRPr="00E25214">
              <w:rPr>
                <w:rStyle w:val="Hyperlink"/>
                <w:noProof/>
              </w:rPr>
              <w:t>1. Introduction</w:t>
            </w:r>
            <w:r w:rsidR="00CF088E">
              <w:rPr>
                <w:noProof/>
                <w:webHidden/>
              </w:rPr>
              <w:tab/>
            </w:r>
            <w:r w:rsidR="00CF088E">
              <w:rPr>
                <w:noProof/>
                <w:webHidden/>
              </w:rPr>
              <w:fldChar w:fldCharType="begin"/>
            </w:r>
            <w:r w:rsidR="00CF088E">
              <w:rPr>
                <w:noProof/>
                <w:webHidden/>
              </w:rPr>
              <w:instrText xml:space="preserve"> PAGEREF _Toc228186719 \h </w:instrText>
            </w:r>
            <w:r w:rsidR="00CF088E">
              <w:rPr>
                <w:noProof/>
                <w:webHidden/>
              </w:rPr>
            </w:r>
            <w:r w:rsidR="00CF088E">
              <w:rPr>
                <w:noProof/>
                <w:webHidden/>
              </w:rPr>
              <w:fldChar w:fldCharType="separate"/>
            </w:r>
            <w:r w:rsidR="00CF088E">
              <w:rPr>
                <w:noProof/>
                <w:webHidden/>
              </w:rPr>
              <w:t>4</w:t>
            </w:r>
            <w:r w:rsidR="00CF088E">
              <w:rPr>
                <w:noProof/>
                <w:webHidden/>
              </w:rPr>
              <w:fldChar w:fldCharType="end"/>
            </w:r>
          </w:hyperlink>
        </w:p>
        <w:p w14:paraId="46D13BD0" w14:textId="02AB9176" w:rsidR="00CF088E" w:rsidRDefault="00E078B8">
          <w:pPr>
            <w:pStyle w:val="TOC1"/>
            <w:tabs>
              <w:tab w:val="right" w:leader="dot" w:pos="9376"/>
            </w:tabs>
            <w:rPr>
              <w:noProof/>
            </w:rPr>
          </w:pPr>
          <w:hyperlink w:anchor="_Toc228186720" w:history="1">
            <w:r w:rsidR="00CF088E" w:rsidRPr="00E25214">
              <w:rPr>
                <w:rStyle w:val="Hyperlink"/>
                <w:noProof/>
              </w:rPr>
              <w:t>2. Analytical Findings</w:t>
            </w:r>
            <w:r w:rsidR="00CF088E">
              <w:rPr>
                <w:noProof/>
                <w:webHidden/>
              </w:rPr>
              <w:tab/>
            </w:r>
            <w:r w:rsidR="00CF088E">
              <w:rPr>
                <w:noProof/>
                <w:webHidden/>
              </w:rPr>
              <w:fldChar w:fldCharType="begin"/>
            </w:r>
            <w:r w:rsidR="00CF088E">
              <w:rPr>
                <w:noProof/>
                <w:webHidden/>
              </w:rPr>
              <w:instrText xml:space="preserve"> PAGEREF _Toc228186720 \h </w:instrText>
            </w:r>
            <w:r w:rsidR="00CF088E">
              <w:rPr>
                <w:noProof/>
                <w:webHidden/>
              </w:rPr>
            </w:r>
            <w:r w:rsidR="00CF088E">
              <w:rPr>
                <w:noProof/>
                <w:webHidden/>
              </w:rPr>
              <w:fldChar w:fldCharType="separate"/>
            </w:r>
            <w:r w:rsidR="00CF088E">
              <w:rPr>
                <w:noProof/>
                <w:webHidden/>
              </w:rPr>
              <w:t>5</w:t>
            </w:r>
            <w:r w:rsidR="00CF088E">
              <w:rPr>
                <w:noProof/>
                <w:webHidden/>
              </w:rPr>
              <w:fldChar w:fldCharType="end"/>
            </w:r>
          </w:hyperlink>
        </w:p>
        <w:p w14:paraId="63F08123" w14:textId="6BF277CD" w:rsidR="00CF088E" w:rsidRDefault="00E078B8">
          <w:pPr>
            <w:pStyle w:val="TOC2"/>
            <w:tabs>
              <w:tab w:val="right" w:leader="dot" w:pos="9376"/>
            </w:tabs>
            <w:rPr>
              <w:noProof/>
            </w:rPr>
          </w:pPr>
          <w:hyperlink w:anchor="_Toc228186721" w:history="1">
            <w:r w:rsidR="00CF088E" w:rsidRPr="00E25214">
              <w:rPr>
                <w:rStyle w:val="Hyperlink"/>
                <w:noProof/>
              </w:rPr>
              <w:t>2.1 Mapping the External Landscape: PESTLE Analysis</w:t>
            </w:r>
            <w:r w:rsidR="00CF088E">
              <w:rPr>
                <w:noProof/>
                <w:webHidden/>
              </w:rPr>
              <w:tab/>
            </w:r>
            <w:r w:rsidR="00CF088E">
              <w:rPr>
                <w:noProof/>
                <w:webHidden/>
              </w:rPr>
              <w:fldChar w:fldCharType="begin"/>
            </w:r>
            <w:r w:rsidR="00CF088E">
              <w:rPr>
                <w:noProof/>
                <w:webHidden/>
              </w:rPr>
              <w:instrText xml:space="preserve"> PAGEREF _Toc228186721 \h </w:instrText>
            </w:r>
            <w:r w:rsidR="00CF088E">
              <w:rPr>
                <w:noProof/>
                <w:webHidden/>
              </w:rPr>
            </w:r>
            <w:r w:rsidR="00CF088E">
              <w:rPr>
                <w:noProof/>
                <w:webHidden/>
              </w:rPr>
              <w:fldChar w:fldCharType="separate"/>
            </w:r>
            <w:r w:rsidR="00CF088E">
              <w:rPr>
                <w:noProof/>
                <w:webHidden/>
              </w:rPr>
              <w:t>5</w:t>
            </w:r>
            <w:r w:rsidR="00CF088E">
              <w:rPr>
                <w:noProof/>
                <w:webHidden/>
              </w:rPr>
              <w:fldChar w:fldCharType="end"/>
            </w:r>
          </w:hyperlink>
        </w:p>
        <w:p w14:paraId="1C970F1B" w14:textId="017641E6" w:rsidR="00CF088E" w:rsidRDefault="00E078B8">
          <w:pPr>
            <w:pStyle w:val="TOC2"/>
            <w:tabs>
              <w:tab w:val="right" w:leader="dot" w:pos="9376"/>
            </w:tabs>
            <w:rPr>
              <w:noProof/>
            </w:rPr>
          </w:pPr>
          <w:hyperlink w:anchor="_Toc228186722" w:history="1">
            <w:r w:rsidR="00CF088E" w:rsidRPr="00E25214">
              <w:rPr>
                <w:rStyle w:val="Hyperlink"/>
                <w:noProof/>
              </w:rPr>
              <w:t>2.2 Competitive Pressures and Market Structure: Porter's Five Forces</w:t>
            </w:r>
            <w:r w:rsidR="00CF088E">
              <w:rPr>
                <w:noProof/>
                <w:webHidden/>
              </w:rPr>
              <w:tab/>
            </w:r>
            <w:r w:rsidR="00CF088E">
              <w:rPr>
                <w:noProof/>
                <w:webHidden/>
              </w:rPr>
              <w:fldChar w:fldCharType="begin"/>
            </w:r>
            <w:r w:rsidR="00CF088E">
              <w:rPr>
                <w:noProof/>
                <w:webHidden/>
              </w:rPr>
              <w:instrText xml:space="preserve"> PAGEREF _Toc228186722 \h </w:instrText>
            </w:r>
            <w:r w:rsidR="00CF088E">
              <w:rPr>
                <w:noProof/>
                <w:webHidden/>
              </w:rPr>
            </w:r>
            <w:r w:rsidR="00CF088E">
              <w:rPr>
                <w:noProof/>
                <w:webHidden/>
              </w:rPr>
              <w:fldChar w:fldCharType="separate"/>
            </w:r>
            <w:r w:rsidR="00CF088E">
              <w:rPr>
                <w:noProof/>
                <w:webHidden/>
              </w:rPr>
              <w:t>6</w:t>
            </w:r>
            <w:r w:rsidR="00CF088E">
              <w:rPr>
                <w:noProof/>
                <w:webHidden/>
              </w:rPr>
              <w:fldChar w:fldCharType="end"/>
            </w:r>
          </w:hyperlink>
        </w:p>
        <w:p w14:paraId="6A2B4E28" w14:textId="7031B804" w:rsidR="00CF088E" w:rsidRDefault="00E078B8">
          <w:pPr>
            <w:pStyle w:val="TOC2"/>
            <w:tabs>
              <w:tab w:val="right" w:leader="dot" w:pos="9376"/>
            </w:tabs>
            <w:rPr>
              <w:noProof/>
            </w:rPr>
          </w:pPr>
          <w:hyperlink w:anchor="_Toc228186723" w:history="1">
            <w:r w:rsidR="00CF088E" w:rsidRPr="00E25214">
              <w:rPr>
                <w:rStyle w:val="Hyperlink"/>
                <w:noProof/>
              </w:rPr>
              <w:t>2.3 Where DHL's Advantages Are Built: Porter's Diamond</w:t>
            </w:r>
            <w:r w:rsidR="00CF088E">
              <w:rPr>
                <w:noProof/>
                <w:webHidden/>
              </w:rPr>
              <w:tab/>
            </w:r>
            <w:r w:rsidR="00CF088E">
              <w:rPr>
                <w:noProof/>
                <w:webHidden/>
              </w:rPr>
              <w:fldChar w:fldCharType="begin"/>
            </w:r>
            <w:r w:rsidR="00CF088E">
              <w:rPr>
                <w:noProof/>
                <w:webHidden/>
              </w:rPr>
              <w:instrText xml:space="preserve"> PAGEREF _Toc228186723 \h </w:instrText>
            </w:r>
            <w:r w:rsidR="00CF088E">
              <w:rPr>
                <w:noProof/>
                <w:webHidden/>
              </w:rPr>
            </w:r>
            <w:r w:rsidR="00CF088E">
              <w:rPr>
                <w:noProof/>
                <w:webHidden/>
              </w:rPr>
              <w:fldChar w:fldCharType="separate"/>
            </w:r>
            <w:r w:rsidR="00CF088E">
              <w:rPr>
                <w:noProof/>
                <w:webHidden/>
              </w:rPr>
              <w:t>8</w:t>
            </w:r>
            <w:r w:rsidR="00CF088E">
              <w:rPr>
                <w:noProof/>
                <w:webHidden/>
              </w:rPr>
              <w:fldChar w:fldCharType="end"/>
            </w:r>
          </w:hyperlink>
        </w:p>
        <w:p w14:paraId="1A623C16" w14:textId="03207030" w:rsidR="00CF088E" w:rsidRDefault="00E078B8">
          <w:pPr>
            <w:pStyle w:val="TOC2"/>
            <w:tabs>
              <w:tab w:val="right" w:leader="dot" w:pos="9376"/>
            </w:tabs>
            <w:rPr>
              <w:noProof/>
            </w:rPr>
          </w:pPr>
          <w:hyperlink w:anchor="_Toc228186724" w:history="1">
            <w:r w:rsidR="00CF088E" w:rsidRPr="00E25214">
              <w:rPr>
                <w:rStyle w:val="Hyperlink"/>
                <w:noProof/>
              </w:rPr>
              <w:t>2.4 Managing What Can Go Wrong: AI Risk in Logistics Operations</w:t>
            </w:r>
            <w:r w:rsidR="00CF088E">
              <w:rPr>
                <w:noProof/>
                <w:webHidden/>
              </w:rPr>
              <w:tab/>
            </w:r>
            <w:r w:rsidR="00CF088E">
              <w:rPr>
                <w:noProof/>
                <w:webHidden/>
              </w:rPr>
              <w:fldChar w:fldCharType="begin"/>
            </w:r>
            <w:r w:rsidR="00CF088E">
              <w:rPr>
                <w:noProof/>
                <w:webHidden/>
              </w:rPr>
              <w:instrText xml:space="preserve"> PAGEREF _Toc228186724 \h </w:instrText>
            </w:r>
            <w:r w:rsidR="00CF088E">
              <w:rPr>
                <w:noProof/>
                <w:webHidden/>
              </w:rPr>
            </w:r>
            <w:r w:rsidR="00CF088E">
              <w:rPr>
                <w:noProof/>
                <w:webHidden/>
              </w:rPr>
              <w:fldChar w:fldCharType="separate"/>
            </w:r>
            <w:r w:rsidR="00CF088E">
              <w:rPr>
                <w:noProof/>
                <w:webHidden/>
              </w:rPr>
              <w:t>10</w:t>
            </w:r>
            <w:r w:rsidR="00CF088E">
              <w:rPr>
                <w:noProof/>
                <w:webHidden/>
              </w:rPr>
              <w:fldChar w:fldCharType="end"/>
            </w:r>
          </w:hyperlink>
        </w:p>
        <w:p w14:paraId="45A7CC84" w14:textId="5A55DE9B" w:rsidR="00CF088E" w:rsidRDefault="00E078B8">
          <w:pPr>
            <w:pStyle w:val="TOC2"/>
            <w:tabs>
              <w:tab w:val="right" w:leader="dot" w:pos="9376"/>
            </w:tabs>
            <w:rPr>
              <w:noProof/>
            </w:rPr>
          </w:pPr>
          <w:hyperlink w:anchor="_Toc228186725" w:history="1">
            <w:r w:rsidR="00CF088E" w:rsidRPr="00E25214">
              <w:rPr>
                <w:rStyle w:val="Hyperlink"/>
                <w:noProof/>
              </w:rPr>
              <w:t>2.5 Culture, Accountability and the Human Dimension of AI Governance</w:t>
            </w:r>
            <w:r w:rsidR="00CF088E">
              <w:rPr>
                <w:noProof/>
                <w:webHidden/>
              </w:rPr>
              <w:tab/>
            </w:r>
            <w:r w:rsidR="00CF088E">
              <w:rPr>
                <w:noProof/>
                <w:webHidden/>
              </w:rPr>
              <w:fldChar w:fldCharType="begin"/>
            </w:r>
            <w:r w:rsidR="00CF088E">
              <w:rPr>
                <w:noProof/>
                <w:webHidden/>
              </w:rPr>
              <w:instrText xml:space="preserve"> PAGEREF _Toc228186725 \h </w:instrText>
            </w:r>
            <w:r w:rsidR="00CF088E">
              <w:rPr>
                <w:noProof/>
                <w:webHidden/>
              </w:rPr>
            </w:r>
            <w:r w:rsidR="00CF088E">
              <w:rPr>
                <w:noProof/>
                <w:webHidden/>
              </w:rPr>
              <w:fldChar w:fldCharType="separate"/>
            </w:r>
            <w:r w:rsidR="00CF088E">
              <w:rPr>
                <w:noProof/>
                <w:webHidden/>
              </w:rPr>
              <w:t>12</w:t>
            </w:r>
            <w:r w:rsidR="00CF088E">
              <w:rPr>
                <w:noProof/>
                <w:webHidden/>
              </w:rPr>
              <w:fldChar w:fldCharType="end"/>
            </w:r>
          </w:hyperlink>
        </w:p>
        <w:p w14:paraId="515DCA74" w14:textId="491D76F5" w:rsidR="00CF088E" w:rsidRDefault="00E078B8">
          <w:pPr>
            <w:pStyle w:val="TOC1"/>
            <w:tabs>
              <w:tab w:val="right" w:leader="dot" w:pos="9376"/>
            </w:tabs>
            <w:rPr>
              <w:noProof/>
            </w:rPr>
          </w:pPr>
          <w:hyperlink w:anchor="_Toc228186726" w:history="1">
            <w:r w:rsidR="00CF088E" w:rsidRPr="00E25214">
              <w:rPr>
                <w:rStyle w:val="Hyperlink"/>
                <w:noProof/>
              </w:rPr>
              <w:t>3. From Analysis to Action: Implementation Roadmap</w:t>
            </w:r>
            <w:r w:rsidR="00CF088E">
              <w:rPr>
                <w:noProof/>
                <w:webHidden/>
              </w:rPr>
              <w:tab/>
            </w:r>
            <w:r w:rsidR="00CF088E">
              <w:rPr>
                <w:noProof/>
                <w:webHidden/>
              </w:rPr>
              <w:fldChar w:fldCharType="begin"/>
            </w:r>
            <w:r w:rsidR="00CF088E">
              <w:rPr>
                <w:noProof/>
                <w:webHidden/>
              </w:rPr>
              <w:instrText xml:space="preserve"> PAGEREF _Toc228186726 \h </w:instrText>
            </w:r>
            <w:r w:rsidR="00CF088E">
              <w:rPr>
                <w:noProof/>
                <w:webHidden/>
              </w:rPr>
            </w:r>
            <w:r w:rsidR="00CF088E">
              <w:rPr>
                <w:noProof/>
                <w:webHidden/>
              </w:rPr>
              <w:fldChar w:fldCharType="separate"/>
            </w:r>
            <w:r w:rsidR="00CF088E">
              <w:rPr>
                <w:noProof/>
                <w:webHidden/>
              </w:rPr>
              <w:t>15</w:t>
            </w:r>
            <w:r w:rsidR="00CF088E">
              <w:rPr>
                <w:noProof/>
                <w:webHidden/>
              </w:rPr>
              <w:fldChar w:fldCharType="end"/>
            </w:r>
          </w:hyperlink>
        </w:p>
        <w:p w14:paraId="162CB091" w14:textId="07B77E33" w:rsidR="00CF088E" w:rsidRDefault="00E078B8">
          <w:pPr>
            <w:pStyle w:val="TOC1"/>
            <w:tabs>
              <w:tab w:val="right" w:leader="dot" w:pos="9376"/>
            </w:tabs>
            <w:rPr>
              <w:noProof/>
            </w:rPr>
          </w:pPr>
          <w:hyperlink w:anchor="_Toc228186727" w:history="1">
            <w:r w:rsidR="00CF088E" w:rsidRPr="00E25214">
              <w:rPr>
                <w:rStyle w:val="Hyperlink"/>
                <w:noProof/>
              </w:rPr>
              <w:t>4. Conclusion</w:t>
            </w:r>
            <w:r w:rsidR="00CF088E">
              <w:rPr>
                <w:noProof/>
                <w:webHidden/>
              </w:rPr>
              <w:tab/>
            </w:r>
            <w:r w:rsidR="00CF088E">
              <w:rPr>
                <w:noProof/>
                <w:webHidden/>
              </w:rPr>
              <w:fldChar w:fldCharType="begin"/>
            </w:r>
            <w:r w:rsidR="00CF088E">
              <w:rPr>
                <w:noProof/>
                <w:webHidden/>
              </w:rPr>
              <w:instrText xml:space="preserve"> PAGEREF _Toc228186727 \h </w:instrText>
            </w:r>
            <w:r w:rsidR="00CF088E">
              <w:rPr>
                <w:noProof/>
                <w:webHidden/>
              </w:rPr>
            </w:r>
            <w:r w:rsidR="00CF088E">
              <w:rPr>
                <w:noProof/>
                <w:webHidden/>
              </w:rPr>
              <w:fldChar w:fldCharType="separate"/>
            </w:r>
            <w:r w:rsidR="00CF088E">
              <w:rPr>
                <w:noProof/>
                <w:webHidden/>
              </w:rPr>
              <w:t>18</w:t>
            </w:r>
            <w:r w:rsidR="00CF088E">
              <w:rPr>
                <w:noProof/>
                <w:webHidden/>
              </w:rPr>
              <w:fldChar w:fldCharType="end"/>
            </w:r>
          </w:hyperlink>
        </w:p>
        <w:p w14:paraId="4B7E57C8" w14:textId="7F6AE01A" w:rsidR="00CF088E" w:rsidRDefault="00E078B8">
          <w:pPr>
            <w:pStyle w:val="TOC1"/>
            <w:tabs>
              <w:tab w:val="right" w:leader="dot" w:pos="9376"/>
            </w:tabs>
            <w:rPr>
              <w:noProof/>
            </w:rPr>
          </w:pPr>
          <w:hyperlink w:anchor="_Toc228186728" w:history="1">
            <w:r w:rsidR="00CF088E" w:rsidRPr="00E25214">
              <w:rPr>
                <w:rStyle w:val="Hyperlink"/>
                <w:noProof/>
              </w:rPr>
              <w:t>5. References</w:t>
            </w:r>
            <w:r w:rsidR="00CF088E">
              <w:rPr>
                <w:noProof/>
                <w:webHidden/>
              </w:rPr>
              <w:tab/>
            </w:r>
            <w:r w:rsidR="00CF088E">
              <w:rPr>
                <w:noProof/>
                <w:webHidden/>
              </w:rPr>
              <w:fldChar w:fldCharType="begin"/>
            </w:r>
            <w:r w:rsidR="00CF088E">
              <w:rPr>
                <w:noProof/>
                <w:webHidden/>
              </w:rPr>
              <w:instrText xml:space="preserve"> PAGEREF _Toc228186728 \h </w:instrText>
            </w:r>
            <w:r w:rsidR="00CF088E">
              <w:rPr>
                <w:noProof/>
                <w:webHidden/>
              </w:rPr>
            </w:r>
            <w:r w:rsidR="00CF088E">
              <w:rPr>
                <w:noProof/>
                <w:webHidden/>
              </w:rPr>
              <w:fldChar w:fldCharType="separate"/>
            </w:r>
            <w:r w:rsidR="00CF088E">
              <w:rPr>
                <w:noProof/>
                <w:webHidden/>
              </w:rPr>
              <w:t>19</w:t>
            </w:r>
            <w:r w:rsidR="00CF088E">
              <w:rPr>
                <w:noProof/>
                <w:webHidden/>
              </w:rPr>
              <w:fldChar w:fldCharType="end"/>
            </w:r>
          </w:hyperlink>
        </w:p>
        <w:p w14:paraId="48731D6C" w14:textId="42243A69" w:rsidR="00CF088E" w:rsidRDefault="00CF088E">
          <w:r>
            <w:rPr>
              <w:b/>
              <w:bCs/>
              <w:noProof/>
            </w:rPr>
            <w:fldChar w:fldCharType="end"/>
          </w:r>
        </w:p>
      </w:sdtContent>
    </w:sdt>
    <w:p w14:paraId="3E9DF0D5" w14:textId="77777777" w:rsidR="00B53A5E" w:rsidRPr="00171015" w:rsidRDefault="00F23948" w:rsidP="00171015">
      <w:pPr>
        <w:spacing w:line="360" w:lineRule="auto"/>
        <w:jc w:val="both"/>
        <w:rPr>
          <w:rFonts w:ascii="Times New Roman" w:hAnsi="Times New Roman" w:cs="Times New Roman"/>
        </w:rPr>
      </w:pPr>
      <w:r w:rsidRPr="00171015">
        <w:rPr>
          <w:rFonts w:ascii="Times New Roman" w:hAnsi="Times New Roman" w:cs="Times New Roman"/>
        </w:rPr>
        <w:br w:type="page"/>
      </w:r>
    </w:p>
    <w:p w14:paraId="4C2CFC1C" w14:textId="77777777" w:rsidR="00B53A5E" w:rsidRPr="00CF088E" w:rsidRDefault="00F23948" w:rsidP="00CF088E">
      <w:pPr>
        <w:pStyle w:val="Heading1"/>
      </w:pPr>
      <w:bookmarkStart w:id="1" w:name="_Toc228186719"/>
      <w:r w:rsidRPr="00171015">
        <w:lastRenderedPageBreak/>
        <w:t>1. Introduction</w:t>
      </w:r>
      <w:bookmarkEnd w:id="1"/>
    </w:p>
    <w:p w14:paraId="07F7940A" w14:textId="2595585C" w:rsidR="0021450B" w:rsidRPr="00171015" w:rsidRDefault="0021450B" w:rsidP="00171015">
      <w:pPr>
        <w:spacing w:line="360" w:lineRule="auto"/>
        <w:jc w:val="both"/>
        <w:rPr>
          <w:rFonts w:ascii="Times New Roman" w:hAnsi="Times New Roman" w:cs="Times New Roman"/>
        </w:rPr>
      </w:pPr>
      <w:r w:rsidRPr="00171015">
        <w:rPr>
          <w:rFonts w:ascii="Times New Roman" w:hAnsi="Times New Roman" w:cs="Times New Roman"/>
        </w:rPr>
        <w:t xml:space="preserve">With its headquarters </w:t>
      </w:r>
      <w:r w:rsidR="00F23948" w:rsidRPr="00171015">
        <w:rPr>
          <w:rFonts w:ascii="Times New Roman" w:hAnsi="Times New Roman" w:cs="Times New Roman"/>
        </w:rPr>
        <w:t>in Germany, DHL Group operates in over 220 countries and territories, employs about 600,000 people, and handles billions of shipments annually</w:t>
      </w:r>
      <w:r w:rsidRPr="00171015">
        <w:rPr>
          <w:rFonts w:ascii="Times New Roman" w:hAnsi="Times New Roman" w:cs="Times New Roman"/>
        </w:rPr>
        <w:t xml:space="preserve"> (DHL Group, 2024a). It is a valuable example to study the way a multinational enterprise should handle the convergence of artificial intelligence adoption and a changing regulatory risk due to its scale and geographic reach. As opposed to the industries where AI works mainly with financial information or patient data, AI in logistics is highly integrated in physical processes: it plans routes, organizes warehouse drones, clears customs, predicts demand and chats with customers in real time. The implications of governance are thus both operational and, as well as, ethical or legal.</w:t>
      </w:r>
    </w:p>
    <w:p w14:paraId="3FF708CB" w14:textId="77777777" w:rsidR="0021450B" w:rsidRPr="00171015" w:rsidRDefault="0021450B" w:rsidP="00171015">
      <w:pPr>
        <w:spacing w:line="360" w:lineRule="auto"/>
        <w:jc w:val="both"/>
        <w:rPr>
          <w:rFonts w:ascii="Times New Roman" w:hAnsi="Times New Roman" w:cs="Times New Roman"/>
        </w:rPr>
      </w:pPr>
      <w:r w:rsidRPr="00171015">
        <w:rPr>
          <w:rFonts w:ascii="Times New Roman" w:hAnsi="Times New Roman" w:cs="Times New Roman"/>
        </w:rPr>
        <w:t>According to the Global Risks Report (2026) prepared by the World Economic Forum, AI-produced misinformation and a breakdown in critical information infrastructure are among the most devastating near-term global risks. In the case of a firm such as DHL, whose operations are based on integrated digital functions throughout the Express, Supply Chain, Global Forwarding, Freight and eCommerce operations, AI-induced cyber vulnerabilities and algorithm failures are not mere hypothetical risks but practical realities and must be managed through formal governance.</w:t>
      </w:r>
    </w:p>
    <w:p w14:paraId="03192054" w14:textId="77777777" w:rsidR="0021450B" w:rsidRPr="00171015" w:rsidRDefault="0021450B" w:rsidP="00171015">
      <w:pPr>
        <w:spacing w:line="360" w:lineRule="auto"/>
        <w:jc w:val="both"/>
        <w:rPr>
          <w:rFonts w:ascii="Times New Roman" w:hAnsi="Times New Roman" w:cs="Times New Roman"/>
        </w:rPr>
      </w:pPr>
      <w:r w:rsidRPr="00171015">
        <w:rPr>
          <w:rFonts w:ascii="Times New Roman" w:hAnsi="Times New Roman" w:cs="Times New Roman"/>
        </w:rPr>
        <w:t>The two geographic contexts addressed in this report constitute the most important regulation environment to DHL, as the United Kingdom is where DHL is active under a principles-based regulatory framework that grants regulators discretion to apply the current regulatory frameworks to AI systems used in 27 member states, and the European Union, where Regulation (EU) 2024/1689 - the EU AI Act - comes into effect in August The difference between these two regimes is analytically fruitful. The UK is focused on flexibility and innovation, the EU is focused on legal predictability and the protection of fundamental rights. DHL needs to walk the fine line between the two.</w:t>
      </w:r>
    </w:p>
    <w:p w14:paraId="3E268F22" w14:textId="75F9DC0D" w:rsidR="00B53A5E" w:rsidRPr="00171015" w:rsidRDefault="0021450B" w:rsidP="00171015">
      <w:pPr>
        <w:spacing w:line="360" w:lineRule="auto"/>
        <w:jc w:val="both"/>
        <w:rPr>
          <w:rFonts w:ascii="Times New Roman" w:hAnsi="Times New Roman" w:cs="Times New Roman"/>
        </w:rPr>
      </w:pPr>
      <w:r w:rsidRPr="00171015">
        <w:rPr>
          <w:rFonts w:ascii="Times New Roman" w:hAnsi="Times New Roman" w:cs="Times New Roman"/>
        </w:rPr>
        <w:t>It is analyzed based on PESTLE, Porters Five Forces and Diamond, and theory of risk management, literature on corporate governance and cultural dimensions of Hofstede. The purpose is to assess what DHL must do differently in the next three-five years to transform AI into a cost-reduction instrument and not a true source of sustainable competitive advantage without the reputational and regulatory expenses experienced by other tech-intensive multinationals.</w:t>
      </w:r>
      <w:r w:rsidR="00F23948" w:rsidRPr="00171015">
        <w:rPr>
          <w:rFonts w:ascii="Times New Roman" w:hAnsi="Times New Roman" w:cs="Times New Roman"/>
        </w:rPr>
        <w:br w:type="page"/>
      </w:r>
    </w:p>
    <w:p w14:paraId="684DD920" w14:textId="77777777" w:rsidR="00B53A5E" w:rsidRPr="00544F47" w:rsidRDefault="00F23948" w:rsidP="00544F47">
      <w:pPr>
        <w:pStyle w:val="Heading1"/>
      </w:pPr>
      <w:bookmarkStart w:id="2" w:name="_Toc228186720"/>
      <w:r w:rsidRPr="00171015">
        <w:lastRenderedPageBreak/>
        <w:t>2. Analytical Findings</w:t>
      </w:r>
      <w:bookmarkEnd w:id="2"/>
    </w:p>
    <w:p w14:paraId="0D8F8F4C" w14:textId="77777777" w:rsidR="00B53A5E" w:rsidRPr="00544F47" w:rsidRDefault="00F23948" w:rsidP="00544F47">
      <w:pPr>
        <w:pStyle w:val="Heading2"/>
      </w:pPr>
      <w:bookmarkStart w:id="3" w:name="_Toc228186721"/>
      <w:r w:rsidRPr="00171015">
        <w:t>2.1 Mapping the External Landscape: PESTLE Analysis</w:t>
      </w:r>
      <w:bookmarkEnd w:id="3"/>
    </w:p>
    <w:p w14:paraId="1ECCC677" w14:textId="77777777" w:rsidR="007238A4" w:rsidRPr="00171015" w:rsidRDefault="007238A4"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A more systematic approach to the macro-environmental forces that shape the AI strategy at DHL in UK and EU is presented in the PESTLE model (Aguilar, 1967; </w:t>
      </w:r>
      <w:proofErr w:type="spellStart"/>
      <w:r w:rsidRPr="00171015">
        <w:rPr>
          <w:rFonts w:ascii="Times New Roman" w:hAnsi="Times New Roman" w:cs="Times New Roman"/>
        </w:rPr>
        <w:t>Zalengera</w:t>
      </w:r>
      <w:proofErr w:type="spellEnd"/>
      <w:r w:rsidRPr="00171015">
        <w:rPr>
          <w:rFonts w:ascii="Times New Roman" w:hAnsi="Times New Roman" w:cs="Times New Roman"/>
        </w:rPr>
        <w:t xml:space="preserve"> et al., 2014). These dimensions are discussed with reference to their direct relevance to the context of operations and governance of DHL.</w:t>
      </w:r>
    </w:p>
    <w:p w14:paraId="30E67D87" w14:textId="77777777" w:rsidR="007238A4" w:rsidRPr="00171015" w:rsidRDefault="007238A4" w:rsidP="00171015">
      <w:pPr>
        <w:spacing w:before="80" w:line="360" w:lineRule="auto"/>
        <w:jc w:val="both"/>
        <w:rPr>
          <w:rFonts w:ascii="Times New Roman" w:hAnsi="Times New Roman" w:cs="Times New Roman"/>
        </w:rPr>
      </w:pPr>
      <w:r w:rsidRPr="00171015">
        <w:rPr>
          <w:rFonts w:ascii="Times New Roman" w:hAnsi="Times New Roman" w:cs="Times New Roman"/>
        </w:rPr>
        <w:t>The difference in the UK and EU AI regulatory philosophies is the key factor in the establishment of the political environment. The UK adopted a more principles-oriented, sector-driven governance of AI (UK Government, 2023), which was founded on how existing powers over AI are used by such bodies as the ICO and Competition and Markets Authority after Brexit. The EU has been more prescriptive. The EU AI Act, in effect since August 2024, and divides AI systems based on risk level and demands conformity testing, transparency and after-market supervision of high-risk applications (European Commission, 2025). Use of AI in the logistics infrastructure is specifically mentioned as a potentially high-risk category in the list of categories in the Act, and there is a direct effect on the automated sorting, routing, and customs clearance processes of DHL in EU member states.</w:t>
      </w:r>
    </w:p>
    <w:p w14:paraId="75CA84E6" w14:textId="156A63A9" w:rsidR="009C1D4D" w:rsidRPr="00171015" w:rsidRDefault="007238A4" w:rsidP="00171015">
      <w:pPr>
        <w:spacing w:before="80" w:line="360" w:lineRule="auto"/>
        <w:jc w:val="both"/>
        <w:rPr>
          <w:rFonts w:ascii="Times New Roman" w:hAnsi="Times New Roman" w:cs="Times New Roman"/>
        </w:rPr>
      </w:pPr>
      <w:r w:rsidRPr="00171015">
        <w:rPr>
          <w:rFonts w:ascii="Times New Roman" w:hAnsi="Times New Roman" w:cs="Times New Roman"/>
        </w:rPr>
        <w:t>At the economic level the business of DHL is intricately connected with the volumes of global trading which are susceptible to friction amid geopolitics. The empirical data provided by Caldara and Iacoviello (2022) prove the fact that the indexes of geopolitical risks have increased dramatically since 2020 and their direct implications have been noticed in the stability of cross-border supply chains. Bednarski et al. (2025) demonstrate that geopolitical competition is reshaping the design decisions of international supply chains with companies aiming to de-risk through nearshoring and regionalization. At DHL, this creates a demand-side opportunity, with clients needing more intricate supply chain risk management, which AI can offer, and a supply-side risk, with the existence of the same model of operation being dependent on cross-border flows that are threatened by geopolitical disruption.</w:t>
      </w:r>
    </w:p>
    <w:p w14:paraId="3E7897BB" w14:textId="7771B24E"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social aspect involves </w:t>
      </w:r>
      <w:proofErr w:type="spellStart"/>
      <w:r w:rsidRPr="00171015">
        <w:rPr>
          <w:rFonts w:ascii="Times New Roman" w:hAnsi="Times New Roman" w:cs="Times New Roman"/>
        </w:rPr>
        <w:t>labour</w:t>
      </w:r>
      <w:proofErr w:type="spellEnd"/>
      <w:r w:rsidRPr="00171015">
        <w:rPr>
          <w:rFonts w:ascii="Times New Roman" w:hAnsi="Times New Roman" w:cs="Times New Roman"/>
        </w:rPr>
        <w:t xml:space="preserve"> implications and social perceptions regarding automated decisions. Klumpp (2017) cites human response to automation as one of the key governance issues in the logistics industry, and says that resistance and skills shortage among the workforce are often the factors that sabotage the implementation of AI on </w:t>
      </w:r>
      <w:r w:rsidR="00441CFE" w:rsidRPr="00171015">
        <w:rPr>
          <w:rFonts w:ascii="Times New Roman" w:hAnsi="Times New Roman" w:cs="Times New Roman"/>
        </w:rPr>
        <w:t xml:space="preserve">a </w:t>
      </w:r>
      <w:r w:rsidRPr="00171015">
        <w:rPr>
          <w:rFonts w:ascii="Times New Roman" w:hAnsi="Times New Roman" w:cs="Times New Roman"/>
        </w:rPr>
        <w:t xml:space="preserve">large scale. </w:t>
      </w:r>
      <w:r w:rsidR="00441CFE" w:rsidRPr="00171015">
        <w:rPr>
          <w:rFonts w:ascii="Times New Roman" w:hAnsi="Times New Roman" w:cs="Times New Roman"/>
        </w:rPr>
        <w:t xml:space="preserve">DHL's Strategy 2030 </w:t>
      </w:r>
      <w:r w:rsidRPr="00171015">
        <w:rPr>
          <w:rFonts w:ascii="Times New Roman" w:hAnsi="Times New Roman" w:cs="Times New Roman"/>
        </w:rPr>
        <w:t xml:space="preserve">directly </w:t>
      </w:r>
      <w:proofErr w:type="spellStart"/>
      <w:r w:rsidRPr="00171015">
        <w:rPr>
          <w:rFonts w:ascii="Times New Roman" w:hAnsi="Times New Roman" w:cs="Times New Roman"/>
        </w:rPr>
        <w:t>recognises</w:t>
      </w:r>
      <w:proofErr w:type="spellEnd"/>
      <w:r w:rsidRPr="00171015">
        <w:rPr>
          <w:rFonts w:ascii="Times New Roman" w:hAnsi="Times New Roman" w:cs="Times New Roman"/>
        </w:rPr>
        <w:t xml:space="preserve"> the changing </w:t>
      </w:r>
      <w:proofErr w:type="spellStart"/>
      <w:r w:rsidRPr="00171015">
        <w:rPr>
          <w:rFonts w:ascii="Times New Roman" w:hAnsi="Times New Roman" w:cs="Times New Roman"/>
        </w:rPr>
        <w:t>labour</w:t>
      </w:r>
      <w:proofErr w:type="spellEnd"/>
      <w:r w:rsidRPr="00171015">
        <w:rPr>
          <w:rFonts w:ascii="Times New Roman" w:hAnsi="Times New Roman" w:cs="Times New Roman"/>
        </w:rPr>
        <w:t xml:space="preserve"> market as a megatrend, and the firm has been investing in its </w:t>
      </w:r>
      <w:r w:rsidRPr="00171015">
        <w:rPr>
          <w:rFonts w:ascii="Times New Roman" w:hAnsi="Times New Roman" w:cs="Times New Roman"/>
        </w:rPr>
        <w:lastRenderedPageBreak/>
        <w:t xml:space="preserve">reskilling </w:t>
      </w:r>
      <w:proofErr w:type="spellStart"/>
      <w:r w:rsidRPr="00171015">
        <w:rPr>
          <w:rFonts w:ascii="Times New Roman" w:hAnsi="Times New Roman" w:cs="Times New Roman"/>
        </w:rPr>
        <w:t>programmes</w:t>
      </w:r>
      <w:proofErr w:type="spellEnd"/>
      <w:r w:rsidRPr="00171015">
        <w:rPr>
          <w:rFonts w:ascii="Times New Roman" w:hAnsi="Times New Roman" w:cs="Times New Roman"/>
        </w:rPr>
        <w:t xml:space="preserve"> in addition to its automation </w:t>
      </w:r>
      <w:proofErr w:type="spellStart"/>
      <w:r w:rsidRPr="00171015">
        <w:rPr>
          <w:rFonts w:ascii="Times New Roman" w:hAnsi="Times New Roman" w:cs="Times New Roman"/>
        </w:rPr>
        <w:t>programme</w:t>
      </w:r>
      <w:proofErr w:type="spellEnd"/>
      <w:r w:rsidRPr="00171015">
        <w:rPr>
          <w:rFonts w:ascii="Times New Roman" w:hAnsi="Times New Roman" w:cs="Times New Roman"/>
        </w:rPr>
        <w:t xml:space="preserve"> (DHL Group, 2024a). The social </w:t>
      </w:r>
      <w:proofErr w:type="spellStart"/>
      <w:r w:rsidRPr="00171015">
        <w:rPr>
          <w:rFonts w:ascii="Times New Roman" w:hAnsi="Times New Roman" w:cs="Times New Roman"/>
        </w:rPr>
        <w:t>licence</w:t>
      </w:r>
      <w:proofErr w:type="spellEnd"/>
      <w:r w:rsidRPr="00171015">
        <w:rPr>
          <w:rFonts w:ascii="Times New Roman" w:hAnsi="Times New Roman" w:cs="Times New Roman"/>
        </w:rPr>
        <w:t xml:space="preserve"> to automate is not indefinite, however, and DHL will be forced to deal with expectations of job displacement with sensitivity, especially in markets with well-established trade union cultures.</w:t>
      </w:r>
    </w:p>
    <w:p w14:paraId="3361A75E" w14:textId="48A59012"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DHL has significant investments (technological)</w:t>
      </w:r>
      <w:r w:rsidR="00441CFE" w:rsidRPr="00171015">
        <w:rPr>
          <w:rFonts w:ascii="Times New Roman" w:hAnsi="Times New Roman" w:cs="Times New Roman"/>
        </w:rPr>
        <w:t>,</w:t>
      </w:r>
      <w:r w:rsidRPr="00171015">
        <w:rPr>
          <w:rFonts w:ascii="Times New Roman" w:hAnsi="Times New Roman" w:cs="Times New Roman"/>
        </w:rPr>
        <w:t xml:space="preserve"> which are increasing </w:t>
      </w:r>
      <w:r w:rsidR="00F23948" w:rsidRPr="00171015">
        <w:rPr>
          <w:rFonts w:ascii="Times New Roman" w:hAnsi="Times New Roman" w:cs="Times New Roman"/>
        </w:rPr>
        <w:t>rapidly</w:t>
      </w:r>
      <w:r w:rsidRPr="00171015">
        <w:rPr>
          <w:rFonts w:ascii="Times New Roman" w:hAnsi="Times New Roman" w:cs="Times New Roman"/>
        </w:rPr>
        <w:t xml:space="preserve">. According to the Logistics Trend Radar 7.0, the company has five growing clusters of </w:t>
      </w:r>
      <w:proofErr w:type="gramStart"/>
      <w:r w:rsidRPr="00171015">
        <w:rPr>
          <w:rFonts w:ascii="Times New Roman" w:hAnsi="Times New Roman" w:cs="Times New Roman"/>
        </w:rPr>
        <w:t>AI</w:t>
      </w:r>
      <w:proofErr w:type="gramEnd"/>
      <w:r w:rsidRPr="00171015">
        <w:rPr>
          <w:rFonts w:ascii="Times New Roman" w:hAnsi="Times New Roman" w:cs="Times New Roman"/>
        </w:rPr>
        <w:t>, which are: generative AI, AI ethics, audio AI, computer vision and advanced analytics (DHL Group, 2024b). The recent implementation of generative AI in DHL Supply Chain to manage data, support customers</w:t>
      </w:r>
      <w:r w:rsidR="00441CFE" w:rsidRPr="00171015">
        <w:rPr>
          <w:rFonts w:ascii="Times New Roman" w:hAnsi="Times New Roman" w:cs="Times New Roman"/>
        </w:rPr>
        <w:t>, and create proposals is a significant step toward</w:t>
      </w:r>
      <w:r w:rsidRPr="00171015">
        <w:rPr>
          <w:rFonts w:ascii="Times New Roman" w:hAnsi="Times New Roman" w:cs="Times New Roman"/>
        </w:rPr>
        <w:t xml:space="preserve"> </w:t>
      </w:r>
      <w:proofErr w:type="spellStart"/>
      <w:r w:rsidRPr="00171015">
        <w:rPr>
          <w:rFonts w:ascii="Times New Roman" w:hAnsi="Times New Roman" w:cs="Times New Roman"/>
        </w:rPr>
        <w:t>operationalising</w:t>
      </w:r>
      <w:proofErr w:type="spellEnd"/>
      <w:r w:rsidRPr="00171015">
        <w:rPr>
          <w:rFonts w:ascii="Times New Roman" w:hAnsi="Times New Roman" w:cs="Times New Roman"/>
        </w:rPr>
        <w:t xml:space="preserve"> this agenda (DHL, 2024). The launch of the new Europe Innovation Centre in Troisdorf, Germany, the flag of a global network that also covers Singapore and Chicago, speaks volumes </w:t>
      </w:r>
      <w:r w:rsidR="00441CFE" w:rsidRPr="00171015">
        <w:rPr>
          <w:rFonts w:ascii="Times New Roman" w:hAnsi="Times New Roman" w:cs="Times New Roman"/>
        </w:rPr>
        <w:t xml:space="preserve">about DHL's aim to scale AI innovation beyond </w:t>
      </w:r>
      <w:r w:rsidRPr="00171015">
        <w:rPr>
          <w:rFonts w:ascii="Times New Roman" w:hAnsi="Times New Roman" w:cs="Times New Roman"/>
        </w:rPr>
        <w:t>controlled experimentation to an operational deployment (DHL Group, 2025).</w:t>
      </w:r>
    </w:p>
    <w:p w14:paraId="445E9119" w14:textId="745D0E84"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legal </w:t>
      </w:r>
      <w:r w:rsidR="00441CFE" w:rsidRPr="00171015">
        <w:rPr>
          <w:rFonts w:ascii="Times New Roman" w:hAnsi="Times New Roman" w:cs="Times New Roman"/>
        </w:rPr>
        <w:t>framework is guided by the EU AI Act and the UK's developing AI governance system</w:t>
      </w:r>
      <w:r w:rsidRPr="00171015">
        <w:rPr>
          <w:rFonts w:ascii="Times New Roman" w:hAnsi="Times New Roman" w:cs="Times New Roman"/>
        </w:rPr>
        <w:t xml:space="preserve">. The prohibition provisions of the Act have been in place since February 2025, governance regulations of general-purpose AI models since August 2025, and the entire high-risk system requirements are slated to take place in August 2026 (European Commission, 2025). According to Finch and Butt (2025), there are major compliance gaps between the regulatory ambition of the Act and the institutional ability of most </w:t>
      </w:r>
      <w:proofErr w:type="spellStart"/>
      <w:r w:rsidRPr="00171015">
        <w:rPr>
          <w:rFonts w:ascii="Times New Roman" w:hAnsi="Times New Roman" w:cs="Times New Roman"/>
        </w:rPr>
        <w:t>organisations</w:t>
      </w:r>
      <w:proofErr w:type="spellEnd"/>
      <w:r w:rsidRPr="00171015">
        <w:rPr>
          <w:rFonts w:ascii="Times New Roman" w:hAnsi="Times New Roman" w:cs="Times New Roman"/>
        </w:rPr>
        <w:t xml:space="preserve"> to comply with its requirements, especially regarding documentation of AI systems, conformity testing and audit trails. In the case of DHL, which </w:t>
      </w:r>
      <w:r w:rsidR="00F23948" w:rsidRPr="00171015">
        <w:rPr>
          <w:rFonts w:ascii="Times New Roman" w:hAnsi="Times New Roman" w:cs="Times New Roman"/>
        </w:rPr>
        <w:t>operates extensive AI systems across</w:t>
      </w:r>
      <w:r w:rsidR="00441CFE" w:rsidRPr="00171015">
        <w:rPr>
          <w:rFonts w:ascii="Times New Roman" w:hAnsi="Times New Roman" w:cs="Times New Roman"/>
        </w:rPr>
        <w:t xml:space="preserve"> 220 countries, the </w:t>
      </w:r>
      <w:proofErr w:type="spellStart"/>
      <w:r w:rsidR="00441CFE" w:rsidRPr="00171015">
        <w:rPr>
          <w:rFonts w:ascii="Times New Roman" w:hAnsi="Times New Roman" w:cs="Times New Roman"/>
        </w:rPr>
        <w:t>organisation</w:t>
      </w:r>
      <w:proofErr w:type="spellEnd"/>
      <w:r w:rsidR="00441CFE" w:rsidRPr="00171015">
        <w:rPr>
          <w:rFonts w:ascii="Times New Roman" w:hAnsi="Times New Roman" w:cs="Times New Roman"/>
        </w:rPr>
        <w:t xml:space="preserve"> will incur </w:t>
      </w:r>
      <w:r w:rsidR="00F23948" w:rsidRPr="00171015">
        <w:rPr>
          <w:rFonts w:ascii="Times New Roman" w:hAnsi="Times New Roman" w:cs="Times New Roman"/>
        </w:rPr>
        <w:t>high</w:t>
      </w:r>
      <w:r w:rsidR="00441CFE" w:rsidRPr="00171015">
        <w:rPr>
          <w:rFonts w:ascii="Times New Roman" w:hAnsi="Times New Roman" w:cs="Times New Roman"/>
        </w:rPr>
        <w:t xml:space="preserve"> costs and </w:t>
      </w:r>
      <w:r w:rsidRPr="00171015">
        <w:rPr>
          <w:rFonts w:ascii="Times New Roman" w:hAnsi="Times New Roman" w:cs="Times New Roman"/>
        </w:rPr>
        <w:t xml:space="preserve">financial investment to reach the scale stipulated by the Act. Another additional responsibility of the DHL UK business under the UK GDPR is </w:t>
      </w:r>
      <w:r w:rsidR="00441CFE" w:rsidRPr="00171015">
        <w:rPr>
          <w:rFonts w:ascii="Times New Roman" w:hAnsi="Times New Roman" w:cs="Times New Roman"/>
        </w:rPr>
        <w:t>to follow the ICO's</w:t>
      </w:r>
      <w:r w:rsidRPr="00171015">
        <w:rPr>
          <w:rFonts w:ascii="Times New Roman" w:hAnsi="Times New Roman" w:cs="Times New Roman"/>
        </w:rPr>
        <w:t xml:space="preserve"> guidance on AI and data protection (ICO, 2023).</w:t>
      </w:r>
    </w:p>
    <w:p w14:paraId="2102CA4D" w14:textId="4B7C0AB0"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On the environmental scale, </w:t>
      </w:r>
      <w:r w:rsidR="00441CFE" w:rsidRPr="00171015">
        <w:rPr>
          <w:rFonts w:ascii="Times New Roman" w:hAnsi="Times New Roman" w:cs="Times New Roman"/>
        </w:rPr>
        <w:t xml:space="preserve">DHL's </w:t>
      </w:r>
      <w:proofErr w:type="spellStart"/>
      <w:r w:rsidR="00441CFE" w:rsidRPr="00171015">
        <w:rPr>
          <w:rFonts w:ascii="Times New Roman" w:hAnsi="Times New Roman" w:cs="Times New Roman"/>
        </w:rPr>
        <w:t>GoGreen</w:t>
      </w:r>
      <w:proofErr w:type="spellEnd"/>
      <w:r w:rsidR="00441CFE" w:rsidRPr="00171015">
        <w:rPr>
          <w:rFonts w:ascii="Times New Roman" w:hAnsi="Times New Roman" w:cs="Times New Roman"/>
        </w:rPr>
        <w:t xml:space="preserve"> Plus strategy involves ensuring that, by 2050, the company reaches</w:t>
      </w:r>
      <w:r w:rsidRPr="00171015">
        <w:rPr>
          <w:rFonts w:ascii="Times New Roman" w:hAnsi="Times New Roman" w:cs="Times New Roman"/>
        </w:rPr>
        <w:t xml:space="preserve"> net-zero logistics, but the energy requirements of AI infrastructure as a warehouse-scale enterprise conflict directly with this promise. </w:t>
      </w:r>
      <w:r w:rsidR="00073853" w:rsidRPr="00171015">
        <w:rPr>
          <w:rFonts w:ascii="Times New Roman" w:hAnsi="Times New Roman" w:cs="Times New Roman"/>
        </w:rPr>
        <w:t>The lack of granular AI compute carbon data in DHL reporting is a new ESG disclosure gap that regulators and institutional investors are increasingly</w:t>
      </w:r>
      <w:r w:rsidRPr="00171015">
        <w:rPr>
          <w:rFonts w:ascii="Times New Roman" w:hAnsi="Times New Roman" w:cs="Times New Roman"/>
        </w:rPr>
        <w:t xml:space="preserve"> likely to question.</w:t>
      </w:r>
    </w:p>
    <w:p w14:paraId="75DBBD0F" w14:textId="77777777" w:rsidR="00B53A5E" w:rsidRPr="00544F47" w:rsidRDefault="00F23948" w:rsidP="00544F47">
      <w:pPr>
        <w:pStyle w:val="Heading2"/>
      </w:pPr>
      <w:bookmarkStart w:id="4" w:name="_Toc228186722"/>
      <w:r w:rsidRPr="00171015">
        <w:t>2.2 Competitive Pressures and Market Structure: Porter's Five Forces</w:t>
      </w:r>
      <w:bookmarkEnd w:id="4"/>
    </w:p>
    <w:p w14:paraId="7C498FD9" w14:textId="1D304A9B"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Five Forces model of industry competition and profitability by Porter (Porter, 1979) determines the structural determinants of industry competition and profitability. When applied to the global logistics industry </w:t>
      </w:r>
      <w:r w:rsidR="00F23948" w:rsidRPr="00171015">
        <w:rPr>
          <w:rFonts w:ascii="Times New Roman" w:hAnsi="Times New Roman" w:cs="Times New Roman"/>
        </w:rPr>
        <w:t xml:space="preserve">in the AI context, the model demonstrates that the market is under </w:t>
      </w:r>
      <w:r w:rsidR="00F23948" w:rsidRPr="00171015">
        <w:rPr>
          <w:rFonts w:ascii="Times New Roman" w:hAnsi="Times New Roman" w:cs="Times New Roman"/>
        </w:rPr>
        <w:lastRenderedPageBreak/>
        <w:t>significant competitive pressure, AI capability is quickly becoming a requirement rather than</w:t>
      </w:r>
      <w:r w:rsidRPr="00171015">
        <w:rPr>
          <w:rFonts w:ascii="Times New Roman" w:hAnsi="Times New Roman" w:cs="Times New Roman"/>
        </w:rPr>
        <w:t xml:space="preserve"> a differentiator, and governance quality </w:t>
      </w:r>
      <w:r w:rsidR="00073853" w:rsidRPr="00171015">
        <w:rPr>
          <w:rFonts w:ascii="Times New Roman" w:hAnsi="Times New Roman" w:cs="Times New Roman"/>
        </w:rPr>
        <w:t>is</w:t>
      </w:r>
      <w:r w:rsidRPr="00171015">
        <w:rPr>
          <w:rFonts w:ascii="Times New Roman" w:hAnsi="Times New Roman" w:cs="Times New Roman"/>
        </w:rPr>
        <w:t xml:space="preserve"> the source of sustainable advantage. </w:t>
      </w:r>
      <w:proofErr w:type="spellStart"/>
      <w:r w:rsidRPr="00171015">
        <w:rPr>
          <w:rFonts w:ascii="Times New Roman" w:hAnsi="Times New Roman" w:cs="Times New Roman"/>
        </w:rPr>
        <w:t>Pangarkar</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Prabhadesai</w:t>
      </w:r>
      <w:proofErr w:type="spellEnd"/>
      <w:r w:rsidRPr="00171015">
        <w:rPr>
          <w:rFonts w:ascii="Times New Roman" w:hAnsi="Times New Roman" w:cs="Times New Roman"/>
        </w:rPr>
        <w:t xml:space="preserve"> (2024) offer modern advice on the use of the model in dynamic environments and point out that </w:t>
      </w:r>
      <w:r w:rsidR="00073853" w:rsidRPr="00171015">
        <w:rPr>
          <w:rFonts w:ascii="Times New Roman" w:hAnsi="Times New Roman" w:cs="Times New Roman"/>
        </w:rPr>
        <w:t xml:space="preserve">technological disruption often compresses competitive forces in ways not </w:t>
      </w:r>
      <w:r w:rsidRPr="00171015">
        <w:rPr>
          <w:rFonts w:ascii="Times New Roman" w:hAnsi="Times New Roman" w:cs="Times New Roman"/>
        </w:rPr>
        <w:t xml:space="preserve">envisaged in the classical application of the model. Similar to </w:t>
      </w:r>
      <w:proofErr w:type="spellStart"/>
      <w:r w:rsidRPr="00171015">
        <w:rPr>
          <w:rFonts w:ascii="Times New Roman" w:hAnsi="Times New Roman" w:cs="Times New Roman"/>
        </w:rPr>
        <w:t>Kohnova</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Salajova</w:t>
      </w:r>
      <w:proofErr w:type="spellEnd"/>
      <w:r w:rsidRPr="00171015">
        <w:rPr>
          <w:rFonts w:ascii="Times New Roman" w:hAnsi="Times New Roman" w:cs="Times New Roman"/>
        </w:rPr>
        <w:t xml:space="preserve"> (2023), the authors </w:t>
      </w:r>
      <w:r w:rsidR="00073853" w:rsidRPr="00171015">
        <w:rPr>
          <w:rFonts w:ascii="Times New Roman" w:hAnsi="Times New Roman" w:cs="Times New Roman"/>
        </w:rPr>
        <w:t>demonstrate empirically that Industry 4.0 technologies are transforming competitive force intensities in manufacturing and logistics</w:t>
      </w:r>
      <w:r w:rsidRPr="00171015">
        <w:rPr>
          <w:rFonts w:ascii="Times New Roman" w:hAnsi="Times New Roman" w:cs="Times New Roman"/>
        </w:rPr>
        <w:t>.</w:t>
      </w:r>
    </w:p>
    <w:p w14:paraId="1B834BEC" w14:textId="77777777" w:rsidR="00C97B82" w:rsidRPr="00171015" w:rsidRDefault="00C97B82" w:rsidP="00171015">
      <w:pPr>
        <w:spacing w:before="80" w:line="360" w:lineRule="auto"/>
        <w:jc w:val="both"/>
        <w:rPr>
          <w:rFonts w:ascii="Times New Roman" w:hAnsi="Times New Roman" w:cs="Times New Roman"/>
          <w:color w:val="444444"/>
        </w:rPr>
      </w:pPr>
    </w:p>
    <w:p w14:paraId="3115D1CD" w14:textId="33C9A2E8" w:rsidR="00C97B82" w:rsidRDefault="00C97B82" w:rsidP="00544F47">
      <w:pPr>
        <w:spacing w:before="80" w:line="360" w:lineRule="auto"/>
        <w:jc w:val="center"/>
        <w:rPr>
          <w:rFonts w:ascii="Times New Roman" w:hAnsi="Times New Roman" w:cs="Times New Roman"/>
          <w:color w:val="444444"/>
        </w:rPr>
      </w:pPr>
      <w:r w:rsidRPr="00171015">
        <w:rPr>
          <w:rFonts w:ascii="Times New Roman" w:hAnsi="Times New Roman" w:cs="Times New Roman"/>
          <w:noProof/>
        </w:rPr>
        <w:drawing>
          <wp:inline distT="0" distB="0" distL="0" distR="0" wp14:anchorId="597B6C0E" wp14:editId="79511C92">
            <wp:extent cx="5960110" cy="3702644"/>
            <wp:effectExtent l="19050" t="19050" r="21590" b="12700"/>
            <wp:docPr id="1245739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39866" name=""/>
                    <pic:cNvPicPr/>
                  </pic:nvPicPr>
                  <pic:blipFill rotWithShape="1">
                    <a:blip r:embed="rId8"/>
                    <a:srcRect t="6690"/>
                    <a:stretch>
                      <a:fillRect/>
                    </a:stretch>
                  </pic:blipFill>
                  <pic:spPr bwMode="auto">
                    <a:xfrm>
                      <a:off x="0" y="0"/>
                      <a:ext cx="5960110" cy="370264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9CDBD58" w14:textId="77777777" w:rsidR="00544F47" w:rsidRPr="00171015" w:rsidRDefault="00544F47" w:rsidP="00544F47">
      <w:pPr>
        <w:spacing w:before="80" w:line="360" w:lineRule="auto"/>
        <w:jc w:val="center"/>
        <w:rPr>
          <w:rFonts w:ascii="Times New Roman" w:hAnsi="Times New Roman" w:cs="Times New Roman"/>
          <w:color w:val="444444"/>
        </w:rPr>
      </w:pPr>
    </w:p>
    <w:p w14:paraId="68716827" w14:textId="6335F09A" w:rsidR="00B53A5E" w:rsidRPr="00171015" w:rsidRDefault="00F23948" w:rsidP="00544F47">
      <w:pPr>
        <w:spacing w:before="80" w:line="360" w:lineRule="auto"/>
        <w:jc w:val="center"/>
        <w:rPr>
          <w:rFonts w:ascii="Times New Roman" w:hAnsi="Times New Roman" w:cs="Times New Roman"/>
        </w:rPr>
      </w:pPr>
      <w:r w:rsidRPr="00171015">
        <w:rPr>
          <w:rFonts w:ascii="Times New Roman" w:hAnsi="Times New Roman" w:cs="Times New Roman"/>
          <w:color w:val="444444"/>
        </w:rPr>
        <w:t xml:space="preserve">Diagram 1: Porter's Five Forces Applied to DHL Group  Source: </w:t>
      </w:r>
      <w:r w:rsidR="00C97B82" w:rsidRPr="00171015">
        <w:rPr>
          <w:rFonts w:ascii="Times New Roman" w:hAnsi="Times New Roman" w:cs="Times New Roman"/>
          <w:color w:val="444444"/>
        </w:rPr>
        <w:t>Designed by author</w:t>
      </w:r>
    </w:p>
    <w:p w14:paraId="4E283543" w14:textId="20D6D572"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threat of new entrants in the premium logistics market is average </w:t>
      </w:r>
      <w:r w:rsidR="00073853" w:rsidRPr="00171015">
        <w:rPr>
          <w:rFonts w:ascii="Times New Roman" w:hAnsi="Times New Roman" w:cs="Times New Roman"/>
        </w:rPr>
        <w:t>overall</w:t>
      </w:r>
      <w:r w:rsidR="00F23948" w:rsidRPr="00171015">
        <w:rPr>
          <w:rFonts w:ascii="Times New Roman" w:hAnsi="Times New Roman" w:cs="Times New Roman"/>
        </w:rPr>
        <w:t>. Still, the</w:t>
      </w:r>
      <w:r w:rsidR="00073853" w:rsidRPr="00171015">
        <w:rPr>
          <w:rFonts w:ascii="Times New Roman" w:hAnsi="Times New Roman" w:cs="Times New Roman"/>
        </w:rPr>
        <w:t xml:space="preserve"> threat posed by technology-native logistics platforms (such as Amazon Logistics, </w:t>
      </w:r>
      <w:proofErr w:type="spellStart"/>
      <w:r w:rsidR="00073853" w:rsidRPr="00171015">
        <w:rPr>
          <w:rFonts w:ascii="Times New Roman" w:hAnsi="Times New Roman" w:cs="Times New Roman"/>
        </w:rPr>
        <w:t>Flexport</w:t>
      </w:r>
      <w:proofErr w:type="spellEnd"/>
      <w:r w:rsidR="00073853" w:rsidRPr="00171015">
        <w:rPr>
          <w:rFonts w:ascii="Times New Roman" w:hAnsi="Times New Roman" w:cs="Times New Roman"/>
        </w:rPr>
        <w:t>,</w:t>
      </w:r>
      <w:r w:rsidRPr="00171015">
        <w:rPr>
          <w:rFonts w:ascii="Times New Roman" w:hAnsi="Times New Roman" w:cs="Times New Roman"/>
        </w:rPr>
        <w:t xml:space="preserve"> and local e-commerce fulfilment providers) is significantly high within the AI-enabled segment. These entrants have lower </w:t>
      </w:r>
      <w:r w:rsidR="00073853" w:rsidRPr="00171015">
        <w:rPr>
          <w:rFonts w:ascii="Times New Roman" w:hAnsi="Times New Roman" w:cs="Times New Roman"/>
        </w:rPr>
        <w:t>legacy infrastructure costs and are designed from</w:t>
      </w:r>
      <w:r w:rsidRPr="00171015">
        <w:rPr>
          <w:rFonts w:ascii="Times New Roman" w:hAnsi="Times New Roman" w:cs="Times New Roman"/>
        </w:rPr>
        <w:t xml:space="preserve"> inception with data and automation. The EU AI Act somewhat alleviates this risk by increasing the cost of compliance </w:t>
      </w:r>
      <w:r w:rsidR="00073853" w:rsidRPr="00171015">
        <w:rPr>
          <w:rFonts w:ascii="Times New Roman" w:hAnsi="Times New Roman" w:cs="Times New Roman"/>
        </w:rPr>
        <w:t xml:space="preserve">for implementing high-risk AI systems, </w:t>
      </w:r>
      <w:r w:rsidR="00F23948" w:rsidRPr="00171015">
        <w:rPr>
          <w:rFonts w:ascii="Times New Roman" w:hAnsi="Times New Roman" w:cs="Times New Roman"/>
        </w:rPr>
        <w:t xml:space="preserve">thereby focusing on small entrants with less regulatory </w:t>
      </w:r>
      <w:r w:rsidR="00F23948" w:rsidRPr="00171015">
        <w:rPr>
          <w:rFonts w:ascii="Times New Roman" w:hAnsi="Times New Roman" w:cs="Times New Roman"/>
        </w:rPr>
        <w:lastRenderedPageBreak/>
        <w:t>experience</w:t>
      </w:r>
      <w:r w:rsidR="00073853" w:rsidRPr="00171015">
        <w:rPr>
          <w:rFonts w:ascii="Times New Roman" w:hAnsi="Times New Roman" w:cs="Times New Roman"/>
        </w:rPr>
        <w:t xml:space="preserve"> than</w:t>
      </w:r>
      <w:r w:rsidRPr="00171015">
        <w:rPr>
          <w:rFonts w:ascii="Times New Roman" w:hAnsi="Times New Roman" w:cs="Times New Roman"/>
        </w:rPr>
        <w:t xml:space="preserve"> DHL. Nonetheless, the Act can also be disadvantageous to </w:t>
      </w:r>
      <w:r w:rsidR="00073853" w:rsidRPr="00171015">
        <w:rPr>
          <w:rFonts w:ascii="Times New Roman" w:hAnsi="Times New Roman" w:cs="Times New Roman"/>
        </w:rPr>
        <w:t xml:space="preserve">DHL's AI innovation speed, as meeting compliance deadlines slows </w:t>
      </w:r>
      <w:r w:rsidRPr="00171015">
        <w:rPr>
          <w:rFonts w:ascii="Times New Roman" w:hAnsi="Times New Roman" w:cs="Times New Roman"/>
        </w:rPr>
        <w:t>its deployment.</w:t>
      </w:r>
    </w:p>
    <w:p w14:paraId="7790295F" w14:textId="00B137C2"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w:t>
      </w:r>
      <w:r w:rsidR="00073853" w:rsidRPr="00171015">
        <w:rPr>
          <w:rFonts w:ascii="Times New Roman" w:hAnsi="Times New Roman" w:cs="Times New Roman"/>
        </w:rPr>
        <w:t>supplier's</w:t>
      </w:r>
      <w:r w:rsidRPr="00171015">
        <w:rPr>
          <w:rFonts w:ascii="Times New Roman" w:hAnsi="Times New Roman" w:cs="Times New Roman"/>
        </w:rPr>
        <w:t xml:space="preserve"> bargaining power is high in the </w:t>
      </w:r>
      <w:r w:rsidR="00F23948" w:rsidRPr="00171015">
        <w:rPr>
          <w:rFonts w:ascii="Times New Roman" w:hAnsi="Times New Roman" w:cs="Times New Roman"/>
        </w:rPr>
        <w:t>AI field</w:t>
      </w:r>
      <w:r w:rsidRPr="00171015">
        <w:rPr>
          <w:rFonts w:ascii="Times New Roman" w:hAnsi="Times New Roman" w:cs="Times New Roman"/>
        </w:rPr>
        <w:t xml:space="preserve">. </w:t>
      </w:r>
      <w:r w:rsidR="00073853" w:rsidRPr="00171015">
        <w:rPr>
          <w:rFonts w:ascii="Times New Roman" w:hAnsi="Times New Roman" w:cs="Times New Roman"/>
        </w:rPr>
        <w:t>DHL's AI strategy relies on third-party providers of cloud computing, robotics devices and hardware, AI model creation,</w:t>
      </w:r>
      <w:r w:rsidRPr="00171015">
        <w:rPr>
          <w:rFonts w:ascii="Times New Roman" w:hAnsi="Times New Roman" w:cs="Times New Roman"/>
        </w:rPr>
        <w:t xml:space="preserve"> and software platforms. The concentration of AI capacity </w:t>
      </w:r>
      <w:r w:rsidR="00F23948" w:rsidRPr="00171015">
        <w:rPr>
          <w:rFonts w:ascii="Times New Roman" w:hAnsi="Times New Roman" w:cs="Times New Roman"/>
        </w:rPr>
        <w:t>among a few suppliers worldwide gives them significant bargaining power over pricing</w:t>
      </w:r>
      <w:r w:rsidR="00073853" w:rsidRPr="00171015">
        <w:rPr>
          <w:rFonts w:ascii="Times New Roman" w:hAnsi="Times New Roman" w:cs="Times New Roman"/>
        </w:rPr>
        <w:t xml:space="preserve"> and contracts</w:t>
      </w:r>
      <w:r w:rsidRPr="00171015">
        <w:rPr>
          <w:rFonts w:ascii="Times New Roman" w:hAnsi="Times New Roman" w:cs="Times New Roman"/>
        </w:rPr>
        <w:t xml:space="preserve">. Osman and El-Gendy (2024) illustrate that there is systemic exposure to AI-based cyber disruption due to supply </w:t>
      </w:r>
      <w:r w:rsidR="00073853" w:rsidRPr="00171015">
        <w:rPr>
          <w:rFonts w:ascii="Times New Roman" w:hAnsi="Times New Roman" w:cs="Times New Roman"/>
        </w:rPr>
        <w:t>chains'</w:t>
      </w:r>
      <w:r w:rsidRPr="00171015">
        <w:rPr>
          <w:rFonts w:ascii="Times New Roman" w:hAnsi="Times New Roman" w:cs="Times New Roman"/>
        </w:rPr>
        <w:t xml:space="preserve"> concentration in </w:t>
      </w:r>
      <w:r w:rsidR="00F23948" w:rsidRPr="00171015">
        <w:rPr>
          <w:rFonts w:ascii="Times New Roman" w:hAnsi="Times New Roman" w:cs="Times New Roman"/>
        </w:rPr>
        <w:t>digital infrastructure, a threat relevant to DHL, which relies</w:t>
      </w:r>
      <w:r w:rsidRPr="00171015">
        <w:rPr>
          <w:rFonts w:ascii="Times New Roman" w:hAnsi="Times New Roman" w:cs="Times New Roman"/>
        </w:rPr>
        <w:t xml:space="preserve"> on technology partners. Regulatory awareness of this structural risk is reflected in the supply chain transparency provisions of the EU AI Act and the developing Critical </w:t>
      </w:r>
      <w:proofErr w:type="gramStart"/>
      <w:r w:rsidRPr="00171015">
        <w:rPr>
          <w:rFonts w:ascii="Times New Roman" w:hAnsi="Times New Roman" w:cs="Times New Roman"/>
        </w:rPr>
        <w:t>Third Party</w:t>
      </w:r>
      <w:proofErr w:type="gramEnd"/>
      <w:r w:rsidRPr="00171015">
        <w:rPr>
          <w:rFonts w:ascii="Times New Roman" w:hAnsi="Times New Roman" w:cs="Times New Roman"/>
        </w:rPr>
        <w:t xml:space="preserve"> framework of the UK.</w:t>
      </w:r>
    </w:p>
    <w:p w14:paraId="70902023" w14:textId="019F0842"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w:t>
      </w:r>
      <w:r w:rsidR="00073853" w:rsidRPr="00171015">
        <w:rPr>
          <w:rFonts w:ascii="Times New Roman" w:hAnsi="Times New Roman" w:cs="Times New Roman"/>
        </w:rPr>
        <w:t>buyer's</w:t>
      </w:r>
      <w:r w:rsidRPr="00171015">
        <w:rPr>
          <w:rFonts w:ascii="Times New Roman" w:hAnsi="Times New Roman" w:cs="Times New Roman"/>
        </w:rPr>
        <w:t xml:space="preserve"> bargaining power is high and increasing. Big business customers - retailers, </w:t>
      </w:r>
      <w:r w:rsidR="00073853" w:rsidRPr="00171015">
        <w:rPr>
          <w:rFonts w:ascii="Times New Roman" w:hAnsi="Times New Roman" w:cs="Times New Roman"/>
        </w:rPr>
        <w:t xml:space="preserve">manufacturers, and </w:t>
      </w:r>
      <w:r w:rsidRPr="00171015">
        <w:rPr>
          <w:rFonts w:ascii="Times New Roman" w:hAnsi="Times New Roman" w:cs="Times New Roman"/>
        </w:rPr>
        <w:t xml:space="preserve">pharmaceutical companies are getting more advanced in their considerations of logistics partners based on information transparency, AI-based delivery commitments and sustainability certificates. Smaller customers are </w:t>
      </w:r>
      <w:r w:rsidR="00073853" w:rsidRPr="00171015">
        <w:rPr>
          <w:rFonts w:ascii="Times New Roman" w:hAnsi="Times New Roman" w:cs="Times New Roman"/>
        </w:rPr>
        <w:t xml:space="preserve">less sensitive to AI capabilities but demand the reliability gains </w:t>
      </w:r>
      <w:r w:rsidRPr="00171015">
        <w:rPr>
          <w:rFonts w:ascii="Times New Roman" w:hAnsi="Times New Roman" w:cs="Times New Roman"/>
        </w:rPr>
        <w:t xml:space="preserve">AI can provide. </w:t>
      </w:r>
      <w:r w:rsidR="001271A4" w:rsidRPr="00171015">
        <w:rPr>
          <w:rFonts w:ascii="Times New Roman" w:hAnsi="Times New Roman" w:cs="Times New Roman"/>
        </w:rPr>
        <w:t xml:space="preserve">The DHL </w:t>
      </w:r>
      <w:proofErr w:type="spellStart"/>
      <w:r w:rsidR="001271A4" w:rsidRPr="00171015">
        <w:rPr>
          <w:rFonts w:ascii="Times New Roman" w:hAnsi="Times New Roman" w:cs="Times New Roman"/>
        </w:rPr>
        <w:t>GoGreen</w:t>
      </w:r>
      <w:proofErr w:type="spellEnd"/>
      <w:r w:rsidR="001271A4" w:rsidRPr="00171015">
        <w:rPr>
          <w:rFonts w:ascii="Times New Roman" w:hAnsi="Times New Roman" w:cs="Times New Roman"/>
        </w:rPr>
        <w:t xml:space="preserve"> Plus </w:t>
      </w:r>
      <w:proofErr w:type="spellStart"/>
      <w:r w:rsidR="001271A4" w:rsidRPr="00171015">
        <w:rPr>
          <w:rFonts w:ascii="Times New Roman" w:hAnsi="Times New Roman" w:cs="Times New Roman"/>
        </w:rPr>
        <w:t>programme</w:t>
      </w:r>
      <w:proofErr w:type="spellEnd"/>
      <w:r w:rsidR="001271A4" w:rsidRPr="00171015">
        <w:rPr>
          <w:rFonts w:ascii="Times New Roman" w:hAnsi="Times New Roman" w:cs="Times New Roman"/>
        </w:rPr>
        <w:t xml:space="preserve"> and AI-driven route </w:t>
      </w:r>
      <w:proofErr w:type="spellStart"/>
      <w:r w:rsidR="001271A4" w:rsidRPr="00171015">
        <w:rPr>
          <w:rFonts w:ascii="Times New Roman" w:hAnsi="Times New Roman" w:cs="Times New Roman"/>
        </w:rPr>
        <w:t>optimisation</w:t>
      </w:r>
      <w:proofErr w:type="spellEnd"/>
      <w:r w:rsidR="001271A4" w:rsidRPr="00171015">
        <w:rPr>
          <w:rFonts w:ascii="Times New Roman" w:hAnsi="Times New Roman" w:cs="Times New Roman"/>
        </w:rPr>
        <w:t xml:space="preserve"> address these buyer expectations to some extent,</w:t>
      </w:r>
      <w:r w:rsidRPr="00171015">
        <w:rPr>
          <w:rFonts w:ascii="Times New Roman" w:hAnsi="Times New Roman" w:cs="Times New Roman"/>
        </w:rPr>
        <w:t xml:space="preserve"> but the competition is increasing.</w:t>
      </w:r>
    </w:p>
    <w:p w14:paraId="642DDE04" w14:textId="7467632F"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core express and freight markets of DHL have moderate substitution risk, whereas last-mile and e-commerce fulfilment have a high substitution risk. The greatest threat of substitution in the </w:t>
      </w:r>
      <w:r w:rsidR="00F23948" w:rsidRPr="00171015">
        <w:rPr>
          <w:rFonts w:ascii="Times New Roman" w:hAnsi="Times New Roman" w:cs="Times New Roman"/>
        </w:rPr>
        <w:t>medium term is AI-enabled embedded logistics,</w:t>
      </w:r>
      <w:r w:rsidRPr="00171015">
        <w:rPr>
          <w:rFonts w:ascii="Times New Roman" w:hAnsi="Times New Roman" w:cs="Times New Roman"/>
        </w:rPr>
        <w:t xml:space="preserve"> where fulfilment is handled algorithmically as part of an e-commerce platform.</w:t>
      </w:r>
    </w:p>
    <w:p w14:paraId="3B4316EB" w14:textId="4743B5F6"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The competition between the established players FedEx, UPS, Amazon Logistics, Deutsche Post subsidiaries</w:t>
      </w:r>
      <w:r w:rsidR="00F23948" w:rsidRPr="00171015">
        <w:rPr>
          <w:rFonts w:ascii="Times New Roman" w:hAnsi="Times New Roman" w:cs="Times New Roman"/>
        </w:rPr>
        <w:t>, and Maersk in the integrated logistics market is intense and is increasingly moderated by AI capabilities</w:t>
      </w:r>
      <w:r w:rsidRPr="00171015">
        <w:rPr>
          <w:rFonts w:ascii="Times New Roman" w:hAnsi="Times New Roman" w:cs="Times New Roman"/>
        </w:rPr>
        <w:t xml:space="preserve">. According to Hendriksen (2023), AI in supply chain management is </w:t>
      </w:r>
      <w:r w:rsidR="001271A4" w:rsidRPr="00171015">
        <w:rPr>
          <w:rFonts w:ascii="Times New Roman" w:hAnsi="Times New Roman" w:cs="Times New Roman"/>
        </w:rPr>
        <w:t xml:space="preserve">better viewed as a new type of disruption that </w:t>
      </w:r>
      <w:proofErr w:type="spellStart"/>
      <w:r w:rsidR="001271A4" w:rsidRPr="00171015">
        <w:rPr>
          <w:rFonts w:ascii="Times New Roman" w:hAnsi="Times New Roman" w:cs="Times New Roman"/>
        </w:rPr>
        <w:t>reorganises</w:t>
      </w:r>
      <w:proofErr w:type="spellEnd"/>
      <w:r w:rsidR="001271A4" w:rsidRPr="00171015">
        <w:rPr>
          <w:rFonts w:ascii="Times New Roman" w:hAnsi="Times New Roman" w:cs="Times New Roman"/>
        </w:rPr>
        <w:t xml:space="preserve"> competitive relationships rather than enhancing </w:t>
      </w:r>
      <w:r w:rsidRPr="00171015">
        <w:rPr>
          <w:rFonts w:ascii="Times New Roman" w:hAnsi="Times New Roman" w:cs="Times New Roman"/>
        </w:rPr>
        <w:t>current operations. The implication to DHL is that its current competitive advantages of network scale and geographic reach are conditions that are needed but not sufficient to remain profitable in an AI-based market.</w:t>
      </w:r>
    </w:p>
    <w:p w14:paraId="41119B74" w14:textId="77777777" w:rsidR="00B53A5E" w:rsidRPr="00544F47" w:rsidRDefault="00F23948" w:rsidP="00544F47">
      <w:pPr>
        <w:pStyle w:val="Heading2"/>
      </w:pPr>
      <w:bookmarkStart w:id="5" w:name="_Toc228186723"/>
      <w:r w:rsidRPr="00171015">
        <w:t>2.3 Where DHL's Advantages Are Built: Porter's Diamond</w:t>
      </w:r>
      <w:bookmarkEnd w:id="5"/>
    </w:p>
    <w:p w14:paraId="235B60D9" w14:textId="7C1559DB"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Diamond Model of Porter (Porter, 1990) considers the factors of competitive advantage at the crossroads </w:t>
      </w:r>
      <w:r w:rsidR="001271A4" w:rsidRPr="00171015">
        <w:rPr>
          <w:rFonts w:ascii="Times New Roman" w:hAnsi="Times New Roman" w:cs="Times New Roman"/>
        </w:rPr>
        <w:t xml:space="preserve">of national conditions and </w:t>
      </w:r>
      <w:r w:rsidRPr="00171015">
        <w:rPr>
          <w:rFonts w:ascii="Times New Roman" w:hAnsi="Times New Roman" w:cs="Times New Roman"/>
        </w:rPr>
        <w:t xml:space="preserve">firm-level strategy. Ketels (2024) </w:t>
      </w:r>
      <w:r w:rsidR="001271A4" w:rsidRPr="00171015">
        <w:rPr>
          <w:rFonts w:ascii="Times New Roman" w:hAnsi="Times New Roman" w:cs="Times New Roman"/>
        </w:rPr>
        <w:t xml:space="preserve">provides a modern overview of how the model is used in international strategic management, and Tsai, Chen, and </w:t>
      </w:r>
      <w:r w:rsidR="001271A4" w:rsidRPr="00171015">
        <w:rPr>
          <w:rFonts w:ascii="Times New Roman" w:hAnsi="Times New Roman" w:cs="Times New Roman"/>
        </w:rPr>
        <w:lastRenderedPageBreak/>
        <w:t>Yang (2021) demonstrate</w:t>
      </w:r>
      <w:r w:rsidRPr="00171015">
        <w:rPr>
          <w:rFonts w:ascii="Times New Roman" w:hAnsi="Times New Roman" w:cs="Times New Roman"/>
        </w:rPr>
        <w:t xml:space="preserve"> its practical use through an applied case study approach. When used in the DHL AI strategy </w:t>
      </w:r>
      <w:r w:rsidR="001271A4" w:rsidRPr="00171015">
        <w:rPr>
          <w:rFonts w:ascii="Times New Roman" w:hAnsi="Times New Roman" w:cs="Times New Roman"/>
        </w:rPr>
        <w:t>in the UK and EU, the four Diamond determinants yield</w:t>
      </w:r>
      <w:r w:rsidRPr="00171015">
        <w:rPr>
          <w:rFonts w:ascii="Times New Roman" w:hAnsi="Times New Roman" w:cs="Times New Roman"/>
        </w:rPr>
        <w:t xml:space="preserve"> the following evaluation.</w:t>
      </w:r>
    </w:p>
    <w:p w14:paraId="039F3575" w14:textId="48BF9483" w:rsidR="00CC1E8E" w:rsidRPr="00171015" w:rsidRDefault="001271A4"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DHL's conditions </w:t>
      </w:r>
      <w:r w:rsidR="00CC1E8E" w:rsidRPr="00171015">
        <w:rPr>
          <w:rFonts w:ascii="Times New Roman" w:hAnsi="Times New Roman" w:cs="Times New Roman"/>
        </w:rPr>
        <w:t xml:space="preserve">are really high. Its logistics innovation ecosystem in Germany and its headquarters in Bonn </w:t>
      </w:r>
      <w:r w:rsidRPr="00171015">
        <w:rPr>
          <w:rFonts w:ascii="Times New Roman" w:hAnsi="Times New Roman" w:cs="Times New Roman"/>
        </w:rPr>
        <w:t>provide the company with access to full-fledged technical infrastructure, engineering expertise,</w:t>
      </w:r>
      <w:r w:rsidR="00CC1E8E" w:rsidRPr="00171015">
        <w:rPr>
          <w:rFonts w:ascii="Times New Roman" w:hAnsi="Times New Roman" w:cs="Times New Roman"/>
        </w:rPr>
        <w:t xml:space="preserve"> and collaborations with German universities through applied research. As a logistics and technology firm, DHL enjoys a rich supply of multidisciplinary talent in its key </w:t>
      </w:r>
      <w:proofErr w:type="spellStart"/>
      <w:r w:rsidRPr="00171015">
        <w:rPr>
          <w:rFonts w:ascii="Times New Roman" w:hAnsi="Times New Roman" w:cs="Times New Roman"/>
        </w:rPr>
        <w:t>centres</w:t>
      </w:r>
      <w:proofErr w:type="spellEnd"/>
      <w:r w:rsidR="00CC1E8E" w:rsidRPr="00171015">
        <w:rPr>
          <w:rFonts w:ascii="Times New Roman" w:hAnsi="Times New Roman" w:cs="Times New Roman"/>
        </w:rPr>
        <w:t xml:space="preserve"> of operation in the UK. Importantly, the Europe Innovation Centre in Troisdorf (opening in October 2025) can be linked to similar </w:t>
      </w:r>
      <w:proofErr w:type="spellStart"/>
      <w:r w:rsidR="00CC1E8E" w:rsidRPr="00171015">
        <w:rPr>
          <w:rFonts w:ascii="Times New Roman" w:hAnsi="Times New Roman" w:cs="Times New Roman"/>
        </w:rPr>
        <w:t>centres</w:t>
      </w:r>
      <w:proofErr w:type="spellEnd"/>
      <w:r w:rsidR="00CC1E8E" w:rsidRPr="00171015">
        <w:rPr>
          <w:rFonts w:ascii="Times New Roman" w:hAnsi="Times New Roman" w:cs="Times New Roman"/>
        </w:rPr>
        <w:t xml:space="preserve"> in Singapore, Chicago</w:t>
      </w:r>
      <w:r w:rsidRPr="00171015">
        <w:rPr>
          <w:rFonts w:ascii="Times New Roman" w:hAnsi="Times New Roman" w:cs="Times New Roman"/>
        </w:rPr>
        <w:t>, and Dubai and will be a great addition to the high-tech environment for</w:t>
      </w:r>
      <w:r w:rsidR="00CC1E8E" w:rsidRPr="00171015">
        <w:rPr>
          <w:rFonts w:ascii="Times New Roman" w:hAnsi="Times New Roman" w:cs="Times New Roman"/>
        </w:rPr>
        <w:t xml:space="preserve"> AI research and development maintained by DHL (DHL Group, 2025). Multiple geographic node simultaneous </w:t>
      </w:r>
      <w:r w:rsidRPr="00171015">
        <w:rPr>
          <w:rFonts w:ascii="Times New Roman" w:hAnsi="Times New Roman" w:cs="Times New Roman"/>
        </w:rPr>
        <w:t>testing and scaling technology, by itself, is an advanced factor that smaller competitors cannot imitate</w:t>
      </w:r>
      <w:r w:rsidR="00CC1E8E" w:rsidRPr="00171015">
        <w:rPr>
          <w:rFonts w:ascii="Times New Roman" w:hAnsi="Times New Roman" w:cs="Times New Roman"/>
        </w:rPr>
        <w:t>.</w:t>
      </w:r>
    </w:p>
    <w:p w14:paraId="0DD28E11" w14:textId="203EB37C"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In both markets</w:t>
      </w:r>
      <w:r w:rsidR="001271A4" w:rsidRPr="00171015">
        <w:rPr>
          <w:rFonts w:ascii="Times New Roman" w:hAnsi="Times New Roman" w:cs="Times New Roman"/>
        </w:rPr>
        <w:t>,</w:t>
      </w:r>
      <w:r w:rsidRPr="00171015">
        <w:rPr>
          <w:rFonts w:ascii="Times New Roman" w:hAnsi="Times New Roman" w:cs="Times New Roman"/>
        </w:rPr>
        <w:t xml:space="preserve"> demand conditions are advanced. EU regulatory standards, such as the conformity assessment requirement under the AI Act and the data </w:t>
      </w:r>
      <w:proofErr w:type="spellStart"/>
      <w:r w:rsidRPr="00171015">
        <w:rPr>
          <w:rFonts w:ascii="Times New Roman" w:hAnsi="Times New Roman" w:cs="Times New Roman"/>
        </w:rPr>
        <w:t>minimisation</w:t>
      </w:r>
      <w:proofErr w:type="spellEnd"/>
      <w:r w:rsidRPr="00171015">
        <w:rPr>
          <w:rFonts w:ascii="Times New Roman" w:hAnsi="Times New Roman" w:cs="Times New Roman"/>
        </w:rPr>
        <w:t xml:space="preserve"> provisions of the GDPR, </w:t>
      </w:r>
      <w:r w:rsidR="001271A4" w:rsidRPr="00171015">
        <w:rPr>
          <w:rFonts w:ascii="Times New Roman" w:hAnsi="Times New Roman" w:cs="Times New Roman"/>
        </w:rPr>
        <w:t xml:space="preserve">constitute an institutional requirement for explainable, auditable AI that drives DHL to adopt better governance practices than </w:t>
      </w:r>
      <w:r w:rsidRPr="00171015">
        <w:rPr>
          <w:rFonts w:ascii="Times New Roman" w:hAnsi="Times New Roman" w:cs="Times New Roman"/>
        </w:rPr>
        <w:t xml:space="preserve">otherwise. This dynamic is observed in the review of AI data governance by Guillen-Aguinaga et al. (2025) where regulatory pressure is often seen as a demand-side factor in governance quality enhancement. In the UK, the supply chain transparency demand and sustainability reporting by corporations </w:t>
      </w:r>
      <w:r w:rsidR="001271A4" w:rsidRPr="00171015">
        <w:rPr>
          <w:rFonts w:ascii="Times New Roman" w:hAnsi="Times New Roman" w:cs="Times New Roman"/>
        </w:rPr>
        <w:t>create</w:t>
      </w:r>
      <w:r w:rsidRPr="00171015">
        <w:rPr>
          <w:rFonts w:ascii="Times New Roman" w:hAnsi="Times New Roman" w:cs="Times New Roman"/>
        </w:rPr>
        <w:t xml:space="preserve"> the same pressure on the buyer side.</w:t>
      </w:r>
    </w:p>
    <w:p w14:paraId="61A0DD5E" w14:textId="5DBAEED7"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Industries that are related to and supportive of the two markets are powerful. The manufacturing industry in Germany </w:t>
      </w:r>
      <w:r w:rsidR="001271A4" w:rsidRPr="00171015">
        <w:rPr>
          <w:rFonts w:ascii="Times New Roman" w:hAnsi="Times New Roman" w:cs="Times New Roman"/>
        </w:rPr>
        <w:t>has strong demand for AI-driven supply chain management, and the EU's investment in digital infrastructure provides interoperability frameworks that logistics providers, such as DHL, can exploit</w:t>
      </w:r>
      <w:r w:rsidRPr="00171015">
        <w:rPr>
          <w:rFonts w:ascii="Times New Roman" w:hAnsi="Times New Roman" w:cs="Times New Roman"/>
        </w:rPr>
        <w:t>. Both Vlados (2019) and Liu and Hsu (2009) warn that the Diamond framework may undervalue international competitive dynamics among multinationals</w:t>
      </w:r>
      <w:r w:rsidR="001271A4" w:rsidRPr="00171015">
        <w:rPr>
          <w:rFonts w:ascii="Times New Roman" w:hAnsi="Times New Roman" w:cs="Times New Roman"/>
        </w:rPr>
        <w:t>,</w:t>
      </w:r>
      <w:r w:rsidRPr="00171015">
        <w:rPr>
          <w:rFonts w:ascii="Times New Roman" w:hAnsi="Times New Roman" w:cs="Times New Roman"/>
        </w:rPr>
        <w:t xml:space="preserve"> which </w:t>
      </w:r>
      <w:r w:rsidR="00F23948" w:rsidRPr="00171015">
        <w:rPr>
          <w:rFonts w:ascii="Times New Roman" w:hAnsi="Times New Roman" w:cs="Times New Roman"/>
        </w:rPr>
        <w:t>applies</w:t>
      </w:r>
      <w:r w:rsidRPr="00171015">
        <w:rPr>
          <w:rFonts w:ascii="Times New Roman" w:hAnsi="Times New Roman" w:cs="Times New Roman"/>
        </w:rPr>
        <w:t xml:space="preserve"> to DHL, </w:t>
      </w:r>
      <w:r w:rsidR="00F23948" w:rsidRPr="00171015">
        <w:rPr>
          <w:rFonts w:ascii="Times New Roman" w:hAnsi="Times New Roman" w:cs="Times New Roman"/>
        </w:rPr>
        <w:t xml:space="preserve">whose competitive position is determined by its global network as much as by its </w:t>
      </w:r>
      <w:r w:rsidRPr="00171015">
        <w:rPr>
          <w:rFonts w:ascii="Times New Roman" w:hAnsi="Times New Roman" w:cs="Times New Roman"/>
        </w:rPr>
        <w:t>national Diamond.</w:t>
      </w:r>
    </w:p>
    <w:p w14:paraId="279DD5A6" w14:textId="5894EBB5"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On solid strategy, structure and rivalry, Strategy 2030 at DHL is firmly dedicated to AI-driven smartness growth, sustainable logistics and digital transformation as three strategic pillars (DHL Group, 2024a). The internal governance architecture behind this - the Logistics Trend Radar process and the Innovation Centre network - indicates a company that is venturing into AI in a strategic, as opposed to opportunistic, manner. The greatest competitive risk is that FedEx and UPS, which have invested heavily in AI on their own, are following similar paths and using equal </w:t>
      </w:r>
      <w:r w:rsidRPr="00171015">
        <w:rPr>
          <w:rFonts w:ascii="Times New Roman" w:hAnsi="Times New Roman" w:cs="Times New Roman"/>
        </w:rPr>
        <w:lastRenderedPageBreak/>
        <w:t xml:space="preserve">resources. As Ndzabukelwako et al. (2024) note, </w:t>
      </w:r>
      <w:r w:rsidR="001271A4" w:rsidRPr="00171015">
        <w:rPr>
          <w:rFonts w:ascii="Times New Roman" w:hAnsi="Times New Roman" w:cs="Times New Roman"/>
        </w:rPr>
        <w:t>when competitive forces are highly</w:t>
      </w:r>
      <w:r w:rsidRPr="00171015">
        <w:rPr>
          <w:rFonts w:ascii="Times New Roman" w:hAnsi="Times New Roman" w:cs="Times New Roman"/>
        </w:rPr>
        <w:t xml:space="preserve"> homogeneous, the quality of governance and the speed of its implementation become the biggest differentiators.</w:t>
      </w:r>
    </w:p>
    <w:p w14:paraId="747CCACD" w14:textId="77777777" w:rsidR="00B53A5E" w:rsidRPr="00544F47" w:rsidRDefault="00F23948" w:rsidP="00544F47">
      <w:pPr>
        <w:pStyle w:val="Heading2"/>
      </w:pPr>
      <w:bookmarkStart w:id="6" w:name="_Toc228186724"/>
      <w:r w:rsidRPr="00171015">
        <w:t>2.4 Managing What Can Go Wrong: AI Risk in Logistics Operations</w:t>
      </w:r>
      <w:bookmarkEnd w:id="6"/>
    </w:p>
    <w:p w14:paraId="4CBADB70" w14:textId="3864D69A"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risk management of AI logistics operations has to deal with a </w:t>
      </w:r>
      <w:r w:rsidR="001271A4" w:rsidRPr="00171015">
        <w:rPr>
          <w:rFonts w:ascii="Times New Roman" w:hAnsi="Times New Roman" w:cs="Times New Roman"/>
        </w:rPr>
        <w:t xml:space="preserve">broader range </w:t>
      </w:r>
      <w:r w:rsidRPr="00171015">
        <w:rPr>
          <w:rFonts w:ascii="Times New Roman" w:hAnsi="Times New Roman" w:cs="Times New Roman"/>
        </w:rPr>
        <w:t xml:space="preserve">of risks than risk frameworks in traditional enterprises might expect. Hopkin (2018) defines the process of effective risk management as a lifecycle - identify, assess, design controls, monitor, review - and this lifecycle logic is more than applicable to AI systems, which may drift, go unnoticed, and cause diffusing operational effects on a speedy scale. The NIST AI Risk Management Framework (2023) offers a globally </w:t>
      </w:r>
      <w:proofErr w:type="spellStart"/>
      <w:r w:rsidRPr="00171015">
        <w:rPr>
          <w:rFonts w:ascii="Times New Roman" w:hAnsi="Times New Roman" w:cs="Times New Roman"/>
        </w:rPr>
        <w:t>recognised</w:t>
      </w:r>
      <w:proofErr w:type="spellEnd"/>
      <w:r w:rsidRPr="00171015">
        <w:rPr>
          <w:rFonts w:ascii="Times New Roman" w:hAnsi="Times New Roman" w:cs="Times New Roman"/>
        </w:rPr>
        <w:t xml:space="preserve"> taxonomy </w:t>
      </w:r>
      <w:r w:rsidR="001271A4" w:rsidRPr="00171015">
        <w:rPr>
          <w:rFonts w:ascii="Times New Roman" w:hAnsi="Times New Roman" w:cs="Times New Roman"/>
        </w:rPr>
        <w:t>that aligns with</w:t>
      </w:r>
      <w:r w:rsidRPr="00171015">
        <w:rPr>
          <w:rFonts w:ascii="Times New Roman" w:hAnsi="Times New Roman" w:cs="Times New Roman"/>
        </w:rPr>
        <w:t xml:space="preserve"> the lifecycle described by Hopkin and is directly </w:t>
      </w:r>
      <w:r w:rsidR="00F23948" w:rsidRPr="00171015">
        <w:rPr>
          <w:rFonts w:ascii="Times New Roman" w:hAnsi="Times New Roman" w:cs="Times New Roman"/>
        </w:rPr>
        <w:t>referenced in both the EU AI Act's compliance ecosystem</w:t>
      </w:r>
      <w:r w:rsidRPr="00171015">
        <w:rPr>
          <w:rFonts w:ascii="Times New Roman" w:hAnsi="Times New Roman" w:cs="Times New Roman"/>
        </w:rPr>
        <w:t xml:space="preserve"> and the pro-innovation regulatory guidance in the UK.</w:t>
      </w:r>
    </w:p>
    <w:p w14:paraId="259524C0" w14:textId="1304E27E" w:rsidR="00CC1E8E" w:rsidRPr="00171015" w:rsidRDefault="00CC1E8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table below </w:t>
      </w:r>
      <w:proofErr w:type="spellStart"/>
      <w:r w:rsidRPr="00171015">
        <w:rPr>
          <w:rFonts w:ascii="Times New Roman" w:hAnsi="Times New Roman" w:cs="Times New Roman"/>
        </w:rPr>
        <w:t>prioritises</w:t>
      </w:r>
      <w:proofErr w:type="spellEnd"/>
      <w:r w:rsidRPr="00171015">
        <w:rPr>
          <w:rFonts w:ascii="Times New Roman" w:hAnsi="Times New Roman" w:cs="Times New Roman"/>
        </w:rPr>
        <w:t xml:space="preserve"> the key AI </w:t>
      </w:r>
      <w:r w:rsidR="001271A4" w:rsidRPr="00171015">
        <w:rPr>
          <w:rFonts w:ascii="Times New Roman" w:hAnsi="Times New Roman" w:cs="Times New Roman"/>
        </w:rPr>
        <w:t>risk areas for DHL, how they specifically manifest in logistics operations, and the regulatory and governance consequences in the UK and EU settings,</w:t>
      </w:r>
      <w:r w:rsidRPr="00171015">
        <w:rPr>
          <w:rFonts w:ascii="Times New Roman" w:hAnsi="Times New Roman" w:cs="Times New Roman"/>
        </w:rPr>
        <w:t xml:space="preserve"> respectively.</w:t>
      </w:r>
    </w:p>
    <w:p w14:paraId="5B84C3F3" w14:textId="77777777" w:rsidR="00B53A5E" w:rsidRPr="00171015" w:rsidRDefault="00B53A5E" w:rsidP="00171015">
      <w:pPr>
        <w:spacing w:before="40" w:after="40" w:line="360" w:lineRule="auto"/>
        <w:jc w:val="both"/>
        <w:rPr>
          <w:rFonts w:ascii="Times New Roman" w:hAnsi="Times New Roman" w:cs="Times New Roman"/>
        </w:rPr>
      </w:pPr>
    </w:p>
    <w:tbl>
      <w:tblPr>
        <w:tblStyle w:val="GridTable4-Accent2"/>
        <w:tblW w:w="9026" w:type="dxa"/>
        <w:tblLook w:val="04A0" w:firstRow="1" w:lastRow="0" w:firstColumn="1" w:lastColumn="0" w:noHBand="0" w:noVBand="1"/>
      </w:tblPr>
      <w:tblGrid>
        <w:gridCol w:w="1800"/>
        <w:gridCol w:w="3200"/>
        <w:gridCol w:w="4026"/>
      </w:tblGrid>
      <w:tr w:rsidR="00B53A5E" w:rsidRPr="00171015" w14:paraId="67B61A22" w14:textId="77777777" w:rsidTr="00544F4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1800" w:type="dxa"/>
          </w:tcPr>
          <w:p w14:paraId="0F5E2F6D" w14:textId="77777777" w:rsidR="00B53A5E" w:rsidRPr="00544F47" w:rsidRDefault="00F23948" w:rsidP="00171015">
            <w:pPr>
              <w:spacing w:line="360" w:lineRule="auto"/>
              <w:jc w:val="both"/>
              <w:rPr>
                <w:rFonts w:ascii="Times New Roman" w:hAnsi="Times New Roman" w:cs="Times New Roman"/>
                <w:color w:val="auto"/>
              </w:rPr>
            </w:pPr>
            <w:r w:rsidRPr="00544F47">
              <w:rPr>
                <w:rFonts w:ascii="Times New Roman" w:hAnsi="Times New Roman" w:cs="Times New Roman"/>
                <w:color w:val="auto"/>
              </w:rPr>
              <w:t>AI Risk Domain</w:t>
            </w:r>
          </w:p>
        </w:tc>
        <w:tc>
          <w:tcPr>
            <w:tcW w:w="3200" w:type="dxa"/>
          </w:tcPr>
          <w:p w14:paraId="2B4E1C86" w14:textId="77777777" w:rsidR="00B53A5E" w:rsidRPr="00544F47" w:rsidRDefault="00F23948" w:rsidP="0017101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544F47">
              <w:rPr>
                <w:rFonts w:ascii="Times New Roman" w:hAnsi="Times New Roman" w:cs="Times New Roman"/>
                <w:color w:val="auto"/>
              </w:rPr>
              <w:t>DHL Operational Manifestation</w:t>
            </w:r>
          </w:p>
        </w:tc>
        <w:tc>
          <w:tcPr>
            <w:tcW w:w="4026" w:type="dxa"/>
          </w:tcPr>
          <w:p w14:paraId="6EA915CC" w14:textId="77777777" w:rsidR="00B53A5E" w:rsidRPr="00544F47" w:rsidRDefault="00F23948" w:rsidP="0017101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544F47">
              <w:rPr>
                <w:rFonts w:ascii="Times New Roman" w:hAnsi="Times New Roman" w:cs="Times New Roman"/>
                <w:color w:val="auto"/>
              </w:rPr>
              <w:t>Regulatory Framework: UK and EU</w:t>
            </w:r>
          </w:p>
        </w:tc>
      </w:tr>
      <w:tr w:rsidR="00B53A5E" w:rsidRPr="00171015" w14:paraId="7CEB073A" w14:textId="77777777" w:rsidTr="00544F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0158143" w14:textId="77777777" w:rsidR="00B53A5E" w:rsidRPr="00171015" w:rsidRDefault="00F23948" w:rsidP="00171015">
            <w:pPr>
              <w:spacing w:line="360" w:lineRule="auto"/>
              <w:jc w:val="both"/>
              <w:rPr>
                <w:rFonts w:ascii="Times New Roman" w:hAnsi="Times New Roman" w:cs="Times New Roman"/>
              </w:rPr>
            </w:pPr>
            <w:r w:rsidRPr="00171015">
              <w:rPr>
                <w:rFonts w:ascii="Times New Roman" w:hAnsi="Times New Roman" w:cs="Times New Roman"/>
              </w:rPr>
              <w:t>Model and Algorithmic Risk</w:t>
            </w:r>
          </w:p>
        </w:tc>
        <w:tc>
          <w:tcPr>
            <w:tcW w:w="3200" w:type="dxa"/>
          </w:tcPr>
          <w:p w14:paraId="640CCB4B" w14:textId="77777777" w:rsidR="00B53A5E" w:rsidRPr="00171015" w:rsidRDefault="00F23948" w:rsidP="0017101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71015">
              <w:rPr>
                <w:rFonts w:ascii="Times New Roman" w:hAnsi="Times New Roman" w:cs="Times New Roman"/>
              </w:rPr>
              <w:t xml:space="preserve">Route </w:t>
            </w:r>
            <w:proofErr w:type="spellStart"/>
            <w:r w:rsidRPr="00171015">
              <w:rPr>
                <w:rFonts w:ascii="Times New Roman" w:hAnsi="Times New Roman" w:cs="Times New Roman"/>
              </w:rPr>
              <w:t>optimisation</w:t>
            </w:r>
            <w:proofErr w:type="spellEnd"/>
            <w:r w:rsidRPr="00171015">
              <w:rPr>
                <w:rFonts w:ascii="Times New Roman" w:hAnsi="Times New Roman" w:cs="Times New Roman"/>
              </w:rPr>
              <w:t xml:space="preserve"> models producing suboptimal decisions at scale; warehouse AI misclassifying items; demand forecasting errors propagating through supply chains.</w:t>
            </w:r>
          </w:p>
        </w:tc>
        <w:tc>
          <w:tcPr>
            <w:tcW w:w="4026" w:type="dxa"/>
          </w:tcPr>
          <w:p w14:paraId="59DFE1EC" w14:textId="77777777" w:rsidR="00B53A5E" w:rsidRPr="00171015" w:rsidRDefault="00F23948" w:rsidP="0017101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71015">
              <w:rPr>
                <w:rFonts w:ascii="Times New Roman" w:hAnsi="Times New Roman" w:cs="Times New Roman"/>
              </w:rPr>
              <w:t>UK: ICO guidance on automated decision-making (ICO, 2023); principles-based supervision. EU: EU AI Act high-risk classification for AI in logistics infrastructure; mandatory conformity assessment.</w:t>
            </w:r>
          </w:p>
        </w:tc>
      </w:tr>
      <w:tr w:rsidR="00B53A5E" w:rsidRPr="00171015" w14:paraId="292504A2" w14:textId="77777777" w:rsidTr="00544F47">
        <w:tc>
          <w:tcPr>
            <w:cnfStyle w:val="001000000000" w:firstRow="0" w:lastRow="0" w:firstColumn="1" w:lastColumn="0" w:oddVBand="0" w:evenVBand="0" w:oddHBand="0" w:evenHBand="0" w:firstRowFirstColumn="0" w:firstRowLastColumn="0" w:lastRowFirstColumn="0" w:lastRowLastColumn="0"/>
            <w:tcW w:w="1800" w:type="dxa"/>
          </w:tcPr>
          <w:p w14:paraId="5F813CDF" w14:textId="77777777" w:rsidR="00B53A5E" w:rsidRPr="00171015" w:rsidRDefault="00F23948" w:rsidP="00171015">
            <w:pPr>
              <w:spacing w:line="360" w:lineRule="auto"/>
              <w:jc w:val="both"/>
              <w:rPr>
                <w:rFonts w:ascii="Times New Roman" w:hAnsi="Times New Roman" w:cs="Times New Roman"/>
              </w:rPr>
            </w:pPr>
            <w:r w:rsidRPr="00171015">
              <w:rPr>
                <w:rFonts w:ascii="Times New Roman" w:hAnsi="Times New Roman" w:cs="Times New Roman"/>
              </w:rPr>
              <w:t>Operational and Cyber Risk</w:t>
            </w:r>
          </w:p>
        </w:tc>
        <w:tc>
          <w:tcPr>
            <w:tcW w:w="3200" w:type="dxa"/>
          </w:tcPr>
          <w:p w14:paraId="7C091A23" w14:textId="77777777" w:rsidR="00B53A5E" w:rsidRPr="00544F47" w:rsidRDefault="00F23948" w:rsidP="0017101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AI-driven cyberattack vectors targeting interconnected logistics systems; third-party AI provider failures; system downtime during critical shipping periods.</w:t>
            </w:r>
          </w:p>
        </w:tc>
        <w:tc>
          <w:tcPr>
            <w:tcW w:w="4026" w:type="dxa"/>
          </w:tcPr>
          <w:p w14:paraId="043CBCD6" w14:textId="77777777" w:rsidR="00B53A5E" w:rsidRPr="00544F47" w:rsidRDefault="00F23948" w:rsidP="0017101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 xml:space="preserve">UK: National Cyber Security Centre (NCSC) guidance; Critical </w:t>
            </w:r>
            <w:proofErr w:type="gramStart"/>
            <w:r w:rsidRPr="00544F47">
              <w:rPr>
                <w:rFonts w:ascii="Times New Roman" w:hAnsi="Times New Roman" w:cs="Times New Roman"/>
              </w:rPr>
              <w:t>Third Party</w:t>
            </w:r>
            <w:proofErr w:type="gramEnd"/>
            <w:r w:rsidRPr="00544F47">
              <w:rPr>
                <w:rFonts w:ascii="Times New Roman" w:hAnsi="Times New Roman" w:cs="Times New Roman"/>
              </w:rPr>
              <w:t xml:space="preserve"> framework in development. EU: NIS2 Directive; GDPR breach notification obligations (72 hours).</w:t>
            </w:r>
          </w:p>
        </w:tc>
      </w:tr>
      <w:tr w:rsidR="00B53A5E" w:rsidRPr="00171015" w14:paraId="4AF78F6D" w14:textId="77777777" w:rsidTr="00544F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0C2F78BF" w14:textId="77777777" w:rsidR="00B53A5E" w:rsidRPr="00171015" w:rsidRDefault="00F23948" w:rsidP="00171015">
            <w:pPr>
              <w:spacing w:line="360" w:lineRule="auto"/>
              <w:jc w:val="both"/>
              <w:rPr>
                <w:rFonts w:ascii="Times New Roman" w:hAnsi="Times New Roman" w:cs="Times New Roman"/>
              </w:rPr>
            </w:pPr>
            <w:r w:rsidRPr="00171015">
              <w:rPr>
                <w:rFonts w:ascii="Times New Roman" w:hAnsi="Times New Roman" w:cs="Times New Roman"/>
              </w:rPr>
              <w:lastRenderedPageBreak/>
              <w:t>Data Governance Risk</w:t>
            </w:r>
          </w:p>
        </w:tc>
        <w:tc>
          <w:tcPr>
            <w:tcW w:w="3200" w:type="dxa"/>
          </w:tcPr>
          <w:p w14:paraId="1437EC37" w14:textId="77777777" w:rsidR="00B53A5E" w:rsidRPr="00544F47" w:rsidRDefault="00F23948" w:rsidP="0017101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Personal data processed through AI-driven customer communication systems; cross-border data flows between UK and EU post-Brexit creating compliance complexity.</w:t>
            </w:r>
          </w:p>
        </w:tc>
        <w:tc>
          <w:tcPr>
            <w:tcW w:w="4026" w:type="dxa"/>
          </w:tcPr>
          <w:p w14:paraId="406DAFA1" w14:textId="77777777" w:rsidR="00B53A5E" w:rsidRPr="00544F47" w:rsidRDefault="00F23948" w:rsidP="0017101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UK: UK GDPR and ICO AI data protection guidance (ICO, 2023). EU: GDPR and the EU AI Act's data quality and documentation requirements for high-risk systems.</w:t>
            </w:r>
          </w:p>
        </w:tc>
      </w:tr>
      <w:tr w:rsidR="00B53A5E" w:rsidRPr="00171015" w14:paraId="5C630A9B" w14:textId="77777777" w:rsidTr="00544F47">
        <w:tc>
          <w:tcPr>
            <w:cnfStyle w:val="001000000000" w:firstRow="0" w:lastRow="0" w:firstColumn="1" w:lastColumn="0" w:oddVBand="0" w:evenVBand="0" w:oddHBand="0" w:evenHBand="0" w:firstRowFirstColumn="0" w:firstRowLastColumn="0" w:lastRowFirstColumn="0" w:lastRowLastColumn="0"/>
            <w:tcW w:w="1800" w:type="dxa"/>
          </w:tcPr>
          <w:p w14:paraId="16461D92" w14:textId="77777777" w:rsidR="00B53A5E" w:rsidRPr="00171015" w:rsidRDefault="00F23948" w:rsidP="00171015">
            <w:pPr>
              <w:spacing w:line="360" w:lineRule="auto"/>
              <w:jc w:val="both"/>
              <w:rPr>
                <w:rFonts w:ascii="Times New Roman" w:hAnsi="Times New Roman" w:cs="Times New Roman"/>
              </w:rPr>
            </w:pPr>
            <w:r w:rsidRPr="00171015">
              <w:rPr>
                <w:rFonts w:ascii="Times New Roman" w:hAnsi="Times New Roman" w:cs="Times New Roman"/>
              </w:rPr>
              <w:t>Reputational and Ethical Risk</w:t>
            </w:r>
          </w:p>
        </w:tc>
        <w:tc>
          <w:tcPr>
            <w:tcW w:w="3200" w:type="dxa"/>
          </w:tcPr>
          <w:p w14:paraId="1AE91CC5" w14:textId="77777777" w:rsidR="00B53A5E" w:rsidRPr="00544F47" w:rsidRDefault="00F23948" w:rsidP="0017101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Algorithmic bias in workforce management AI (e.g., route assignment, performance monitoring); AI-generated customer communications misrepresenting delivery status.</w:t>
            </w:r>
          </w:p>
        </w:tc>
        <w:tc>
          <w:tcPr>
            <w:tcW w:w="4026" w:type="dxa"/>
          </w:tcPr>
          <w:p w14:paraId="7C0163EA" w14:textId="1625F54E" w:rsidR="00B53A5E" w:rsidRPr="00544F47" w:rsidRDefault="00F23948" w:rsidP="0017101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 xml:space="preserve">UK: No prescriptive requirement but FCA/CMA may </w:t>
            </w:r>
            <w:proofErr w:type="spellStart"/>
            <w:r w:rsidRPr="00544F47">
              <w:rPr>
                <w:rFonts w:ascii="Times New Roman" w:hAnsi="Times New Roman" w:cs="Times New Roman"/>
              </w:rPr>
              <w:t>scrutinise</w:t>
            </w:r>
            <w:proofErr w:type="spellEnd"/>
            <w:r w:rsidRPr="00544F47">
              <w:rPr>
                <w:rFonts w:ascii="Times New Roman" w:hAnsi="Times New Roman" w:cs="Times New Roman"/>
              </w:rPr>
              <w:t xml:space="preserve"> consumer-facing AI. EU: </w:t>
            </w:r>
            <w:r w:rsidR="001271A4" w:rsidRPr="00544F47">
              <w:rPr>
                <w:rFonts w:ascii="Times New Roman" w:hAnsi="Times New Roman" w:cs="Times New Roman"/>
              </w:rPr>
              <w:t xml:space="preserve">The </w:t>
            </w:r>
            <w:r w:rsidRPr="00544F47">
              <w:rPr>
                <w:rFonts w:ascii="Times New Roman" w:hAnsi="Times New Roman" w:cs="Times New Roman"/>
              </w:rPr>
              <w:t>EU AI Act prohibits certain manipulative AI practices from February 2025.</w:t>
            </w:r>
          </w:p>
        </w:tc>
      </w:tr>
      <w:tr w:rsidR="00B53A5E" w:rsidRPr="00171015" w14:paraId="6EA2F8DE" w14:textId="77777777" w:rsidTr="00544F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E9ACD39" w14:textId="77777777" w:rsidR="00B53A5E" w:rsidRPr="00171015" w:rsidRDefault="00F23948" w:rsidP="00171015">
            <w:pPr>
              <w:spacing w:line="360" w:lineRule="auto"/>
              <w:jc w:val="both"/>
              <w:rPr>
                <w:rFonts w:ascii="Times New Roman" w:hAnsi="Times New Roman" w:cs="Times New Roman"/>
              </w:rPr>
            </w:pPr>
            <w:r w:rsidRPr="00171015">
              <w:rPr>
                <w:rFonts w:ascii="Times New Roman" w:hAnsi="Times New Roman" w:cs="Times New Roman"/>
              </w:rPr>
              <w:t>Geopolitical and Supply Chain Risk</w:t>
            </w:r>
          </w:p>
        </w:tc>
        <w:tc>
          <w:tcPr>
            <w:tcW w:w="3200" w:type="dxa"/>
          </w:tcPr>
          <w:p w14:paraId="73BFF9A4" w14:textId="77777777" w:rsidR="00B53A5E" w:rsidRPr="00544F47" w:rsidRDefault="00F23948" w:rsidP="0017101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AI dependency on technology providers in geopolitically sensitive jurisdictions; sanctions compliance in AI-enabled trade processing; export control implications of AI model transfers.</w:t>
            </w:r>
          </w:p>
        </w:tc>
        <w:tc>
          <w:tcPr>
            <w:tcW w:w="4026" w:type="dxa"/>
          </w:tcPr>
          <w:p w14:paraId="26D90509" w14:textId="77777777" w:rsidR="00B53A5E" w:rsidRPr="00544F47" w:rsidRDefault="00F23948" w:rsidP="0017101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4F47">
              <w:rPr>
                <w:rFonts w:ascii="Times New Roman" w:hAnsi="Times New Roman" w:cs="Times New Roman"/>
              </w:rPr>
              <w:t>UK: Export controls; NCSC supply chain security guidance. EU: EU AI Act supply chain transparency requirements; dual-use technology regulation.</w:t>
            </w:r>
          </w:p>
        </w:tc>
      </w:tr>
    </w:tbl>
    <w:p w14:paraId="7D324B3D" w14:textId="77777777" w:rsidR="00B53A5E" w:rsidRPr="00171015" w:rsidRDefault="00F23948" w:rsidP="00171015">
      <w:pPr>
        <w:spacing w:before="80" w:line="360" w:lineRule="auto"/>
        <w:jc w:val="both"/>
        <w:rPr>
          <w:rFonts w:ascii="Times New Roman" w:hAnsi="Times New Roman" w:cs="Times New Roman"/>
        </w:rPr>
      </w:pPr>
      <w:r w:rsidRPr="00171015">
        <w:rPr>
          <w:rFonts w:ascii="Times New Roman" w:hAnsi="Times New Roman" w:cs="Times New Roman"/>
          <w:color w:val="444444"/>
        </w:rPr>
        <w:t>Table 1: DHL Group AI Risk Matrix — UK and EU Regulatory Context | Source: Self-made</w:t>
      </w:r>
    </w:p>
    <w:p w14:paraId="0D7D6743" w14:textId="77777777" w:rsidR="00B53A5E" w:rsidRPr="00171015" w:rsidRDefault="00B53A5E" w:rsidP="00171015">
      <w:pPr>
        <w:spacing w:before="40" w:after="40" w:line="360" w:lineRule="auto"/>
        <w:jc w:val="both"/>
        <w:rPr>
          <w:rFonts w:ascii="Times New Roman" w:hAnsi="Times New Roman" w:cs="Times New Roman"/>
        </w:rPr>
      </w:pPr>
    </w:p>
    <w:p w14:paraId="1ED7B697" w14:textId="4B25374E" w:rsidR="00441CFE" w:rsidRPr="00171015" w:rsidRDefault="001271A4" w:rsidP="00171015">
      <w:pPr>
        <w:spacing w:before="80" w:line="360" w:lineRule="auto"/>
        <w:jc w:val="both"/>
        <w:rPr>
          <w:rFonts w:ascii="Times New Roman" w:hAnsi="Times New Roman" w:cs="Times New Roman"/>
        </w:rPr>
      </w:pPr>
      <w:r w:rsidRPr="00171015">
        <w:rPr>
          <w:rFonts w:ascii="Times New Roman" w:hAnsi="Times New Roman" w:cs="Times New Roman"/>
        </w:rPr>
        <w:t>Two areas of risk should</w:t>
      </w:r>
      <w:r w:rsidR="00441CFE" w:rsidRPr="00171015">
        <w:rPr>
          <w:rFonts w:ascii="Times New Roman" w:hAnsi="Times New Roman" w:cs="Times New Roman"/>
        </w:rPr>
        <w:t xml:space="preserve"> be discussed in greater detail. The risk of data governance is especially high </w:t>
      </w:r>
      <w:r w:rsidRPr="00171015">
        <w:rPr>
          <w:rFonts w:ascii="Times New Roman" w:hAnsi="Times New Roman" w:cs="Times New Roman"/>
        </w:rPr>
        <w:t xml:space="preserve">for DHL due to the range and volume of personal data </w:t>
      </w:r>
      <w:r w:rsidR="00441CFE" w:rsidRPr="00171015">
        <w:rPr>
          <w:rFonts w:ascii="Times New Roman" w:hAnsi="Times New Roman" w:cs="Times New Roman"/>
        </w:rPr>
        <w:t xml:space="preserve">it processes, both in its customer-facing and workforce-facing AI systems. Guillen-Aguinaga et al. (2025) mention data quality, compliance with the principles of consent management and FAIR as the main governance issues of AI-intensive operations. </w:t>
      </w:r>
      <w:r w:rsidRPr="00171015">
        <w:rPr>
          <w:rFonts w:ascii="Times New Roman" w:hAnsi="Times New Roman" w:cs="Times New Roman"/>
        </w:rPr>
        <w:t>Article 10 of the EU AI Act data governance of high-risk AI systems, such as data quality, monitoring of representativeness and bias, far exceeds</w:t>
      </w:r>
      <w:r w:rsidR="00441CFE" w:rsidRPr="00171015">
        <w:rPr>
          <w:rFonts w:ascii="Times New Roman" w:hAnsi="Times New Roman" w:cs="Times New Roman"/>
        </w:rPr>
        <w:t xml:space="preserve"> the existing UK ICO AI guidance, which is principles-based and non-prescriptive. DHL will have to </w:t>
      </w:r>
      <w:r w:rsidR="00F23948" w:rsidRPr="00171015">
        <w:rPr>
          <w:rFonts w:ascii="Times New Roman" w:hAnsi="Times New Roman" w:cs="Times New Roman"/>
        </w:rPr>
        <w:t xml:space="preserve">put in place governance structures that meet the requirements of both regimes simultaneously, which in practice </w:t>
      </w:r>
      <w:r w:rsidR="00F23948" w:rsidRPr="00171015">
        <w:rPr>
          <w:rFonts w:ascii="Times New Roman" w:hAnsi="Times New Roman" w:cs="Times New Roman"/>
        </w:rPr>
        <w:lastRenderedPageBreak/>
        <w:t>would mean they are designed</w:t>
      </w:r>
      <w:r w:rsidRPr="00171015">
        <w:rPr>
          <w:rFonts w:ascii="Times New Roman" w:hAnsi="Times New Roman" w:cs="Times New Roman"/>
        </w:rPr>
        <w:t xml:space="preserve"> to meet the higher standard of the EU while ensuring</w:t>
      </w:r>
      <w:r w:rsidR="00441CFE" w:rsidRPr="00171015">
        <w:rPr>
          <w:rFonts w:ascii="Times New Roman" w:hAnsi="Times New Roman" w:cs="Times New Roman"/>
        </w:rPr>
        <w:t xml:space="preserve"> that the standard is equally applied to its operations in the UK.</w:t>
      </w:r>
    </w:p>
    <w:p w14:paraId="5484842A" w14:textId="09794717" w:rsidR="00441CFE" w:rsidRPr="00171015" w:rsidRDefault="00441CF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second priority concern is the geopolitical risk. Jahin et al. (2024) introduce a bibliometric mapping of the literature on AI supply chain risk and </w:t>
      </w:r>
      <w:r w:rsidR="001271A4" w:rsidRPr="00171015">
        <w:rPr>
          <w:rFonts w:ascii="Times New Roman" w:hAnsi="Times New Roman" w:cs="Times New Roman"/>
        </w:rPr>
        <w:t>identify geopolitical disruption as a rapidly developing topic in the field</w:t>
      </w:r>
      <w:r w:rsidRPr="00171015">
        <w:rPr>
          <w:rFonts w:ascii="Times New Roman" w:hAnsi="Times New Roman" w:cs="Times New Roman"/>
        </w:rPr>
        <w:t xml:space="preserve"> since 2020. As shown by Bednarski et al. (2025), geopolitical rivalry </w:t>
      </w:r>
      <w:r w:rsidR="001271A4" w:rsidRPr="00171015">
        <w:rPr>
          <w:rFonts w:ascii="Times New Roman" w:hAnsi="Times New Roman" w:cs="Times New Roman"/>
        </w:rPr>
        <w:t>is already transforming</w:t>
      </w:r>
      <w:r w:rsidRPr="00171015">
        <w:rPr>
          <w:rFonts w:ascii="Times New Roman" w:hAnsi="Times New Roman" w:cs="Times New Roman"/>
        </w:rPr>
        <w:t xml:space="preserve"> the design of supply chains in strategically significant industries. The exposure of DHL in this case is two-fold: its own AI infrastructure is based on technology providers, the supply chain of which is vulnerable to geopolitical pressure, and its customer base is based on the cross-border trade flows that are threatened by geopolitical disruption. The empirical risk measurement framework offered by Caldara and Iacoviello (2022) is the </w:t>
      </w:r>
      <w:r w:rsidR="001271A4" w:rsidRPr="00171015">
        <w:rPr>
          <w:rFonts w:ascii="Times New Roman" w:hAnsi="Times New Roman" w:cs="Times New Roman"/>
        </w:rPr>
        <w:t>one DHL needs to incorporate into its AI risk lifecycle to enable</w:t>
      </w:r>
      <w:r w:rsidRPr="00171015">
        <w:rPr>
          <w:rFonts w:ascii="Times New Roman" w:hAnsi="Times New Roman" w:cs="Times New Roman"/>
        </w:rPr>
        <w:t xml:space="preserve"> quantitative evaluation of the geopolitical contribution to AI performance in supply chains.</w:t>
      </w:r>
    </w:p>
    <w:p w14:paraId="7E138331" w14:textId="00CCDE98" w:rsidR="00441CFE" w:rsidRPr="00171015" w:rsidRDefault="00441CFE"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According to Cannas et al. (2023), the most prevalent reason </w:t>
      </w:r>
      <w:r w:rsidR="001271A4" w:rsidRPr="00171015">
        <w:rPr>
          <w:rFonts w:ascii="Times New Roman" w:hAnsi="Times New Roman" w:cs="Times New Roman"/>
        </w:rPr>
        <w:t>for</w:t>
      </w:r>
      <w:r w:rsidRPr="00171015">
        <w:rPr>
          <w:rFonts w:ascii="Times New Roman" w:hAnsi="Times New Roman" w:cs="Times New Roman"/>
        </w:rPr>
        <w:t xml:space="preserve"> </w:t>
      </w:r>
      <w:r w:rsidR="00F23948" w:rsidRPr="00171015">
        <w:rPr>
          <w:rFonts w:ascii="Times New Roman" w:hAnsi="Times New Roman" w:cs="Times New Roman"/>
        </w:rPr>
        <w:t xml:space="preserve">AI implementation failure is the disconnect between AI's technical capabilities and </w:t>
      </w:r>
      <w:proofErr w:type="spellStart"/>
      <w:r w:rsidRPr="00171015">
        <w:rPr>
          <w:rFonts w:ascii="Times New Roman" w:hAnsi="Times New Roman" w:cs="Times New Roman"/>
        </w:rPr>
        <w:t>organisational</w:t>
      </w:r>
      <w:proofErr w:type="spellEnd"/>
      <w:r w:rsidRPr="00171015">
        <w:rPr>
          <w:rFonts w:ascii="Times New Roman" w:hAnsi="Times New Roman" w:cs="Times New Roman"/>
        </w:rPr>
        <w:t xml:space="preserve"> readiness. In the case of DHL, where AI is being implemented </w:t>
      </w:r>
      <w:r w:rsidR="001271A4" w:rsidRPr="00171015">
        <w:rPr>
          <w:rFonts w:ascii="Times New Roman" w:hAnsi="Times New Roman" w:cs="Times New Roman"/>
        </w:rPr>
        <w:t>across various divisions and geographies simultaneously, this readiness gap poses</w:t>
      </w:r>
      <w:r w:rsidRPr="00171015">
        <w:rPr>
          <w:rFonts w:ascii="Times New Roman" w:hAnsi="Times New Roman" w:cs="Times New Roman"/>
        </w:rPr>
        <w:t xml:space="preserve"> a significant risk. To fill this gap, Jackson et al. (2024) </w:t>
      </w:r>
      <w:r w:rsidR="001271A4" w:rsidRPr="00171015">
        <w:rPr>
          <w:rFonts w:ascii="Times New Roman" w:hAnsi="Times New Roman" w:cs="Times New Roman"/>
        </w:rPr>
        <w:t>propose implementing generative AI into supply chain operations using a capability-based framework that builds capabilities in phases and aligns</w:t>
      </w:r>
      <w:r w:rsidRPr="00171015">
        <w:rPr>
          <w:rFonts w:ascii="Times New Roman" w:hAnsi="Times New Roman" w:cs="Times New Roman"/>
        </w:rPr>
        <w:t xml:space="preserve"> with the implementation plan in Section 3 of this report.</w:t>
      </w:r>
    </w:p>
    <w:p w14:paraId="44C4E804" w14:textId="77777777" w:rsidR="00B53A5E" w:rsidRPr="00544C60" w:rsidRDefault="00F23948" w:rsidP="00544C60">
      <w:pPr>
        <w:pStyle w:val="Heading2"/>
      </w:pPr>
      <w:bookmarkStart w:id="7" w:name="_Toc228186725"/>
      <w:r w:rsidRPr="00171015">
        <w:t>2.5 Culture, Accountability and the Human Dimension of AI Governance</w:t>
      </w:r>
      <w:bookmarkEnd w:id="7"/>
    </w:p>
    <w:p w14:paraId="3F176F98" w14:textId="7CEBBD43" w:rsidR="00441CFE" w:rsidRPr="00171015" w:rsidRDefault="00441CFE" w:rsidP="00171015">
      <w:pPr>
        <w:spacing w:before="80" w:line="360" w:lineRule="auto"/>
        <w:jc w:val="both"/>
        <w:rPr>
          <w:rFonts w:ascii="Times New Roman" w:hAnsi="Times New Roman" w:cs="Times New Roman"/>
          <w:color w:val="000000"/>
        </w:rPr>
      </w:pPr>
      <w:r w:rsidRPr="00171015">
        <w:rPr>
          <w:rFonts w:ascii="Times New Roman" w:hAnsi="Times New Roman" w:cs="Times New Roman"/>
          <w:color w:val="000000"/>
        </w:rPr>
        <w:t xml:space="preserve">The </w:t>
      </w:r>
      <w:proofErr w:type="spellStart"/>
      <w:r w:rsidRPr="00171015">
        <w:rPr>
          <w:rFonts w:ascii="Times New Roman" w:hAnsi="Times New Roman" w:cs="Times New Roman"/>
          <w:color w:val="000000"/>
        </w:rPr>
        <w:t>organisational</w:t>
      </w:r>
      <w:proofErr w:type="spellEnd"/>
      <w:r w:rsidRPr="00171015">
        <w:rPr>
          <w:rFonts w:ascii="Times New Roman" w:hAnsi="Times New Roman" w:cs="Times New Roman"/>
          <w:color w:val="000000"/>
        </w:rPr>
        <w:t xml:space="preserve"> architecture </w:t>
      </w:r>
      <w:r w:rsidR="001271A4" w:rsidRPr="00171015">
        <w:rPr>
          <w:rFonts w:ascii="Times New Roman" w:hAnsi="Times New Roman" w:cs="Times New Roman"/>
          <w:color w:val="000000"/>
        </w:rPr>
        <w:t xml:space="preserve">that enables AI risk to be translated into accountability and action is provided by </w:t>
      </w:r>
      <w:r w:rsidRPr="00171015">
        <w:rPr>
          <w:rFonts w:ascii="Times New Roman" w:hAnsi="Times New Roman" w:cs="Times New Roman"/>
          <w:color w:val="000000"/>
        </w:rPr>
        <w:t xml:space="preserve">corporate governance theory. According to Mishra and Mishra (2025), disclosures of AI board-level oversight have increased markedly among large multinationals, a response to regulatory </w:t>
      </w:r>
      <w:r w:rsidR="001271A4" w:rsidRPr="00171015">
        <w:rPr>
          <w:rFonts w:ascii="Times New Roman" w:hAnsi="Times New Roman" w:cs="Times New Roman"/>
          <w:color w:val="000000"/>
        </w:rPr>
        <w:t>requirements</w:t>
      </w:r>
      <w:r w:rsidRPr="00171015">
        <w:rPr>
          <w:rFonts w:ascii="Times New Roman" w:hAnsi="Times New Roman" w:cs="Times New Roman"/>
          <w:color w:val="000000"/>
        </w:rPr>
        <w:t xml:space="preserve"> and institutional investor pressure. In the case of DHL, which is publicly traded in Germany and required to adhere to the German Corporate Governance Code as well as the UK and EU regulations, AI risk accountability by the board is not a voluntary measure. According to McNulty and Nordberg (2015), proper board governance involves real substantive work with risk rather than formal accountability frameworks - an important point in the AI environment where technical complexity can </w:t>
      </w:r>
      <w:r w:rsidR="001271A4" w:rsidRPr="00171015">
        <w:rPr>
          <w:rFonts w:ascii="Times New Roman" w:hAnsi="Times New Roman" w:cs="Times New Roman"/>
          <w:color w:val="000000"/>
        </w:rPr>
        <w:t>arise</w:t>
      </w:r>
      <w:r w:rsidRPr="00171015">
        <w:rPr>
          <w:rFonts w:ascii="Times New Roman" w:hAnsi="Times New Roman" w:cs="Times New Roman"/>
          <w:color w:val="000000"/>
        </w:rPr>
        <w:t>.</w:t>
      </w:r>
    </w:p>
    <w:p w14:paraId="74E9309E" w14:textId="7B2DDCEA" w:rsidR="003A6C3A" w:rsidRPr="00171015" w:rsidRDefault="003A6C3A" w:rsidP="00544C60">
      <w:pPr>
        <w:spacing w:before="80" w:line="360" w:lineRule="auto"/>
        <w:jc w:val="center"/>
        <w:rPr>
          <w:rFonts w:ascii="Times New Roman" w:hAnsi="Times New Roman" w:cs="Times New Roman"/>
          <w:color w:val="000000"/>
        </w:rPr>
      </w:pPr>
      <w:r w:rsidRPr="00171015">
        <w:rPr>
          <w:rFonts w:ascii="Times New Roman" w:hAnsi="Times New Roman" w:cs="Times New Roman"/>
          <w:noProof/>
        </w:rPr>
        <w:lastRenderedPageBreak/>
        <w:drawing>
          <wp:inline distT="0" distB="0" distL="0" distR="0" wp14:anchorId="2980EEFA" wp14:editId="7680F604">
            <wp:extent cx="2190750" cy="3286125"/>
            <wp:effectExtent l="0" t="0" r="0" b="9525"/>
            <wp:docPr id="455362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62427" name=""/>
                    <pic:cNvPicPr/>
                  </pic:nvPicPr>
                  <pic:blipFill>
                    <a:blip r:embed="rId9"/>
                    <a:stretch>
                      <a:fillRect/>
                    </a:stretch>
                  </pic:blipFill>
                  <pic:spPr>
                    <a:xfrm>
                      <a:off x="0" y="0"/>
                      <a:ext cx="2191313" cy="3286970"/>
                    </a:xfrm>
                    <a:prstGeom prst="rect">
                      <a:avLst/>
                    </a:prstGeom>
                  </pic:spPr>
                </pic:pic>
              </a:graphicData>
            </a:graphic>
          </wp:inline>
        </w:drawing>
      </w:r>
    </w:p>
    <w:p w14:paraId="13A3244D" w14:textId="1D25B527" w:rsidR="00B53A5E" w:rsidRPr="00171015" w:rsidRDefault="00F23948" w:rsidP="00544C60">
      <w:pPr>
        <w:spacing w:before="80" w:line="360" w:lineRule="auto"/>
        <w:jc w:val="center"/>
        <w:rPr>
          <w:rFonts w:ascii="Times New Roman" w:hAnsi="Times New Roman" w:cs="Times New Roman"/>
        </w:rPr>
      </w:pPr>
      <w:r w:rsidRPr="00171015">
        <w:rPr>
          <w:rFonts w:ascii="Times New Roman" w:hAnsi="Times New Roman" w:cs="Times New Roman"/>
          <w:color w:val="444444"/>
        </w:rPr>
        <w:t>Diagram 2: DHL Group AI Governance Architecture</w:t>
      </w:r>
      <w:r w:rsidR="00001BE4" w:rsidRPr="00171015">
        <w:rPr>
          <w:rFonts w:ascii="Times New Roman" w:hAnsi="Times New Roman" w:cs="Times New Roman"/>
          <w:color w:val="444444"/>
        </w:rPr>
        <w:t xml:space="preserve"> (Designed by author)</w:t>
      </w:r>
    </w:p>
    <w:p w14:paraId="3A4BD9E6" w14:textId="69BA89DB" w:rsidR="00441CFE" w:rsidRPr="00171015" w:rsidRDefault="00441CFE" w:rsidP="00171015">
      <w:pPr>
        <w:spacing w:line="360" w:lineRule="auto"/>
        <w:jc w:val="both"/>
        <w:rPr>
          <w:rFonts w:ascii="Times New Roman" w:hAnsi="Times New Roman" w:cs="Times New Roman"/>
        </w:rPr>
      </w:pPr>
      <w:r w:rsidRPr="00171015">
        <w:rPr>
          <w:rFonts w:ascii="Times New Roman" w:hAnsi="Times New Roman" w:cs="Times New Roman"/>
        </w:rPr>
        <w:t xml:space="preserve">According to </w:t>
      </w:r>
      <w:proofErr w:type="spellStart"/>
      <w:r w:rsidRPr="00171015">
        <w:rPr>
          <w:rFonts w:ascii="Times New Roman" w:hAnsi="Times New Roman" w:cs="Times New Roman"/>
        </w:rPr>
        <w:t>Mäntymaki</w:t>
      </w:r>
      <w:proofErr w:type="spellEnd"/>
      <w:r w:rsidRPr="00171015">
        <w:rPr>
          <w:rFonts w:ascii="Times New Roman" w:hAnsi="Times New Roman" w:cs="Times New Roman"/>
        </w:rPr>
        <w:t xml:space="preserve"> et al. (2022), </w:t>
      </w:r>
      <w:proofErr w:type="spellStart"/>
      <w:r w:rsidRPr="00171015">
        <w:rPr>
          <w:rFonts w:ascii="Times New Roman" w:hAnsi="Times New Roman" w:cs="Times New Roman"/>
        </w:rPr>
        <w:t>organisational</w:t>
      </w:r>
      <w:proofErr w:type="spellEnd"/>
      <w:r w:rsidRPr="00171015">
        <w:rPr>
          <w:rFonts w:ascii="Times New Roman" w:hAnsi="Times New Roman" w:cs="Times New Roman"/>
        </w:rPr>
        <w:t xml:space="preserve"> AI governance refers to the framework of rules, practices and processes by which AI technologies are aligned to </w:t>
      </w:r>
      <w:proofErr w:type="spellStart"/>
      <w:r w:rsidRPr="00171015">
        <w:rPr>
          <w:rFonts w:ascii="Times New Roman" w:hAnsi="Times New Roman" w:cs="Times New Roman"/>
        </w:rPr>
        <w:t>organisational</w:t>
      </w:r>
      <w:proofErr w:type="spellEnd"/>
      <w:r w:rsidRPr="00171015">
        <w:rPr>
          <w:rFonts w:ascii="Times New Roman" w:hAnsi="Times New Roman" w:cs="Times New Roman"/>
        </w:rPr>
        <w:t xml:space="preserve"> strategy and legal and ethical standards. Their framework places AI governance next to, yet separate </w:t>
      </w:r>
      <w:r w:rsidR="001271A4" w:rsidRPr="00171015">
        <w:rPr>
          <w:rFonts w:ascii="Times New Roman" w:hAnsi="Times New Roman" w:cs="Times New Roman"/>
        </w:rPr>
        <w:t>from</w:t>
      </w:r>
      <w:r w:rsidRPr="00171015">
        <w:rPr>
          <w:rFonts w:ascii="Times New Roman" w:hAnsi="Times New Roman" w:cs="Times New Roman"/>
        </w:rPr>
        <w:t xml:space="preserve">, corporate governance, IT governance and data governance- a distinction that has a practical importance to DHL, where AI is at the junction of the three. Batool, </w:t>
      </w:r>
      <w:proofErr w:type="spellStart"/>
      <w:r w:rsidRPr="00171015">
        <w:rPr>
          <w:rFonts w:ascii="Times New Roman" w:hAnsi="Times New Roman" w:cs="Times New Roman"/>
        </w:rPr>
        <w:t>Zowghi</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Bano</w:t>
      </w:r>
      <w:proofErr w:type="spellEnd"/>
      <w:r w:rsidRPr="00171015">
        <w:rPr>
          <w:rFonts w:ascii="Times New Roman" w:hAnsi="Times New Roman" w:cs="Times New Roman"/>
        </w:rPr>
        <w:t xml:space="preserve"> (2025) present a systematic literature review of AI governance frameworks, which found </w:t>
      </w:r>
      <w:r w:rsidR="00AA6A2D" w:rsidRPr="00171015">
        <w:rPr>
          <w:rFonts w:ascii="Times New Roman" w:hAnsi="Times New Roman" w:cs="Times New Roman"/>
        </w:rPr>
        <w:t xml:space="preserve">that accountability, transparency, and auditability are the three most frequently mentioned governance requirements in the </w:t>
      </w:r>
      <w:r w:rsidRPr="00171015">
        <w:rPr>
          <w:rFonts w:ascii="Times New Roman" w:hAnsi="Times New Roman" w:cs="Times New Roman"/>
        </w:rPr>
        <w:t xml:space="preserve">regulatory and academic literature. In their analysis of the </w:t>
      </w:r>
      <w:r w:rsidR="00AA6A2D" w:rsidRPr="00171015">
        <w:rPr>
          <w:rFonts w:ascii="Times New Roman" w:hAnsi="Times New Roman" w:cs="Times New Roman"/>
        </w:rPr>
        <w:t xml:space="preserve">EU's human-centric approach to AI regulation, </w:t>
      </w:r>
      <w:proofErr w:type="spellStart"/>
      <w:r w:rsidR="00F23948" w:rsidRPr="00171015">
        <w:rPr>
          <w:rFonts w:ascii="Times New Roman" w:hAnsi="Times New Roman" w:cs="Times New Roman"/>
        </w:rPr>
        <w:t>Balcoglu</w:t>
      </w:r>
      <w:proofErr w:type="spellEnd"/>
      <w:r w:rsidR="00F23948" w:rsidRPr="00171015">
        <w:rPr>
          <w:rFonts w:ascii="Times New Roman" w:hAnsi="Times New Roman" w:cs="Times New Roman"/>
        </w:rPr>
        <w:t xml:space="preserve">, </w:t>
      </w:r>
      <w:proofErr w:type="spellStart"/>
      <w:r w:rsidR="00F23948" w:rsidRPr="00171015">
        <w:rPr>
          <w:rFonts w:ascii="Times New Roman" w:hAnsi="Times New Roman" w:cs="Times New Roman"/>
        </w:rPr>
        <w:t>Celik</w:t>
      </w:r>
      <w:proofErr w:type="spellEnd"/>
      <w:r w:rsidR="00F23948" w:rsidRPr="00171015">
        <w:rPr>
          <w:rFonts w:ascii="Times New Roman" w:hAnsi="Times New Roman" w:cs="Times New Roman"/>
        </w:rPr>
        <w:t xml:space="preserve">, and </w:t>
      </w:r>
      <w:proofErr w:type="spellStart"/>
      <w:r w:rsidR="00F23948" w:rsidRPr="00171015">
        <w:rPr>
          <w:rFonts w:ascii="Times New Roman" w:hAnsi="Times New Roman" w:cs="Times New Roman"/>
        </w:rPr>
        <w:t>Altindag</w:t>
      </w:r>
      <w:proofErr w:type="spellEnd"/>
      <w:r w:rsidR="00F23948" w:rsidRPr="00171015">
        <w:rPr>
          <w:rFonts w:ascii="Times New Roman" w:hAnsi="Times New Roman" w:cs="Times New Roman"/>
        </w:rPr>
        <w:t xml:space="preserve"> (2025) argue that it reflects a broader cultural attitude towards state-controlled technological risk, setting</w:t>
      </w:r>
      <w:r w:rsidR="00AA6A2D" w:rsidRPr="00171015">
        <w:rPr>
          <w:rFonts w:ascii="Times New Roman" w:hAnsi="Times New Roman" w:cs="Times New Roman"/>
        </w:rPr>
        <w:t xml:space="preserve"> European AI regulation apart from</w:t>
      </w:r>
      <w:r w:rsidRPr="00171015">
        <w:rPr>
          <w:rFonts w:ascii="Times New Roman" w:hAnsi="Times New Roman" w:cs="Times New Roman"/>
        </w:rPr>
        <w:t xml:space="preserve"> the US and UK models.</w:t>
      </w:r>
    </w:p>
    <w:p w14:paraId="0AF32426" w14:textId="2DD00F46" w:rsidR="00441CFE" w:rsidRPr="00171015" w:rsidRDefault="00441CFE" w:rsidP="00171015">
      <w:pPr>
        <w:spacing w:line="360" w:lineRule="auto"/>
        <w:jc w:val="both"/>
        <w:rPr>
          <w:rFonts w:ascii="Times New Roman" w:hAnsi="Times New Roman" w:cs="Times New Roman"/>
        </w:rPr>
      </w:pPr>
      <w:r w:rsidRPr="00171015">
        <w:rPr>
          <w:rFonts w:ascii="Times New Roman" w:hAnsi="Times New Roman" w:cs="Times New Roman"/>
        </w:rPr>
        <w:t xml:space="preserve">Power (2004) provides a critical view that is very pertinent here: risk management structures may turn into </w:t>
      </w:r>
      <w:proofErr w:type="spellStart"/>
      <w:r w:rsidRPr="00171015">
        <w:rPr>
          <w:rFonts w:ascii="Times New Roman" w:hAnsi="Times New Roman" w:cs="Times New Roman"/>
        </w:rPr>
        <w:t>ritualised</w:t>
      </w:r>
      <w:proofErr w:type="spellEnd"/>
      <w:r w:rsidRPr="00171015">
        <w:rPr>
          <w:rFonts w:ascii="Times New Roman" w:hAnsi="Times New Roman" w:cs="Times New Roman"/>
        </w:rPr>
        <w:t xml:space="preserve"> compliance drills that give the illusion of control without the reality. The threat facing DHL is that its AI governance system, no matter how well-crafted on paper, </w:t>
      </w:r>
      <w:r w:rsidR="00AA6A2D" w:rsidRPr="00171015">
        <w:rPr>
          <w:rFonts w:ascii="Times New Roman" w:hAnsi="Times New Roman" w:cs="Times New Roman"/>
        </w:rPr>
        <w:t>becomes a box-ticking exercise driven by EU AI Act compliance deadlines rather than</w:t>
      </w:r>
      <w:r w:rsidRPr="00171015">
        <w:rPr>
          <w:rFonts w:ascii="Times New Roman" w:hAnsi="Times New Roman" w:cs="Times New Roman"/>
        </w:rPr>
        <w:t xml:space="preserve"> a truly functional risk control system. The evidence presented by the Harvard Law School Forum (Mishra and Mishra, 2025) of a sharp rise in disclosures of board-level AI oversight does not, in itself, prove that </w:t>
      </w:r>
      <w:r w:rsidR="00AA6A2D" w:rsidRPr="00171015">
        <w:rPr>
          <w:rFonts w:ascii="Times New Roman" w:hAnsi="Times New Roman" w:cs="Times New Roman"/>
        </w:rPr>
        <w:t xml:space="preserve">oversight quality </w:t>
      </w:r>
      <w:r w:rsidRPr="00171015">
        <w:rPr>
          <w:rFonts w:ascii="Times New Roman" w:hAnsi="Times New Roman" w:cs="Times New Roman"/>
        </w:rPr>
        <w:t>has improved accordingly.</w:t>
      </w:r>
    </w:p>
    <w:p w14:paraId="2CBE863F" w14:textId="3736B386" w:rsidR="00441CFE" w:rsidRPr="00171015" w:rsidRDefault="00441CFE" w:rsidP="00171015">
      <w:pPr>
        <w:spacing w:line="360" w:lineRule="auto"/>
        <w:jc w:val="both"/>
        <w:rPr>
          <w:rFonts w:ascii="Times New Roman" w:hAnsi="Times New Roman" w:cs="Times New Roman"/>
        </w:rPr>
      </w:pPr>
      <w:r w:rsidRPr="00171015">
        <w:rPr>
          <w:rFonts w:ascii="Times New Roman" w:hAnsi="Times New Roman" w:cs="Times New Roman"/>
        </w:rPr>
        <w:lastRenderedPageBreak/>
        <w:t>The cultural dimensions framework developed by Hofstede (</w:t>
      </w:r>
      <w:r w:rsidR="00AA6A2D" w:rsidRPr="00171015">
        <w:rPr>
          <w:rFonts w:ascii="Times New Roman" w:hAnsi="Times New Roman" w:cs="Times New Roman"/>
        </w:rPr>
        <w:t>2011) provides a useful framework for understanding how the cultural dimensions of AI governance in the UK and German</w:t>
      </w:r>
      <w:r w:rsidRPr="00171015">
        <w:rPr>
          <w:rFonts w:ascii="Times New Roman" w:hAnsi="Times New Roman" w:cs="Times New Roman"/>
        </w:rPr>
        <w:t xml:space="preserve"> contexts of DHL operations will be perceived differently. Uncertainty avoidance is relatively low in the UK, as it has a culture of tolerating ambiguity and opting to have a governance system based on principles, instead of rules. Germany, on the other hand, has a significantly higher score on uncertainty avoidance, which is in line with the tendency toward decisive rules and procedures, as well as accountability frameworks (</w:t>
      </w:r>
      <w:proofErr w:type="spellStart"/>
      <w:r w:rsidRPr="00171015">
        <w:rPr>
          <w:rFonts w:ascii="Times New Roman" w:hAnsi="Times New Roman" w:cs="Times New Roman"/>
        </w:rPr>
        <w:t>Beugelsdijk</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Welzel</w:t>
      </w:r>
      <w:proofErr w:type="spellEnd"/>
      <w:r w:rsidRPr="00171015">
        <w:rPr>
          <w:rFonts w:ascii="Times New Roman" w:hAnsi="Times New Roman" w:cs="Times New Roman"/>
        </w:rPr>
        <w:t xml:space="preserve">, 2018). This cultural difference can </w:t>
      </w:r>
      <w:r w:rsidR="00AA6A2D" w:rsidRPr="00171015">
        <w:rPr>
          <w:rFonts w:ascii="Times New Roman" w:hAnsi="Times New Roman" w:cs="Times New Roman"/>
        </w:rPr>
        <w:t>help explain why German business associations have widely welcomed the prescriptive, risk-tiered framework of the EU AI Act, whereas the UK approach does not seek the same level of</w:t>
      </w:r>
      <w:r w:rsidRPr="00171015">
        <w:rPr>
          <w:rFonts w:ascii="Times New Roman" w:hAnsi="Times New Roman" w:cs="Times New Roman"/>
        </w:rPr>
        <w:t xml:space="preserve"> prescription. In the case of </w:t>
      </w:r>
      <w:r w:rsidR="00AA6A2D" w:rsidRPr="00171015">
        <w:rPr>
          <w:rFonts w:ascii="Times New Roman" w:hAnsi="Times New Roman" w:cs="Times New Roman"/>
        </w:rPr>
        <w:t xml:space="preserve">AI governance at DHL, elaborate, procedurally based frameworks would be much more appealing to German-based operational teams, whereas UK-based teams might be more attracted to operational flexibility grounded in principles and </w:t>
      </w:r>
      <w:r w:rsidRPr="00171015">
        <w:rPr>
          <w:rFonts w:ascii="Times New Roman" w:hAnsi="Times New Roman" w:cs="Times New Roman"/>
        </w:rPr>
        <w:t>a more flexible operational design.</w:t>
      </w:r>
    </w:p>
    <w:p w14:paraId="2430DA75" w14:textId="77777777" w:rsidR="00441CFE" w:rsidRPr="00171015" w:rsidRDefault="00441CFE" w:rsidP="00171015">
      <w:pPr>
        <w:spacing w:line="360" w:lineRule="auto"/>
        <w:jc w:val="both"/>
        <w:rPr>
          <w:rFonts w:ascii="Times New Roman" w:hAnsi="Times New Roman" w:cs="Times New Roman"/>
        </w:rPr>
      </w:pPr>
      <w:proofErr w:type="spellStart"/>
      <w:r w:rsidRPr="00171015">
        <w:rPr>
          <w:rFonts w:ascii="Times New Roman" w:hAnsi="Times New Roman" w:cs="Times New Roman"/>
        </w:rPr>
        <w:t>Beugelsdijk</w:t>
      </w:r>
      <w:proofErr w:type="spellEnd"/>
      <w:r w:rsidRPr="00171015">
        <w:rPr>
          <w:rFonts w:ascii="Times New Roman" w:hAnsi="Times New Roman" w:cs="Times New Roman"/>
        </w:rPr>
        <w:t xml:space="preserve">, </w:t>
      </w:r>
      <w:proofErr w:type="spellStart"/>
      <w:r w:rsidRPr="00171015">
        <w:rPr>
          <w:rFonts w:ascii="Times New Roman" w:hAnsi="Times New Roman" w:cs="Times New Roman"/>
        </w:rPr>
        <w:t>Kostova</w:t>
      </w:r>
      <w:proofErr w:type="spellEnd"/>
      <w:r w:rsidRPr="00171015">
        <w:rPr>
          <w:rFonts w:ascii="Times New Roman" w:hAnsi="Times New Roman" w:cs="Times New Roman"/>
        </w:rPr>
        <w:t xml:space="preserve"> and Roth (2017) warn that the dimensions developed by Hofstede are not to be used in a mechanistic manner, and there is extensive within-country variation in the dimensions across industries and </w:t>
      </w:r>
      <w:proofErr w:type="spellStart"/>
      <w:r w:rsidRPr="00171015">
        <w:rPr>
          <w:rFonts w:ascii="Times New Roman" w:hAnsi="Times New Roman" w:cs="Times New Roman"/>
        </w:rPr>
        <w:t>organisational</w:t>
      </w:r>
      <w:proofErr w:type="spellEnd"/>
      <w:r w:rsidRPr="00171015">
        <w:rPr>
          <w:rFonts w:ascii="Times New Roman" w:hAnsi="Times New Roman" w:cs="Times New Roman"/>
        </w:rPr>
        <w:t xml:space="preserve"> cultures. </w:t>
      </w:r>
      <w:proofErr w:type="spellStart"/>
      <w:r w:rsidRPr="00171015">
        <w:rPr>
          <w:rFonts w:ascii="Times New Roman" w:hAnsi="Times New Roman" w:cs="Times New Roman"/>
        </w:rPr>
        <w:t>Leonaviciene</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Burinskiene</w:t>
      </w:r>
      <w:proofErr w:type="spellEnd"/>
      <w:r w:rsidRPr="00171015">
        <w:rPr>
          <w:rFonts w:ascii="Times New Roman" w:hAnsi="Times New Roman" w:cs="Times New Roman"/>
        </w:rPr>
        <w:t xml:space="preserve"> (2022) further opine that the cultural dimensions themselves are changing, with the further </w:t>
      </w:r>
      <w:proofErr w:type="spellStart"/>
      <w:r w:rsidRPr="00171015">
        <w:rPr>
          <w:rFonts w:ascii="Times New Roman" w:hAnsi="Times New Roman" w:cs="Times New Roman"/>
        </w:rPr>
        <w:t>internationalisation</w:t>
      </w:r>
      <w:proofErr w:type="spellEnd"/>
      <w:r w:rsidRPr="00171015">
        <w:rPr>
          <w:rFonts w:ascii="Times New Roman" w:hAnsi="Times New Roman" w:cs="Times New Roman"/>
        </w:rPr>
        <w:t xml:space="preserve"> of </w:t>
      </w:r>
      <w:proofErr w:type="spellStart"/>
      <w:r w:rsidRPr="00171015">
        <w:rPr>
          <w:rFonts w:ascii="Times New Roman" w:hAnsi="Times New Roman" w:cs="Times New Roman"/>
        </w:rPr>
        <w:t>organisations</w:t>
      </w:r>
      <w:proofErr w:type="spellEnd"/>
      <w:r w:rsidRPr="00171015">
        <w:rPr>
          <w:rFonts w:ascii="Times New Roman" w:hAnsi="Times New Roman" w:cs="Times New Roman"/>
        </w:rPr>
        <w:t xml:space="preserve">, such that the </w:t>
      </w:r>
      <w:proofErr w:type="spellStart"/>
      <w:r w:rsidRPr="00171015">
        <w:rPr>
          <w:rFonts w:ascii="Times New Roman" w:hAnsi="Times New Roman" w:cs="Times New Roman"/>
        </w:rPr>
        <w:t>organisational</w:t>
      </w:r>
      <w:proofErr w:type="spellEnd"/>
      <w:r w:rsidRPr="00171015">
        <w:rPr>
          <w:rFonts w:ascii="Times New Roman" w:hAnsi="Times New Roman" w:cs="Times New Roman"/>
        </w:rPr>
        <w:t xml:space="preserve"> culture of DHL is already converging, in a manner that somewhat supersedes national Hofstede profiles.</w:t>
      </w:r>
    </w:p>
    <w:p w14:paraId="01397D7E" w14:textId="613E31BF" w:rsidR="00441CFE" w:rsidRPr="00171015" w:rsidRDefault="00AA6A2D" w:rsidP="00171015">
      <w:pPr>
        <w:spacing w:line="360" w:lineRule="auto"/>
        <w:jc w:val="both"/>
        <w:rPr>
          <w:rFonts w:ascii="Times New Roman" w:hAnsi="Times New Roman" w:cs="Times New Roman"/>
        </w:rPr>
      </w:pPr>
      <w:r w:rsidRPr="00171015">
        <w:rPr>
          <w:rFonts w:ascii="Times New Roman" w:hAnsi="Times New Roman" w:cs="Times New Roman"/>
        </w:rPr>
        <w:t>The social</w:t>
      </w:r>
      <w:r w:rsidR="00441CFE" w:rsidRPr="00171015">
        <w:rPr>
          <w:rFonts w:ascii="Times New Roman" w:hAnsi="Times New Roman" w:cs="Times New Roman"/>
        </w:rPr>
        <w:t xml:space="preserve"> aspect of AI governance applies to DHL employees. </w:t>
      </w:r>
      <w:proofErr w:type="spellStart"/>
      <w:r w:rsidR="00441CFE" w:rsidRPr="00171015">
        <w:rPr>
          <w:rFonts w:ascii="Times New Roman" w:hAnsi="Times New Roman" w:cs="Times New Roman"/>
        </w:rPr>
        <w:t>Alnadi</w:t>
      </w:r>
      <w:proofErr w:type="spellEnd"/>
      <w:r w:rsidR="00441CFE" w:rsidRPr="00171015">
        <w:rPr>
          <w:rFonts w:ascii="Times New Roman" w:hAnsi="Times New Roman" w:cs="Times New Roman"/>
        </w:rPr>
        <w:t xml:space="preserve"> and </w:t>
      </w:r>
      <w:proofErr w:type="spellStart"/>
      <w:r w:rsidR="00441CFE" w:rsidRPr="00171015">
        <w:rPr>
          <w:rFonts w:ascii="Times New Roman" w:hAnsi="Times New Roman" w:cs="Times New Roman"/>
        </w:rPr>
        <w:t>Altahat</w:t>
      </w:r>
      <w:proofErr w:type="spellEnd"/>
      <w:r w:rsidR="00441CFE" w:rsidRPr="00171015">
        <w:rPr>
          <w:rFonts w:ascii="Times New Roman" w:hAnsi="Times New Roman" w:cs="Times New Roman"/>
        </w:rPr>
        <w:t xml:space="preserve"> (2024) </w:t>
      </w:r>
      <w:r w:rsidRPr="00171015">
        <w:rPr>
          <w:rFonts w:ascii="Times New Roman" w:hAnsi="Times New Roman" w:cs="Times New Roman"/>
        </w:rPr>
        <w:t>discovered that AI adoption directly leads to supply chain agility;</w:t>
      </w:r>
      <w:r w:rsidR="00441CFE" w:rsidRPr="00171015">
        <w:rPr>
          <w:rFonts w:ascii="Times New Roman" w:hAnsi="Times New Roman" w:cs="Times New Roman"/>
        </w:rPr>
        <w:t xml:space="preserve"> however, when the governance systems facilitate, not limit, operational flexibility. According to Klumpp (2017), the core challenge of operational governance in the field of logistics automation is the </w:t>
      </w:r>
      <w:r w:rsidRPr="00171015">
        <w:rPr>
          <w:rFonts w:ascii="Times New Roman" w:hAnsi="Times New Roman" w:cs="Times New Roman"/>
        </w:rPr>
        <w:t>design of human-AI collaboration as a systematic approach to frameworks in which workers were passive recipients of AI decision-making, which underperformed those that integrated their input and feedback loops</w:t>
      </w:r>
      <w:r w:rsidR="00441CFE" w:rsidRPr="00171015">
        <w:rPr>
          <w:rFonts w:ascii="Times New Roman" w:hAnsi="Times New Roman" w:cs="Times New Roman"/>
        </w:rPr>
        <w:t>.</w:t>
      </w:r>
    </w:p>
    <w:p w14:paraId="430FDE93" w14:textId="32794D60" w:rsidR="00B53A5E" w:rsidRPr="00171015" w:rsidRDefault="00E070DD" w:rsidP="00171015">
      <w:pPr>
        <w:spacing w:line="360" w:lineRule="auto"/>
        <w:jc w:val="both"/>
        <w:rPr>
          <w:rFonts w:ascii="Times New Roman" w:hAnsi="Times New Roman" w:cs="Times New Roman"/>
        </w:rPr>
      </w:pPr>
      <w:r w:rsidRPr="00171015">
        <w:rPr>
          <w:rFonts w:ascii="Times New Roman" w:hAnsi="Times New Roman" w:cs="Times New Roman"/>
        </w:rPr>
        <w:t xml:space="preserve">The ethical implications of AI in logistics do not only concern its uses in the customer-facing uses. The most common ethical principles of AI, as depicted by Jobin, </w:t>
      </w:r>
      <w:proofErr w:type="spellStart"/>
      <w:r w:rsidRPr="00171015">
        <w:rPr>
          <w:rFonts w:ascii="Times New Roman" w:hAnsi="Times New Roman" w:cs="Times New Roman"/>
        </w:rPr>
        <w:t>Ienca</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Vayena</w:t>
      </w:r>
      <w:proofErr w:type="spellEnd"/>
      <w:r w:rsidRPr="00171015">
        <w:rPr>
          <w:rFonts w:ascii="Times New Roman" w:hAnsi="Times New Roman" w:cs="Times New Roman"/>
        </w:rPr>
        <w:t xml:space="preserve"> (2019), include transparency, fairness and non-maleficence which are manifested in all the global governance frameworks. </w:t>
      </w:r>
      <w:proofErr w:type="spellStart"/>
      <w:r w:rsidRPr="00171015">
        <w:rPr>
          <w:rFonts w:ascii="Times New Roman" w:hAnsi="Times New Roman" w:cs="Times New Roman"/>
        </w:rPr>
        <w:t>Floridi</w:t>
      </w:r>
      <w:proofErr w:type="spellEnd"/>
      <w:r w:rsidRPr="00171015">
        <w:rPr>
          <w:rFonts w:ascii="Times New Roman" w:hAnsi="Times New Roman" w:cs="Times New Roman"/>
        </w:rPr>
        <w:t xml:space="preserve"> et al. (2018) define the ethical model of the EU approach, and explicability, as a factor of accountability, is the main idea. In the case of DHL, the need to integrate these principles in the AI governance is an operational and regulatory concern.</w:t>
      </w:r>
      <w:r w:rsidR="00F23948" w:rsidRPr="00171015">
        <w:rPr>
          <w:rFonts w:ascii="Times New Roman" w:hAnsi="Times New Roman" w:cs="Times New Roman"/>
        </w:rPr>
        <w:br w:type="page"/>
      </w:r>
    </w:p>
    <w:p w14:paraId="52DA8DD6" w14:textId="77777777" w:rsidR="00B53A5E" w:rsidRPr="00544C60" w:rsidRDefault="00F23948" w:rsidP="00544C60">
      <w:pPr>
        <w:pStyle w:val="Heading1"/>
      </w:pPr>
      <w:bookmarkStart w:id="8" w:name="_Toc228186726"/>
      <w:r w:rsidRPr="00171015">
        <w:lastRenderedPageBreak/>
        <w:t>3. From Analysis to Action: Implementation Roadmap</w:t>
      </w:r>
      <w:bookmarkEnd w:id="8"/>
    </w:p>
    <w:p w14:paraId="0B4A2C12" w14:textId="7B4B64F7" w:rsidR="00595D44" w:rsidRPr="00171015" w:rsidRDefault="00595D44" w:rsidP="00171015">
      <w:pPr>
        <w:spacing w:before="80" w:line="360" w:lineRule="auto"/>
        <w:jc w:val="both"/>
        <w:rPr>
          <w:rFonts w:ascii="Times New Roman" w:hAnsi="Times New Roman" w:cs="Times New Roman"/>
        </w:rPr>
      </w:pPr>
      <w:r w:rsidRPr="00171015">
        <w:rPr>
          <w:rFonts w:ascii="Times New Roman" w:hAnsi="Times New Roman" w:cs="Times New Roman"/>
        </w:rPr>
        <w:t xml:space="preserve">The implementation plan outlined below will help to convert the analytical results of this report into an action-based, staged </w:t>
      </w:r>
      <w:proofErr w:type="spellStart"/>
      <w:r w:rsidRPr="00171015">
        <w:rPr>
          <w:rFonts w:ascii="Times New Roman" w:hAnsi="Times New Roman" w:cs="Times New Roman"/>
        </w:rPr>
        <w:t>programme</w:t>
      </w:r>
      <w:proofErr w:type="spellEnd"/>
      <w:r w:rsidRPr="00171015">
        <w:rPr>
          <w:rFonts w:ascii="Times New Roman" w:hAnsi="Times New Roman" w:cs="Times New Roman"/>
        </w:rPr>
        <w:t xml:space="preserve"> of DHL. It is organized into </w:t>
      </w:r>
      <w:proofErr w:type="gramStart"/>
      <w:r w:rsidRPr="00171015">
        <w:rPr>
          <w:rFonts w:ascii="Times New Roman" w:hAnsi="Times New Roman" w:cs="Times New Roman"/>
        </w:rPr>
        <w:t>three time</w:t>
      </w:r>
      <w:proofErr w:type="gramEnd"/>
      <w:r w:rsidRPr="00171015">
        <w:rPr>
          <w:rFonts w:ascii="Times New Roman" w:hAnsi="Times New Roman" w:cs="Times New Roman"/>
        </w:rPr>
        <w:t xml:space="preserve"> lines: immediate priorities (0-12 months), capability development (1-3 years), and strategic positioning (3-5 years) and cost parameters of each are indicative. The plan is specifically targeted to be anticipatory, to set up governance and compliance infrastructure and to react to regulatory action.</w:t>
      </w:r>
    </w:p>
    <w:p w14:paraId="3EB7E8EF" w14:textId="77777777" w:rsidR="00B53A5E" w:rsidRPr="00171015" w:rsidRDefault="00B53A5E" w:rsidP="00171015">
      <w:pPr>
        <w:spacing w:before="40" w:after="40" w:line="360" w:lineRule="auto"/>
        <w:jc w:val="both"/>
        <w:rPr>
          <w:rFonts w:ascii="Times New Roman" w:hAnsi="Times New Roman" w:cs="Times New Roman"/>
        </w:rPr>
      </w:pPr>
    </w:p>
    <w:tbl>
      <w:tblPr>
        <w:tblStyle w:val="TableGrid"/>
        <w:tblW w:w="9026" w:type="dxa"/>
        <w:tblLook w:val="04A0" w:firstRow="1" w:lastRow="0" w:firstColumn="1" w:lastColumn="0" w:noHBand="0" w:noVBand="1"/>
      </w:tblPr>
      <w:tblGrid>
        <w:gridCol w:w="1500"/>
        <w:gridCol w:w="4000"/>
        <w:gridCol w:w="3526"/>
      </w:tblGrid>
      <w:tr w:rsidR="00B53A5E" w:rsidRPr="00171015" w14:paraId="4B64AAE4" w14:textId="77777777" w:rsidTr="00544C60">
        <w:trPr>
          <w:tblHeader/>
        </w:trPr>
        <w:tc>
          <w:tcPr>
            <w:tcW w:w="1500" w:type="dxa"/>
          </w:tcPr>
          <w:p w14:paraId="306FE1A8"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b/>
                <w:bCs/>
                <w:sz w:val="22"/>
                <w:szCs w:val="22"/>
              </w:rPr>
              <w:t>Time Horizon</w:t>
            </w:r>
          </w:p>
        </w:tc>
        <w:tc>
          <w:tcPr>
            <w:tcW w:w="4000" w:type="dxa"/>
          </w:tcPr>
          <w:p w14:paraId="4F30B2C9"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b/>
                <w:bCs/>
                <w:sz w:val="22"/>
                <w:szCs w:val="22"/>
              </w:rPr>
              <w:t>Recommended Action</w:t>
            </w:r>
          </w:p>
        </w:tc>
        <w:tc>
          <w:tcPr>
            <w:tcW w:w="3526" w:type="dxa"/>
          </w:tcPr>
          <w:p w14:paraId="1A47B12C"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b/>
                <w:bCs/>
                <w:sz w:val="22"/>
                <w:szCs w:val="22"/>
              </w:rPr>
              <w:t>Rationale and Estimated Cost</w:t>
            </w:r>
          </w:p>
        </w:tc>
      </w:tr>
      <w:tr w:rsidR="00B53A5E" w:rsidRPr="00171015" w14:paraId="5F1E15AD" w14:textId="77777777" w:rsidTr="0005600F">
        <w:tc>
          <w:tcPr>
            <w:tcW w:w="1500" w:type="dxa"/>
          </w:tcPr>
          <w:p w14:paraId="6FFCD8B9"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0-12 Months (Immediate Priorities)</w:t>
            </w:r>
          </w:p>
        </w:tc>
        <w:tc>
          <w:tcPr>
            <w:tcW w:w="4000" w:type="dxa"/>
          </w:tcPr>
          <w:p w14:paraId="521320A0"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EU AI Act Compliance Audit: Map all AI systems across divisions against the Act's risk classification framework. Identify high-risk systems requiring conformity assessment before August 2026 deadline. Commission external legal review of compliance gap.</w:t>
            </w:r>
          </w:p>
        </w:tc>
        <w:tc>
          <w:tcPr>
            <w:tcW w:w="3526" w:type="dxa"/>
          </w:tcPr>
          <w:p w14:paraId="42D777DC"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Estimated EUR 3-5 million (EUR 3M if handled primarily by internal teams with targeted advisory; EUR 5M for a full external compliance audit). This is justified by the EU AI Act penalty ceiling of EUR 35 million or 7% of global annual turnover.</w:t>
            </w:r>
          </w:p>
        </w:tc>
      </w:tr>
      <w:tr w:rsidR="00B53A5E" w:rsidRPr="00171015" w14:paraId="35A34BCF" w14:textId="77777777" w:rsidTr="0005600F">
        <w:tc>
          <w:tcPr>
            <w:tcW w:w="1500" w:type="dxa"/>
          </w:tcPr>
          <w:p w14:paraId="20327720"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0-12 Months (Immediate Priorities)</w:t>
            </w:r>
          </w:p>
        </w:tc>
        <w:tc>
          <w:tcPr>
            <w:tcW w:w="4000" w:type="dxa"/>
          </w:tcPr>
          <w:p w14:paraId="4B10C1F8"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Board AI Governance Committee: Establish a dedicated AI Risk and Ethics Sub-Committee within the Supervisory Board, with at least two members with technical AI expertise. Mandate quarterly reporting from Chief Technology Officer and Chief Data Officer.</w:t>
            </w:r>
          </w:p>
        </w:tc>
        <w:tc>
          <w:tcPr>
            <w:tcW w:w="3526" w:type="dxa"/>
          </w:tcPr>
          <w:p w14:paraId="5CEE1B89" w14:textId="220CAAEF"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 xml:space="preserve">Internal restructuring cost. Aligns with German Corporate Governance Code expectations and Mishra and </w:t>
            </w:r>
            <w:r w:rsidR="00AA6A2D" w:rsidRPr="00544C60">
              <w:rPr>
                <w:rFonts w:ascii="Times New Roman" w:hAnsi="Times New Roman" w:cs="Times New Roman"/>
                <w:sz w:val="22"/>
                <w:szCs w:val="22"/>
              </w:rPr>
              <w:t>Mishra's</w:t>
            </w:r>
            <w:r w:rsidRPr="00544C60">
              <w:rPr>
                <w:rFonts w:ascii="Times New Roman" w:hAnsi="Times New Roman" w:cs="Times New Roman"/>
                <w:sz w:val="22"/>
                <w:szCs w:val="22"/>
              </w:rPr>
              <w:t xml:space="preserve"> (2025) evidence on board AI oversight norms.</w:t>
            </w:r>
          </w:p>
        </w:tc>
      </w:tr>
      <w:tr w:rsidR="00B53A5E" w:rsidRPr="00171015" w14:paraId="7AAF2500" w14:textId="77777777" w:rsidTr="0005600F">
        <w:tc>
          <w:tcPr>
            <w:tcW w:w="1500" w:type="dxa"/>
          </w:tcPr>
          <w:p w14:paraId="54A01366"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1-3 Years (Capability Development)</w:t>
            </w:r>
          </w:p>
        </w:tc>
        <w:tc>
          <w:tcPr>
            <w:tcW w:w="4000" w:type="dxa"/>
          </w:tcPr>
          <w:p w14:paraId="1C1509AC"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AI Explainability Infrastructure: Deploy model interpretability tools (e.g., SHAP or equivalent) across all customer-facing and workforce-facing AI systems. Publish annual AI transparency report covering EU and UK operations. Develop UK GDPR and EU AI Act dual-compliance data governance framework.</w:t>
            </w:r>
          </w:p>
        </w:tc>
        <w:tc>
          <w:tcPr>
            <w:tcW w:w="3526" w:type="dxa"/>
          </w:tcPr>
          <w:p w14:paraId="6E20C840"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 xml:space="preserve">Estimated EUR 15-25 million across three years (EUR 15M where existing data infrastructure is strong; EUR 25M where legacy system </w:t>
            </w:r>
            <w:proofErr w:type="spellStart"/>
            <w:r w:rsidRPr="00544C60">
              <w:rPr>
                <w:rFonts w:ascii="Times New Roman" w:hAnsi="Times New Roman" w:cs="Times New Roman"/>
                <w:sz w:val="22"/>
                <w:szCs w:val="22"/>
              </w:rPr>
              <w:t>modernisation</w:t>
            </w:r>
            <w:proofErr w:type="spellEnd"/>
            <w:r w:rsidRPr="00544C60">
              <w:rPr>
                <w:rFonts w:ascii="Times New Roman" w:hAnsi="Times New Roman" w:cs="Times New Roman"/>
                <w:sz w:val="22"/>
                <w:szCs w:val="22"/>
              </w:rPr>
              <w:t xml:space="preserve"> is also required). Covers interpretability tooling, dual-compliance framework design, staff training and annual external audit.</w:t>
            </w:r>
          </w:p>
        </w:tc>
      </w:tr>
      <w:tr w:rsidR="00B53A5E" w:rsidRPr="00171015" w14:paraId="2584D972" w14:textId="77777777" w:rsidTr="0005600F">
        <w:tc>
          <w:tcPr>
            <w:tcW w:w="1500" w:type="dxa"/>
          </w:tcPr>
          <w:p w14:paraId="2C2B649E"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1-3 Years (Capability Development)</w:t>
            </w:r>
          </w:p>
        </w:tc>
        <w:tc>
          <w:tcPr>
            <w:tcW w:w="4000" w:type="dxa"/>
          </w:tcPr>
          <w:p w14:paraId="17BFBF5E"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 xml:space="preserve">Workforce AI Collaboration </w:t>
            </w:r>
            <w:proofErr w:type="spellStart"/>
            <w:r w:rsidRPr="00544C60">
              <w:rPr>
                <w:rFonts w:ascii="Times New Roman" w:hAnsi="Times New Roman" w:cs="Times New Roman"/>
                <w:sz w:val="22"/>
                <w:szCs w:val="22"/>
              </w:rPr>
              <w:t>Programme</w:t>
            </w:r>
            <w:proofErr w:type="spellEnd"/>
            <w:r w:rsidRPr="00544C60">
              <w:rPr>
                <w:rFonts w:ascii="Times New Roman" w:hAnsi="Times New Roman" w:cs="Times New Roman"/>
                <w:sz w:val="22"/>
                <w:szCs w:val="22"/>
              </w:rPr>
              <w:t>: Implement structured human-AI collaboration protocols across warehouse operations, incorporating worker feedback loops into AI performance monitoring. Partner with trade unions in Germany and UK to co-design governance frameworks.</w:t>
            </w:r>
          </w:p>
        </w:tc>
        <w:tc>
          <w:tcPr>
            <w:tcW w:w="3526" w:type="dxa"/>
          </w:tcPr>
          <w:p w14:paraId="321D34F1" w14:textId="04F6B38B"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 xml:space="preserve">EUR 5-10 million annually (EUR 5M in markets with established union collaboration structures such as Germany; EUR 10M where new co-governance frameworks must be built from scratch). Addresses </w:t>
            </w:r>
            <w:r w:rsidR="00AA6A2D" w:rsidRPr="00544C60">
              <w:rPr>
                <w:rFonts w:ascii="Times New Roman" w:hAnsi="Times New Roman" w:cs="Times New Roman"/>
                <w:sz w:val="22"/>
                <w:szCs w:val="22"/>
              </w:rPr>
              <w:t>Klumpp's</w:t>
            </w:r>
            <w:r w:rsidRPr="00544C60">
              <w:rPr>
                <w:rFonts w:ascii="Times New Roman" w:hAnsi="Times New Roman" w:cs="Times New Roman"/>
                <w:sz w:val="22"/>
                <w:szCs w:val="22"/>
              </w:rPr>
              <w:t xml:space="preserve"> (2017) evidence that workforce readiness is the primary AI implementation failure mode.</w:t>
            </w:r>
          </w:p>
        </w:tc>
      </w:tr>
      <w:tr w:rsidR="00B53A5E" w:rsidRPr="00171015" w14:paraId="083DA79E" w14:textId="77777777" w:rsidTr="0005600F">
        <w:tc>
          <w:tcPr>
            <w:tcW w:w="1500" w:type="dxa"/>
          </w:tcPr>
          <w:p w14:paraId="7496A05C"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lastRenderedPageBreak/>
              <w:t>3-5 Years (Strategic Positioning)</w:t>
            </w:r>
          </w:p>
        </w:tc>
        <w:tc>
          <w:tcPr>
            <w:tcW w:w="4000" w:type="dxa"/>
          </w:tcPr>
          <w:p w14:paraId="5192E13B" w14:textId="5A025DB1"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 xml:space="preserve">Global AI Ethics Leadership: Establish DHL as a reference </w:t>
            </w:r>
            <w:proofErr w:type="spellStart"/>
            <w:r w:rsidRPr="00544C60">
              <w:rPr>
                <w:rFonts w:ascii="Times New Roman" w:hAnsi="Times New Roman" w:cs="Times New Roman"/>
                <w:sz w:val="22"/>
                <w:szCs w:val="22"/>
              </w:rPr>
              <w:t>organisation</w:t>
            </w:r>
            <w:proofErr w:type="spellEnd"/>
            <w:r w:rsidRPr="00544C60">
              <w:rPr>
                <w:rFonts w:ascii="Times New Roman" w:hAnsi="Times New Roman" w:cs="Times New Roman"/>
                <w:sz w:val="22"/>
                <w:szCs w:val="22"/>
              </w:rPr>
              <w:t xml:space="preserve"> for responsible AI in logistics by </w:t>
            </w:r>
            <w:r w:rsidR="00AA6A2D" w:rsidRPr="00544C60">
              <w:rPr>
                <w:rFonts w:ascii="Times New Roman" w:hAnsi="Times New Roman" w:cs="Times New Roman"/>
                <w:sz w:val="22"/>
                <w:szCs w:val="22"/>
              </w:rPr>
              <w:t xml:space="preserve">actively engaging </w:t>
            </w:r>
            <w:r w:rsidRPr="00544C60">
              <w:rPr>
                <w:rFonts w:ascii="Times New Roman" w:hAnsi="Times New Roman" w:cs="Times New Roman"/>
                <w:sz w:val="22"/>
                <w:szCs w:val="22"/>
              </w:rPr>
              <w:t>with UK and EU regulatory consultations, publishing research through the Innovation Centre network, and developing industry standards through the International Air Transport Association and Global Shippers Forum.</w:t>
            </w:r>
          </w:p>
        </w:tc>
        <w:tc>
          <w:tcPr>
            <w:tcW w:w="3526" w:type="dxa"/>
          </w:tcPr>
          <w:p w14:paraId="0AD77F5C"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 xml:space="preserve">EUR 5-8 million annually (EUR 5M for a dedicated regulatory affairs and research team; EUR 8M where supplemented by external research partnerships). Return </w:t>
            </w:r>
            <w:proofErr w:type="spellStart"/>
            <w:r w:rsidRPr="00544C60">
              <w:rPr>
                <w:rFonts w:ascii="Times New Roman" w:hAnsi="Times New Roman" w:cs="Times New Roman"/>
                <w:sz w:val="22"/>
                <w:szCs w:val="22"/>
              </w:rPr>
              <w:t>realised</w:t>
            </w:r>
            <w:proofErr w:type="spellEnd"/>
            <w:r w:rsidRPr="00544C60">
              <w:rPr>
                <w:rFonts w:ascii="Times New Roman" w:hAnsi="Times New Roman" w:cs="Times New Roman"/>
                <w:sz w:val="22"/>
                <w:szCs w:val="22"/>
              </w:rPr>
              <w:t xml:space="preserve"> through regulatory goodwill, premium client positioning and reduced future compliance friction.</w:t>
            </w:r>
          </w:p>
        </w:tc>
      </w:tr>
      <w:tr w:rsidR="00B53A5E" w:rsidRPr="00171015" w14:paraId="50700A8D" w14:textId="77777777" w:rsidTr="0005600F">
        <w:tc>
          <w:tcPr>
            <w:tcW w:w="1500" w:type="dxa"/>
          </w:tcPr>
          <w:p w14:paraId="40541EE8"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3-5 Years (Strategic Positioning)</w:t>
            </w:r>
          </w:p>
        </w:tc>
        <w:tc>
          <w:tcPr>
            <w:tcW w:w="4000" w:type="dxa"/>
          </w:tcPr>
          <w:p w14:paraId="76328132" w14:textId="0DA8A341"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 xml:space="preserve">Geopolitical AI Risk Hedging: Develop a multi-vendor AI technology strategy to reduce dependency on any single provider. Build contractual resilience requirements into all major AI platform agreements. Integrate Caldara and </w:t>
            </w:r>
            <w:r w:rsidR="00AA6A2D" w:rsidRPr="00544C60">
              <w:rPr>
                <w:rFonts w:ascii="Times New Roman" w:hAnsi="Times New Roman" w:cs="Times New Roman"/>
                <w:sz w:val="22"/>
                <w:szCs w:val="22"/>
              </w:rPr>
              <w:t>Iacoviello's</w:t>
            </w:r>
            <w:r w:rsidRPr="00544C60">
              <w:rPr>
                <w:rFonts w:ascii="Times New Roman" w:hAnsi="Times New Roman" w:cs="Times New Roman"/>
                <w:sz w:val="22"/>
                <w:szCs w:val="22"/>
              </w:rPr>
              <w:t xml:space="preserve"> (2022) geopolitical risk index into AI supply chain risk monitoring.</w:t>
            </w:r>
          </w:p>
        </w:tc>
        <w:tc>
          <w:tcPr>
            <w:tcW w:w="3526" w:type="dxa"/>
          </w:tcPr>
          <w:p w14:paraId="0A934FFB" w14:textId="77777777" w:rsidR="00B53A5E" w:rsidRPr="00544C60" w:rsidRDefault="00F23948" w:rsidP="00B41D6E">
            <w:pPr>
              <w:spacing w:line="276" w:lineRule="auto"/>
              <w:jc w:val="both"/>
              <w:rPr>
                <w:rFonts w:ascii="Times New Roman" w:hAnsi="Times New Roman" w:cs="Times New Roman"/>
                <w:sz w:val="22"/>
                <w:szCs w:val="22"/>
              </w:rPr>
            </w:pPr>
            <w:r w:rsidRPr="00544C60">
              <w:rPr>
                <w:rFonts w:ascii="Times New Roman" w:hAnsi="Times New Roman" w:cs="Times New Roman"/>
                <w:sz w:val="22"/>
                <w:szCs w:val="22"/>
              </w:rPr>
              <w:t>EUR 2-5 million in procurement restructuring (EUR 2M for contract renegotiation and internal governance; EUR 5M where a full multi-vendor re-platforming exercise is required). Reduces the systemic AI cyberattack vulnerability identified by Osman and El-Gendy (2024).</w:t>
            </w:r>
          </w:p>
        </w:tc>
      </w:tr>
    </w:tbl>
    <w:p w14:paraId="59E03F81" w14:textId="16CB7AE1" w:rsidR="00B53A5E" w:rsidRPr="00171015" w:rsidRDefault="00F23948" w:rsidP="00544C60">
      <w:pPr>
        <w:spacing w:before="80" w:line="360" w:lineRule="auto"/>
        <w:jc w:val="center"/>
        <w:rPr>
          <w:rFonts w:ascii="Times New Roman" w:hAnsi="Times New Roman" w:cs="Times New Roman"/>
        </w:rPr>
      </w:pPr>
      <w:r w:rsidRPr="00171015">
        <w:rPr>
          <w:rFonts w:ascii="Times New Roman" w:hAnsi="Times New Roman" w:cs="Times New Roman"/>
          <w:color w:val="444444"/>
        </w:rPr>
        <w:t xml:space="preserve">Table 2: DHL Group AI Implementation Roadmap </w:t>
      </w:r>
      <w:r w:rsidR="0005600F" w:rsidRPr="00171015">
        <w:rPr>
          <w:rFonts w:ascii="Times New Roman" w:hAnsi="Times New Roman" w:cs="Times New Roman"/>
          <w:color w:val="444444"/>
        </w:rPr>
        <w:t>-</w:t>
      </w:r>
      <w:r w:rsidRPr="00171015">
        <w:rPr>
          <w:rFonts w:ascii="Times New Roman" w:hAnsi="Times New Roman" w:cs="Times New Roman"/>
          <w:color w:val="444444"/>
        </w:rPr>
        <w:t xml:space="preserve"> Phased Actions and Cost Estimates Source: Self-made</w:t>
      </w:r>
    </w:p>
    <w:p w14:paraId="4503FB75" w14:textId="7BD56F8B" w:rsidR="00441CFE" w:rsidRPr="00171015" w:rsidRDefault="00441CFE" w:rsidP="00171015">
      <w:pPr>
        <w:spacing w:line="360" w:lineRule="auto"/>
        <w:jc w:val="both"/>
        <w:rPr>
          <w:rFonts w:ascii="Times New Roman" w:hAnsi="Times New Roman" w:cs="Times New Roman"/>
        </w:rPr>
      </w:pPr>
      <w:r w:rsidRPr="00171015">
        <w:rPr>
          <w:rFonts w:ascii="Times New Roman" w:hAnsi="Times New Roman" w:cs="Times New Roman"/>
        </w:rPr>
        <w:t xml:space="preserve">The </w:t>
      </w:r>
      <w:r w:rsidR="00AA6A2D" w:rsidRPr="00171015">
        <w:rPr>
          <w:rFonts w:ascii="Times New Roman" w:hAnsi="Times New Roman" w:cs="Times New Roman"/>
        </w:rPr>
        <w:t xml:space="preserve">most time-sensitive priority </w:t>
      </w:r>
      <w:r w:rsidRPr="00171015">
        <w:rPr>
          <w:rFonts w:ascii="Times New Roman" w:hAnsi="Times New Roman" w:cs="Times New Roman"/>
        </w:rPr>
        <w:t xml:space="preserve">is the immediate compliance audit. The prohibition provisions of the EU AI Act have been in effect since February 2025, and the governance requirements of general-purpose AI models since August 2025. DHL has </w:t>
      </w:r>
      <w:r w:rsidR="00AA6A2D" w:rsidRPr="00171015">
        <w:rPr>
          <w:rFonts w:ascii="Times New Roman" w:hAnsi="Times New Roman" w:cs="Times New Roman"/>
        </w:rPr>
        <w:t xml:space="preserve">until August 2026 to fully comply with the high-risk system. Still, Finch and Butt (2025) find that large firms have significant gaps between regulatory expectations and </w:t>
      </w:r>
      <w:proofErr w:type="spellStart"/>
      <w:r w:rsidR="00AA6A2D" w:rsidRPr="00171015">
        <w:rPr>
          <w:rFonts w:ascii="Times New Roman" w:hAnsi="Times New Roman" w:cs="Times New Roman"/>
        </w:rPr>
        <w:t>organisational</w:t>
      </w:r>
      <w:proofErr w:type="spellEnd"/>
      <w:r w:rsidR="00AA6A2D" w:rsidRPr="00171015">
        <w:rPr>
          <w:rFonts w:ascii="Times New Roman" w:hAnsi="Times New Roman" w:cs="Times New Roman"/>
        </w:rPr>
        <w:t xml:space="preserve"> capacity, indicating that, operationally,</w:t>
      </w:r>
      <w:r w:rsidRPr="00171015">
        <w:rPr>
          <w:rFonts w:ascii="Times New Roman" w:hAnsi="Times New Roman" w:cs="Times New Roman"/>
        </w:rPr>
        <w:t xml:space="preserve"> it is prudent to start compliance mapping now rather than in 2026. </w:t>
      </w:r>
      <w:proofErr w:type="spellStart"/>
      <w:r w:rsidRPr="00171015">
        <w:rPr>
          <w:rFonts w:ascii="Times New Roman" w:hAnsi="Times New Roman" w:cs="Times New Roman"/>
        </w:rPr>
        <w:t>Stampernas</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Lambrinoudakis</w:t>
      </w:r>
      <w:proofErr w:type="spellEnd"/>
      <w:r w:rsidRPr="00171015">
        <w:rPr>
          <w:rFonts w:ascii="Times New Roman" w:hAnsi="Times New Roman" w:cs="Times New Roman"/>
        </w:rPr>
        <w:t xml:space="preserve"> (2025) offer a systematic compliance model based on the </w:t>
      </w:r>
      <w:r w:rsidR="00AA6A2D" w:rsidRPr="00171015">
        <w:rPr>
          <w:rFonts w:ascii="Times New Roman" w:hAnsi="Times New Roman" w:cs="Times New Roman"/>
        </w:rPr>
        <w:t>Act's spiral SDLC</w:t>
      </w:r>
      <w:r w:rsidR="00F23948" w:rsidRPr="00171015">
        <w:rPr>
          <w:rFonts w:ascii="Times New Roman" w:hAnsi="Times New Roman" w:cs="Times New Roman"/>
        </w:rPr>
        <w:t>, which</w:t>
      </w:r>
      <w:r w:rsidR="00AA6A2D" w:rsidRPr="00171015">
        <w:rPr>
          <w:rFonts w:ascii="Times New Roman" w:hAnsi="Times New Roman" w:cs="Times New Roman"/>
        </w:rPr>
        <w:t xml:space="preserve"> </w:t>
      </w:r>
      <w:r w:rsidR="00F23948" w:rsidRPr="00171015">
        <w:rPr>
          <w:rFonts w:ascii="Times New Roman" w:hAnsi="Times New Roman" w:cs="Times New Roman"/>
        </w:rPr>
        <w:t>DHL's legal and technology teams can adopt</w:t>
      </w:r>
      <w:r w:rsidR="00AA6A2D" w:rsidRPr="00171015">
        <w:rPr>
          <w:rFonts w:ascii="Times New Roman" w:hAnsi="Times New Roman" w:cs="Times New Roman"/>
        </w:rPr>
        <w:t xml:space="preserve"> as a baseline for</w:t>
      </w:r>
      <w:r w:rsidRPr="00171015">
        <w:rPr>
          <w:rFonts w:ascii="Times New Roman" w:hAnsi="Times New Roman" w:cs="Times New Roman"/>
        </w:rPr>
        <w:t xml:space="preserve"> the audit methodology.</w:t>
      </w:r>
    </w:p>
    <w:p w14:paraId="44D28E59" w14:textId="1854EA9B" w:rsidR="00441CFE" w:rsidRPr="00171015" w:rsidRDefault="00441CFE" w:rsidP="00171015">
      <w:pPr>
        <w:spacing w:line="360" w:lineRule="auto"/>
        <w:jc w:val="both"/>
        <w:rPr>
          <w:rFonts w:ascii="Times New Roman" w:hAnsi="Times New Roman" w:cs="Times New Roman"/>
        </w:rPr>
      </w:pPr>
      <w:r w:rsidRPr="00171015">
        <w:rPr>
          <w:rFonts w:ascii="Times New Roman" w:hAnsi="Times New Roman" w:cs="Times New Roman"/>
        </w:rPr>
        <w:t xml:space="preserve">Another </w:t>
      </w:r>
      <w:proofErr w:type="spellStart"/>
      <w:r w:rsidRPr="00171015">
        <w:rPr>
          <w:rFonts w:ascii="Times New Roman" w:hAnsi="Times New Roman" w:cs="Times New Roman"/>
        </w:rPr>
        <w:t>programme</w:t>
      </w:r>
      <w:proofErr w:type="spellEnd"/>
      <w:r w:rsidRPr="00171015">
        <w:rPr>
          <w:rFonts w:ascii="Times New Roman" w:hAnsi="Times New Roman" w:cs="Times New Roman"/>
        </w:rPr>
        <w:t xml:space="preserve"> that is not taken seriously is the workforce governance </w:t>
      </w:r>
      <w:proofErr w:type="spellStart"/>
      <w:r w:rsidRPr="00171015">
        <w:rPr>
          <w:rFonts w:ascii="Times New Roman" w:hAnsi="Times New Roman" w:cs="Times New Roman"/>
        </w:rPr>
        <w:t>programme</w:t>
      </w:r>
      <w:proofErr w:type="spellEnd"/>
      <w:r w:rsidRPr="00171015">
        <w:rPr>
          <w:rFonts w:ascii="Times New Roman" w:hAnsi="Times New Roman" w:cs="Times New Roman"/>
        </w:rPr>
        <w:t xml:space="preserve">. </w:t>
      </w:r>
      <w:proofErr w:type="spellStart"/>
      <w:r w:rsidRPr="00171015">
        <w:rPr>
          <w:rFonts w:ascii="Times New Roman" w:hAnsi="Times New Roman" w:cs="Times New Roman"/>
        </w:rPr>
        <w:t>Alnadi</w:t>
      </w:r>
      <w:proofErr w:type="spellEnd"/>
      <w:r w:rsidRPr="00171015">
        <w:rPr>
          <w:rFonts w:ascii="Times New Roman" w:hAnsi="Times New Roman" w:cs="Times New Roman"/>
        </w:rPr>
        <w:t xml:space="preserve"> and </w:t>
      </w:r>
      <w:proofErr w:type="spellStart"/>
      <w:r w:rsidRPr="00171015">
        <w:rPr>
          <w:rFonts w:ascii="Times New Roman" w:hAnsi="Times New Roman" w:cs="Times New Roman"/>
        </w:rPr>
        <w:t>Altahat</w:t>
      </w:r>
      <w:proofErr w:type="spellEnd"/>
      <w:r w:rsidRPr="00171015">
        <w:rPr>
          <w:rFonts w:ascii="Times New Roman" w:hAnsi="Times New Roman" w:cs="Times New Roman"/>
        </w:rPr>
        <w:t xml:space="preserve"> (2024) also show that </w:t>
      </w:r>
      <w:r w:rsidR="00AA6A2D" w:rsidRPr="00171015">
        <w:rPr>
          <w:rFonts w:ascii="Times New Roman" w:hAnsi="Times New Roman" w:cs="Times New Roman"/>
        </w:rPr>
        <w:t xml:space="preserve">AI supply chain agility outcomes </w:t>
      </w:r>
      <w:r w:rsidRPr="00171015">
        <w:rPr>
          <w:rFonts w:ascii="Times New Roman" w:hAnsi="Times New Roman" w:cs="Times New Roman"/>
        </w:rPr>
        <w:t>largely depend on the quality of governance. The current participation of trade unions in Germany</w:t>
      </w:r>
      <w:r w:rsidR="00AA6A2D" w:rsidRPr="00171015">
        <w:rPr>
          <w:rFonts w:ascii="Times New Roman" w:hAnsi="Times New Roman" w:cs="Times New Roman"/>
        </w:rPr>
        <w:t xml:space="preserve">, where workers have </w:t>
      </w:r>
      <w:r w:rsidR="00F23948" w:rsidRPr="00171015">
        <w:rPr>
          <w:rFonts w:ascii="Times New Roman" w:hAnsi="Times New Roman" w:cs="Times New Roman"/>
        </w:rPr>
        <w:t xml:space="preserve">codetermination rights and are thus afforded formal representation on supervisory boards, offers a structural platform for collaborative governance that is lacking in most </w:t>
      </w:r>
      <w:r w:rsidRPr="00171015">
        <w:rPr>
          <w:rFonts w:ascii="Times New Roman" w:hAnsi="Times New Roman" w:cs="Times New Roman"/>
        </w:rPr>
        <w:t>competitor firms.</w:t>
      </w:r>
    </w:p>
    <w:p w14:paraId="5B4B1229" w14:textId="5C1DE07E" w:rsidR="00B53A5E" w:rsidRPr="00171015" w:rsidRDefault="00441CFE" w:rsidP="00171015">
      <w:pPr>
        <w:spacing w:line="360" w:lineRule="auto"/>
        <w:jc w:val="both"/>
        <w:rPr>
          <w:rFonts w:ascii="Times New Roman" w:hAnsi="Times New Roman" w:cs="Times New Roman"/>
        </w:rPr>
      </w:pPr>
      <w:r w:rsidRPr="00171015">
        <w:rPr>
          <w:rFonts w:ascii="Times New Roman" w:hAnsi="Times New Roman" w:cs="Times New Roman"/>
        </w:rPr>
        <w:t xml:space="preserve">In the </w:t>
      </w:r>
      <w:r w:rsidR="00AA6A2D" w:rsidRPr="00171015">
        <w:rPr>
          <w:rFonts w:ascii="Times New Roman" w:hAnsi="Times New Roman" w:cs="Times New Roman"/>
        </w:rPr>
        <w:t>long term, DHL has a real opportunity to leverage its size and regulatory experience to influence the regulations that will determine how AI will be used in logistics worldwide</w:t>
      </w:r>
      <w:r w:rsidRPr="00171015">
        <w:rPr>
          <w:rFonts w:ascii="Times New Roman" w:hAnsi="Times New Roman" w:cs="Times New Roman"/>
        </w:rPr>
        <w:t xml:space="preserve">. According to Davenport and </w:t>
      </w:r>
      <w:proofErr w:type="spellStart"/>
      <w:r w:rsidRPr="00171015">
        <w:rPr>
          <w:rFonts w:ascii="Times New Roman" w:hAnsi="Times New Roman" w:cs="Times New Roman"/>
        </w:rPr>
        <w:t>Ronanki</w:t>
      </w:r>
      <w:proofErr w:type="spellEnd"/>
      <w:r w:rsidRPr="00171015">
        <w:rPr>
          <w:rFonts w:ascii="Times New Roman" w:hAnsi="Times New Roman" w:cs="Times New Roman"/>
        </w:rPr>
        <w:t xml:space="preserve"> (2018), the </w:t>
      </w:r>
      <w:proofErr w:type="spellStart"/>
      <w:r w:rsidRPr="00171015">
        <w:rPr>
          <w:rFonts w:ascii="Times New Roman" w:hAnsi="Times New Roman" w:cs="Times New Roman"/>
        </w:rPr>
        <w:t>organisations</w:t>
      </w:r>
      <w:proofErr w:type="spellEnd"/>
      <w:r w:rsidRPr="00171015">
        <w:rPr>
          <w:rFonts w:ascii="Times New Roman" w:hAnsi="Times New Roman" w:cs="Times New Roman"/>
        </w:rPr>
        <w:t xml:space="preserve"> that get the most sustainable competitive </w:t>
      </w:r>
      <w:r w:rsidRPr="00171015">
        <w:rPr>
          <w:rFonts w:ascii="Times New Roman" w:hAnsi="Times New Roman" w:cs="Times New Roman"/>
        </w:rPr>
        <w:lastRenderedPageBreak/>
        <w:t xml:space="preserve">advantage as a result of AI are those in which the institutional knowledge of AI use is developed, not merely technology, but process, governance and culture. The institutional framework of such a leadership is the network provided by the DHL Innovation Centre and its Logistics Trend Radar process, as well as its current relations with EU and UK regulators, as long as the </w:t>
      </w:r>
      <w:proofErr w:type="spellStart"/>
      <w:r w:rsidRPr="00171015">
        <w:rPr>
          <w:rFonts w:ascii="Times New Roman" w:hAnsi="Times New Roman" w:cs="Times New Roman"/>
        </w:rPr>
        <w:t>organisation</w:t>
      </w:r>
      <w:proofErr w:type="spellEnd"/>
      <w:r w:rsidRPr="00171015">
        <w:rPr>
          <w:rFonts w:ascii="Times New Roman" w:hAnsi="Times New Roman" w:cs="Times New Roman"/>
        </w:rPr>
        <w:t xml:space="preserve"> treats new regulatory engagement as a strategic activity and not a regulatory compliance cost.</w:t>
      </w:r>
      <w:r w:rsidR="00F23948" w:rsidRPr="00171015">
        <w:rPr>
          <w:rFonts w:ascii="Times New Roman" w:hAnsi="Times New Roman" w:cs="Times New Roman"/>
        </w:rPr>
        <w:br w:type="page"/>
      </w:r>
    </w:p>
    <w:p w14:paraId="6A049DB6" w14:textId="77777777" w:rsidR="00B53A5E" w:rsidRPr="00B41D6E" w:rsidRDefault="00F23948" w:rsidP="00B41D6E">
      <w:pPr>
        <w:pStyle w:val="Heading1"/>
      </w:pPr>
      <w:bookmarkStart w:id="9" w:name="_Toc228186727"/>
      <w:r w:rsidRPr="00171015">
        <w:lastRenderedPageBreak/>
        <w:t>4. Conclusion</w:t>
      </w:r>
      <w:bookmarkEnd w:id="9"/>
    </w:p>
    <w:p w14:paraId="42E9C939" w14:textId="7C4C803C" w:rsidR="00171015" w:rsidRPr="00171015" w:rsidRDefault="00171015" w:rsidP="00171015">
      <w:pPr>
        <w:spacing w:line="360" w:lineRule="auto"/>
        <w:jc w:val="both"/>
        <w:rPr>
          <w:rFonts w:ascii="Times New Roman" w:hAnsi="Times New Roman" w:cs="Times New Roman"/>
        </w:rPr>
      </w:pPr>
      <w:r w:rsidRPr="00171015">
        <w:rPr>
          <w:rFonts w:ascii="Times New Roman" w:hAnsi="Times New Roman" w:cs="Times New Roman"/>
        </w:rPr>
        <w:t xml:space="preserve">DHL Group is at a grim crossroad with artificial intelligence. The analytical models employed in this report, PESTLE, </w:t>
      </w:r>
      <w:r w:rsidR="00B41D6E">
        <w:rPr>
          <w:rFonts w:ascii="Times New Roman" w:hAnsi="Times New Roman" w:cs="Times New Roman"/>
        </w:rPr>
        <w:t>Porter's Five Forces and Diamond, Risk management theory, corporate governance and cultural dimensions by Hofstede, all lead to a conclusion that is both promising and daunting: any chance of DHL benefiting from</w:t>
      </w:r>
      <w:r w:rsidRPr="00171015">
        <w:rPr>
          <w:rFonts w:ascii="Times New Roman" w:hAnsi="Times New Roman" w:cs="Times New Roman"/>
        </w:rPr>
        <w:t xml:space="preserve"> AI is not yet supported by the governance framework to do so.</w:t>
      </w:r>
    </w:p>
    <w:p w14:paraId="1DD97743" w14:textId="17451C63" w:rsidR="00171015" w:rsidRPr="00171015" w:rsidRDefault="00171015" w:rsidP="00171015">
      <w:pPr>
        <w:spacing w:line="360" w:lineRule="auto"/>
        <w:jc w:val="both"/>
        <w:rPr>
          <w:rFonts w:ascii="Times New Roman" w:hAnsi="Times New Roman" w:cs="Times New Roman"/>
        </w:rPr>
      </w:pPr>
      <w:r w:rsidRPr="00171015">
        <w:rPr>
          <w:rFonts w:ascii="Times New Roman" w:hAnsi="Times New Roman" w:cs="Times New Roman"/>
        </w:rPr>
        <w:t xml:space="preserve">The UK and EU regulatory environment is moving towards the trends that will render the quality of governance the most topical competitive advantage in AI-based logistics. The compliance burden of the risk-tiered requirements of the EU AI Act and the potential fines of up to 7 percent of the global annual turnover are not a side concern that DHL can handle. In the meantime, the transparency and explainability provisions of the Act, when actively pursued, can be a competitive advantage </w:t>
      </w:r>
      <w:r w:rsidR="00B41D6E">
        <w:rPr>
          <w:rFonts w:ascii="Times New Roman" w:hAnsi="Times New Roman" w:cs="Times New Roman"/>
        </w:rPr>
        <w:t xml:space="preserve">for corporate clients who themselves are under </w:t>
      </w:r>
      <w:r w:rsidRPr="00171015">
        <w:rPr>
          <w:rFonts w:ascii="Times New Roman" w:hAnsi="Times New Roman" w:cs="Times New Roman"/>
        </w:rPr>
        <w:t>pressure to show how well they govern their supply chains.</w:t>
      </w:r>
    </w:p>
    <w:p w14:paraId="183E79CA" w14:textId="4EF09C16" w:rsidR="00171015" w:rsidRPr="00171015" w:rsidRDefault="00171015" w:rsidP="00171015">
      <w:pPr>
        <w:spacing w:line="360" w:lineRule="auto"/>
        <w:jc w:val="both"/>
        <w:rPr>
          <w:rFonts w:ascii="Times New Roman" w:hAnsi="Times New Roman" w:cs="Times New Roman"/>
        </w:rPr>
      </w:pPr>
      <w:r w:rsidRPr="00171015">
        <w:rPr>
          <w:rFonts w:ascii="Times New Roman" w:hAnsi="Times New Roman" w:cs="Times New Roman"/>
        </w:rPr>
        <w:t>The Hofstede cultural analysis has demonstrated that the UK and Germany differ greatly in their dispositions to AI governance and they require real cultural intelligence in their governance design, rather than default in regulation.</w:t>
      </w:r>
      <w:r w:rsidR="00B41D6E">
        <w:rPr>
          <w:rFonts w:ascii="Times New Roman" w:hAnsi="Times New Roman" w:cs="Times New Roman"/>
        </w:rPr>
        <w:t xml:space="preserve"> </w:t>
      </w:r>
      <w:r w:rsidRPr="00171015">
        <w:rPr>
          <w:rFonts w:ascii="Times New Roman" w:hAnsi="Times New Roman" w:cs="Times New Roman"/>
        </w:rPr>
        <w:t xml:space="preserve">The warning issued by Power (2004) about the </w:t>
      </w:r>
      <w:proofErr w:type="spellStart"/>
      <w:r w:rsidRPr="00171015">
        <w:rPr>
          <w:rFonts w:ascii="Times New Roman" w:hAnsi="Times New Roman" w:cs="Times New Roman"/>
        </w:rPr>
        <w:t>ritualisation</w:t>
      </w:r>
      <w:proofErr w:type="spellEnd"/>
      <w:r w:rsidRPr="00171015">
        <w:rPr>
          <w:rFonts w:ascii="Times New Roman" w:hAnsi="Times New Roman" w:cs="Times New Roman"/>
        </w:rPr>
        <w:t xml:space="preserve"> of risk management is particularly relevant </w:t>
      </w:r>
      <w:r w:rsidR="00B41D6E">
        <w:rPr>
          <w:rFonts w:ascii="Times New Roman" w:hAnsi="Times New Roman" w:cs="Times New Roman"/>
        </w:rPr>
        <w:t xml:space="preserve">for a complex company such </w:t>
      </w:r>
      <w:r w:rsidRPr="00171015">
        <w:rPr>
          <w:rFonts w:ascii="Times New Roman" w:hAnsi="Times New Roman" w:cs="Times New Roman"/>
        </w:rPr>
        <w:t xml:space="preserve">as DHL. The threat is not that DHL has failed to develop governance frameworks - it will do that most certainly - but that they will be compliance theatre, rather than functional controls. The implementation roadmap proposed in this report will </w:t>
      </w:r>
      <w:r w:rsidR="00B41D6E">
        <w:rPr>
          <w:rFonts w:ascii="Times New Roman" w:hAnsi="Times New Roman" w:cs="Times New Roman"/>
        </w:rPr>
        <w:t>help reduce this risk by being guided by governance investments based on operational information, measurable outcomes, and employee participation, rather than</w:t>
      </w:r>
      <w:r w:rsidRPr="00171015">
        <w:rPr>
          <w:rFonts w:ascii="Times New Roman" w:hAnsi="Times New Roman" w:cs="Times New Roman"/>
        </w:rPr>
        <w:t xml:space="preserve"> documentation and committee structures.</w:t>
      </w:r>
    </w:p>
    <w:p w14:paraId="2DBB4DDB" w14:textId="3223E3A5" w:rsidR="00B53A5E" w:rsidRPr="00171015" w:rsidRDefault="00171015" w:rsidP="00171015">
      <w:pPr>
        <w:spacing w:line="360" w:lineRule="auto"/>
        <w:jc w:val="both"/>
        <w:rPr>
          <w:rFonts w:ascii="Times New Roman" w:hAnsi="Times New Roman" w:cs="Times New Roman"/>
        </w:rPr>
      </w:pPr>
      <w:r w:rsidRPr="00171015">
        <w:rPr>
          <w:rFonts w:ascii="Times New Roman" w:hAnsi="Times New Roman" w:cs="Times New Roman"/>
        </w:rPr>
        <w:t xml:space="preserve">However, </w:t>
      </w:r>
      <w:r w:rsidR="00B41D6E">
        <w:rPr>
          <w:rFonts w:ascii="Times New Roman" w:hAnsi="Times New Roman" w:cs="Times New Roman"/>
        </w:rPr>
        <w:t>the best finding at the end of this analysis is that AI governance at DHL is not a cost to be reduced but rather an ability to be developed</w:t>
      </w:r>
      <w:r w:rsidRPr="00171015">
        <w:rPr>
          <w:rFonts w:ascii="Times New Roman" w:hAnsi="Times New Roman" w:cs="Times New Roman"/>
        </w:rPr>
        <w:t>. Companies that will be able to persuade their clients, regulators, and workers that their AI is just, transparent, and strong will be at the forefront of AI-enabled logistics in the next decade. One of these companies may be DHL, but it needs to make governance a strategic imperative and invest in the network and operational efficiency.</w:t>
      </w:r>
      <w:r w:rsidR="00F23948" w:rsidRPr="00171015">
        <w:rPr>
          <w:rFonts w:ascii="Times New Roman" w:hAnsi="Times New Roman" w:cs="Times New Roman"/>
        </w:rPr>
        <w:br w:type="page"/>
      </w:r>
    </w:p>
    <w:p w14:paraId="05A68B4D" w14:textId="7516CB35" w:rsidR="00B53A5E" w:rsidRPr="00B41D6E" w:rsidRDefault="00F23948" w:rsidP="00B41D6E">
      <w:pPr>
        <w:pStyle w:val="Heading1"/>
      </w:pPr>
      <w:bookmarkStart w:id="10" w:name="_Toc228186728"/>
      <w:r w:rsidRPr="00171015">
        <w:lastRenderedPageBreak/>
        <w:t xml:space="preserve">5. </w:t>
      </w:r>
      <w:r w:rsidR="00441CFE" w:rsidRPr="00171015">
        <w:t>References</w:t>
      </w:r>
      <w:bookmarkEnd w:id="10"/>
    </w:p>
    <w:p w14:paraId="613ABA0D" w14:textId="5CDC5B62"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Alnadi</w:t>
      </w:r>
      <w:proofErr w:type="spellEnd"/>
      <w:r w:rsidRPr="00171015">
        <w:rPr>
          <w:rFonts w:ascii="Times New Roman" w:hAnsi="Times New Roman" w:cs="Times New Roman"/>
        </w:rPr>
        <w:t xml:space="preserve">, M. and </w:t>
      </w:r>
      <w:proofErr w:type="spellStart"/>
      <w:r w:rsidRPr="00171015">
        <w:rPr>
          <w:rFonts w:ascii="Times New Roman" w:hAnsi="Times New Roman" w:cs="Times New Roman"/>
        </w:rPr>
        <w:t>Altahat</w:t>
      </w:r>
      <w:proofErr w:type="spellEnd"/>
      <w:r w:rsidRPr="00171015">
        <w:rPr>
          <w:rFonts w:ascii="Times New Roman" w:hAnsi="Times New Roman" w:cs="Times New Roman"/>
        </w:rPr>
        <w:t xml:space="preserve">, S. (2024). Artificial intelligence applications for enhancing </w:t>
      </w:r>
      <w:proofErr w:type="spellStart"/>
      <w:r w:rsidRPr="00171015">
        <w:rPr>
          <w:rFonts w:ascii="Times New Roman" w:hAnsi="Times New Roman" w:cs="Times New Roman"/>
        </w:rPr>
        <w:t>organisational</w:t>
      </w:r>
      <w:proofErr w:type="spellEnd"/>
      <w:r w:rsidRPr="00171015">
        <w:rPr>
          <w:rFonts w:ascii="Times New Roman" w:hAnsi="Times New Roman" w:cs="Times New Roman"/>
        </w:rPr>
        <w:t xml:space="preserve"> excellence: modifying role of supply chain agility. Problems and Perspectives in Management, 22(2), pp.339-351.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10" w:history="1">
        <w:r w:rsidR="009B566C" w:rsidRPr="00F96513">
          <w:rPr>
            <w:rStyle w:val="Hyperlink"/>
            <w:rFonts w:ascii="Times New Roman" w:hAnsi="Times New Roman" w:cs="Times New Roman"/>
          </w:rPr>
          <w:t>https://doi.org/10.21511/ppm.22(2).2024.26</w:t>
        </w:r>
      </w:hyperlink>
      <w:r w:rsidRPr="00171015">
        <w:rPr>
          <w:rFonts w:ascii="Times New Roman" w:hAnsi="Times New Roman" w:cs="Times New Roman"/>
        </w:rPr>
        <w:t>.</w:t>
      </w:r>
      <w:r w:rsidR="009B566C">
        <w:rPr>
          <w:rFonts w:ascii="Times New Roman" w:hAnsi="Times New Roman" w:cs="Times New Roman"/>
        </w:rPr>
        <w:t xml:space="preserve"> </w:t>
      </w:r>
    </w:p>
    <w:p w14:paraId="25005D97" w14:textId="7ADCA5FF"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Balcloglu</w:t>
      </w:r>
      <w:proofErr w:type="spellEnd"/>
      <w:r w:rsidRPr="00171015">
        <w:rPr>
          <w:rFonts w:ascii="Times New Roman" w:hAnsi="Times New Roman" w:cs="Times New Roman"/>
        </w:rPr>
        <w:t xml:space="preserve">, Y.S., </w:t>
      </w:r>
      <w:proofErr w:type="spellStart"/>
      <w:r w:rsidRPr="00171015">
        <w:rPr>
          <w:rFonts w:ascii="Times New Roman" w:hAnsi="Times New Roman" w:cs="Times New Roman"/>
        </w:rPr>
        <w:t>Celik</w:t>
      </w:r>
      <w:proofErr w:type="spellEnd"/>
      <w:r w:rsidRPr="00171015">
        <w:rPr>
          <w:rFonts w:ascii="Times New Roman" w:hAnsi="Times New Roman" w:cs="Times New Roman"/>
        </w:rPr>
        <w:t xml:space="preserve">, A.A. and </w:t>
      </w:r>
      <w:proofErr w:type="spellStart"/>
      <w:r w:rsidRPr="00171015">
        <w:rPr>
          <w:rFonts w:ascii="Times New Roman" w:hAnsi="Times New Roman" w:cs="Times New Roman"/>
        </w:rPr>
        <w:t>Altindag</w:t>
      </w:r>
      <w:proofErr w:type="spellEnd"/>
      <w:r w:rsidRPr="00171015">
        <w:rPr>
          <w:rFonts w:ascii="Times New Roman" w:hAnsi="Times New Roman" w:cs="Times New Roman"/>
        </w:rPr>
        <w:t xml:space="preserve">, E. (2025). A turning point in AI: Europe's human-centric approach to technology regulation. Journal of Responsible Technology, p.100128.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11" w:history="1">
        <w:r w:rsidR="009B566C" w:rsidRPr="00F96513">
          <w:rPr>
            <w:rStyle w:val="Hyperlink"/>
            <w:rFonts w:ascii="Times New Roman" w:hAnsi="Times New Roman" w:cs="Times New Roman"/>
          </w:rPr>
          <w:t>https://doi.org/10.1016/j.jrt.2025.100128</w:t>
        </w:r>
      </w:hyperlink>
      <w:r w:rsidRPr="00171015">
        <w:rPr>
          <w:rFonts w:ascii="Times New Roman" w:hAnsi="Times New Roman" w:cs="Times New Roman"/>
        </w:rPr>
        <w:t>.</w:t>
      </w:r>
      <w:r w:rsidR="009B566C">
        <w:rPr>
          <w:rFonts w:ascii="Times New Roman" w:hAnsi="Times New Roman" w:cs="Times New Roman"/>
        </w:rPr>
        <w:t xml:space="preserve"> </w:t>
      </w:r>
    </w:p>
    <w:p w14:paraId="1A132DAB" w14:textId="77497313"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Batool, A., </w:t>
      </w:r>
      <w:proofErr w:type="spellStart"/>
      <w:r w:rsidRPr="00171015">
        <w:rPr>
          <w:rFonts w:ascii="Times New Roman" w:hAnsi="Times New Roman" w:cs="Times New Roman"/>
        </w:rPr>
        <w:t>Zowghi</w:t>
      </w:r>
      <w:proofErr w:type="spellEnd"/>
      <w:r w:rsidRPr="00171015">
        <w:rPr>
          <w:rFonts w:ascii="Times New Roman" w:hAnsi="Times New Roman" w:cs="Times New Roman"/>
        </w:rPr>
        <w:t xml:space="preserve">, D. and Bano, M. (2025). AI governance: a systematic literature review. AI and Ethics, 5.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12" w:history="1">
        <w:r w:rsidR="009B566C" w:rsidRPr="00F96513">
          <w:rPr>
            <w:rStyle w:val="Hyperlink"/>
            <w:rFonts w:ascii="Times New Roman" w:hAnsi="Times New Roman" w:cs="Times New Roman"/>
          </w:rPr>
          <w:t>https://doi.org/10.1007/s43681-024-00653-w</w:t>
        </w:r>
      </w:hyperlink>
      <w:r w:rsidRPr="00171015">
        <w:rPr>
          <w:rFonts w:ascii="Times New Roman" w:hAnsi="Times New Roman" w:cs="Times New Roman"/>
        </w:rPr>
        <w:t>.</w:t>
      </w:r>
      <w:r w:rsidR="009B566C">
        <w:rPr>
          <w:rFonts w:ascii="Times New Roman" w:hAnsi="Times New Roman" w:cs="Times New Roman"/>
        </w:rPr>
        <w:t xml:space="preserve"> </w:t>
      </w:r>
    </w:p>
    <w:p w14:paraId="6CCBBB5B" w14:textId="4FDB9B3B"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Bednarski, L., Subramanian, N., Roscoe, S. and Blome, C. (2025). Geopolitical rivalry over strategically important industries: understanding the effects on global supply chain design. Production Planning and Control, pp.1-23.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13" w:history="1">
        <w:r w:rsidR="009B566C" w:rsidRPr="00F96513">
          <w:rPr>
            <w:rStyle w:val="Hyperlink"/>
            <w:rFonts w:ascii="Times New Roman" w:hAnsi="Times New Roman" w:cs="Times New Roman"/>
          </w:rPr>
          <w:t>https://doi.org/10.1080/09537287.2025.2570203</w:t>
        </w:r>
      </w:hyperlink>
      <w:r w:rsidRPr="00171015">
        <w:rPr>
          <w:rFonts w:ascii="Times New Roman" w:hAnsi="Times New Roman" w:cs="Times New Roman"/>
        </w:rPr>
        <w:t>.</w:t>
      </w:r>
      <w:r w:rsidR="009B566C">
        <w:rPr>
          <w:rFonts w:ascii="Times New Roman" w:hAnsi="Times New Roman" w:cs="Times New Roman"/>
        </w:rPr>
        <w:t xml:space="preserve"> </w:t>
      </w:r>
    </w:p>
    <w:p w14:paraId="5EDF81C6" w14:textId="33BDEFBF"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Beugelsdijk</w:t>
      </w:r>
      <w:proofErr w:type="spellEnd"/>
      <w:r w:rsidRPr="00171015">
        <w:rPr>
          <w:rFonts w:ascii="Times New Roman" w:hAnsi="Times New Roman" w:cs="Times New Roman"/>
        </w:rPr>
        <w:t xml:space="preserve">, S., Kostova, T. and Roth, K. (2017). An overview of Hofstede-inspired country-level culture research in international business since 2006. Journal of International Business Studies, 48(1), pp.30-47.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14" w:history="1">
        <w:r w:rsidR="009B566C" w:rsidRPr="00F96513">
          <w:rPr>
            <w:rStyle w:val="Hyperlink"/>
            <w:rFonts w:ascii="Times New Roman" w:hAnsi="Times New Roman" w:cs="Times New Roman"/>
          </w:rPr>
          <w:t>https://doi.org/10.1057/s41267-016-0038-8</w:t>
        </w:r>
      </w:hyperlink>
      <w:r w:rsidRPr="00171015">
        <w:rPr>
          <w:rFonts w:ascii="Times New Roman" w:hAnsi="Times New Roman" w:cs="Times New Roman"/>
        </w:rPr>
        <w:t>.</w:t>
      </w:r>
      <w:r w:rsidR="009B566C">
        <w:rPr>
          <w:rFonts w:ascii="Times New Roman" w:hAnsi="Times New Roman" w:cs="Times New Roman"/>
        </w:rPr>
        <w:t xml:space="preserve"> </w:t>
      </w:r>
    </w:p>
    <w:p w14:paraId="3F82828A" w14:textId="118BADA2"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Beugelsdijk</w:t>
      </w:r>
      <w:proofErr w:type="spellEnd"/>
      <w:r w:rsidRPr="00171015">
        <w:rPr>
          <w:rFonts w:ascii="Times New Roman" w:hAnsi="Times New Roman" w:cs="Times New Roman"/>
        </w:rPr>
        <w:t xml:space="preserve">, S. and Welzel, C. (2018). Dimensions and dynamics of national culture: </w:t>
      </w:r>
      <w:proofErr w:type="spellStart"/>
      <w:r w:rsidR="00AA6A2D" w:rsidRPr="00171015">
        <w:rPr>
          <w:rFonts w:ascii="Times New Roman" w:hAnsi="Times New Roman" w:cs="Times New Roman"/>
        </w:rPr>
        <w:t>synthesising</w:t>
      </w:r>
      <w:proofErr w:type="spellEnd"/>
      <w:r w:rsidRPr="00171015">
        <w:rPr>
          <w:rFonts w:ascii="Times New Roman" w:hAnsi="Times New Roman" w:cs="Times New Roman"/>
        </w:rPr>
        <w:t xml:space="preserve"> Hofstede with Inglehart. Journal of Cross-Cultural Psychology, 49(10), pp.1469-1505.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15" w:history="1">
        <w:r w:rsidR="009B566C" w:rsidRPr="00F96513">
          <w:rPr>
            <w:rStyle w:val="Hyperlink"/>
            <w:rFonts w:ascii="Times New Roman" w:hAnsi="Times New Roman" w:cs="Times New Roman"/>
          </w:rPr>
          <w:t>https://doi.org/10.1177/0022022118798505</w:t>
        </w:r>
      </w:hyperlink>
      <w:r w:rsidRPr="00171015">
        <w:rPr>
          <w:rFonts w:ascii="Times New Roman" w:hAnsi="Times New Roman" w:cs="Times New Roman"/>
        </w:rPr>
        <w:t>.</w:t>
      </w:r>
      <w:r w:rsidR="009B566C">
        <w:rPr>
          <w:rFonts w:ascii="Times New Roman" w:hAnsi="Times New Roman" w:cs="Times New Roman"/>
        </w:rPr>
        <w:t xml:space="preserve"> </w:t>
      </w:r>
    </w:p>
    <w:p w14:paraId="0CD6BA68" w14:textId="1C745BB0"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Caldara, D. and Iacoviello, M. (2022). Measuring geopolitical risk. American Economic Review, 112(4), pp.1194-1225.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16" w:history="1">
        <w:r w:rsidR="009B566C" w:rsidRPr="00F96513">
          <w:rPr>
            <w:rStyle w:val="Hyperlink"/>
            <w:rFonts w:ascii="Times New Roman" w:hAnsi="Times New Roman" w:cs="Times New Roman"/>
          </w:rPr>
          <w:t>https://doi.org/10.1257/aer.20191823</w:t>
        </w:r>
      </w:hyperlink>
      <w:r w:rsidRPr="00171015">
        <w:rPr>
          <w:rFonts w:ascii="Times New Roman" w:hAnsi="Times New Roman" w:cs="Times New Roman"/>
        </w:rPr>
        <w:t>.</w:t>
      </w:r>
      <w:r w:rsidR="009B566C">
        <w:rPr>
          <w:rFonts w:ascii="Times New Roman" w:hAnsi="Times New Roman" w:cs="Times New Roman"/>
        </w:rPr>
        <w:t xml:space="preserve"> </w:t>
      </w:r>
    </w:p>
    <w:p w14:paraId="24B9EC31" w14:textId="28DE824F"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Cannas, V.G., Ciano, M.P., Saltalamacchia, M. and Secchi, R. (2023). Artificial intelligence in supply chain and operations management: a multiple case study research. International Journal of Production Research, 62(9), pp.1-28. Available at: </w:t>
      </w:r>
      <w:hyperlink r:id="rId17" w:history="1">
        <w:r w:rsidR="009B566C" w:rsidRPr="00F96513">
          <w:rPr>
            <w:rStyle w:val="Hyperlink"/>
            <w:rFonts w:ascii="Times New Roman" w:hAnsi="Times New Roman" w:cs="Times New Roman"/>
          </w:rPr>
          <w:t>https://www.tandfonline.com/doi/full/10.1080/00207543.2023.2232050</w:t>
        </w:r>
      </w:hyperlink>
      <w:r w:rsidRPr="00171015">
        <w:rPr>
          <w:rFonts w:ascii="Times New Roman" w:hAnsi="Times New Roman" w:cs="Times New Roman"/>
        </w:rPr>
        <w:t>.</w:t>
      </w:r>
      <w:r w:rsidR="009B566C">
        <w:rPr>
          <w:rFonts w:ascii="Times New Roman" w:hAnsi="Times New Roman" w:cs="Times New Roman"/>
        </w:rPr>
        <w:t xml:space="preserve"> </w:t>
      </w:r>
    </w:p>
    <w:p w14:paraId="1D08E8FD" w14:textId="133D5F42"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Davenport, T.H. and </w:t>
      </w:r>
      <w:proofErr w:type="spellStart"/>
      <w:r w:rsidRPr="00171015">
        <w:rPr>
          <w:rFonts w:ascii="Times New Roman" w:hAnsi="Times New Roman" w:cs="Times New Roman"/>
        </w:rPr>
        <w:t>Ronanki</w:t>
      </w:r>
      <w:proofErr w:type="spellEnd"/>
      <w:r w:rsidRPr="00171015">
        <w:rPr>
          <w:rFonts w:ascii="Times New Roman" w:hAnsi="Times New Roman" w:cs="Times New Roman"/>
        </w:rPr>
        <w:t xml:space="preserve">, R. (2018). Artificial intelligence for the real world. Harvard Business Review. Available at: https://hbr.org/2018/01/artificial-intelligence-for-the-real-world </w:t>
      </w:r>
    </w:p>
    <w:p w14:paraId="79DEE1B6" w14:textId="5882211E"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DHL (2024). DHL Supply Chain implements generative AI to enhance data management, customer support and proposal accuracy. DHL Group. Available at: </w:t>
      </w:r>
      <w:hyperlink r:id="rId18" w:history="1">
        <w:r w:rsidR="009B566C" w:rsidRPr="00F96513">
          <w:rPr>
            <w:rStyle w:val="Hyperlink"/>
            <w:rFonts w:ascii="Times New Roman" w:hAnsi="Times New Roman" w:cs="Times New Roman"/>
          </w:rPr>
          <w:t>https://group.dhl.com/en/media-relations/press-releases/2024/dhl-supply-chain-implements-generative-ai.html</w:t>
        </w:r>
      </w:hyperlink>
      <w:r w:rsidR="009B566C">
        <w:rPr>
          <w:rFonts w:ascii="Times New Roman" w:hAnsi="Times New Roman" w:cs="Times New Roman"/>
        </w:rPr>
        <w:t xml:space="preserve"> </w:t>
      </w:r>
      <w:r w:rsidRPr="00171015">
        <w:rPr>
          <w:rFonts w:ascii="Times New Roman" w:hAnsi="Times New Roman" w:cs="Times New Roman"/>
        </w:rPr>
        <w:t xml:space="preserve"> </w:t>
      </w:r>
    </w:p>
    <w:p w14:paraId="7685FEF8" w14:textId="77777777"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DHL Group (2024a). 2024 annual report. Dhl.com. Available at: https://group.dhl.com/en/investors/ar-2024-fy.html [Accessed 20 April 2026].</w:t>
      </w:r>
    </w:p>
    <w:p w14:paraId="0D937A0A" w14:textId="24D69E42"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lastRenderedPageBreak/>
        <w:t xml:space="preserve">DHL Group (2024b). DHL Logistics Trend Radar 7.0 unveils emerging AI trends and sustainable solutions. DHL Group. Available at: </w:t>
      </w:r>
      <w:hyperlink r:id="rId19" w:history="1">
        <w:r w:rsidR="009B566C" w:rsidRPr="00F96513">
          <w:rPr>
            <w:rStyle w:val="Hyperlink"/>
            <w:rFonts w:ascii="Times New Roman" w:hAnsi="Times New Roman" w:cs="Times New Roman"/>
          </w:rPr>
          <w:t>https://group.dhl.com/en/media-relations/press-releases/2024/dhl-logistics-trend-radar-unveils-emerging-ai-trends-and-sustainable-solutions.html</w:t>
        </w:r>
      </w:hyperlink>
      <w:r w:rsidR="009B566C">
        <w:rPr>
          <w:rFonts w:ascii="Times New Roman" w:hAnsi="Times New Roman" w:cs="Times New Roman"/>
        </w:rPr>
        <w:t xml:space="preserve"> </w:t>
      </w:r>
      <w:r w:rsidRPr="00171015">
        <w:rPr>
          <w:rFonts w:ascii="Times New Roman" w:hAnsi="Times New Roman" w:cs="Times New Roman"/>
        </w:rPr>
        <w:t xml:space="preserve"> </w:t>
      </w:r>
    </w:p>
    <w:p w14:paraId="6DBD948B" w14:textId="786AE23F"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DHL Group (2025). DHL unveils new Innovation Center to power the future of logistics. DHL Group. Available at: </w:t>
      </w:r>
      <w:hyperlink r:id="rId20" w:history="1">
        <w:r w:rsidR="009B566C" w:rsidRPr="00F96513">
          <w:rPr>
            <w:rStyle w:val="Hyperlink"/>
            <w:rFonts w:ascii="Times New Roman" w:hAnsi="Times New Roman" w:cs="Times New Roman"/>
          </w:rPr>
          <w:t>https://group.dhl.com/en/media-relations/press-releases/2025/dhl-unveils-new-innovation-center-to-power-the-future-of-logistics.html</w:t>
        </w:r>
      </w:hyperlink>
      <w:r w:rsidR="009B566C">
        <w:rPr>
          <w:rFonts w:ascii="Times New Roman" w:hAnsi="Times New Roman" w:cs="Times New Roman"/>
        </w:rPr>
        <w:t xml:space="preserve"> </w:t>
      </w:r>
    </w:p>
    <w:p w14:paraId="1CF87A34" w14:textId="41B73664"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European Commission (2025). AI Act. European Commission. Available at: </w:t>
      </w:r>
      <w:hyperlink r:id="rId21" w:history="1">
        <w:r w:rsidR="009B566C" w:rsidRPr="00F96513">
          <w:rPr>
            <w:rStyle w:val="Hyperlink"/>
            <w:rFonts w:ascii="Times New Roman" w:hAnsi="Times New Roman" w:cs="Times New Roman"/>
          </w:rPr>
          <w:t>https://digital-strategy.ec.europa.eu/en/policies/regulatory-framework-ai</w:t>
        </w:r>
      </w:hyperlink>
      <w:r w:rsidR="009B566C">
        <w:rPr>
          <w:rFonts w:ascii="Times New Roman" w:hAnsi="Times New Roman" w:cs="Times New Roman"/>
        </w:rPr>
        <w:t xml:space="preserve"> </w:t>
      </w:r>
    </w:p>
    <w:p w14:paraId="0374F157" w14:textId="33F01B60"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Finch, W.W. and Butt, M. (2025). Gaps in AI-compliant complementary governance frameworks' suitability (for low-capacity actors), and structural asymmetries (in the compliance ecosystem): a systematic review. Journal of Cybersecurity and Privacy, 5(4), pp.101-101.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22" w:history="1">
        <w:r w:rsidR="009B566C" w:rsidRPr="00F96513">
          <w:rPr>
            <w:rStyle w:val="Hyperlink"/>
            <w:rFonts w:ascii="Times New Roman" w:hAnsi="Times New Roman" w:cs="Times New Roman"/>
          </w:rPr>
          <w:t>https://doi.org/10.3390/jcp5040101</w:t>
        </w:r>
      </w:hyperlink>
      <w:r w:rsidRPr="00171015">
        <w:rPr>
          <w:rFonts w:ascii="Times New Roman" w:hAnsi="Times New Roman" w:cs="Times New Roman"/>
        </w:rPr>
        <w:t>.</w:t>
      </w:r>
      <w:r w:rsidR="009B566C">
        <w:rPr>
          <w:rFonts w:ascii="Times New Roman" w:hAnsi="Times New Roman" w:cs="Times New Roman"/>
        </w:rPr>
        <w:t xml:space="preserve"> </w:t>
      </w:r>
    </w:p>
    <w:p w14:paraId="385B3EEB" w14:textId="5337FB8A"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Floridi</w:t>
      </w:r>
      <w:proofErr w:type="spellEnd"/>
      <w:r w:rsidRPr="00171015">
        <w:rPr>
          <w:rFonts w:ascii="Times New Roman" w:hAnsi="Times New Roman" w:cs="Times New Roman"/>
        </w:rPr>
        <w:t xml:space="preserve">, L., Cowls, J., </w:t>
      </w:r>
      <w:proofErr w:type="spellStart"/>
      <w:r w:rsidRPr="00171015">
        <w:rPr>
          <w:rFonts w:ascii="Times New Roman" w:hAnsi="Times New Roman" w:cs="Times New Roman"/>
        </w:rPr>
        <w:t>Beltrametti</w:t>
      </w:r>
      <w:proofErr w:type="spellEnd"/>
      <w:r w:rsidRPr="00171015">
        <w:rPr>
          <w:rFonts w:ascii="Times New Roman" w:hAnsi="Times New Roman" w:cs="Times New Roman"/>
        </w:rPr>
        <w:t xml:space="preserve">, M., Chatila, R., </w:t>
      </w:r>
      <w:proofErr w:type="spellStart"/>
      <w:r w:rsidRPr="00171015">
        <w:rPr>
          <w:rFonts w:ascii="Times New Roman" w:hAnsi="Times New Roman" w:cs="Times New Roman"/>
        </w:rPr>
        <w:t>Chazerand</w:t>
      </w:r>
      <w:proofErr w:type="spellEnd"/>
      <w:r w:rsidRPr="00171015">
        <w:rPr>
          <w:rFonts w:ascii="Times New Roman" w:hAnsi="Times New Roman" w:cs="Times New Roman"/>
        </w:rPr>
        <w:t xml:space="preserve">, P., Dignum, V., Luetge, C., Madelin, R., </w:t>
      </w:r>
      <w:proofErr w:type="spellStart"/>
      <w:r w:rsidRPr="00171015">
        <w:rPr>
          <w:rFonts w:ascii="Times New Roman" w:hAnsi="Times New Roman" w:cs="Times New Roman"/>
        </w:rPr>
        <w:t>Pagallo</w:t>
      </w:r>
      <w:proofErr w:type="spellEnd"/>
      <w:r w:rsidRPr="00171015">
        <w:rPr>
          <w:rFonts w:ascii="Times New Roman" w:hAnsi="Times New Roman" w:cs="Times New Roman"/>
        </w:rPr>
        <w:t xml:space="preserve">, U., Rossi, F., Schafer, B., Valcke, P. and </w:t>
      </w:r>
      <w:proofErr w:type="spellStart"/>
      <w:r w:rsidRPr="00171015">
        <w:rPr>
          <w:rFonts w:ascii="Times New Roman" w:hAnsi="Times New Roman" w:cs="Times New Roman"/>
        </w:rPr>
        <w:t>Vayena</w:t>
      </w:r>
      <w:proofErr w:type="spellEnd"/>
      <w:r w:rsidRPr="00171015">
        <w:rPr>
          <w:rFonts w:ascii="Times New Roman" w:hAnsi="Times New Roman" w:cs="Times New Roman"/>
        </w:rPr>
        <w:t xml:space="preserve">, E. (2018). AI4People: an ethical framework for a good AI society. Minds and Machines, 28(4), pp.689-707.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23" w:history="1">
        <w:r w:rsidR="009B566C" w:rsidRPr="00F96513">
          <w:rPr>
            <w:rStyle w:val="Hyperlink"/>
            <w:rFonts w:ascii="Times New Roman" w:hAnsi="Times New Roman" w:cs="Times New Roman"/>
          </w:rPr>
          <w:t>https://doi.org/10.1007/s11023-018-9482-5</w:t>
        </w:r>
      </w:hyperlink>
      <w:r w:rsidRPr="00171015">
        <w:rPr>
          <w:rFonts w:ascii="Times New Roman" w:hAnsi="Times New Roman" w:cs="Times New Roman"/>
        </w:rPr>
        <w:t>.</w:t>
      </w:r>
      <w:r w:rsidR="009B566C">
        <w:rPr>
          <w:rFonts w:ascii="Times New Roman" w:hAnsi="Times New Roman" w:cs="Times New Roman"/>
        </w:rPr>
        <w:t xml:space="preserve"> </w:t>
      </w:r>
    </w:p>
    <w:p w14:paraId="1F898C93" w14:textId="12C507E1"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Guillen-Aguinaga, M., </w:t>
      </w:r>
      <w:proofErr w:type="spellStart"/>
      <w:r w:rsidRPr="00171015">
        <w:rPr>
          <w:rFonts w:ascii="Times New Roman" w:hAnsi="Times New Roman" w:cs="Times New Roman"/>
        </w:rPr>
        <w:t>Aguinaga-Ontoso</w:t>
      </w:r>
      <w:proofErr w:type="spellEnd"/>
      <w:r w:rsidRPr="00171015">
        <w:rPr>
          <w:rFonts w:ascii="Times New Roman" w:hAnsi="Times New Roman" w:cs="Times New Roman"/>
        </w:rPr>
        <w:t xml:space="preserve">, E., Guillen-Aguinaga, L., Guillen-Grima, F. and </w:t>
      </w:r>
      <w:proofErr w:type="spellStart"/>
      <w:r w:rsidRPr="00171015">
        <w:rPr>
          <w:rFonts w:ascii="Times New Roman" w:hAnsi="Times New Roman" w:cs="Times New Roman"/>
        </w:rPr>
        <w:t>Aguinaga-Ontoso</w:t>
      </w:r>
      <w:proofErr w:type="spellEnd"/>
      <w:r w:rsidRPr="00171015">
        <w:rPr>
          <w:rFonts w:ascii="Times New Roman" w:hAnsi="Times New Roman" w:cs="Times New Roman"/>
        </w:rPr>
        <w:t xml:space="preserve">, I. (2025). Data quality in the age of AI: a review of governance, ethics, and the FAIR principles. Data, 10(12), p.201.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24" w:history="1">
        <w:r w:rsidR="009B566C" w:rsidRPr="00F96513">
          <w:rPr>
            <w:rStyle w:val="Hyperlink"/>
            <w:rFonts w:ascii="Times New Roman" w:hAnsi="Times New Roman" w:cs="Times New Roman"/>
          </w:rPr>
          <w:t>https://doi.org/10.3390/data10120201</w:t>
        </w:r>
      </w:hyperlink>
      <w:r w:rsidRPr="00171015">
        <w:rPr>
          <w:rFonts w:ascii="Times New Roman" w:hAnsi="Times New Roman" w:cs="Times New Roman"/>
        </w:rPr>
        <w:t>.</w:t>
      </w:r>
      <w:r w:rsidR="009B566C">
        <w:rPr>
          <w:rFonts w:ascii="Times New Roman" w:hAnsi="Times New Roman" w:cs="Times New Roman"/>
        </w:rPr>
        <w:t xml:space="preserve"> </w:t>
      </w:r>
    </w:p>
    <w:p w14:paraId="7AE296A6" w14:textId="7628B48A"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Hangl, J., Behrens, V.J. and Krause, S. (2022). Barriers, drivers, and social considerations for AI adoption in supply chain management: a tertiary study. Logistics, 6(3), p.63.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25" w:history="1">
        <w:r w:rsidR="009B566C" w:rsidRPr="00F96513">
          <w:rPr>
            <w:rStyle w:val="Hyperlink"/>
            <w:rFonts w:ascii="Times New Roman" w:hAnsi="Times New Roman" w:cs="Times New Roman"/>
          </w:rPr>
          <w:t>https://doi.org/10.3390/logistics6030063</w:t>
        </w:r>
      </w:hyperlink>
      <w:r w:rsidRPr="00171015">
        <w:rPr>
          <w:rFonts w:ascii="Times New Roman" w:hAnsi="Times New Roman" w:cs="Times New Roman"/>
        </w:rPr>
        <w:t>.</w:t>
      </w:r>
      <w:r w:rsidR="009B566C">
        <w:rPr>
          <w:rFonts w:ascii="Times New Roman" w:hAnsi="Times New Roman" w:cs="Times New Roman"/>
        </w:rPr>
        <w:t xml:space="preserve"> </w:t>
      </w:r>
    </w:p>
    <w:p w14:paraId="61BA67CC" w14:textId="7EC3DE7B"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Hendriksen, C. (2023). AI for supply chain management: disruptive innovation or innovative disruption? Journal of Supply Chain Management, 59(3).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26" w:history="1">
        <w:r w:rsidR="009B566C" w:rsidRPr="00F96513">
          <w:rPr>
            <w:rStyle w:val="Hyperlink"/>
            <w:rFonts w:ascii="Times New Roman" w:hAnsi="Times New Roman" w:cs="Times New Roman"/>
          </w:rPr>
          <w:t>https://doi.org/10.1111/jscm.12304</w:t>
        </w:r>
      </w:hyperlink>
      <w:r w:rsidRPr="00171015">
        <w:rPr>
          <w:rFonts w:ascii="Times New Roman" w:hAnsi="Times New Roman" w:cs="Times New Roman"/>
        </w:rPr>
        <w:t>.</w:t>
      </w:r>
      <w:r w:rsidR="009B566C">
        <w:rPr>
          <w:rFonts w:ascii="Times New Roman" w:hAnsi="Times New Roman" w:cs="Times New Roman"/>
        </w:rPr>
        <w:t xml:space="preserve"> </w:t>
      </w:r>
    </w:p>
    <w:p w14:paraId="472CE2F0" w14:textId="4C85EB55"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Hofstede, G. (2011). </w:t>
      </w:r>
      <w:proofErr w:type="spellStart"/>
      <w:r w:rsidRPr="00171015">
        <w:rPr>
          <w:rFonts w:ascii="Times New Roman" w:hAnsi="Times New Roman" w:cs="Times New Roman"/>
        </w:rPr>
        <w:t>Dimensionalizing</w:t>
      </w:r>
      <w:proofErr w:type="spellEnd"/>
      <w:r w:rsidRPr="00171015">
        <w:rPr>
          <w:rFonts w:ascii="Times New Roman" w:hAnsi="Times New Roman" w:cs="Times New Roman"/>
        </w:rPr>
        <w:t xml:space="preserve"> cultures: the Hofstede model in context. Online Readings in Psychology and Culture, 2(1), pp.1-26.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27" w:history="1">
        <w:r w:rsidR="009B566C" w:rsidRPr="00F96513">
          <w:rPr>
            <w:rStyle w:val="Hyperlink"/>
            <w:rFonts w:ascii="Times New Roman" w:hAnsi="Times New Roman" w:cs="Times New Roman"/>
          </w:rPr>
          <w:t>https://doi.org/10.9707/2307-0919.1014</w:t>
        </w:r>
      </w:hyperlink>
      <w:r w:rsidRPr="00171015">
        <w:rPr>
          <w:rFonts w:ascii="Times New Roman" w:hAnsi="Times New Roman" w:cs="Times New Roman"/>
        </w:rPr>
        <w:t>.</w:t>
      </w:r>
      <w:r w:rsidR="009B566C">
        <w:rPr>
          <w:rFonts w:ascii="Times New Roman" w:hAnsi="Times New Roman" w:cs="Times New Roman"/>
        </w:rPr>
        <w:t xml:space="preserve"> </w:t>
      </w:r>
    </w:p>
    <w:p w14:paraId="200AE542" w14:textId="77777777"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Hopkin, P. (2018). Fundamentals of risk management: understanding, evaluating and implementing effective risk management. 5th </w:t>
      </w:r>
      <w:proofErr w:type="spellStart"/>
      <w:r w:rsidRPr="00171015">
        <w:rPr>
          <w:rFonts w:ascii="Times New Roman" w:hAnsi="Times New Roman" w:cs="Times New Roman"/>
        </w:rPr>
        <w:t>edn</w:t>
      </w:r>
      <w:proofErr w:type="spellEnd"/>
      <w:r w:rsidRPr="00171015">
        <w:rPr>
          <w:rFonts w:ascii="Times New Roman" w:hAnsi="Times New Roman" w:cs="Times New Roman"/>
        </w:rPr>
        <w:t>. London: Kogan Page.</w:t>
      </w:r>
    </w:p>
    <w:p w14:paraId="5D09E72C" w14:textId="73F28E96"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Information Commissioner's Office (2023). Artificial intelligence. ico.org.uk. Available at: </w:t>
      </w:r>
      <w:hyperlink r:id="rId28" w:history="1">
        <w:r w:rsidR="009B566C" w:rsidRPr="00F96513">
          <w:rPr>
            <w:rStyle w:val="Hyperlink"/>
            <w:rFonts w:ascii="Times New Roman" w:hAnsi="Times New Roman" w:cs="Times New Roman"/>
          </w:rPr>
          <w:t>https://ico.org.uk/for-organisations/uk-gdpr-guidance-and-resources/artificial-intelligence/</w:t>
        </w:r>
      </w:hyperlink>
      <w:r w:rsidR="009B566C">
        <w:rPr>
          <w:rFonts w:ascii="Times New Roman" w:hAnsi="Times New Roman" w:cs="Times New Roman"/>
        </w:rPr>
        <w:t xml:space="preserve"> </w:t>
      </w:r>
    </w:p>
    <w:p w14:paraId="5FF666CA" w14:textId="4AADCDEF"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lastRenderedPageBreak/>
        <w:t xml:space="preserve">Jackson, I., Ivanov, D., </w:t>
      </w:r>
      <w:proofErr w:type="spellStart"/>
      <w:r w:rsidRPr="00171015">
        <w:rPr>
          <w:rFonts w:ascii="Times New Roman" w:hAnsi="Times New Roman" w:cs="Times New Roman"/>
        </w:rPr>
        <w:t>Dolgui</w:t>
      </w:r>
      <w:proofErr w:type="spellEnd"/>
      <w:r w:rsidRPr="00171015">
        <w:rPr>
          <w:rFonts w:ascii="Times New Roman" w:hAnsi="Times New Roman" w:cs="Times New Roman"/>
        </w:rPr>
        <w:t xml:space="preserve">, A. and Namdar, J. (2024). Generative artificial intelligence in supply chain and operations management: a capability-based framework for analysis and implementation. International Journal of Production Research, 62(17), pp.1-26.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29" w:history="1">
        <w:r w:rsidR="009B566C" w:rsidRPr="00F96513">
          <w:rPr>
            <w:rStyle w:val="Hyperlink"/>
            <w:rFonts w:ascii="Times New Roman" w:hAnsi="Times New Roman" w:cs="Times New Roman"/>
          </w:rPr>
          <w:t>https://doi.org/10.1080/00207543.2024.2309309</w:t>
        </w:r>
      </w:hyperlink>
      <w:r w:rsidRPr="00171015">
        <w:rPr>
          <w:rFonts w:ascii="Times New Roman" w:hAnsi="Times New Roman" w:cs="Times New Roman"/>
        </w:rPr>
        <w:t>.</w:t>
      </w:r>
      <w:r w:rsidR="009B566C">
        <w:rPr>
          <w:rFonts w:ascii="Times New Roman" w:hAnsi="Times New Roman" w:cs="Times New Roman"/>
        </w:rPr>
        <w:t xml:space="preserve"> </w:t>
      </w:r>
    </w:p>
    <w:p w14:paraId="0AD22B21" w14:textId="785DD5E1"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Jahin</w:t>
      </w:r>
      <w:proofErr w:type="spellEnd"/>
      <w:r w:rsidRPr="00171015">
        <w:rPr>
          <w:rFonts w:ascii="Times New Roman" w:hAnsi="Times New Roman" w:cs="Times New Roman"/>
        </w:rPr>
        <w:t xml:space="preserve">, M.A., </w:t>
      </w:r>
      <w:proofErr w:type="spellStart"/>
      <w:r w:rsidRPr="00171015">
        <w:rPr>
          <w:rFonts w:ascii="Times New Roman" w:hAnsi="Times New Roman" w:cs="Times New Roman"/>
        </w:rPr>
        <w:t>Naife</w:t>
      </w:r>
      <w:proofErr w:type="spellEnd"/>
      <w:r w:rsidRPr="00171015">
        <w:rPr>
          <w:rFonts w:ascii="Times New Roman" w:hAnsi="Times New Roman" w:cs="Times New Roman"/>
        </w:rPr>
        <w:t xml:space="preserve">, S.A., </w:t>
      </w:r>
      <w:proofErr w:type="spellStart"/>
      <w:r w:rsidRPr="00171015">
        <w:rPr>
          <w:rFonts w:ascii="Times New Roman" w:hAnsi="Times New Roman" w:cs="Times New Roman"/>
        </w:rPr>
        <w:t>Saha</w:t>
      </w:r>
      <w:proofErr w:type="spellEnd"/>
      <w:r w:rsidRPr="00171015">
        <w:rPr>
          <w:rFonts w:ascii="Times New Roman" w:hAnsi="Times New Roman" w:cs="Times New Roman"/>
        </w:rPr>
        <w:t xml:space="preserve">, A.K. and </w:t>
      </w:r>
      <w:proofErr w:type="spellStart"/>
      <w:r w:rsidRPr="00171015">
        <w:rPr>
          <w:rFonts w:ascii="Times New Roman" w:hAnsi="Times New Roman" w:cs="Times New Roman"/>
        </w:rPr>
        <w:t>Mridha</w:t>
      </w:r>
      <w:proofErr w:type="spellEnd"/>
      <w:r w:rsidRPr="00171015">
        <w:rPr>
          <w:rFonts w:ascii="Times New Roman" w:hAnsi="Times New Roman" w:cs="Times New Roman"/>
        </w:rPr>
        <w:t xml:space="preserve">, M.F. (2024). AI in supply chain risk assessment: a systematic literature review and bibliometric analysis. </w:t>
      </w:r>
      <w:proofErr w:type="spellStart"/>
      <w:r w:rsidRPr="00171015">
        <w:rPr>
          <w:rFonts w:ascii="Times New Roman" w:hAnsi="Times New Roman" w:cs="Times New Roman"/>
        </w:rPr>
        <w:t>arXiv</w:t>
      </w:r>
      <w:proofErr w:type="spellEnd"/>
      <w:r w:rsidRPr="00171015">
        <w:rPr>
          <w:rFonts w:ascii="Times New Roman" w:hAnsi="Times New Roman" w:cs="Times New Roman"/>
        </w:rPr>
        <w:t xml:space="preserve"> (Cornell University).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0" w:history="1">
        <w:r w:rsidR="009B566C" w:rsidRPr="00F96513">
          <w:rPr>
            <w:rStyle w:val="Hyperlink"/>
            <w:rFonts w:ascii="Times New Roman" w:hAnsi="Times New Roman" w:cs="Times New Roman"/>
          </w:rPr>
          <w:t>https://doi.org/10.48550/arxiv.2401.10895</w:t>
        </w:r>
      </w:hyperlink>
      <w:r w:rsidRPr="00171015">
        <w:rPr>
          <w:rFonts w:ascii="Times New Roman" w:hAnsi="Times New Roman" w:cs="Times New Roman"/>
        </w:rPr>
        <w:t>.</w:t>
      </w:r>
      <w:r w:rsidR="009B566C">
        <w:rPr>
          <w:rFonts w:ascii="Times New Roman" w:hAnsi="Times New Roman" w:cs="Times New Roman"/>
        </w:rPr>
        <w:t xml:space="preserve"> </w:t>
      </w:r>
    </w:p>
    <w:p w14:paraId="3BCD3900" w14:textId="2D8E4243"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Jobin, A., Ienca, M. and </w:t>
      </w:r>
      <w:proofErr w:type="spellStart"/>
      <w:r w:rsidRPr="00171015">
        <w:rPr>
          <w:rFonts w:ascii="Times New Roman" w:hAnsi="Times New Roman" w:cs="Times New Roman"/>
        </w:rPr>
        <w:t>Vayena</w:t>
      </w:r>
      <w:proofErr w:type="spellEnd"/>
      <w:r w:rsidRPr="00171015">
        <w:rPr>
          <w:rFonts w:ascii="Times New Roman" w:hAnsi="Times New Roman" w:cs="Times New Roman"/>
        </w:rPr>
        <w:t xml:space="preserve">, E. (2019). The global landscape of AI ethics guidelines. Nature Machine Intelligence, 1(9), pp.389-399.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1" w:history="1">
        <w:r w:rsidR="009B566C" w:rsidRPr="00F96513">
          <w:rPr>
            <w:rStyle w:val="Hyperlink"/>
            <w:rFonts w:ascii="Times New Roman" w:hAnsi="Times New Roman" w:cs="Times New Roman"/>
          </w:rPr>
          <w:t>https://doi.org/10.1038/s42256-019-0088-2</w:t>
        </w:r>
      </w:hyperlink>
      <w:r w:rsidRPr="00171015">
        <w:rPr>
          <w:rFonts w:ascii="Times New Roman" w:hAnsi="Times New Roman" w:cs="Times New Roman"/>
        </w:rPr>
        <w:t>.</w:t>
      </w:r>
      <w:r w:rsidR="009B566C">
        <w:rPr>
          <w:rFonts w:ascii="Times New Roman" w:hAnsi="Times New Roman" w:cs="Times New Roman"/>
        </w:rPr>
        <w:t xml:space="preserve"> </w:t>
      </w:r>
    </w:p>
    <w:p w14:paraId="4B108EB0" w14:textId="20719994"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Ketels, C. (2024). Porter's diamond model. In: Edward Elgar Publishing eBooks, pp.337-343.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2" w:history="1">
        <w:r w:rsidR="009B566C" w:rsidRPr="00F96513">
          <w:rPr>
            <w:rStyle w:val="Hyperlink"/>
            <w:rFonts w:ascii="Times New Roman" w:hAnsi="Times New Roman" w:cs="Times New Roman"/>
          </w:rPr>
          <w:t>https://doi.org/10.4337/9781800884045.ch84</w:t>
        </w:r>
      </w:hyperlink>
      <w:r w:rsidRPr="00171015">
        <w:rPr>
          <w:rFonts w:ascii="Times New Roman" w:hAnsi="Times New Roman" w:cs="Times New Roman"/>
        </w:rPr>
        <w:t>.</w:t>
      </w:r>
      <w:r w:rsidR="009B566C">
        <w:rPr>
          <w:rFonts w:ascii="Times New Roman" w:hAnsi="Times New Roman" w:cs="Times New Roman"/>
        </w:rPr>
        <w:t xml:space="preserve"> </w:t>
      </w:r>
    </w:p>
    <w:p w14:paraId="68259AE6" w14:textId="56803D91"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Klumpp, M. (2017). Automation and artificial intelligence in business logistics systems: human reactions and collaboration requirements. International Journal of Logistics Research and Applications, 21(3), pp.224-242.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3" w:history="1">
        <w:r w:rsidR="009B566C" w:rsidRPr="00F96513">
          <w:rPr>
            <w:rStyle w:val="Hyperlink"/>
            <w:rFonts w:ascii="Times New Roman" w:hAnsi="Times New Roman" w:cs="Times New Roman"/>
          </w:rPr>
          <w:t>https://doi.org/10.1080/13675567.2017.1384451</w:t>
        </w:r>
      </w:hyperlink>
      <w:r w:rsidRPr="00171015">
        <w:rPr>
          <w:rFonts w:ascii="Times New Roman" w:hAnsi="Times New Roman" w:cs="Times New Roman"/>
        </w:rPr>
        <w:t>.</w:t>
      </w:r>
      <w:r w:rsidR="009B566C">
        <w:rPr>
          <w:rFonts w:ascii="Times New Roman" w:hAnsi="Times New Roman" w:cs="Times New Roman"/>
        </w:rPr>
        <w:t xml:space="preserve"> </w:t>
      </w:r>
    </w:p>
    <w:p w14:paraId="05B45D66" w14:textId="1777BB49"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Kohnova, L. and </w:t>
      </w:r>
      <w:proofErr w:type="spellStart"/>
      <w:r w:rsidRPr="00171015">
        <w:rPr>
          <w:rFonts w:ascii="Times New Roman" w:hAnsi="Times New Roman" w:cs="Times New Roman"/>
        </w:rPr>
        <w:t>Salajova</w:t>
      </w:r>
      <w:proofErr w:type="spellEnd"/>
      <w:r w:rsidRPr="00171015">
        <w:rPr>
          <w:rFonts w:ascii="Times New Roman" w:hAnsi="Times New Roman" w:cs="Times New Roman"/>
        </w:rPr>
        <w:t xml:space="preserve">, N. (2023). Re-thinking Industry 4.0 effect on competitive forces: empirical study on innovation. Sustainability, 15(3), p.2637.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4" w:history="1">
        <w:r w:rsidR="009B566C" w:rsidRPr="00F96513">
          <w:rPr>
            <w:rStyle w:val="Hyperlink"/>
            <w:rFonts w:ascii="Times New Roman" w:hAnsi="Times New Roman" w:cs="Times New Roman"/>
          </w:rPr>
          <w:t>https://doi.org/10.3390/su15032637</w:t>
        </w:r>
      </w:hyperlink>
      <w:r w:rsidRPr="00171015">
        <w:rPr>
          <w:rFonts w:ascii="Times New Roman" w:hAnsi="Times New Roman" w:cs="Times New Roman"/>
        </w:rPr>
        <w:t>.</w:t>
      </w:r>
      <w:r w:rsidR="009B566C">
        <w:rPr>
          <w:rFonts w:ascii="Times New Roman" w:hAnsi="Times New Roman" w:cs="Times New Roman"/>
        </w:rPr>
        <w:t xml:space="preserve"> </w:t>
      </w:r>
    </w:p>
    <w:p w14:paraId="736FBE7C" w14:textId="196EF42D"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Leonaviciene</w:t>
      </w:r>
      <w:proofErr w:type="spellEnd"/>
      <w:r w:rsidRPr="00171015">
        <w:rPr>
          <w:rFonts w:ascii="Times New Roman" w:hAnsi="Times New Roman" w:cs="Times New Roman"/>
        </w:rPr>
        <w:t xml:space="preserve">, E. and </w:t>
      </w:r>
      <w:proofErr w:type="spellStart"/>
      <w:r w:rsidRPr="00171015">
        <w:rPr>
          <w:rFonts w:ascii="Times New Roman" w:hAnsi="Times New Roman" w:cs="Times New Roman"/>
        </w:rPr>
        <w:t>Burinskiene</w:t>
      </w:r>
      <w:proofErr w:type="spellEnd"/>
      <w:r w:rsidRPr="00171015">
        <w:rPr>
          <w:rFonts w:ascii="Times New Roman" w:hAnsi="Times New Roman" w:cs="Times New Roman"/>
        </w:rPr>
        <w:t xml:space="preserve">, A. (2022). Accelerating cultural dimensions at international companies in the evidence of </w:t>
      </w:r>
      <w:proofErr w:type="spellStart"/>
      <w:r w:rsidRPr="00171015">
        <w:rPr>
          <w:rFonts w:ascii="Times New Roman" w:hAnsi="Times New Roman" w:cs="Times New Roman"/>
        </w:rPr>
        <w:t>internationalisation</w:t>
      </w:r>
      <w:proofErr w:type="spellEnd"/>
      <w:r w:rsidRPr="00171015">
        <w:rPr>
          <w:rFonts w:ascii="Times New Roman" w:hAnsi="Times New Roman" w:cs="Times New Roman"/>
        </w:rPr>
        <w:t xml:space="preserve">. Sustainability, 14(3).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5" w:history="1">
        <w:r w:rsidR="009B566C" w:rsidRPr="00F96513">
          <w:rPr>
            <w:rStyle w:val="Hyperlink"/>
            <w:rFonts w:ascii="Times New Roman" w:hAnsi="Times New Roman" w:cs="Times New Roman"/>
          </w:rPr>
          <w:t>https://doi.org/10.3390/su14031524</w:t>
        </w:r>
      </w:hyperlink>
      <w:r w:rsidRPr="00171015">
        <w:rPr>
          <w:rFonts w:ascii="Times New Roman" w:hAnsi="Times New Roman" w:cs="Times New Roman"/>
        </w:rPr>
        <w:t>.</w:t>
      </w:r>
      <w:r w:rsidR="009B566C">
        <w:rPr>
          <w:rFonts w:ascii="Times New Roman" w:hAnsi="Times New Roman" w:cs="Times New Roman"/>
        </w:rPr>
        <w:t xml:space="preserve"> </w:t>
      </w:r>
    </w:p>
    <w:p w14:paraId="20EB903D" w14:textId="1247ECA4"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Liu, D. and Hsu, H. (2009). An international comparison of empirical </w:t>
      </w:r>
      <w:proofErr w:type="spellStart"/>
      <w:r w:rsidRPr="00171015">
        <w:rPr>
          <w:rFonts w:ascii="Times New Roman" w:hAnsi="Times New Roman" w:cs="Times New Roman"/>
        </w:rPr>
        <w:t>generalised</w:t>
      </w:r>
      <w:proofErr w:type="spellEnd"/>
      <w:r w:rsidRPr="00171015">
        <w:rPr>
          <w:rFonts w:ascii="Times New Roman" w:hAnsi="Times New Roman" w:cs="Times New Roman"/>
        </w:rPr>
        <w:t xml:space="preserve"> double diamond model approaches to Taiwan and Korea. Competitiveness Review, 19(3), pp.160-174.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6" w:history="1">
        <w:r w:rsidR="009B566C" w:rsidRPr="00F96513">
          <w:rPr>
            <w:rStyle w:val="Hyperlink"/>
            <w:rFonts w:ascii="Times New Roman" w:hAnsi="Times New Roman" w:cs="Times New Roman"/>
          </w:rPr>
          <w:t>https://doi.org/10.1108/10595420910962043</w:t>
        </w:r>
      </w:hyperlink>
      <w:r w:rsidRPr="00171015">
        <w:rPr>
          <w:rFonts w:ascii="Times New Roman" w:hAnsi="Times New Roman" w:cs="Times New Roman"/>
        </w:rPr>
        <w:t>.</w:t>
      </w:r>
      <w:r w:rsidR="009B566C">
        <w:rPr>
          <w:rFonts w:ascii="Times New Roman" w:hAnsi="Times New Roman" w:cs="Times New Roman"/>
        </w:rPr>
        <w:t xml:space="preserve"> </w:t>
      </w:r>
    </w:p>
    <w:p w14:paraId="08092AF0" w14:textId="3605CB50"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Mäntymäki</w:t>
      </w:r>
      <w:proofErr w:type="spellEnd"/>
      <w:r w:rsidRPr="00171015">
        <w:rPr>
          <w:rFonts w:ascii="Times New Roman" w:hAnsi="Times New Roman" w:cs="Times New Roman"/>
        </w:rPr>
        <w:t xml:space="preserve">, M., Minkkinen, M., </w:t>
      </w:r>
      <w:proofErr w:type="spellStart"/>
      <w:r w:rsidRPr="00171015">
        <w:rPr>
          <w:rFonts w:ascii="Times New Roman" w:hAnsi="Times New Roman" w:cs="Times New Roman"/>
        </w:rPr>
        <w:t>Birkstedt</w:t>
      </w:r>
      <w:proofErr w:type="spellEnd"/>
      <w:r w:rsidRPr="00171015">
        <w:rPr>
          <w:rFonts w:ascii="Times New Roman" w:hAnsi="Times New Roman" w:cs="Times New Roman"/>
        </w:rPr>
        <w:t xml:space="preserve">, T. and Viljanen, M. (2022). Defining </w:t>
      </w:r>
      <w:proofErr w:type="spellStart"/>
      <w:r w:rsidRPr="00171015">
        <w:rPr>
          <w:rFonts w:ascii="Times New Roman" w:hAnsi="Times New Roman" w:cs="Times New Roman"/>
        </w:rPr>
        <w:t>organisational</w:t>
      </w:r>
      <w:proofErr w:type="spellEnd"/>
      <w:r w:rsidRPr="00171015">
        <w:rPr>
          <w:rFonts w:ascii="Times New Roman" w:hAnsi="Times New Roman" w:cs="Times New Roman"/>
        </w:rPr>
        <w:t xml:space="preserve"> AI governance. AI and Ethics, 2, pp.603-609.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7" w:history="1">
        <w:r w:rsidR="009B566C" w:rsidRPr="00F96513">
          <w:rPr>
            <w:rStyle w:val="Hyperlink"/>
            <w:rFonts w:ascii="Times New Roman" w:hAnsi="Times New Roman" w:cs="Times New Roman"/>
          </w:rPr>
          <w:t>https://doi.org/10.1007/s43681-022-00143-x</w:t>
        </w:r>
      </w:hyperlink>
      <w:r w:rsidRPr="00171015">
        <w:rPr>
          <w:rFonts w:ascii="Times New Roman" w:hAnsi="Times New Roman" w:cs="Times New Roman"/>
        </w:rPr>
        <w:t>.</w:t>
      </w:r>
      <w:r w:rsidR="009B566C">
        <w:rPr>
          <w:rFonts w:ascii="Times New Roman" w:hAnsi="Times New Roman" w:cs="Times New Roman"/>
        </w:rPr>
        <w:t xml:space="preserve"> </w:t>
      </w:r>
    </w:p>
    <w:p w14:paraId="62C0E432" w14:textId="5F7D2DAB"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McNulty, T. and Nordberg, D. (2015). Ownership, activism and engagement: institutional investors as active owners. Corporate Governance: An International Review, 24(3), pp.346-358.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38" w:history="1">
        <w:r w:rsidR="009B566C" w:rsidRPr="00F96513">
          <w:rPr>
            <w:rStyle w:val="Hyperlink"/>
            <w:rFonts w:ascii="Times New Roman" w:hAnsi="Times New Roman" w:cs="Times New Roman"/>
          </w:rPr>
          <w:t>https://doi.org/10.1111/corg.12143</w:t>
        </w:r>
      </w:hyperlink>
      <w:r w:rsidRPr="00171015">
        <w:rPr>
          <w:rFonts w:ascii="Times New Roman" w:hAnsi="Times New Roman" w:cs="Times New Roman"/>
        </w:rPr>
        <w:t>.</w:t>
      </w:r>
      <w:r w:rsidR="009B566C">
        <w:rPr>
          <w:rFonts w:ascii="Times New Roman" w:hAnsi="Times New Roman" w:cs="Times New Roman"/>
        </w:rPr>
        <w:t xml:space="preserve"> </w:t>
      </w:r>
    </w:p>
    <w:p w14:paraId="1CFF360C" w14:textId="25A45BC8"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Mishra, S. and Mishra, S. (2025). AI in focus in 2025: boards and shareholders set their sights on AI. The Harvard Law School Forum on Corporate Governance. Available at: </w:t>
      </w:r>
      <w:hyperlink r:id="rId39" w:history="1">
        <w:r w:rsidR="009B566C" w:rsidRPr="00F96513">
          <w:rPr>
            <w:rStyle w:val="Hyperlink"/>
            <w:rFonts w:ascii="Times New Roman" w:hAnsi="Times New Roman" w:cs="Times New Roman"/>
          </w:rPr>
          <w:t>https://corpgov.law.harvard.edu/2025/04/02/ai-in-focus-in-2025-boards-and-shareholders-set-their-sights-on-ai/</w:t>
        </w:r>
      </w:hyperlink>
      <w:r w:rsidR="009B566C">
        <w:rPr>
          <w:rFonts w:ascii="Times New Roman" w:hAnsi="Times New Roman" w:cs="Times New Roman"/>
        </w:rPr>
        <w:t xml:space="preserve"> </w:t>
      </w:r>
    </w:p>
    <w:p w14:paraId="05C922B6" w14:textId="71D60BD7"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lastRenderedPageBreak/>
        <w:t xml:space="preserve">Ndzabukelwako, Z., </w:t>
      </w:r>
      <w:proofErr w:type="spellStart"/>
      <w:r w:rsidRPr="00171015">
        <w:rPr>
          <w:rFonts w:ascii="Times New Roman" w:hAnsi="Times New Roman" w:cs="Times New Roman"/>
        </w:rPr>
        <w:t>Mereko</w:t>
      </w:r>
      <w:proofErr w:type="spellEnd"/>
      <w:r w:rsidRPr="00171015">
        <w:rPr>
          <w:rFonts w:ascii="Times New Roman" w:hAnsi="Times New Roman" w:cs="Times New Roman"/>
        </w:rPr>
        <w:t xml:space="preserve">, O., Sambo, T. and </w:t>
      </w:r>
      <w:proofErr w:type="spellStart"/>
      <w:r w:rsidRPr="00171015">
        <w:rPr>
          <w:rFonts w:ascii="Times New Roman" w:hAnsi="Times New Roman" w:cs="Times New Roman"/>
        </w:rPr>
        <w:t>Thango</w:t>
      </w:r>
      <w:proofErr w:type="spellEnd"/>
      <w:r w:rsidRPr="00171015">
        <w:rPr>
          <w:rFonts w:ascii="Times New Roman" w:hAnsi="Times New Roman" w:cs="Times New Roman"/>
        </w:rPr>
        <w:t xml:space="preserve">, B. (2024). The impact of Porter's Five Forces model on SMEs performance: a systematic review. SSRN. Available at: </w:t>
      </w:r>
      <w:hyperlink r:id="rId40" w:history="1">
        <w:r w:rsidR="009B566C" w:rsidRPr="00F96513">
          <w:rPr>
            <w:rStyle w:val="Hyperlink"/>
            <w:rFonts w:ascii="Times New Roman" w:hAnsi="Times New Roman" w:cs="Times New Roman"/>
          </w:rPr>
          <w:t>https://papers.ssrn.com/sol3/papers.cfm?abstract_id=4999059</w:t>
        </w:r>
      </w:hyperlink>
      <w:r w:rsidR="009B566C">
        <w:rPr>
          <w:rFonts w:ascii="Times New Roman" w:hAnsi="Times New Roman" w:cs="Times New Roman"/>
        </w:rPr>
        <w:t xml:space="preserve"> </w:t>
      </w:r>
    </w:p>
    <w:p w14:paraId="10454403" w14:textId="2009CBDC"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NIST (2023). AI risk management framework (AI RMF 1.0).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41" w:history="1">
        <w:r w:rsidR="009B566C" w:rsidRPr="00F96513">
          <w:rPr>
            <w:rStyle w:val="Hyperlink"/>
            <w:rFonts w:ascii="Times New Roman" w:hAnsi="Times New Roman" w:cs="Times New Roman"/>
          </w:rPr>
          <w:t>https://doi.org/10.6028/nist.ai.100-1</w:t>
        </w:r>
      </w:hyperlink>
      <w:r w:rsidRPr="00171015">
        <w:rPr>
          <w:rFonts w:ascii="Times New Roman" w:hAnsi="Times New Roman" w:cs="Times New Roman"/>
        </w:rPr>
        <w:t>.</w:t>
      </w:r>
      <w:r w:rsidR="009B566C">
        <w:rPr>
          <w:rFonts w:ascii="Times New Roman" w:hAnsi="Times New Roman" w:cs="Times New Roman"/>
        </w:rPr>
        <w:t xml:space="preserve"> </w:t>
      </w:r>
    </w:p>
    <w:p w14:paraId="4C4EDACA" w14:textId="62F1067F"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Osman, R. and El-Gendy, S. (2024). Interconnected and resilient: a CGE analysis of AI-driven cyberattacks in global trade. Risk Analysis.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42" w:history="1">
        <w:r w:rsidR="009B566C" w:rsidRPr="00F96513">
          <w:rPr>
            <w:rStyle w:val="Hyperlink"/>
            <w:rFonts w:ascii="Times New Roman" w:hAnsi="Times New Roman" w:cs="Times New Roman"/>
          </w:rPr>
          <w:t>https://doi.org/10.1111/risa.14321</w:t>
        </w:r>
      </w:hyperlink>
      <w:r w:rsidRPr="00171015">
        <w:rPr>
          <w:rFonts w:ascii="Times New Roman" w:hAnsi="Times New Roman" w:cs="Times New Roman"/>
        </w:rPr>
        <w:t>.</w:t>
      </w:r>
      <w:r w:rsidR="009B566C">
        <w:rPr>
          <w:rFonts w:ascii="Times New Roman" w:hAnsi="Times New Roman" w:cs="Times New Roman"/>
        </w:rPr>
        <w:t xml:space="preserve"> </w:t>
      </w:r>
    </w:p>
    <w:p w14:paraId="082C5DF7" w14:textId="4B35CF80"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Pangarkar, N. and </w:t>
      </w:r>
      <w:proofErr w:type="spellStart"/>
      <w:r w:rsidRPr="00171015">
        <w:rPr>
          <w:rFonts w:ascii="Times New Roman" w:hAnsi="Times New Roman" w:cs="Times New Roman"/>
        </w:rPr>
        <w:t>Prabhudesai</w:t>
      </w:r>
      <w:proofErr w:type="spellEnd"/>
      <w:r w:rsidRPr="00171015">
        <w:rPr>
          <w:rFonts w:ascii="Times New Roman" w:hAnsi="Times New Roman" w:cs="Times New Roman"/>
        </w:rPr>
        <w:t xml:space="preserve">, R. (2024). Using Porter's Five Forces analysis to drive strategy. Global Business and Organizational Excellence, 43(5), pp.1-11.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43" w:history="1">
        <w:r w:rsidR="009B566C" w:rsidRPr="00F96513">
          <w:rPr>
            <w:rStyle w:val="Hyperlink"/>
            <w:rFonts w:ascii="Times New Roman" w:hAnsi="Times New Roman" w:cs="Times New Roman"/>
          </w:rPr>
          <w:t>https://doi.org/10.1002/joe.22250</w:t>
        </w:r>
      </w:hyperlink>
      <w:r w:rsidRPr="00171015">
        <w:rPr>
          <w:rFonts w:ascii="Times New Roman" w:hAnsi="Times New Roman" w:cs="Times New Roman"/>
        </w:rPr>
        <w:t>.</w:t>
      </w:r>
      <w:r w:rsidR="009B566C">
        <w:rPr>
          <w:rFonts w:ascii="Times New Roman" w:hAnsi="Times New Roman" w:cs="Times New Roman"/>
        </w:rPr>
        <w:t xml:space="preserve"> </w:t>
      </w:r>
    </w:p>
    <w:p w14:paraId="291D7365" w14:textId="75C3B314"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Porter, M.E. (1979). How competitive forces shape strategy. Harvard Business Review. Available at: </w:t>
      </w:r>
      <w:hyperlink r:id="rId44" w:history="1">
        <w:r w:rsidR="009B566C" w:rsidRPr="00F96513">
          <w:rPr>
            <w:rStyle w:val="Hyperlink"/>
            <w:rFonts w:ascii="Times New Roman" w:hAnsi="Times New Roman" w:cs="Times New Roman"/>
          </w:rPr>
          <w:t>https://hbr.org/1979/03/how-competitive-forces-shape-strategy</w:t>
        </w:r>
      </w:hyperlink>
      <w:r w:rsidR="009B566C">
        <w:rPr>
          <w:rFonts w:ascii="Times New Roman" w:hAnsi="Times New Roman" w:cs="Times New Roman"/>
        </w:rPr>
        <w:t xml:space="preserve"> </w:t>
      </w:r>
    </w:p>
    <w:p w14:paraId="69E0B90A" w14:textId="77777777"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Porter, M.E. (1990). The competitive advantage of nations. New York: Free Press.</w:t>
      </w:r>
    </w:p>
    <w:p w14:paraId="6D279C2E" w14:textId="431E60C8"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Stampernas</w:t>
      </w:r>
      <w:proofErr w:type="spellEnd"/>
      <w:r w:rsidRPr="00171015">
        <w:rPr>
          <w:rFonts w:ascii="Times New Roman" w:hAnsi="Times New Roman" w:cs="Times New Roman"/>
        </w:rPr>
        <w:t xml:space="preserve">, S. and </w:t>
      </w:r>
      <w:proofErr w:type="spellStart"/>
      <w:r w:rsidRPr="00171015">
        <w:rPr>
          <w:rFonts w:ascii="Times New Roman" w:hAnsi="Times New Roman" w:cs="Times New Roman"/>
        </w:rPr>
        <w:t>Lambrinoudakis</w:t>
      </w:r>
      <w:proofErr w:type="spellEnd"/>
      <w:r w:rsidRPr="00171015">
        <w:rPr>
          <w:rFonts w:ascii="Times New Roman" w:hAnsi="Times New Roman" w:cs="Times New Roman"/>
        </w:rPr>
        <w:t xml:space="preserve">, C. (2025). A framework for compliance with Regulation (EU) 2024/1689 for small and medium-sized enterprises. Journal of Cybersecurity and Privacy, 5(3), p.40.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45" w:history="1">
        <w:r w:rsidR="009B566C" w:rsidRPr="00F96513">
          <w:rPr>
            <w:rStyle w:val="Hyperlink"/>
            <w:rFonts w:ascii="Times New Roman" w:hAnsi="Times New Roman" w:cs="Times New Roman"/>
          </w:rPr>
          <w:t>https://doi.org/10.3390/jcp5030040</w:t>
        </w:r>
      </w:hyperlink>
      <w:r w:rsidRPr="00171015">
        <w:rPr>
          <w:rFonts w:ascii="Times New Roman" w:hAnsi="Times New Roman" w:cs="Times New Roman"/>
        </w:rPr>
        <w:t>.</w:t>
      </w:r>
      <w:r w:rsidR="009B566C">
        <w:rPr>
          <w:rFonts w:ascii="Times New Roman" w:hAnsi="Times New Roman" w:cs="Times New Roman"/>
        </w:rPr>
        <w:t xml:space="preserve"> </w:t>
      </w:r>
    </w:p>
    <w:p w14:paraId="239F91F7" w14:textId="1C2B78E7"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Tsai, P.-H., Chen, C.-J. and Yang, H.-C. (2021). Using Porter's Diamond Model to assess the competitiveness of Taiwan's solar photovoltaic industry. SAGE Open, 11(1).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46" w:history="1">
        <w:r w:rsidR="009B566C" w:rsidRPr="00F96513">
          <w:rPr>
            <w:rStyle w:val="Hyperlink"/>
            <w:rFonts w:ascii="Times New Roman" w:hAnsi="Times New Roman" w:cs="Times New Roman"/>
          </w:rPr>
          <w:t>https://doi.org/10.1177/2158244020988286</w:t>
        </w:r>
      </w:hyperlink>
      <w:r w:rsidRPr="00171015">
        <w:rPr>
          <w:rFonts w:ascii="Times New Roman" w:hAnsi="Times New Roman" w:cs="Times New Roman"/>
        </w:rPr>
        <w:t>.</w:t>
      </w:r>
      <w:r w:rsidR="009B566C">
        <w:rPr>
          <w:rFonts w:ascii="Times New Roman" w:hAnsi="Times New Roman" w:cs="Times New Roman"/>
        </w:rPr>
        <w:t xml:space="preserve"> </w:t>
      </w:r>
    </w:p>
    <w:p w14:paraId="3BAF70F2" w14:textId="47697B8D"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UK Government (2023). AI regulation: a pro-innovation approach. GOV.UK. Available at: </w:t>
      </w:r>
      <w:hyperlink r:id="rId47" w:history="1">
        <w:r w:rsidR="009B566C" w:rsidRPr="00F96513">
          <w:rPr>
            <w:rStyle w:val="Hyperlink"/>
            <w:rFonts w:ascii="Times New Roman" w:hAnsi="Times New Roman" w:cs="Times New Roman"/>
          </w:rPr>
          <w:t>https://www.gov.uk/government/publications/ai-regulation-a-pro-innovation-approach</w:t>
        </w:r>
      </w:hyperlink>
      <w:r w:rsidR="009B566C">
        <w:rPr>
          <w:rFonts w:ascii="Times New Roman" w:hAnsi="Times New Roman" w:cs="Times New Roman"/>
        </w:rPr>
        <w:t xml:space="preserve"> </w:t>
      </w:r>
    </w:p>
    <w:p w14:paraId="548CC0F0" w14:textId="6A0BB366"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Vlados, C. (2019). Porter's Diamond approaches and the competitiveness web. SSRN. Available at: </w:t>
      </w:r>
      <w:hyperlink r:id="rId48" w:history="1">
        <w:r w:rsidR="009B566C" w:rsidRPr="00F96513">
          <w:rPr>
            <w:rStyle w:val="Hyperlink"/>
            <w:rFonts w:ascii="Times New Roman" w:hAnsi="Times New Roman" w:cs="Times New Roman"/>
          </w:rPr>
          <w:t>https://ssrn.com/abstract=3452402</w:t>
        </w:r>
      </w:hyperlink>
      <w:r w:rsidR="009B566C">
        <w:rPr>
          <w:rFonts w:ascii="Times New Roman" w:hAnsi="Times New Roman" w:cs="Times New Roman"/>
        </w:rPr>
        <w:t xml:space="preserve"> </w:t>
      </w:r>
    </w:p>
    <w:p w14:paraId="36D2ACE7" w14:textId="228693ED" w:rsidR="00B53A5E" w:rsidRPr="00171015" w:rsidRDefault="00F23948" w:rsidP="009B566C">
      <w:pPr>
        <w:spacing w:before="60" w:after="60" w:line="360" w:lineRule="auto"/>
        <w:jc w:val="both"/>
        <w:rPr>
          <w:rFonts w:ascii="Times New Roman" w:hAnsi="Times New Roman" w:cs="Times New Roman"/>
        </w:rPr>
      </w:pPr>
      <w:r w:rsidRPr="00171015">
        <w:rPr>
          <w:rFonts w:ascii="Times New Roman" w:hAnsi="Times New Roman" w:cs="Times New Roman"/>
        </w:rPr>
        <w:t xml:space="preserve">World Economic Forum (2026). Global risks report 2026. World Economic Forum. Available at: </w:t>
      </w:r>
      <w:hyperlink r:id="rId49" w:history="1">
        <w:r w:rsidR="009B566C" w:rsidRPr="00F96513">
          <w:rPr>
            <w:rStyle w:val="Hyperlink"/>
            <w:rFonts w:ascii="Times New Roman" w:hAnsi="Times New Roman" w:cs="Times New Roman"/>
          </w:rPr>
          <w:t>https://www.weforum.org/reports/global-risks-report-2026</w:t>
        </w:r>
      </w:hyperlink>
      <w:r w:rsidR="009B566C">
        <w:rPr>
          <w:rFonts w:ascii="Times New Roman" w:hAnsi="Times New Roman" w:cs="Times New Roman"/>
        </w:rPr>
        <w:t xml:space="preserve"> </w:t>
      </w:r>
    </w:p>
    <w:p w14:paraId="4B3FDB1B" w14:textId="024DB6FE" w:rsidR="00B53A5E" w:rsidRPr="00171015" w:rsidRDefault="00F23948" w:rsidP="009B566C">
      <w:pPr>
        <w:spacing w:before="60" w:after="60" w:line="360" w:lineRule="auto"/>
        <w:jc w:val="both"/>
        <w:rPr>
          <w:rFonts w:ascii="Times New Roman" w:hAnsi="Times New Roman" w:cs="Times New Roman"/>
        </w:rPr>
      </w:pPr>
      <w:proofErr w:type="spellStart"/>
      <w:r w:rsidRPr="00171015">
        <w:rPr>
          <w:rFonts w:ascii="Times New Roman" w:hAnsi="Times New Roman" w:cs="Times New Roman"/>
        </w:rPr>
        <w:t>Zalengera</w:t>
      </w:r>
      <w:proofErr w:type="spellEnd"/>
      <w:r w:rsidRPr="00171015">
        <w:rPr>
          <w:rFonts w:ascii="Times New Roman" w:hAnsi="Times New Roman" w:cs="Times New Roman"/>
        </w:rPr>
        <w:t xml:space="preserve">, C., Blanchard, R.E., Eames, P.C., </w:t>
      </w:r>
      <w:proofErr w:type="spellStart"/>
      <w:r w:rsidRPr="00171015">
        <w:rPr>
          <w:rFonts w:ascii="Times New Roman" w:hAnsi="Times New Roman" w:cs="Times New Roman"/>
        </w:rPr>
        <w:t>Juma</w:t>
      </w:r>
      <w:proofErr w:type="spellEnd"/>
      <w:r w:rsidRPr="00171015">
        <w:rPr>
          <w:rFonts w:ascii="Times New Roman" w:hAnsi="Times New Roman" w:cs="Times New Roman"/>
        </w:rPr>
        <w:t xml:space="preserve">, A.M., </w:t>
      </w:r>
      <w:proofErr w:type="spellStart"/>
      <w:r w:rsidRPr="00171015">
        <w:rPr>
          <w:rFonts w:ascii="Times New Roman" w:hAnsi="Times New Roman" w:cs="Times New Roman"/>
        </w:rPr>
        <w:t>Chitawo</w:t>
      </w:r>
      <w:proofErr w:type="spellEnd"/>
      <w:r w:rsidRPr="00171015">
        <w:rPr>
          <w:rFonts w:ascii="Times New Roman" w:hAnsi="Times New Roman" w:cs="Times New Roman"/>
        </w:rPr>
        <w:t xml:space="preserve">, M.L. and Gondwe, K.T. (2014). Overview of the Malawi energy situation and a PESTLE analysis for sustainable development of renewable energy. Renewable and Sustainable Energy Reviews, 38(1), pp.335-347. </w:t>
      </w:r>
      <w:proofErr w:type="spellStart"/>
      <w:r w:rsidRPr="00171015">
        <w:rPr>
          <w:rFonts w:ascii="Times New Roman" w:hAnsi="Times New Roman" w:cs="Times New Roman"/>
        </w:rPr>
        <w:t>doi</w:t>
      </w:r>
      <w:proofErr w:type="spellEnd"/>
      <w:r w:rsidRPr="00171015">
        <w:rPr>
          <w:rFonts w:ascii="Times New Roman" w:hAnsi="Times New Roman" w:cs="Times New Roman"/>
        </w:rPr>
        <w:t xml:space="preserve">: </w:t>
      </w:r>
      <w:hyperlink r:id="rId50" w:history="1">
        <w:r w:rsidR="009B566C" w:rsidRPr="00F96513">
          <w:rPr>
            <w:rStyle w:val="Hyperlink"/>
            <w:rFonts w:ascii="Times New Roman" w:hAnsi="Times New Roman" w:cs="Times New Roman"/>
          </w:rPr>
          <w:t>https://doi.org/10.1016/j.rser.2014.05.050</w:t>
        </w:r>
      </w:hyperlink>
      <w:r w:rsidRPr="00171015">
        <w:rPr>
          <w:rFonts w:ascii="Times New Roman" w:hAnsi="Times New Roman" w:cs="Times New Roman"/>
        </w:rPr>
        <w:t>.</w:t>
      </w:r>
      <w:r w:rsidR="009B566C">
        <w:rPr>
          <w:rFonts w:ascii="Times New Roman" w:hAnsi="Times New Roman" w:cs="Times New Roman"/>
        </w:rPr>
        <w:t xml:space="preserve"> </w:t>
      </w:r>
    </w:p>
    <w:p w14:paraId="6BC575B2" w14:textId="5949332D" w:rsidR="00B53A5E" w:rsidRPr="00171015" w:rsidRDefault="00B53A5E" w:rsidP="00171015">
      <w:pPr>
        <w:spacing w:line="360" w:lineRule="auto"/>
        <w:jc w:val="both"/>
        <w:rPr>
          <w:rFonts w:ascii="Times New Roman" w:hAnsi="Times New Roman" w:cs="Times New Roman"/>
        </w:rPr>
      </w:pPr>
    </w:p>
    <w:sectPr w:rsidR="00B53A5E" w:rsidRPr="00171015" w:rsidSect="0068564D">
      <w:footerReference w:type="default" r:id="rId51"/>
      <w:pgSz w:w="11906" w:h="16838"/>
      <w:pgMar w:top="1440" w:right="1260" w:bottom="1440" w:left="126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E2C03" w14:textId="77777777" w:rsidR="00E078B8" w:rsidRDefault="00E078B8">
      <w:r>
        <w:separator/>
      </w:r>
    </w:p>
  </w:endnote>
  <w:endnote w:type="continuationSeparator" w:id="0">
    <w:p w14:paraId="4D9E15FF" w14:textId="77777777" w:rsidR="00E078B8" w:rsidRDefault="00E07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500425"/>
      <w:docPartObj>
        <w:docPartGallery w:val="Page Numbers (Bottom of Page)"/>
        <w:docPartUnique/>
      </w:docPartObj>
    </w:sdtPr>
    <w:sdtEndPr>
      <w:rPr>
        <w:noProof/>
      </w:rPr>
    </w:sdtEndPr>
    <w:sdtContent>
      <w:p w14:paraId="612D8857" w14:textId="28746872" w:rsidR="00B41D6E" w:rsidRDefault="00B41D6E" w:rsidP="006856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CD455" w14:textId="77777777" w:rsidR="00E078B8" w:rsidRDefault="00E078B8">
      <w:r>
        <w:separator/>
      </w:r>
    </w:p>
  </w:footnote>
  <w:footnote w:type="continuationSeparator" w:id="0">
    <w:p w14:paraId="166C58C7" w14:textId="77777777" w:rsidR="00E078B8" w:rsidRDefault="00E078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056D7"/>
    <w:multiLevelType w:val="hybridMultilevel"/>
    <w:tmpl w:val="6B087BA0"/>
    <w:lvl w:ilvl="0" w:tplc="1D188D22">
      <w:start w:val="1"/>
      <w:numFmt w:val="bullet"/>
      <w:lvlText w:val="●"/>
      <w:lvlJc w:val="left"/>
      <w:pPr>
        <w:ind w:left="720" w:hanging="360"/>
      </w:pPr>
    </w:lvl>
    <w:lvl w:ilvl="1" w:tplc="FB06CD62">
      <w:start w:val="1"/>
      <w:numFmt w:val="bullet"/>
      <w:lvlText w:val="○"/>
      <w:lvlJc w:val="left"/>
      <w:pPr>
        <w:ind w:left="1440" w:hanging="360"/>
      </w:pPr>
    </w:lvl>
    <w:lvl w:ilvl="2" w:tplc="AE48A55A">
      <w:start w:val="1"/>
      <w:numFmt w:val="bullet"/>
      <w:lvlText w:val="■"/>
      <w:lvlJc w:val="left"/>
      <w:pPr>
        <w:ind w:left="2160" w:hanging="360"/>
      </w:pPr>
    </w:lvl>
    <w:lvl w:ilvl="3" w:tplc="207ECD4C">
      <w:start w:val="1"/>
      <w:numFmt w:val="bullet"/>
      <w:lvlText w:val="●"/>
      <w:lvlJc w:val="left"/>
      <w:pPr>
        <w:ind w:left="2880" w:hanging="360"/>
      </w:pPr>
    </w:lvl>
    <w:lvl w:ilvl="4" w:tplc="9A785D98">
      <w:start w:val="1"/>
      <w:numFmt w:val="bullet"/>
      <w:lvlText w:val="○"/>
      <w:lvlJc w:val="left"/>
      <w:pPr>
        <w:ind w:left="3600" w:hanging="360"/>
      </w:pPr>
    </w:lvl>
    <w:lvl w:ilvl="5" w:tplc="FB3A984E">
      <w:start w:val="1"/>
      <w:numFmt w:val="bullet"/>
      <w:lvlText w:val="■"/>
      <w:lvlJc w:val="left"/>
      <w:pPr>
        <w:ind w:left="4320" w:hanging="360"/>
      </w:pPr>
    </w:lvl>
    <w:lvl w:ilvl="6" w:tplc="6AC6CCDE">
      <w:start w:val="1"/>
      <w:numFmt w:val="bullet"/>
      <w:lvlText w:val="●"/>
      <w:lvlJc w:val="left"/>
      <w:pPr>
        <w:ind w:left="5040" w:hanging="360"/>
      </w:pPr>
    </w:lvl>
    <w:lvl w:ilvl="7" w:tplc="E79E57A0">
      <w:start w:val="1"/>
      <w:numFmt w:val="bullet"/>
      <w:lvlText w:val="●"/>
      <w:lvlJc w:val="left"/>
      <w:pPr>
        <w:ind w:left="5760" w:hanging="360"/>
      </w:pPr>
    </w:lvl>
    <w:lvl w:ilvl="8" w:tplc="17FCA85E">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A5E"/>
    <w:rsid w:val="00001BE4"/>
    <w:rsid w:val="0005600F"/>
    <w:rsid w:val="00073853"/>
    <w:rsid w:val="001271A4"/>
    <w:rsid w:val="00171015"/>
    <w:rsid w:val="001B6533"/>
    <w:rsid w:val="0021450B"/>
    <w:rsid w:val="00320208"/>
    <w:rsid w:val="003A6C3A"/>
    <w:rsid w:val="00441CFE"/>
    <w:rsid w:val="00544C60"/>
    <w:rsid w:val="00544F47"/>
    <w:rsid w:val="00595D44"/>
    <w:rsid w:val="0068564D"/>
    <w:rsid w:val="007238A4"/>
    <w:rsid w:val="009B566C"/>
    <w:rsid w:val="009C1D4D"/>
    <w:rsid w:val="00A576DB"/>
    <w:rsid w:val="00AA6A2D"/>
    <w:rsid w:val="00B41D6E"/>
    <w:rsid w:val="00B53A5E"/>
    <w:rsid w:val="00BB0881"/>
    <w:rsid w:val="00C97B82"/>
    <w:rsid w:val="00CC1E8E"/>
    <w:rsid w:val="00CF088E"/>
    <w:rsid w:val="00D05DD7"/>
    <w:rsid w:val="00E070DD"/>
    <w:rsid w:val="00E078B8"/>
    <w:rsid w:val="00F23948"/>
    <w:rsid w:val="00F80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82C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D6E"/>
  </w:style>
  <w:style w:type="paragraph" w:styleId="Heading1">
    <w:name w:val="heading 1"/>
    <w:basedOn w:val="Normal"/>
    <w:next w:val="Normal"/>
    <w:link w:val="Heading1Char"/>
    <w:uiPriority w:val="9"/>
    <w:qFormat/>
    <w:rsid w:val="00B41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1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1D6E"/>
    <w:pPr>
      <w:spacing w:after="80" w:line="240" w:lineRule="auto"/>
      <w:contextualSpacing/>
    </w:pPr>
    <w:rPr>
      <w:rFonts w:asciiTheme="majorHAnsi" w:eastAsiaTheme="majorEastAsia" w:hAnsiTheme="majorHAnsi" w:cstheme="majorBidi"/>
      <w:spacing w:val="-10"/>
      <w:kern w:val="28"/>
      <w:sz w:val="56"/>
      <w:szCs w:val="56"/>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0560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76DB"/>
    <w:pPr>
      <w:tabs>
        <w:tab w:val="center" w:pos="4680"/>
        <w:tab w:val="right" w:pos="9360"/>
      </w:tabs>
    </w:pPr>
  </w:style>
  <w:style w:type="character" w:customStyle="1" w:styleId="HeaderChar">
    <w:name w:val="Header Char"/>
    <w:basedOn w:val="DefaultParagraphFont"/>
    <w:link w:val="Header"/>
    <w:uiPriority w:val="99"/>
    <w:rsid w:val="00A576DB"/>
  </w:style>
  <w:style w:type="paragraph" w:styleId="Footer">
    <w:name w:val="footer"/>
    <w:basedOn w:val="Normal"/>
    <w:link w:val="FooterChar"/>
    <w:uiPriority w:val="99"/>
    <w:unhideWhenUsed/>
    <w:rsid w:val="00A576DB"/>
    <w:pPr>
      <w:tabs>
        <w:tab w:val="center" w:pos="4680"/>
        <w:tab w:val="right" w:pos="9360"/>
      </w:tabs>
    </w:pPr>
  </w:style>
  <w:style w:type="character" w:customStyle="1" w:styleId="FooterChar">
    <w:name w:val="Footer Char"/>
    <w:basedOn w:val="DefaultParagraphFont"/>
    <w:link w:val="Footer"/>
    <w:uiPriority w:val="99"/>
    <w:rsid w:val="00A576DB"/>
  </w:style>
  <w:style w:type="character" w:customStyle="1" w:styleId="Heading1Char">
    <w:name w:val="Heading 1 Char"/>
    <w:basedOn w:val="DefaultParagraphFont"/>
    <w:link w:val="Heading1"/>
    <w:uiPriority w:val="9"/>
    <w:rsid w:val="00B41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1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D6E"/>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B41D6E"/>
    <w:pPr>
      <w:spacing w:after="200" w:line="240" w:lineRule="auto"/>
    </w:pPr>
    <w:rPr>
      <w:i/>
      <w:iCs/>
      <w:color w:val="0E2841" w:themeColor="text2"/>
      <w:sz w:val="18"/>
      <w:szCs w:val="18"/>
    </w:rPr>
  </w:style>
  <w:style w:type="character" w:customStyle="1" w:styleId="TitleChar">
    <w:name w:val="Title Char"/>
    <w:basedOn w:val="DefaultParagraphFont"/>
    <w:link w:val="Title"/>
    <w:uiPriority w:val="10"/>
    <w:rsid w:val="00B41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D6E"/>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B41D6E"/>
    <w:rPr>
      <w:b/>
      <w:bCs/>
    </w:rPr>
  </w:style>
  <w:style w:type="character" w:styleId="Emphasis">
    <w:name w:val="Emphasis"/>
    <w:basedOn w:val="DefaultParagraphFont"/>
    <w:uiPriority w:val="20"/>
    <w:qFormat/>
    <w:rsid w:val="00B41D6E"/>
    <w:rPr>
      <w:i/>
      <w:iCs/>
    </w:rPr>
  </w:style>
  <w:style w:type="paragraph" w:styleId="NoSpacing">
    <w:name w:val="No Spacing"/>
    <w:uiPriority w:val="1"/>
    <w:qFormat/>
    <w:rsid w:val="00B41D6E"/>
    <w:pPr>
      <w:spacing w:after="0" w:line="240" w:lineRule="auto"/>
    </w:pPr>
  </w:style>
  <w:style w:type="paragraph" w:styleId="Quote">
    <w:name w:val="Quote"/>
    <w:basedOn w:val="Normal"/>
    <w:next w:val="Normal"/>
    <w:link w:val="QuoteChar"/>
    <w:uiPriority w:val="29"/>
    <w:qFormat/>
    <w:rsid w:val="00B41D6E"/>
    <w:pPr>
      <w:spacing w:before="160"/>
      <w:jc w:val="center"/>
    </w:pPr>
    <w:rPr>
      <w:i/>
      <w:iCs/>
      <w:color w:val="404040" w:themeColor="text1" w:themeTint="BF"/>
    </w:rPr>
  </w:style>
  <w:style w:type="character" w:customStyle="1" w:styleId="QuoteChar">
    <w:name w:val="Quote Char"/>
    <w:basedOn w:val="DefaultParagraphFont"/>
    <w:link w:val="Quote"/>
    <w:uiPriority w:val="29"/>
    <w:rsid w:val="00B41D6E"/>
    <w:rPr>
      <w:i/>
      <w:iCs/>
      <w:color w:val="404040" w:themeColor="text1" w:themeTint="BF"/>
    </w:rPr>
  </w:style>
  <w:style w:type="paragraph" w:styleId="IntenseQuote">
    <w:name w:val="Intense Quote"/>
    <w:basedOn w:val="Normal"/>
    <w:next w:val="Normal"/>
    <w:link w:val="IntenseQuoteChar"/>
    <w:uiPriority w:val="30"/>
    <w:qFormat/>
    <w:rsid w:val="00B41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D6E"/>
    <w:rPr>
      <w:i/>
      <w:iCs/>
      <w:color w:val="0F4761" w:themeColor="accent1" w:themeShade="BF"/>
    </w:rPr>
  </w:style>
  <w:style w:type="character" w:styleId="SubtleEmphasis">
    <w:name w:val="Subtle Emphasis"/>
    <w:basedOn w:val="DefaultParagraphFont"/>
    <w:uiPriority w:val="19"/>
    <w:qFormat/>
    <w:rsid w:val="00B41D6E"/>
    <w:rPr>
      <w:i/>
      <w:iCs/>
      <w:color w:val="404040" w:themeColor="text1" w:themeTint="BF"/>
    </w:rPr>
  </w:style>
  <w:style w:type="character" w:styleId="IntenseEmphasis">
    <w:name w:val="Intense Emphasis"/>
    <w:basedOn w:val="DefaultParagraphFont"/>
    <w:uiPriority w:val="21"/>
    <w:qFormat/>
    <w:rsid w:val="00B41D6E"/>
    <w:rPr>
      <w:i/>
      <w:iCs/>
      <w:color w:val="0F4761" w:themeColor="accent1" w:themeShade="BF"/>
    </w:rPr>
  </w:style>
  <w:style w:type="character" w:styleId="SubtleReference">
    <w:name w:val="Subtle Reference"/>
    <w:basedOn w:val="DefaultParagraphFont"/>
    <w:uiPriority w:val="31"/>
    <w:qFormat/>
    <w:rsid w:val="00B41D6E"/>
    <w:rPr>
      <w:smallCaps/>
      <w:color w:val="5A5A5A" w:themeColor="text1" w:themeTint="A5"/>
    </w:rPr>
  </w:style>
  <w:style w:type="character" w:styleId="IntenseReference">
    <w:name w:val="Intense Reference"/>
    <w:basedOn w:val="DefaultParagraphFont"/>
    <w:uiPriority w:val="32"/>
    <w:qFormat/>
    <w:rsid w:val="00B41D6E"/>
    <w:rPr>
      <w:b/>
      <w:bCs/>
      <w:smallCaps/>
      <w:color w:val="0F4761" w:themeColor="accent1" w:themeShade="BF"/>
      <w:spacing w:val="5"/>
    </w:rPr>
  </w:style>
  <w:style w:type="character" w:styleId="BookTitle">
    <w:name w:val="Book Title"/>
    <w:basedOn w:val="DefaultParagraphFont"/>
    <w:uiPriority w:val="33"/>
    <w:qFormat/>
    <w:rsid w:val="00B41D6E"/>
    <w:rPr>
      <w:b/>
      <w:bCs/>
      <w:i/>
      <w:iCs/>
      <w:spacing w:val="5"/>
    </w:rPr>
  </w:style>
  <w:style w:type="paragraph" w:styleId="TOCHeading">
    <w:name w:val="TOC Heading"/>
    <w:basedOn w:val="Heading1"/>
    <w:next w:val="Normal"/>
    <w:uiPriority w:val="39"/>
    <w:unhideWhenUsed/>
    <w:qFormat/>
    <w:rsid w:val="00B41D6E"/>
    <w:pPr>
      <w:spacing w:before="240" w:after="0"/>
      <w:outlineLvl w:val="9"/>
    </w:pPr>
    <w:rPr>
      <w:sz w:val="32"/>
      <w:szCs w:val="32"/>
    </w:rPr>
  </w:style>
  <w:style w:type="table" w:styleId="GridTable4-Accent2">
    <w:name w:val="Grid Table 4 Accent 2"/>
    <w:basedOn w:val="TableNormal"/>
    <w:uiPriority w:val="49"/>
    <w:rsid w:val="00544F47"/>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1">
    <w:name w:val="toc 1"/>
    <w:basedOn w:val="Normal"/>
    <w:next w:val="Normal"/>
    <w:autoRedefine/>
    <w:uiPriority w:val="39"/>
    <w:unhideWhenUsed/>
    <w:rsid w:val="00CF088E"/>
    <w:pPr>
      <w:spacing w:after="100"/>
    </w:pPr>
  </w:style>
  <w:style w:type="paragraph" w:styleId="TOC2">
    <w:name w:val="toc 2"/>
    <w:basedOn w:val="Normal"/>
    <w:next w:val="Normal"/>
    <w:autoRedefine/>
    <w:uiPriority w:val="39"/>
    <w:unhideWhenUsed/>
    <w:rsid w:val="00CF088E"/>
    <w:pPr>
      <w:spacing w:after="100"/>
      <w:ind w:left="240"/>
    </w:pPr>
  </w:style>
  <w:style w:type="character" w:styleId="UnresolvedMention">
    <w:name w:val="Unresolved Mention"/>
    <w:basedOn w:val="DefaultParagraphFont"/>
    <w:uiPriority w:val="99"/>
    <w:semiHidden/>
    <w:unhideWhenUsed/>
    <w:rsid w:val="009B56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80/09537287.2025.2570203" TargetMode="External"/><Relationship Id="rId18" Type="http://schemas.openxmlformats.org/officeDocument/2006/relationships/hyperlink" Target="https://group.dhl.com/en/media-relations/press-releases/2024/dhl-supply-chain-implements-generative-ai.html" TargetMode="External"/><Relationship Id="rId26" Type="http://schemas.openxmlformats.org/officeDocument/2006/relationships/hyperlink" Target="https://doi.org/10.1111/jscm.12304" TargetMode="External"/><Relationship Id="rId39" Type="http://schemas.openxmlformats.org/officeDocument/2006/relationships/hyperlink" Target="https://corpgov.law.harvard.edu/2025/04/02/ai-in-focus-in-2025-boards-and-shareholders-set-their-sights-on-ai/" TargetMode="External"/><Relationship Id="rId21" Type="http://schemas.openxmlformats.org/officeDocument/2006/relationships/hyperlink" Target="https://digital-strategy.ec.europa.eu/en/policies/regulatory-framework-ai" TargetMode="External"/><Relationship Id="rId34" Type="http://schemas.openxmlformats.org/officeDocument/2006/relationships/hyperlink" Target="https://doi.org/10.3390/su15032637" TargetMode="External"/><Relationship Id="rId42" Type="http://schemas.openxmlformats.org/officeDocument/2006/relationships/hyperlink" Target="https://doi.org/10.1111/risa.14321" TargetMode="External"/><Relationship Id="rId47" Type="http://schemas.openxmlformats.org/officeDocument/2006/relationships/hyperlink" Target="https://www.gov.uk/government/publications/ai-regulation-a-pro-innovation-approach" TargetMode="External"/><Relationship Id="rId50" Type="http://schemas.openxmlformats.org/officeDocument/2006/relationships/hyperlink" Target="https://doi.org/10.1016/j.rser.2014.05.05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257/aer.20191823" TargetMode="External"/><Relationship Id="rId29" Type="http://schemas.openxmlformats.org/officeDocument/2006/relationships/hyperlink" Target="https://doi.org/10.1080/00207543.2024.2309309" TargetMode="External"/><Relationship Id="rId11" Type="http://schemas.openxmlformats.org/officeDocument/2006/relationships/hyperlink" Target="https://doi.org/10.1016/j.jrt.2025.100128" TargetMode="External"/><Relationship Id="rId24" Type="http://schemas.openxmlformats.org/officeDocument/2006/relationships/hyperlink" Target="https://doi.org/10.3390/data10120201" TargetMode="External"/><Relationship Id="rId32" Type="http://schemas.openxmlformats.org/officeDocument/2006/relationships/hyperlink" Target="https://doi.org/10.4337/9781800884045.ch84" TargetMode="External"/><Relationship Id="rId37" Type="http://schemas.openxmlformats.org/officeDocument/2006/relationships/hyperlink" Target="https://doi.org/10.1007/s43681-022-00143-x" TargetMode="External"/><Relationship Id="rId40" Type="http://schemas.openxmlformats.org/officeDocument/2006/relationships/hyperlink" Target="https://papers.ssrn.com/sol3/papers.cfm?abstract_id=4999059" TargetMode="External"/><Relationship Id="rId45" Type="http://schemas.openxmlformats.org/officeDocument/2006/relationships/hyperlink" Target="https://doi.org/10.3390/jcp5030040"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doi.org/10.21511/ppm.22(2).2024.26" TargetMode="External"/><Relationship Id="rId19" Type="http://schemas.openxmlformats.org/officeDocument/2006/relationships/hyperlink" Target="https://group.dhl.com/en/media-relations/press-releases/2024/dhl-logistics-trend-radar-unveils-emerging-ai-trends-and-sustainable-solutions.html" TargetMode="External"/><Relationship Id="rId31" Type="http://schemas.openxmlformats.org/officeDocument/2006/relationships/hyperlink" Target="https://doi.org/10.1038/s42256-019-0088-2" TargetMode="External"/><Relationship Id="rId44" Type="http://schemas.openxmlformats.org/officeDocument/2006/relationships/hyperlink" Target="https://hbr.org/1979/03/how-competitive-forces-shape-strategy"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57/s41267-016-0038-8" TargetMode="External"/><Relationship Id="rId22" Type="http://schemas.openxmlformats.org/officeDocument/2006/relationships/hyperlink" Target="https://doi.org/10.3390/jcp5040101" TargetMode="External"/><Relationship Id="rId27" Type="http://schemas.openxmlformats.org/officeDocument/2006/relationships/hyperlink" Target="https://doi.org/10.9707/2307-0919.1014" TargetMode="External"/><Relationship Id="rId30" Type="http://schemas.openxmlformats.org/officeDocument/2006/relationships/hyperlink" Target="https://doi.org/10.48550/arxiv.2401.10895" TargetMode="External"/><Relationship Id="rId35" Type="http://schemas.openxmlformats.org/officeDocument/2006/relationships/hyperlink" Target="https://doi.org/10.3390/su14031524" TargetMode="External"/><Relationship Id="rId43" Type="http://schemas.openxmlformats.org/officeDocument/2006/relationships/hyperlink" Target="https://doi.org/10.1002/joe.22250" TargetMode="External"/><Relationship Id="rId48" Type="http://schemas.openxmlformats.org/officeDocument/2006/relationships/hyperlink" Target="https://ssrn.com/abstract=3452402" TargetMode="Externa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oi.org/10.1007/s43681-024-00653-w" TargetMode="External"/><Relationship Id="rId17" Type="http://schemas.openxmlformats.org/officeDocument/2006/relationships/hyperlink" Target="https://www.tandfonline.com/doi/full/10.1080/00207543.2023.2232050" TargetMode="External"/><Relationship Id="rId25" Type="http://schemas.openxmlformats.org/officeDocument/2006/relationships/hyperlink" Target="https://doi.org/10.3390/logistics6030063" TargetMode="External"/><Relationship Id="rId33" Type="http://schemas.openxmlformats.org/officeDocument/2006/relationships/hyperlink" Target="https://doi.org/10.1080/13675567.2017.1384451" TargetMode="External"/><Relationship Id="rId38" Type="http://schemas.openxmlformats.org/officeDocument/2006/relationships/hyperlink" Target="https://doi.org/10.1111/corg.12143" TargetMode="External"/><Relationship Id="rId46" Type="http://schemas.openxmlformats.org/officeDocument/2006/relationships/hyperlink" Target="https://doi.org/10.1177/2158244020988286" TargetMode="External"/><Relationship Id="rId20" Type="http://schemas.openxmlformats.org/officeDocument/2006/relationships/hyperlink" Target="https://group.dhl.com/en/media-relations/press-releases/2025/dhl-unveils-new-innovation-center-to-power-the-future-of-logistics.html" TargetMode="External"/><Relationship Id="rId41" Type="http://schemas.openxmlformats.org/officeDocument/2006/relationships/hyperlink" Target="https://doi.org/10.6028/nist.ai.100-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0022022118798505" TargetMode="External"/><Relationship Id="rId23" Type="http://schemas.openxmlformats.org/officeDocument/2006/relationships/hyperlink" Target="https://doi.org/10.1007/s11023-018-9482-5" TargetMode="External"/><Relationship Id="rId28" Type="http://schemas.openxmlformats.org/officeDocument/2006/relationships/hyperlink" Target="https://ico.org.uk/for-organisations/uk-gdpr-guidance-and-resources/artificial-intelligence/" TargetMode="External"/><Relationship Id="rId36" Type="http://schemas.openxmlformats.org/officeDocument/2006/relationships/hyperlink" Target="https://doi.org/10.1108/10595420910962043" TargetMode="External"/><Relationship Id="rId49" Type="http://schemas.openxmlformats.org/officeDocument/2006/relationships/hyperlink" Target="https://www.weforum.org/reports/global-risks-report-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7418</Words>
  <Characters>42285</Characters>
  <Application>Microsoft Office Word</Application>
  <DocSecurity>0</DocSecurity>
  <Lines>352</Lines>
  <Paragraphs>99</Paragraphs>
  <ScaleCrop>false</ScaleCrop>
  <Company/>
  <LinksUpToDate>false</LinksUpToDate>
  <CharactersWithSpaces>49604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2026-04-27T09:20:00Z</dcterms:created>
  <dcterms:modified xsi:type="dcterms:W3CDTF">2026-04-27T09:20:00Z</dcterms:modified>
</cp:coreProperties>
</file>