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B49A18" w14:textId="77777777" w:rsidR="00744F80" w:rsidRPr="00871709" w:rsidRDefault="00744F80" w:rsidP="00744F80">
      <w:pPr>
        <w:spacing w:line="360" w:lineRule="auto"/>
        <w:jc w:val="center"/>
        <w:rPr>
          <w:rFonts w:ascii="Arial" w:hAnsi="Arial" w:cs="Arial"/>
          <w:b/>
          <w:bCs/>
          <w:sz w:val="24"/>
          <w:szCs w:val="24"/>
        </w:rPr>
      </w:pPr>
    </w:p>
    <w:p w14:paraId="0DB36123" w14:textId="77777777" w:rsidR="00744F80" w:rsidRPr="00871709" w:rsidRDefault="00744F80" w:rsidP="00744F80">
      <w:pPr>
        <w:spacing w:line="360" w:lineRule="auto"/>
        <w:jc w:val="center"/>
        <w:rPr>
          <w:rFonts w:ascii="Arial" w:hAnsi="Arial" w:cs="Arial"/>
          <w:b/>
          <w:bCs/>
          <w:sz w:val="24"/>
          <w:szCs w:val="24"/>
        </w:rPr>
      </w:pPr>
    </w:p>
    <w:p w14:paraId="284CEFBE" w14:textId="77777777" w:rsidR="00744F80" w:rsidRPr="00871709" w:rsidRDefault="00744F80" w:rsidP="00744F80">
      <w:pPr>
        <w:spacing w:line="360" w:lineRule="auto"/>
        <w:jc w:val="center"/>
        <w:rPr>
          <w:rFonts w:ascii="Arial" w:hAnsi="Arial" w:cs="Arial"/>
          <w:b/>
          <w:bCs/>
          <w:sz w:val="24"/>
          <w:szCs w:val="24"/>
        </w:rPr>
      </w:pPr>
    </w:p>
    <w:p w14:paraId="5D2EC158" w14:textId="77777777" w:rsidR="00744F80" w:rsidRPr="00871709" w:rsidRDefault="00744F80" w:rsidP="00744F80">
      <w:pPr>
        <w:spacing w:line="360" w:lineRule="auto"/>
        <w:jc w:val="center"/>
        <w:rPr>
          <w:rFonts w:ascii="Arial" w:hAnsi="Arial" w:cs="Arial"/>
          <w:b/>
          <w:bCs/>
          <w:sz w:val="24"/>
          <w:szCs w:val="24"/>
        </w:rPr>
      </w:pPr>
    </w:p>
    <w:p w14:paraId="7FF2B04E" w14:textId="77777777" w:rsidR="00744F80" w:rsidRPr="00871709" w:rsidRDefault="00744F80" w:rsidP="00744F80">
      <w:pPr>
        <w:spacing w:line="360" w:lineRule="auto"/>
        <w:jc w:val="center"/>
        <w:rPr>
          <w:rFonts w:ascii="Arial" w:hAnsi="Arial" w:cs="Arial"/>
          <w:b/>
          <w:bCs/>
          <w:sz w:val="24"/>
          <w:szCs w:val="24"/>
        </w:rPr>
      </w:pPr>
    </w:p>
    <w:p w14:paraId="34B12F7E" w14:textId="77777777" w:rsidR="00744F80" w:rsidRPr="00871709" w:rsidRDefault="00744F80" w:rsidP="00744F80">
      <w:pPr>
        <w:spacing w:line="360" w:lineRule="auto"/>
        <w:rPr>
          <w:rFonts w:ascii="Arial" w:hAnsi="Arial" w:cs="Arial"/>
          <w:b/>
          <w:bCs/>
          <w:sz w:val="24"/>
          <w:szCs w:val="24"/>
        </w:rPr>
      </w:pPr>
    </w:p>
    <w:p w14:paraId="6838F17E" w14:textId="77777777" w:rsidR="00744F80" w:rsidRPr="00871709" w:rsidRDefault="00744F80" w:rsidP="00744F80">
      <w:pPr>
        <w:spacing w:line="360" w:lineRule="auto"/>
        <w:jc w:val="center"/>
        <w:rPr>
          <w:rFonts w:ascii="Arial" w:hAnsi="Arial" w:cs="Arial"/>
          <w:b/>
          <w:bCs/>
          <w:sz w:val="24"/>
          <w:szCs w:val="24"/>
        </w:rPr>
      </w:pPr>
    </w:p>
    <w:p w14:paraId="5E25A61F" w14:textId="7B6B6D1D" w:rsidR="00744F80" w:rsidRPr="001046FC" w:rsidRDefault="00744F80" w:rsidP="00744F80">
      <w:pPr>
        <w:spacing w:line="360" w:lineRule="auto"/>
        <w:jc w:val="center"/>
        <w:rPr>
          <w:rFonts w:ascii="Arial" w:hAnsi="Arial" w:cs="Arial"/>
          <w:b/>
          <w:bCs/>
          <w:sz w:val="52"/>
          <w:szCs w:val="52"/>
        </w:rPr>
      </w:pPr>
      <w:r w:rsidRPr="001046FC">
        <w:rPr>
          <w:rFonts w:ascii="Arial" w:hAnsi="Arial" w:cs="Arial"/>
          <w:b/>
          <w:bCs/>
          <w:sz w:val="52"/>
          <w:szCs w:val="52"/>
        </w:rPr>
        <w:t>Research</w:t>
      </w:r>
      <w:r w:rsidR="006C2D16">
        <w:rPr>
          <w:rFonts w:ascii="Arial" w:hAnsi="Arial" w:cs="Arial"/>
          <w:b/>
          <w:bCs/>
          <w:sz w:val="52"/>
          <w:szCs w:val="52"/>
        </w:rPr>
        <w:t xml:space="preserve"> Project</w:t>
      </w:r>
      <w:r w:rsidRPr="001046FC">
        <w:rPr>
          <w:rFonts w:ascii="Arial" w:hAnsi="Arial" w:cs="Arial"/>
          <w:b/>
          <w:bCs/>
          <w:sz w:val="52"/>
          <w:szCs w:val="52"/>
        </w:rPr>
        <w:t xml:space="preserve"> Proposal</w:t>
      </w:r>
    </w:p>
    <w:p w14:paraId="39069E25" w14:textId="77777777" w:rsidR="00744F80" w:rsidRPr="00871709" w:rsidRDefault="00744F80" w:rsidP="00744F80">
      <w:pPr>
        <w:spacing w:line="360" w:lineRule="auto"/>
        <w:jc w:val="center"/>
        <w:rPr>
          <w:rFonts w:ascii="Arial" w:hAnsi="Arial" w:cs="Arial"/>
          <w:sz w:val="24"/>
          <w:szCs w:val="24"/>
        </w:rPr>
      </w:pPr>
    </w:p>
    <w:p w14:paraId="375CF22A" w14:textId="77777777" w:rsidR="00744F80" w:rsidRPr="00871709" w:rsidRDefault="00744F80" w:rsidP="00744F80">
      <w:pPr>
        <w:spacing w:line="360" w:lineRule="auto"/>
        <w:jc w:val="center"/>
        <w:rPr>
          <w:rFonts w:ascii="Arial" w:hAnsi="Arial" w:cs="Arial"/>
          <w:sz w:val="24"/>
          <w:szCs w:val="24"/>
        </w:rPr>
      </w:pPr>
    </w:p>
    <w:p w14:paraId="6BF37197" w14:textId="77777777" w:rsidR="00744F80" w:rsidRPr="00871709" w:rsidRDefault="00744F80" w:rsidP="00744F80">
      <w:pPr>
        <w:spacing w:line="360" w:lineRule="auto"/>
        <w:jc w:val="center"/>
        <w:rPr>
          <w:rFonts w:ascii="Arial" w:hAnsi="Arial" w:cs="Arial"/>
          <w:sz w:val="24"/>
          <w:szCs w:val="24"/>
        </w:rPr>
      </w:pPr>
    </w:p>
    <w:p w14:paraId="097D898C" w14:textId="77777777" w:rsidR="00744F80" w:rsidRPr="00871709" w:rsidRDefault="00744F80" w:rsidP="00744F80">
      <w:pPr>
        <w:spacing w:line="360" w:lineRule="auto"/>
        <w:jc w:val="center"/>
        <w:rPr>
          <w:rFonts w:ascii="Arial" w:hAnsi="Arial" w:cs="Arial"/>
          <w:sz w:val="24"/>
          <w:szCs w:val="24"/>
        </w:rPr>
      </w:pPr>
    </w:p>
    <w:p w14:paraId="4DD707D0" w14:textId="77777777" w:rsidR="00744F80" w:rsidRPr="00871709" w:rsidRDefault="00744F80" w:rsidP="00744F80">
      <w:pPr>
        <w:spacing w:line="360" w:lineRule="auto"/>
        <w:jc w:val="center"/>
        <w:rPr>
          <w:rFonts w:ascii="Arial" w:hAnsi="Arial" w:cs="Arial"/>
          <w:sz w:val="24"/>
          <w:szCs w:val="24"/>
        </w:rPr>
      </w:pPr>
    </w:p>
    <w:p w14:paraId="1919D9A1" w14:textId="77777777" w:rsidR="00744F80" w:rsidRPr="00871709" w:rsidRDefault="00744F80" w:rsidP="00744F80">
      <w:pPr>
        <w:spacing w:line="360" w:lineRule="auto"/>
        <w:jc w:val="center"/>
        <w:rPr>
          <w:rFonts w:ascii="Arial" w:hAnsi="Arial" w:cs="Arial"/>
          <w:sz w:val="24"/>
          <w:szCs w:val="24"/>
        </w:rPr>
      </w:pPr>
    </w:p>
    <w:p w14:paraId="7B7AE372" w14:textId="77777777" w:rsidR="00744F80" w:rsidRDefault="00744F80" w:rsidP="00744F80">
      <w:pPr>
        <w:spacing w:line="360" w:lineRule="auto"/>
        <w:jc w:val="center"/>
        <w:rPr>
          <w:rFonts w:ascii="Arial" w:hAnsi="Arial" w:cs="Arial"/>
          <w:sz w:val="24"/>
          <w:szCs w:val="24"/>
        </w:rPr>
      </w:pPr>
    </w:p>
    <w:p w14:paraId="06C88157" w14:textId="77777777" w:rsidR="001046FC" w:rsidRDefault="001046FC" w:rsidP="001046FC">
      <w:pPr>
        <w:spacing w:line="360" w:lineRule="auto"/>
        <w:rPr>
          <w:rFonts w:ascii="Arial" w:hAnsi="Arial" w:cs="Arial"/>
          <w:b/>
          <w:bCs/>
          <w:sz w:val="28"/>
          <w:szCs w:val="28"/>
        </w:rPr>
      </w:pPr>
      <w:r>
        <w:rPr>
          <w:rFonts w:ascii="Arial" w:hAnsi="Arial" w:cs="Arial"/>
          <w:b/>
          <w:bCs/>
          <w:sz w:val="28"/>
          <w:szCs w:val="28"/>
        </w:rPr>
        <w:t xml:space="preserve">STUDENT  : DANIELA LIVIA ISAR </w:t>
      </w:r>
    </w:p>
    <w:p w14:paraId="551690B7" w14:textId="77777777" w:rsidR="001046FC" w:rsidRDefault="001046FC" w:rsidP="001046FC">
      <w:pPr>
        <w:spacing w:line="360" w:lineRule="auto"/>
        <w:rPr>
          <w:rFonts w:ascii="Arial" w:hAnsi="Arial" w:cs="Arial"/>
          <w:b/>
          <w:bCs/>
          <w:sz w:val="28"/>
          <w:szCs w:val="28"/>
        </w:rPr>
      </w:pPr>
      <w:r>
        <w:rPr>
          <w:rFonts w:ascii="Arial" w:hAnsi="Arial" w:cs="Arial"/>
          <w:b/>
          <w:bCs/>
          <w:sz w:val="28"/>
          <w:szCs w:val="28"/>
        </w:rPr>
        <w:t>STUDENT ID : 2242723</w:t>
      </w:r>
    </w:p>
    <w:p w14:paraId="5DBA9977" w14:textId="77777777" w:rsidR="001046FC" w:rsidRDefault="001046FC" w:rsidP="001046FC">
      <w:pPr>
        <w:spacing w:line="360" w:lineRule="auto"/>
        <w:rPr>
          <w:rFonts w:ascii="Arial" w:hAnsi="Arial" w:cs="Arial"/>
          <w:b/>
          <w:bCs/>
          <w:sz w:val="28"/>
          <w:szCs w:val="28"/>
        </w:rPr>
      </w:pPr>
      <w:r>
        <w:rPr>
          <w:rFonts w:ascii="Arial" w:hAnsi="Arial" w:cs="Arial"/>
          <w:b/>
          <w:bCs/>
          <w:sz w:val="28"/>
          <w:szCs w:val="28"/>
        </w:rPr>
        <w:t xml:space="preserve">MODULE  : PERSONNEL RESOURCING &amp; DEVELOPMENT </w:t>
      </w:r>
    </w:p>
    <w:p w14:paraId="5A9E5407" w14:textId="77777777" w:rsidR="001046FC" w:rsidRDefault="001046FC" w:rsidP="001046FC">
      <w:pPr>
        <w:spacing w:line="360" w:lineRule="auto"/>
        <w:rPr>
          <w:rFonts w:ascii="Arial" w:hAnsi="Arial" w:cs="Arial"/>
          <w:b/>
          <w:bCs/>
          <w:sz w:val="28"/>
          <w:szCs w:val="28"/>
        </w:rPr>
      </w:pPr>
      <w:r>
        <w:rPr>
          <w:rFonts w:ascii="Arial" w:hAnsi="Arial" w:cs="Arial"/>
          <w:b/>
          <w:bCs/>
          <w:sz w:val="28"/>
          <w:szCs w:val="28"/>
        </w:rPr>
        <w:t>MODULE CODE : BMIH5005</w:t>
      </w:r>
    </w:p>
    <w:p w14:paraId="070A7CAB" w14:textId="77777777" w:rsidR="001046FC" w:rsidRPr="000C783C" w:rsidRDefault="001046FC" w:rsidP="001046FC">
      <w:pPr>
        <w:spacing w:line="360" w:lineRule="auto"/>
        <w:rPr>
          <w:rFonts w:ascii="Arial" w:hAnsi="Arial" w:cs="Arial"/>
          <w:b/>
          <w:bCs/>
          <w:sz w:val="28"/>
          <w:szCs w:val="28"/>
        </w:rPr>
      </w:pPr>
      <w:r>
        <w:rPr>
          <w:rFonts w:ascii="Arial" w:hAnsi="Arial" w:cs="Arial"/>
          <w:b/>
          <w:bCs/>
          <w:sz w:val="28"/>
          <w:szCs w:val="28"/>
        </w:rPr>
        <w:t>LECTURER  : JEMMA SMITH,SCOTT JAMES</w:t>
      </w:r>
    </w:p>
    <w:p w14:paraId="22AC76F9" w14:textId="77777777" w:rsidR="00744F80" w:rsidRDefault="00744F80" w:rsidP="00744F80">
      <w:pPr>
        <w:spacing w:line="360" w:lineRule="auto"/>
        <w:rPr>
          <w:rFonts w:ascii="Arial" w:hAnsi="Arial" w:cs="Arial"/>
          <w:sz w:val="24"/>
          <w:szCs w:val="24"/>
        </w:rPr>
      </w:pPr>
    </w:p>
    <w:sdt>
      <w:sdtPr>
        <w:rPr>
          <w:rFonts w:asciiTheme="minorHAnsi" w:eastAsiaTheme="minorHAnsi" w:hAnsiTheme="minorHAnsi" w:cstheme="minorBidi"/>
          <w:b/>
          <w:bCs/>
          <w:color w:val="auto"/>
          <w:kern w:val="2"/>
          <w:sz w:val="22"/>
          <w:szCs w:val="22"/>
          <w14:ligatures w14:val="standardContextual"/>
        </w:rPr>
        <w:id w:val="1813670630"/>
        <w:docPartObj>
          <w:docPartGallery w:val="Table of Contents"/>
          <w:docPartUnique/>
        </w:docPartObj>
      </w:sdtPr>
      <w:sdtEndPr>
        <w:rPr>
          <w:noProof/>
        </w:rPr>
      </w:sdtEndPr>
      <w:sdtContent>
        <w:p w14:paraId="24DD0C77" w14:textId="678C8BA7" w:rsidR="00871709" w:rsidRPr="00871709" w:rsidRDefault="00871709" w:rsidP="00871709">
          <w:pPr>
            <w:pStyle w:val="TOCHeading"/>
            <w:spacing w:line="360" w:lineRule="auto"/>
            <w:rPr>
              <w:rFonts w:ascii="Arial" w:hAnsi="Arial" w:cs="Arial"/>
              <w:b/>
              <w:bCs/>
              <w:color w:val="auto"/>
              <w:sz w:val="24"/>
              <w:szCs w:val="24"/>
            </w:rPr>
          </w:pPr>
          <w:r w:rsidRPr="00871709">
            <w:rPr>
              <w:rFonts w:ascii="Arial" w:hAnsi="Arial" w:cs="Arial"/>
              <w:b/>
              <w:bCs/>
              <w:color w:val="auto"/>
              <w:sz w:val="24"/>
              <w:szCs w:val="24"/>
            </w:rPr>
            <w:t>Table of Contents</w:t>
          </w:r>
        </w:p>
        <w:p w14:paraId="05EB52AD" w14:textId="6A624CA6" w:rsidR="00871709" w:rsidRPr="00871709" w:rsidRDefault="00871709" w:rsidP="00871709">
          <w:pPr>
            <w:pStyle w:val="TOC1"/>
            <w:tabs>
              <w:tab w:val="right" w:leader="dot" w:pos="9350"/>
            </w:tabs>
            <w:spacing w:line="360" w:lineRule="auto"/>
            <w:rPr>
              <w:rFonts w:ascii="Arial" w:hAnsi="Arial" w:cs="Arial"/>
              <w:noProof/>
              <w:sz w:val="24"/>
              <w:szCs w:val="24"/>
            </w:rPr>
          </w:pPr>
          <w:r w:rsidRPr="00871709">
            <w:rPr>
              <w:rFonts w:ascii="Arial" w:hAnsi="Arial" w:cs="Arial"/>
              <w:sz w:val="24"/>
              <w:szCs w:val="24"/>
            </w:rPr>
            <w:fldChar w:fldCharType="begin"/>
          </w:r>
          <w:r w:rsidRPr="00871709">
            <w:rPr>
              <w:rFonts w:ascii="Arial" w:hAnsi="Arial" w:cs="Arial"/>
              <w:sz w:val="24"/>
              <w:szCs w:val="24"/>
            </w:rPr>
            <w:instrText xml:space="preserve"> TOC \o "1-3" \h \z \u </w:instrText>
          </w:r>
          <w:r w:rsidRPr="00871709">
            <w:rPr>
              <w:rFonts w:ascii="Arial" w:hAnsi="Arial" w:cs="Arial"/>
              <w:sz w:val="24"/>
              <w:szCs w:val="24"/>
            </w:rPr>
            <w:fldChar w:fldCharType="separate"/>
          </w:r>
          <w:hyperlink w:anchor="_Toc166189236" w:history="1">
            <w:r w:rsidRPr="00871709">
              <w:rPr>
                <w:rStyle w:val="Hyperlink"/>
                <w:rFonts w:ascii="Arial" w:hAnsi="Arial" w:cs="Arial"/>
                <w:noProof/>
                <w:color w:val="auto"/>
                <w:sz w:val="24"/>
                <w:szCs w:val="24"/>
              </w:rPr>
              <w:t>Introduction</w:t>
            </w:r>
            <w:r w:rsidRPr="00871709">
              <w:rPr>
                <w:rFonts w:ascii="Arial" w:hAnsi="Arial" w:cs="Arial"/>
                <w:noProof/>
                <w:webHidden/>
                <w:sz w:val="24"/>
                <w:szCs w:val="24"/>
              </w:rPr>
              <w:tab/>
            </w:r>
            <w:r w:rsidRPr="00871709">
              <w:rPr>
                <w:rFonts w:ascii="Arial" w:hAnsi="Arial" w:cs="Arial"/>
                <w:noProof/>
                <w:webHidden/>
                <w:sz w:val="24"/>
                <w:szCs w:val="24"/>
              </w:rPr>
              <w:fldChar w:fldCharType="begin"/>
            </w:r>
            <w:r w:rsidRPr="00871709">
              <w:rPr>
                <w:rFonts w:ascii="Arial" w:hAnsi="Arial" w:cs="Arial"/>
                <w:noProof/>
                <w:webHidden/>
                <w:sz w:val="24"/>
                <w:szCs w:val="24"/>
              </w:rPr>
              <w:instrText xml:space="preserve"> PAGEREF _Toc166189236 \h </w:instrText>
            </w:r>
            <w:r w:rsidRPr="00871709">
              <w:rPr>
                <w:rFonts w:ascii="Arial" w:hAnsi="Arial" w:cs="Arial"/>
                <w:noProof/>
                <w:webHidden/>
                <w:sz w:val="24"/>
                <w:szCs w:val="24"/>
              </w:rPr>
            </w:r>
            <w:r w:rsidRPr="00871709">
              <w:rPr>
                <w:rFonts w:ascii="Arial" w:hAnsi="Arial" w:cs="Arial"/>
                <w:noProof/>
                <w:webHidden/>
                <w:sz w:val="24"/>
                <w:szCs w:val="24"/>
              </w:rPr>
              <w:fldChar w:fldCharType="separate"/>
            </w:r>
            <w:r w:rsidRPr="00871709">
              <w:rPr>
                <w:rFonts w:ascii="Arial" w:hAnsi="Arial" w:cs="Arial"/>
                <w:noProof/>
                <w:webHidden/>
                <w:sz w:val="24"/>
                <w:szCs w:val="24"/>
              </w:rPr>
              <w:t>2</w:t>
            </w:r>
            <w:r w:rsidRPr="00871709">
              <w:rPr>
                <w:rFonts w:ascii="Arial" w:hAnsi="Arial" w:cs="Arial"/>
                <w:noProof/>
                <w:webHidden/>
                <w:sz w:val="24"/>
                <w:szCs w:val="24"/>
              </w:rPr>
              <w:fldChar w:fldCharType="end"/>
            </w:r>
          </w:hyperlink>
        </w:p>
        <w:p w14:paraId="2FCF5AF7" w14:textId="7E676E30"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37" w:history="1">
            <w:r w:rsidR="00871709" w:rsidRPr="00871709">
              <w:rPr>
                <w:rStyle w:val="Hyperlink"/>
                <w:rFonts w:ascii="Arial" w:hAnsi="Arial" w:cs="Arial"/>
                <w:noProof/>
                <w:color w:val="auto"/>
                <w:sz w:val="24"/>
                <w:szCs w:val="24"/>
              </w:rPr>
              <w:t>Background</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_Toc166189237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2</w:t>
            </w:r>
            <w:r w:rsidR="00871709" w:rsidRPr="00871709">
              <w:rPr>
                <w:rFonts w:ascii="Arial" w:hAnsi="Arial" w:cs="Arial"/>
                <w:noProof/>
                <w:webHidden/>
                <w:sz w:val="24"/>
                <w:szCs w:val="24"/>
              </w:rPr>
              <w:fldChar w:fldCharType="end"/>
            </w:r>
          </w:hyperlink>
        </w:p>
        <w:p w14:paraId="40E17E56" w14:textId="14D525DA"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38" w:history="1">
            <w:r w:rsidR="00871709" w:rsidRPr="00871709">
              <w:rPr>
                <w:rStyle w:val="Hyperlink"/>
                <w:rFonts w:ascii="Arial" w:hAnsi="Arial" w:cs="Arial"/>
                <w:noProof/>
                <w:color w:val="auto"/>
                <w:sz w:val="24"/>
                <w:szCs w:val="24"/>
              </w:rPr>
              <w:t>Discussion</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_Toc166189238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3</w:t>
            </w:r>
            <w:r w:rsidR="00871709" w:rsidRPr="00871709">
              <w:rPr>
                <w:rFonts w:ascii="Arial" w:hAnsi="Arial" w:cs="Arial"/>
                <w:noProof/>
                <w:webHidden/>
                <w:sz w:val="24"/>
                <w:szCs w:val="24"/>
              </w:rPr>
              <w:fldChar w:fldCharType="end"/>
            </w:r>
          </w:hyperlink>
        </w:p>
        <w:p w14:paraId="25B88375" w14:textId="4330ABE3"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39" w:history="1">
            <w:r w:rsidR="00871709" w:rsidRPr="00871709">
              <w:rPr>
                <w:rStyle w:val="Hyperlink"/>
                <w:rFonts w:ascii="Arial" w:hAnsi="Arial" w:cs="Arial"/>
                <w:noProof/>
                <w:color w:val="auto"/>
                <w:sz w:val="24"/>
                <w:szCs w:val="24"/>
              </w:rPr>
              <w:t>SWOT Analysis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_Toc166189239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3</w:t>
            </w:r>
            <w:r w:rsidR="00871709" w:rsidRPr="00871709">
              <w:rPr>
                <w:rFonts w:ascii="Arial" w:hAnsi="Arial" w:cs="Arial"/>
                <w:noProof/>
                <w:webHidden/>
                <w:sz w:val="24"/>
                <w:szCs w:val="24"/>
              </w:rPr>
              <w:fldChar w:fldCharType="end"/>
            </w:r>
          </w:hyperlink>
        </w:p>
        <w:p w14:paraId="3297EDA8" w14:textId="1BEA18EA"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0" w:history="1">
            <w:r w:rsidR="00871709" w:rsidRPr="00871709">
              <w:rPr>
                <w:rStyle w:val="Hyperlink"/>
                <w:rFonts w:ascii="Arial" w:hAnsi="Arial" w:cs="Arial"/>
                <w:noProof/>
                <w:color w:val="auto"/>
                <w:sz w:val="24"/>
                <w:szCs w:val="24"/>
              </w:rPr>
              <w:t>Strengths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_Toc166189240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3</w:t>
            </w:r>
            <w:r w:rsidR="00871709" w:rsidRPr="00871709">
              <w:rPr>
                <w:rFonts w:ascii="Arial" w:hAnsi="Arial" w:cs="Arial"/>
                <w:noProof/>
                <w:webHidden/>
                <w:sz w:val="24"/>
                <w:szCs w:val="24"/>
              </w:rPr>
              <w:fldChar w:fldCharType="end"/>
            </w:r>
          </w:hyperlink>
        </w:p>
        <w:p w14:paraId="09850AD2" w14:textId="4E89E453"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1" w:history="1">
            <w:r w:rsidR="00871709" w:rsidRPr="00871709">
              <w:rPr>
                <w:rStyle w:val="Hyperlink"/>
                <w:rFonts w:ascii="Arial" w:hAnsi="Arial" w:cs="Arial"/>
                <w:noProof/>
                <w:color w:val="auto"/>
                <w:sz w:val="24"/>
                <w:szCs w:val="24"/>
              </w:rPr>
              <w:t>Weaknesses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_Toc166189241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4</w:t>
            </w:r>
            <w:r w:rsidR="00871709" w:rsidRPr="00871709">
              <w:rPr>
                <w:rFonts w:ascii="Arial" w:hAnsi="Arial" w:cs="Arial"/>
                <w:noProof/>
                <w:webHidden/>
                <w:sz w:val="24"/>
                <w:szCs w:val="24"/>
              </w:rPr>
              <w:fldChar w:fldCharType="end"/>
            </w:r>
          </w:hyperlink>
        </w:p>
        <w:p w14:paraId="4FFCC406" w14:textId="15DCEF9A"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2" w:history="1">
            <w:r w:rsidR="00871709" w:rsidRPr="00871709">
              <w:rPr>
                <w:rStyle w:val="Hyperlink"/>
                <w:rFonts w:ascii="Arial" w:hAnsi="Arial" w:cs="Arial"/>
                <w:noProof/>
                <w:color w:val="auto"/>
                <w:sz w:val="24"/>
                <w:szCs w:val="24"/>
              </w:rPr>
              <w:t>Opportunities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_Toc166189242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4</w:t>
            </w:r>
            <w:r w:rsidR="00871709" w:rsidRPr="00871709">
              <w:rPr>
                <w:rFonts w:ascii="Arial" w:hAnsi="Arial" w:cs="Arial"/>
                <w:noProof/>
                <w:webHidden/>
                <w:sz w:val="24"/>
                <w:szCs w:val="24"/>
              </w:rPr>
              <w:fldChar w:fldCharType="end"/>
            </w:r>
          </w:hyperlink>
        </w:p>
        <w:p w14:paraId="2EF8FAB0" w14:textId="0713C41F"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3" w:history="1">
            <w:r w:rsidR="00871709" w:rsidRPr="00871709">
              <w:rPr>
                <w:rStyle w:val="Hyperlink"/>
                <w:rFonts w:ascii="Arial" w:hAnsi="Arial" w:cs="Arial"/>
                <w:noProof/>
                <w:color w:val="auto"/>
                <w:sz w:val="24"/>
                <w:szCs w:val="24"/>
              </w:rPr>
              <w:t>Threats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_Toc166189243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5</w:t>
            </w:r>
            <w:r w:rsidR="00871709" w:rsidRPr="00871709">
              <w:rPr>
                <w:rFonts w:ascii="Arial" w:hAnsi="Arial" w:cs="Arial"/>
                <w:noProof/>
                <w:webHidden/>
                <w:sz w:val="24"/>
                <w:szCs w:val="24"/>
              </w:rPr>
              <w:fldChar w:fldCharType="end"/>
            </w:r>
          </w:hyperlink>
        </w:p>
        <w:p w14:paraId="20B609FB" w14:textId="4FC41769"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4" w:history="1">
            <w:r w:rsidR="00871709" w:rsidRPr="00871709">
              <w:rPr>
                <w:rStyle w:val="Hyperlink"/>
                <w:rFonts w:ascii="Arial" w:hAnsi="Arial" w:cs="Arial"/>
                <w:noProof/>
                <w:color w:val="auto"/>
                <w:sz w:val="24"/>
                <w:szCs w:val="24"/>
              </w:rPr>
              <w:t>Environmental Factors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_Toc166189244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5</w:t>
            </w:r>
            <w:r w:rsidR="00871709" w:rsidRPr="00871709">
              <w:rPr>
                <w:rFonts w:ascii="Arial" w:hAnsi="Arial" w:cs="Arial"/>
                <w:noProof/>
                <w:webHidden/>
                <w:sz w:val="24"/>
                <w:szCs w:val="24"/>
              </w:rPr>
              <w:fldChar w:fldCharType="end"/>
            </w:r>
          </w:hyperlink>
        </w:p>
        <w:p w14:paraId="02A9A613" w14:textId="73953765"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5" w:history="1">
            <w:r w:rsidR="00871709" w:rsidRPr="00871709">
              <w:rPr>
                <w:rStyle w:val="Hyperlink"/>
                <w:rFonts w:ascii="Arial" w:hAnsi="Arial" w:cs="Arial"/>
                <w:noProof/>
                <w:color w:val="auto"/>
                <w:sz w:val="24"/>
                <w:szCs w:val="24"/>
              </w:rPr>
              <w:t>Social Factors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_Toc166189245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5</w:t>
            </w:r>
            <w:r w:rsidR="00871709" w:rsidRPr="00871709">
              <w:rPr>
                <w:rFonts w:ascii="Arial" w:hAnsi="Arial" w:cs="Arial"/>
                <w:noProof/>
                <w:webHidden/>
                <w:sz w:val="24"/>
                <w:szCs w:val="24"/>
              </w:rPr>
              <w:fldChar w:fldCharType="end"/>
            </w:r>
          </w:hyperlink>
        </w:p>
        <w:p w14:paraId="4154C9BF" w14:textId="25F934A8"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6" w:history="1">
            <w:r w:rsidR="00871709" w:rsidRPr="00871709">
              <w:rPr>
                <w:rStyle w:val="Hyperlink"/>
                <w:rFonts w:ascii="Arial" w:hAnsi="Arial" w:cs="Arial"/>
                <w:noProof/>
                <w:color w:val="auto"/>
                <w:sz w:val="24"/>
                <w:szCs w:val="24"/>
              </w:rPr>
              <w:t>Employee Management</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_Toc166189246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6</w:t>
            </w:r>
            <w:r w:rsidR="00871709" w:rsidRPr="00871709">
              <w:rPr>
                <w:rFonts w:ascii="Arial" w:hAnsi="Arial" w:cs="Arial"/>
                <w:noProof/>
                <w:webHidden/>
                <w:sz w:val="24"/>
                <w:szCs w:val="24"/>
              </w:rPr>
              <w:fldChar w:fldCharType="end"/>
            </w:r>
          </w:hyperlink>
        </w:p>
        <w:p w14:paraId="6CCC699F" w14:textId="378F0B1B"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7" w:history="1">
            <w:r w:rsidR="00871709" w:rsidRPr="00871709">
              <w:rPr>
                <w:rStyle w:val="Hyperlink"/>
                <w:rFonts w:ascii="Arial" w:hAnsi="Arial" w:cs="Arial"/>
                <w:noProof/>
                <w:color w:val="auto"/>
                <w:sz w:val="24"/>
                <w:szCs w:val="24"/>
              </w:rPr>
              <w:t>Potential solutions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_Toc166189247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7</w:t>
            </w:r>
            <w:r w:rsidR="00871709" w:rsidRPr="00871709">
              <w:rPr>
                <w:rFonts w:ascii="Arial" w:hAnsi="Arial" w:cs="Arial"/>
                <w:noProof/>
                <w:webHidden/>
                <w:sz w:val="24"/>
                <w:szCs w:val="24"/>
              </w:rPr>
              <w:fldChar w:fldCharType="end"/>
            </w:r>
          </w:hyperlink>
        </w:p>
        <w:p w14:paraId="78FCE34E" w14:textId="1231DEF0"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8" w:history="1">
            <w:r w:rsidR="00871709" w:rsidRPr="00871709">
              <w:rPr>
                <w:rStyle w:val="Hyperlink"/>
                <w:rFonts w:ascii="Arial" w:hAnsi="Arial" w:cs="Arial"/>
                <w:noProof/>
                <w:color w:val="auto"/>
                <w:sz w:val="24"/>
                <w:szCs w:val="24"/>
              </w:rPr>
              <w:t>Conclusion</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_Toc166189248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8</w:t>
            </w:r>
            <w:r w:rsidR="00871709" w:rsidRPr="00871709">
              <w:rPr>
                <w:rFonts w:ascii="Arial" w:hAnsi="Arial" w:cs="Arial"/>
                <w:noProof/>
                <w:webHidden/>
                <w:sz w:val="24"/>
                <w:szCs w:val="24"/>
              </w:rPr>
              <w:fldChar w:fldCharType="end"/>
            </w:r>
          </w:hyperlink>
        </w:p>
        <w:p w14:paraId="18A932EE" w14:textId="0FB3D3FD" w:rsidR="00871709" w:rsidRPr="00871709" w:rsidRDefault="00000000" w:rsidP="00871709">
          <w:pPr>
            <w:pStyle w:val="TOC1"/>
            <w:tabs>
              <w:tab w:val="right" w:leader="dot" w:pos="9350"/>
            </w:tabs>
            <w:spacing w:line="360" w:lineRule="auto"/>
            <w:rPr>
              <w:rFonts w:ascii="Arial" w:hAnsi="Arial" w:cs="Arial"/>
              <w:noProof/>
              <w:sz w:val="24"/>
              <w:szCs w:val="24"/>
            </w:rPr>
          </w:pPr>
          <w:hyperlink w:anchor="_Toc166189249" w:history="1">
            <w:r w:rsidR="00871709" w:rsidRPr="00871709">
              <w:rPr>
                <w:rStyle w:val="Hyperlink"/>
                <w:rFonts w:ascii="Arial" w:hAnsi="Arial" w:cs="Arial"/>
                <w:noProof/>
                <w:color w:val="auto"/>
                <w:sz w:val="24"/>
                <w:szCs w:val="24"/>
              </w:rPr>
              <w:t>References</w:t>
            </w:r>
            <w:r w:rsidR="00871709" w:rsidRPr="00871709">
              <w:rPr>
                <w:rFonts w:ascii="Arial" w:hAnsi="Arial" w:cs="Arial"/>
                <w:noProof/>
                <w:webHidden/>
                <w:sz w:val="24"/>
                <w:szCs w:val="24"/>
              </w:rPr>
              <w:tab/>
            </w:r>
            <w:r w:rsidR="00871709" w:rsidRPr="00871709">
              <w:rPr>
                <w:rFonts w:ascii="Arial" w:hAnsi="Arial" w:cs="Arial"/>
                <w:noProof/>
                <w:webHidden/>
                <w:sz w:val="24"/>
                <w:szCs w:val="24"/>
              </w:rPr>
              <w:fldChar w:fldCharType="begin"/>
            </w:r>
            <w:r w:rsidR="00871709" w:rsidRPr="00871709">
              <w:rPr>
                <w:rFonts w:ascii="Arial" w:hAnsi="Arial" w:cs="Arial"/>
                <w:noProof/>
                <w:webHidden/>
                <w:sz w:val="24"/>
                <w:szCs w:val="24"/>
              </w:rPr>
              <w:instrText xml:space="preserve"> PAGEREF _Toc166189249 \h </w:instrText>
            </w:r>
            <w:r w:rsidR="00871709" w:rsidRPr="00871709">
              <w:rPr>
                <w:rFonts w:ascii="Arial" w:hAnsi="Arial" w:cs="Arial"/>
                <w:noProof/>
                <w:webHidden/>
                <w:sz w:val="24"/>
                <w:szCs w:val="24"/>
              </w:rPr>
            </w:r>
            <w:r w:rsidR="00871709" w:rsidRPr="00871709">
              <w:rPr>
                <w:rFonts w:ascii="Arial" w:hAnsi="Arial" w:cs="Arial"/>
                <w:noProof/>
                <w:webHidden/>
                <w:sz w:val="24"/>
                <w:szCs w:val="24"/>
              </w:rPr>
              <w:fldChar w:fldCharType="separate"/>
            </w:r>
            <w:r w:rsidR="00871709" w:rsidRPr="00871709">
              <w:rPr>
                <w:rFonts w:ascii="Arial" w:hAnsi="Arial" w:cs="Arial"/>
                <w:noProof/>
                <w:webHidden/>
                <w:sz w:val="24"/>
                <w:szCs w:val="24"/>
              </w:rPr>
              <w:t>9</w:t>
            </w:r>
            <w:r w:rsidR="00871709" w:rsidRPr="00871709">
              <w:rPr>
                <w:rFonts w:ascii="Arial" w:hAnsi="Arial" w:cs="Arial"/>
                <w:noProof/>
                <w:webHidden/>
                <w:sz w:val="24"/>
                <w:szCs w:val="24"/>
              </w:rPr>
              <w:fldChar w:fldCharType="end"/>
            </w:r>
          </w:hyperlink>
        </w:p>
        <w:p w14:paraId="4F33E4EE" w14:textId="00D85B05" w:rsidR="00871709" w:rsidRDefault="00871709" w:rsidP="00871709">
          <w:pPr>
            <w:spacing w:line="360" w:lineRule="auto"/>
          </w:pPr>
          <w:r w:rsidRPr="00871709">
            <w:rPr>
              <w:rFonts w:ascii="Arial" w:hAnsi="Arial" w:cs="Arial"/>
              <w:b/>
              <w:bCs/>
              <w:noProof/>
              <w:sz w:val="24"/>
              <w:szCs w:val="24"/>
            </w:rPr>
            <w:fldChar w:fldCharType="end"/>
          </w:r>
        </w:p>
      </w:sdtContent>
    </w:sdt>
    <w:p w14:paraId="7FFD1998" w14:textId="77777777" w:rsidR="00871709" w:rsidRDefault="00871709" w:rsidP="00744F80">
      <w:pPr>
        <w:spacing w:line="360" w:lineRule="auto"/>
        <w:rPr>
          <w:rFonts w:ascii="Arial" w:hAnsi="Arial" w:cs="Arial"/>
          <w:sz w:val="24"/>
          <w:szCs w:val="24"/>
        </w:rPr>
      </w:pPr>
    </w:p>
    <w:p w14:paraId="2652B986" w14:textId="77777777" w:rsidR="00871709" w:rsidRDefault="00871709" w:rsidP="00744F80">
      <w:pPr>
        <w:spacing w:line="360" w:lineRule="auto"/>
        <w:rPr>
          <w:rFonts w:ascii="Arial" w:hAnsi="Arial" w:cs="Arial"/>
          <w:sz w:val="24"/>
          <w:szCs w:val="24"/>
        </w:rPr>
      </w:pPr>
    </w:p>
    <w:p w14:paraId="7EDAFCE9" w14:textId="77777777" w:rsidR="00871709" w:rsidRDefault="00871709" w:rsidP="00744F80">
      <w:pPr>
        <w:spacing w:line="360" w:lineRule="auto"/>
        <w:rPr>
          <w:rFonts w:ascii="Arial" w:hAnsi="Arial" w:cs="Arial"/>
          <w:sz w:val="24"/>
          <w:szCs w:val="24"/>
        </w:rPr>
      </w:pPr>
    </w:p>
    <w:p w14:paraId="60C3665F" w14:textId="77777777" w:rsidR="00871709" w:rsidRDefault="00871709" w:rsidP="00744F80">
      <w:pPr>
        <w:spacing w:line="360" w:lineRule="auto"/>
        <w:rPr>
          <w:rFonts w:ascii="Arial" w:hAnsi="Arial" w:cs="Arial"/>
          <w:sz w:val="24"/>
          <w:szCs w:val="24"/>
        </w:rPr>
      </w:pPr>
    </w:p>
    <w:p w14:paraId="4F52FDD7" w14:textId="77777777" w:rsidR="00871709" w:rsidRDefault="00871709" w:rsidP="00744F80">
      <w:pPr>
        <w:spacing w:line="360" w:lineRule="auto"/>
        <w:rPr>
          <w:rFonts w:ascii="Arial" w:hAnsi="Arial" w:cs="Arial"/>
          <w:sz w:val="24"/>
          <w:szCs w:val="24"/>
        </w:rPr>
      </w:pPr>
    </w:p>
    <w:p w14:paraId="7C583874" w14:textId="77777777" w:rsidR="00871709" w:rsidRDefault="00871709" w:rsidP="00744F80">
      <w:pPr>
        <w:spacing w:line="360" w:lineRule="auto"/>
        <w:rPr>
          <w:rFonts w:ascii="Arial" w:hAnsi="Arial" w:cs="Arial"/>
          <w:sz w:val="24"/>
          <w:szCs w:val="24"/>
        </w:rPr>
      </w:pPr>
    </w:p>
    <w:p w14:paraId="7EF5DA32" w14:textId="77777777" w:rsidR="00871709" w:rsidRDefault="00871709" w:rsidP="00744F80">
      <w:pPr>
        <w:spacing w:line="360" w:lineRule="auto"/>
        <w:rPr>
          <w:rFonts w:ascii="Arial" w:hAnsi="Arial" w:cs="Arial"/>
          <w:sz w:val="24"/>
          <w:szCs w:val="24"/>
        </w:rPr>
      </w:pPr>
    </w:p>
    <w:p w14:paraId="4DCDFBC7" w14:textId="77777777" w:rsidR="00871709" w:rsidRPr="00871709" w:rsidRDefault="00871709" w:rsidP="00744F80">
      <w:pPr>
        <w:spacing w:line="360" w:lineRule="auto"/>
        <w:rPr>
          <w:rFonts w:ascii="Arial" w:hAnsi="Arial" w:cs="Arial"/>
          <w:sz w:val="24"/>
          <w:szCs w:val="24"/>
        </w:rPr>
      </w:pPr>
    </w:p>
    <w:p w14:paraId="0FD49C32" w14:textId="028BA4DE" w:rsidR="00744F80" w:rsidRPr="00871709" w:rsidRDefault="00744F80" w:rsidP="00744F80">
      <w:pPr>
        <w:spacing w:line="360" w:lineRule="auto"/>
        <w:jc w:val="center"/>
        <w:rPr>
          <w:rFonts w:ascii="Arial" w:hAnsi="Arial" w:cs="Arial"/>
          <w:b/>
          <w:bCs/>
          <w:sz w:val="24"/>
          <w:szCs w:val="24"/>
        </w:rPr>
      </w:pPr>
      <w:r w:rsidRPr="00871709">
        <w:rPr>
          <w:rFonts w:ascii="Arial" w:hAnsi="Arial" w:cs="Arial"/>
          <w:b/>
          <w:bCs/>
          <w:sz w:val="24"/>
          <w:szCs w:val="24"/>
        </w:rPr>
        <w:lastRenderedPageBreak/>
        <w:t>Research</w:t>
      </w:r>
      <w:r w:rsidR="0061319E">
        <w:rPr>
          <w:rFonts w:ascii="Arial" w:hAnsi="Arial" w:cs="Arial"/>
          <w:b/>
          <w:bCs/>
          <w:sz w:val="24"/>
          <w:szCs w:val="24"/>
        </w:rPr>
        <w:t xml:space="preserve"> Project</w:t>
      </w:r>
      <w:r w:rsidRPr="00871709">
        <w:rPr>
          <w:rFonts w:ascii="Arial" w:hAnsi="Arial" w:cs="Arial"/>
          <w:b/>
          <w:bCs/>
          <w:sz w:val="24"/>
          <w:szCs w:val="24"/>
        </w:rPr>
        <w:t xml:space="preserve"> Proposal </w:t>
      </w:r>
    </w:p>
    <w:p w14:paraId="0492DA1C" w14:textId="22425999" w:rsidR="00744F80" w:rsidRPr="00871709" w:rsidRDefault="00744F80" w:rsidP="00744F80">
      <w:pPr>
        <w:spacing w:line="360" w:lineRule="auto"/>
        <w:jc w:val="both"/>
        <w:rPr>
          <w:rFonts w:ascii="Arial" w:hAnsi="Arial" w:cs="Arial"/>
          <w:b/>
          <w:bCs/>
          <w:sz w:val="24"/>
          <w:szCs w:val="24"/>
        </w:rPr>
      </w:pPr>
      <w:r w:rsidRPr="00871709">
        <w:rPr>
          <w:rFonts w:ascii="Arial" w:hAnsi="Arial" w:cs="Arial"/>
          <w:b/>
          <w:bCs/>
          <w:sz w:val="24"/>
          <w:szCs w:val="24"/>
        </w:rPr>
        <w:t>Analyse the impacts of socio-economic force on employees’ performance management and monitoring in different work modes: Hospitality HR’s perspective.</w:t>
      </w:r>
    </w:p>
    <w:p w14:paraId="4AE2559D" w14:textId="2C493720" w:rsidR="00744F80" w:rsidRPr="00871709" w:rsidRDefault="00744F80" w:rsidP="00744F80">
      <w:pPr>
        <w:pStyle w:val="Heading1"/>
        <w:spacing w:line="360" w:lineRule="auto"/>
        <w:jc w:val="both"/>
        <w:rPr>
          <w:rFonts w:ascii="Arial" w:hAnsi="Arial" w:cs="Arial"/>
        </w:rPr>
      </w:pPr>
      <w:bookmarkStart w:id="0" w:name="_Toc166189236"/>
      <w:r w:rsidRPr="00871709">
        <w:rPr>
          <w:rFonts w:ascii="Arial" w:hAnsi="Arial" w:cs="Arial"/>
        </w:rPr>
        <w:t>Introduction</w:t>
      </w:r>
      <w:bookmarkEnd w:id="0"/>
      <w:r w:rsidRPr="00871709">
        <w:rPr>
          <w:rFonts w:ascii="Arial" w:hAnsi="Arial" w:cs="Arial"/>
        </w:rPr>
        <w:t xml:space="preserve"> </w:t>
      </w:r>
    </w:p>
    <w:p w14:paraId="00711256" w14:textId="67FB3C67" w:rsidR="00744F80" w:rsidRPr="00871709" w:rsidRDefault="00744F80" w:rsidP="00744F80">
      <w:pPr>
        <w:pStyle w:val="Heading1"/>
        <w:spacing w:line="360" w:lineRule="auto"/>
        <w:jc w:val="both"/>
        <w:rPr>
          <w:rFonts w:ascii="Arial" w:hAnsi="Arial" w:cs="Arial"/>
        </w:rPr>
      </w:pPr>
      <w:bookmarkStart w:id="1" w:name="_Toc166189237"/>
      <w:r w:rsidRPr="00871709">
        <w:rPr>
          <w:rFonts w:ascii="Arial" w:hAnsi="Arial" w:cs="Arial"/>
        </w:rPr>
        <w:t>Background</w:t>
      </w:r>
      <w:bookmarkEnd w:id="1"/>
      <w:r w:rsidRPr="00871709">
        <w:rPr>
          <w:rFonts w:ascii="Arial" w:hAnsi="Arial" w:cs="Arial"/>
        </w:rPr>
        <w:t xml:space="preserve"> </w:t>
      </w:r>
    </w:p>
    <w:p w14:paraId="4AEBE07E" w14:textId="77777777" w:rsidR="002C714D" w:rsidRPr="00871709" w:rsidRDefault="002C714D" w:rsidP="002C714D">
      <w:pPr>
        <w:spacing w:after="240" w:line="360" w:lineRule="auto"/>
        <w:jc w:val="both"/>
        <w:rPr>
          <w:rFonts w:ascii="Arial" w:eastAsia="Times New Roman" w:hAnsi="Arial" w:cs="Arial"/>
          <w:kern w:val="0"/>
          <w:sz w:val="24"/>
          <w:szCs w:val="24"/>
          <w14:ligatures w14:val="none"/>
        </w:rPr>
      </w:pPr>
      <w:r w:rsidRPr="002C714D">
        <w:rPr>
          <w:rFonts w:ascii="Arial" w:eastAsia="Times New Roman" w:hAnsi="Arial" w:cs="Arial"/>
          <w:kern w:val="0"/>
          <w:sz w:val="24"/>
          <w:szCs w:val="24"/>
          <w14:ligatures w14:val="none"/>
        </w:rPr>
        <w:t xml:space="preserve">In 1919, Conrad Hilton founded the Hilton Hotel, a collection of upscale lodging establishments. With more than 5,000 hotels spread over 104 countries, Hilton Worldwide Holdings, Inc. currently owns the Hilton Hotel network. Worldwide known for its opulent lodgings and first-rate services is Hilton Hotels. Hilton Hotel's goal is to become the leading global hospitality company by providing outstanding experiences to our owners, team members, and customers (Alameri et al., 201). The mission of The Hilton Hotel is to promote relationships between individuals, cultures, and communities by distributing the warmth and light of hospitality around the world. Hilton is known to promote people from within the company. From this angle, the company provides opportunities for development on the personal and professional levels. They pledge to keep hiring more people on a regular basis to keep up with the latest trends in the hotel business. Hilton provides thorough hospitality-related training and professional development courses. It is a well renowned worldwide educational and development organisation. They provide a platform accessible online that helps people learn new things, improve their abilities, and progress both professionally and personally. Members of the team can choose up to 10 courses from the more than 700 available on the Internet in the fields of hospitality and related topics. Members of the team can so learn how to effectively manage their time and greet their visitors (Çetin, Ultav, &amp; Uz, 2019). </w:t>
      </w:r>
    </w:p>
    <w:p w14:paraId="45E8CA5F" w14:textId="56102AE6" w:rsidR="00744F80" w:rsidRPr="00871709" w:rsidRDefault="002C714D" w:rsidP="002C714D">
      <w:pPr>
        <w:spacing w:after="240" w:line="360" w:lineRule="auto"/>
        <w:jc w:val="both"/>
        <w:rPr>
          <w:rFonts w:ascii="Arial" w:eastAsia="Times New Roman" w:hAnsi="Arial" w:cs="Arial"/>
          <w:kern w:val="0"/>
          <w:sz w:val="24"/>
          <w:szCs w:val="24"/>
          <w14:ligatures w14:val="none"/>
        </w:rPr>
      </w:pPr>
      <w:r w:rsidRPr="002C714D">
        <w:rPr>
          <w:rFonts w:ascii="Arial" w:eastAsia="Times New Roman" w:hAnsi="Arial" w:cs="Arial"/>
          <w:kern w:val="0"/>
          <w:sz w:val="24"/>
          <w:szCs w:val="24"/>
          <w14:ligatures w14:val="none"/>
        </w:rPr>
        <w:t xml:space="preserve">To maximise its revenues, Hilton Hotels is thinking about getting into this industry. With its significant financial resources and well-known brand, a large company like Hilton seems capable of entering this sector. I will give a brief summary of the main challenges that can affect entry into this sector in this article. At Hilton Hotels, involvement and participation of employees are essential components. Hilton's human resources </w:t>
      </w:r>
      <w:r w:rsidRPr="002C714D">
        <w:rPr>
          <w:rFonts w:ascii="Arial" w:eastAsia="Times New Roman" w:hAnsi="Arial" w:cs="Arial"/>
          <w:kern w:val="0"/>
          <w:sz w:val="24"/>
          <w:szCs w:val="24"/>
          <w14:ligatures w14:val="none"/>
        </w:rPr>
        <w:lastRenderedPageBreak/>
        <w:t>management gives top priority to encouraging participation and engagement of employees at all corporate levels. Part of the hotel's management plan, staff members are matched with management mentors. Together with including the staff in the company's many projects and activities, these mentors offer them support and help. Each department at Hilton is expected to create a career development assessment</w:t>
      </w:r>
      <w:r w:rsidRPr="00871709">
        <w:rPr>
          <w:rFonts w:ascii="Arial" w:eastAsia="Times New Roman" w:hAnsi="Arial" w:cs="Arial"/>
          <w:kern w:val="0"/>
          <w:sz w:val="24"/>
          <w:szCs w:val="24"/>
          <w14:ligatures w14:val="none"/>
        </w:rPr>
        <w:t xml:space="preserve"> </w:t>
      </w:r>
      <w:r w:rsidR="001D4261" w:rsidRPr="00871709">
        <w:rPr>
          <w:rFonts w:ascii="Arial" w:eastAsia="Times New Roman" w:hAnsi="Arial" w:cs="Arial"/>
          <w:kern w:val="0"/>
          <w:sz w:val="24"/>
          <w:szCs w:val="24"/>
          <w14:ligatures w14:val="none"/>
        </w:rPr>
        <w:fldChar w:fldCharType="begin"/>
      </w:r>
      <w:r w:rsidR="001D4261" w:rsidRPr="00871709">
        <w:rPr>
          <w:rFonts w:ascii="Arial" w:eastAsia="Times New Roman" w:hAnsi="Arial" w:cs="Arial"/>
          <w:kern w:val="0"/>
          <w:sz w:val="24"/>
          <w:szCs w:val="24"/>
          <w14:ligatures w14:val="none"/>
        </w:rPr>
        <w:instrText xml:space="preserve"> ADDIN ZOTERO_ITEM CSL_CITATION {"citationID":"MtlMwpOE","properties":{"formattedCitation":"(Chang, Ku and Chen, 2019)","plainCitation":"(Chang, Ku and Chen, 2019)","noteIndex":0},"citationItems":[{"id":11196,"uris":["http://zotero.org/users/9433278/items/X6C6LFYE"],"itemData":{"id":11196,"type":"article-journal","abstract":"Analyzing and extracting insights from user-generated data has become a topic of interest among businesses and research groups because such data contains valuable information, e.g., consumers’ opinions, ratings, and recommendations of products and services. However, the true value of social media data is rarely discovered due to overloaded information. Existing literature in analyzing online hotel reviews mainly focuses on a single data resource, lexicon, and analysis method and rarely provides marketing insights and decision-making information to improve business’ service and quality of products. We propose an integrated framework which includes a data crawler, data preprocessing, sentiment-sensitive tree construction, convolution tree kernel classification, aspect extraction and category detection, and visual analytics to gain insights into hotel ratings and reviews. The empirical findings show that our proposed approach outperforms baseline algorithms as well as well-known sentiment classification methods, and achieves high precision (0.95) and recall (0.96). The visual analytics results reveal that Business travelers tend to give lower ratings, while Couples tend to give higher ratings. In general, users tend to rate lowest in July and highest in December. The Business travelers more frequently use negative keywords, such as “rude,” “terrible,” “horrible,” “broken,” and “dirty,” to express their dissatisfied emotions toward their hotel stays in July.","container-title":"International Journal of Information Management","DOI":"10.1016/j.ijinfomgt.2017.11.001","ISSN":"0268-4012","journalAbbreviation":"International Journal of Information Management","page":"263-279","source":"ScienceDirect","title":"Social media analytics: Extracting and visualizing Hilton hotel ratings and reviews from TripAdvisor","title-short":"Social media analytics","URL":"https://www.sciencedirect.com/science/article/pii/S0268401217303389","volume":"48","author":[{"family":"Chang","given":"Yung-Chun"},{"family":"Ku","given":"Chih-Hao"},{"family":"Chen","given":"Chun-Hung"}],"accessed":{"date-parts":[["2024",5,9]]},"issued":{"date-parts":[["2019",10,1]]}}}],"schema":"https://github.com/citation-style-language/schema/raw/master/csl-citation.json"} </w:instrText>
      </w:r>
      <w:r w:rsidR="001D4261" w:rsidRPr="00871709">
        <w:rPr>
          <w:rFonts w:ascii="Arial" w:eastAsia="Times New Roman" w:hAnsi="Arial" w:cs="Arial"/>
          <w:kern w:val="0"/>
          <w:sz w:val="24"/>
          <w:szCs w:val="24"/>
          <w14:ligatures w14:val="none"/>
        </w:rPr>
        <w:fldChar w:fldCharType="separate"/>
      </w:r>
      <w:r w:rsidR="001D4261" w:rsidRPr="00871709">
        <w:rPr>
          <w:rFonts w:ascii="Arial" w:hAnsi="Arial" w:cs="Arial"/>
          <w:sz w:val="24"/>
        </w:rPr>
        <w:t>(Chang, Ku and Chen, 2019)</w:t>
      </w:r>
      <w:r w:rsidR="001D4261" w:rsidRPr="00871709">
        <w:rPr>
          <w:rFonts w:ascii="Arial" w:eastAsia="Times New Roman" w:hAnsi="Arial" w:cs="Arial"/>
          <w:kern w:val="0"/>
          <w:sz w:val="24"/>
          <w:szCs w:val="24"/>
          <w14:ligatures w14:val="none"/>
        </w:rPr>
        <w:fldChar w:fldCharType="end"/>
      </w:r>
      <w:r w:rsidR="00744F80" w:rsidRPr="00744F80">
        <w:rPr>
          <w:rFonts w:ascii="Arial" w:eastAsia="Times New Roman" w:hAnsi="Arial" w:cs="Arial"/>
          <w:kern w:val="0"/>
          <w:sz w:val="24"/>
          <w:szCs w:val="24"/>
          <w14:ligatures w14:val="none"/>
        </w:rPr>
        <w:t xml:space="preserve">. </w:t>
      </w:r>
    </w:p>
    <w:p w14:paraId="72CA0796" w14:textId="12B9228E" w:rsidR="00744F80" w:rsidRPr="00871709" w:rsidRDefault="00744F80" w:rsidP="00744F80">
      <w:pPr>
        <w:pStyle w:val="Heading1"/>
        <w:spacing w:line="360" w:lineRule="auto"/>
        <w:jc w:val="both"/>
        <w:rPr>
          <w:rFonts w:ascii="Arial" w:hAnsi="Arial" w:cs="Arial"/>
        </w:rPr>
      </w:pPr>
      <w:bookmarkStart w:id="2" w:name="_Toc166189238"/>
      <w:r w:rsidRPr="00871709">
        <w:rPr>
          <w:rFonts w:ascii="Arial" w:hAnsi="Arial" w:cs="Arial"/>
        </w:rPr>
        <w:t>Discussion</w:t>
      </w:r>
      <w:bookmarkEnd w:id="2"/>
      <w:r w:rsidRPr="00871709">
        <w:rPr>
          <w:rFonts w:ascii="Arial" w:hAnsi="Arial" w:cs="Arial"/>
        </w:rPr>
        <w:t xml:space="preserve"> </w:t>
      </w:r>
    </w:p>
    <w:p w14:paraId="406720C3" w14:textId="48359767" w:rsidR="00744F80" w:rsidRPr="00871709" w:rsidRDefault="00744F80" w:rsidP="00744F80">
      <w:pPr>
        <w:pStyle w:val="Heading1"/>
        <w:spacing w:line="360" w:lineRule="auto"/>
        <w:jc w:val="both"/>
        <w:rPr>
          <w:rFonts w:ascii="Arial" w:hAnsi="Arial" w:cs="Arial"/>
        </w:rPr>
      </w:pPr>
      <w:bookmarkStart w:id="3" w:name="_Toc166189239"/>
      <w:r w:rsidRPr="00871709">
        <w:rPr>
          <w:rFonts w:ascii="Arial" w:hAnsi="Arial" w:cs="Arial"/>
        </w:rPr>
        <w:t>SWOT Analysis</w:t>
      </w:r>
      <w:bookmarkEnd w:id="3"/>
    </w:p>
    <w:p w14:paraId="32D22F81" w14:textId="77777777" w:rsidR="00744F80" w:rsidRPr="00871709" w:rsidRDefault="00744F80" w:rsidP="00744F80">
      <w:pPr>
        <w:spacing w:after="240" w:line="360" w:lineRule="auto"/>
        <w:jc w:val="both"/>
        <w:rPr>
          <w:rFonts w:ascii="Arial" w:eastAsia="Times New Roman" w:hAnsi="Arial" w:cs="Arial"/>
          <w:kern w:val="0"/>
          <w:sz w:val="24"/>
          <w:szCs w:val="24"/>
          <w14:ligatures w14:val="none"/>
        </w:rPr>
      </w:pPr>
      <w:r w:rsidRPr="00744F80">
        <w:rPr>
          <w:rFonts w:ascii="Arial" w:eastAsia="Times New Roman" w:hAnsi="Arial" w:cs="Arial"/>
          <w:kern w:val="0"/>
          <w:sz w:val="24"/>
          <w:szCs w:val="24"/>
          <w14:ligatures w14:val="none"/>
        </w:rPr>
        <w:t xml:space="preserve">The following SWOT analysis depicts the strengths, weaknesses, opportunities, and threats that businesses face in a competitive environment. </w:t>
      </w:r>
    </w:p>
    <w:p w14:paraId="084CEDF5" w14:textId="77777777" w:rsidR="00744F80" w:rsidRPr="00871709" w:rsidRDefault="00744F80" w:rsidP="00744F80">
      <w:pPr>
        <w:pStyle w:val="Heading1"/>
        <w:spacing w:line="360" w:lineRule="auto"/>
        <w:jc w:val="both"/>
        <w:rPr>
          <w:rFonts w:ascii="Arial" w:hAnsi="Arial" w:cs="Arial"/>
        </w:rPr>
      </w:pPr>
      <w:bookmarkStart w:id="4" w:name="_Toc166189240"/>
      <w:r w:rsidRPr="00871709">
        <w:rPr>
          <w:rFonts w:ascii="Arial" w:hAnsi="Arial" w:cs="Arial"/>
        </w:rPr>
        <w:t>Strengths</w:t>
      </w:r>
      <w:bookmarkEnd w:id="4"/>
      <w:r w:rsidRPr="00871709">
        <w:rPr>
          <w:rFonts w:ascii="Arial" w:hAnsi="Arial" w:cs="Arial"/>
        </w:rPr>
        <w:t xml:space="preserve"> </w:t>
      </w:r>
    </w:p>
    <w:p w14:paraId="7596853B"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Hilton invests in 91 other countries and holds significant franchises in the US. It is essentially in charge of merging many cultures because of its varied portfolio, which helps the company attract clients from both inside and outside of the United States. Hilton Grand Vacations, Conrad Hotels &amp; Resorts, and Embassy Suites Hotels are the brands that broaden the Hilton portfolio. Hilton's brand works in its favour because so many people are aware of its properties.</w:t>
      </w:r>
    </w:p>
    <w:p w14:paraId="2FDFF2F8"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 The Hilton has been providing great service to its guests for nearly 90 years, which has contributed to its remarkable reputation. Marriott International, on the other hand, benefits from exposure because to its well-known brand and strong customer retention. They have reduced their marketing expenses since so many people can relate to the group. Marriott International concentrates on providing high-tech services that enhance communication to promote customer interactions (Armstrong and Taylor, 2014). </w:t>
      </w:r>
    </w:p>
    <w:p w14:paraId="3F530299"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Hilton Hotels encourages guests to make reservations online in order to reduce in-person travel. Guests staying at various Hilton Hotels are also able to access the WIFI services on the site and in their rooms. Internet connection is essential for success in today's world; well-known businesses like Hilton use it to attract and retain customers. Technology in </w:t>
      </w:r>
      <w:r w:rsidRPr="00871709">
        <w:rPr>
          <w:rFonts w:ascii="Arial" w:eastAsia="Times New Roman" w:hAnsi="Arial" w:cs="Arial"/>
          <w:kern w:val="0"/>
          <w:sz w:val="24"/>
          <w:szCs w:val="24"/>
          <w14:ligatures w14:val="none"/>
        </w:rPr>
        <w:lastRenderedPageBreak/>
        <w:t xml:space="preserve">these businesses improves customer satisfaction and speeds up service delivery by nature (Choubtarash Abardeh, 2022). </w:t>
      </w:r>
    </w:p>
    <w:p w14:paraId="69C55404" w14:textId="2F8DCF22" w:rsidR="00871709" w:rsidRPr="00871709" w:rsidRDefault="00871709" w:rsidP="00871709">
      <w:pPr>
        <w:pStyle w:val="Heading1"/>
        <w:rPr>
          <w:rFonts w:ascii="Arial" w:hAnsi="Arial" w:cs="Arial"/>
        </w:rPr>
      </w:pPr>
      <w:bookmarkStart w:id="5" w:name="_Toc166189241"/>
      <w:r w:rsidRPr="00871709">
        <w:rPr>
          <w:rFonts w:ascii="Arial" w:hAnsi="Arial" w:cs="Arial"/>
        </w:rPr>
        <w:t>Weaknesses</w:t>
      </w:r>
      <w:bookmarkEnd w:id="5"/>
    </w:p>
    <w:p w14:paraId="7AF94315"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In this sense, losses incurred by Hilton Worldwide and its competitors in the business are considered weaknesses. Businesses can address these issues by downplaying some of them and highlighting their benefits. Hilton's marketing strategy blends physical expansion, online operations, and franchising (Chang, Ku, and Chen, 2019). </w:t>
      </w:r>
    </w:p>
    <w:p w14:paraId="22F2A7E2" w14:textId="478F7231"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When Hilton invests overseas, it buys buildings that have already been constructed. Because real estate naturally grows over time, its values increase yearly. The necessity for the business to adapt to building acquisition rates during franchising and expansion has an impact on profitability. In 2006, despite suffering a significant financial loss, the corporation successfully purchased properties in China as part of one of its largest expansion initiatives ever. As the value of buildings grows, the company's purchasing power decreases and it becomes less profitable from providing hospitality services (Fachada, 2023). </w:t>
      </w:r>
    </w:p>
    <w:p w14:paraId="5D78B3A0" w14:textId="53DDC658" w:rsidR="00871709" w:rsidRPr="00871709" w:rsidRDefault="00871709" w:rsidP="00871709">
      <w:pPr>
        <w:pStyle w:val="Heading1"/>
        <w:rPr>
          <w:rFonts w:ascii="Arial" w:hAnsi="Arial" w:cs="Arial"/>
        </w:rPr>
      </w:pPr>
      <w:bookmarkStart w:id="6" w:name="_Toc166189242"/>
      <w:r w:rsidRPr="00871709">
        <w:rPr>
          <w:rFonts w:ascii="Arial" w:hAnsi="Arial" w:cs="Arial"/>
        </w:rPr>
        <w:t>Opportunities</w:t>
      </w:r>
      <w:bookmarkEnd w:id="6"/>
    </w:p>
    <w:p w14:paraId="1585F483"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Opportunities are characteristics of a society that aid in advancement. Hilton should take advantage of this opportunity to expand both geographically and in terms of brand positioning. Even while they facilitate growth, opportunities exist beyond the organisation. Hilton Worldwide has no control over the current market's prospects. To succeed in the competition, market and product research is crucial (Fachada, 2021). </w:t>
      </w:r>
    </w:p>
    <w:p w14:paraId="57CFF605"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Major rivals like Sheraton and Marriott dominate the market, while Hilton Worldwide maintains control by offering distinctive luxury brands. Consumers desire unique travel experiences, but if businesses don't conduct in-depth research to meet their needs, they won't get them. Despite the early belief that climate change would impede corporate growth, corporations such as Hilton capitalised on the attraction of green business to attract customers (Jones, Hillier, and Comfort, 2014). The majority of travellers opt to stay in hotels that provide clean, safe environments. This suggests that green business is </w:t>
      </w:r>
      <w:r w:rsidRPr="00871709">
        <w:rPr>
          <w:rFonts w:ascii="Arial" w:eastAsia="Times New Roman" w:hAnsi="Arial" w:cs="Arial"/>
          <w:kern w:val="0"/>
          <w:sz w:val="24"/>
          <w:szCs w:val="24"/>
          <w14:ligatures w14:val="none"/>
        </w:rPr>
        <w:lastRenderedPageBreak/>
        <w:t xml:space="preserve">significant, and Hilton Worldwide made prudent investments in environmentally friendly structures (Marchington et al., 2016). </w:t>
      </w:r>
    </w:p>
    <w:p w14:paraId="653F8F8C" w14:textId="093B5D94" w:rsidR="00871709" w:rsidRPr="00871709" w:rsidRDefault="00871709" w:rsidP="00871709">
      <w:pPr>
        <w:pStyle w:val="Heading1"/>
        <w:rPr>
          <w:rFonts w:ascii="Arial" w:hAnsi="Arial" w:cs="Arial"/>
        </w:rPr>
      </w:pPr>
      <w:bookmarkStart w:id="7" w:name="_Toc166189243"/>
      <w:r w:rsidRPr="00871709">
        <w:rPr>
          <w:rFonts w:ascii="Arial" w:hAnsi="Arial" w:cs="Arial"/>
        </w:rPr>
        <w:t>Threats</w:t>
      </w:r>
      <w:bookmarkEnd w:id="7"/>
    </w:p>
    <w:p w14:paraId="0FFC87B8"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Threats are undesirable cultural elements that could affect a business. These include impediments to scientific, social, economic, and political advancement. </w:t>
      </w:r>
    </w:p>
    <w:p w14:paraId="568D63E6" w14:textId="3A495C7F" w:rsidR="00871709" w:rsidRPr="00871709" w:rsidRDefault="00871709" w:rsidP="00871709">
      <w:pPr>
        <w:pStyle w:val="Heading1"/>
        <w:rPr>
          <w:rFonts w:ascii="Arial" w:hAnsi="Arial" w:cs="Arial"/>
        </w:rPr>
      </w:pPr>
      <w:bookmarkStart w:id="8" w:name="_Toc166189244"/>
      <w:r w:rsidRPr="00871709">
        <w:rPr>
          <w:rFonts w:ascii="Arial" w:hAnsi="Arial" w:cs="Arial"/>
        </w:rPr>
        <w:t>Environmental Factors</w:t>
      </w:r>
      <w:bookmarkEnd w:id="8"/>
    </w:p>
    <w:p w14:paraId="42FCD29F"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The firm is compelled to engage heavily in diversity development because to the social and cultural differences in the countries in which it has investments. Customers have a wide range of options, and each culture has its own selection. Product has given way to service in the cultures of Marriott, Accor, Starwood, and Hyatt Corporation. Social connections to other hotels both domestically and internationally have an equal impact on public opinion of Hilton Worldwide and its rivals. Therefore, if companies do not adopt new cultures and changing societal trends, their profitability is in jeopardy, especially those in the tourist and hospitality industries. In about 540 investments globally, the corporation is mandated by law to adhere to the norms and regulations of the legal system (Ying-Chang, Wen-Cheng, and Ying-Chien, 2011). </w:t>
      </w:r>
    </w:p>
    <w:p w14:paraId="139CAB90" w14:textId="17C2E8A7" w:rsidR="00871709" w:rsidRPr="00871709" w:rsidRDefault="00871709" w:rsidP="00871709">
      <w:pPr>
        <w:pStyle w:val="Heading1"/>
        <w:rPr>
          <w:rFonts w:ascii="Arial" w:hAnsi="Arial" w:cs="Arial"/>
        </w:rPr>
      </w:pPr>
      <w:bookmarkStart w:id="9" w:name="_Toc166189245"/>
      <w:r w:rsidRPr="00871709">
        <w:rPr>
          <w:rFonts w:ascii="Arial" w:hAnsi="Arial" w:cs="Arial"/>
        </w:rPr>
        <w:t>Social Factors</w:t>
      </w:r>
      <w:bookmarkEnd w:id="9"/>
    </w:p>
    <w:p w14:paraId="38E39DE5"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Political problems might cause businesses trouble at first. Employee contacts with competitors in the industry are impacted by the macroenvironmental rivalry. It might be difficult to deal with competition, particularly in a new position. Competition is another factor slowing Hilton Hotels' rate of growth in China and the US. Power rivalry is a company's biggest fear (Reidhead, 2020). </w:t>
      </w:r>
    </w:p>
    <w:p w14:paraId="257AFEDC" w14:textId="77777777" w:rsidR="00871709"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Nonetheless, it doesn't appear that Hilton and Marriott hotels have comparable circumstances. When power struggles arise, delegation or the sharing of responsibilities and authority becomes difficult. At the entry level, Marriott International must deal with challenging political and economic environments in many nations, particularly in war areas. Politics influences economics, which influences currency rates, which drives up the cost of supply and real estate in a competitive market (Dixit and Piramanayagam, </w:t>
      </w:r>
      <w:r w:rsidRPr="00871709">
        <w:rPr>
          <w:rFonts w:ascii="Arial" w:eastAsia="Times New Roman" w:hAnsi="Arial" w:cs="Arial"/>
          <w:kern w:val="0"/>
          <w:sz w:val="24"/>
          <w:szCs w:val="24"/>
          <w14:ligatures w14:val="none"/>
        </w:rPr>
        <w:lastRenderedPageBreak/>
        <w:t>2023). As a result, the business becomes less productive, which allows competitors to grow. Finally, the political turmoil in the Arab North has a negative impact on hotel business. Business is one of the many areas that politics impacts.</w:t>
      </w:r>
    </w:p>
    <w:p w14:paraId="21F59A54" w14:textId="7A901403" w:rsidR="00744F80" w:rsidRPr="00871709" w:rsidRDefault="00871709" w:rsidP="00871709">
      <w:pPr>
        <w:spacing w:after="240" w:line="360" w:lineRule="auto"/>
        <w:jc w:val="both"/>
        <w:rPr>
          <w:rFonts w:ascii="Arial" w:eastAsia="Times New Roman" w:hAnsi="Arial" w:cs="Arial"/>
          <w:kern w:val="0"/>
          <w:sz w:val="24"/>
          <w:szCs w:val="24"/>
          <w14:ligatures w14:val="none"/>
        </w:rPr>
      </w:pPr>
      <w:r w:rsidRPr="00871709">
        <w:rPr>
          <w:rFonts w:ascii="Arial" w:eastAsia="Times New Roman" w:hAnsi="Arial" w:cs="Arial"/>
          <w:kern w:val="0"/>
          <w:sz w:val="24"/>
          <w:szCs w:val="24"/>
          <w14:ligatures w14:val="none"/>
        </w:rPr>
        <w:t xml:space="preserve"> Risks to growth include global recessions and economic instability. The hotel industry faced severe challenges as a result of the financial crisis from 2009 to 2011 (Wharton 85). The US economy was most affected since it controls the global exchange rates. The hotel sector and society's expenditure on extravagance were both impacted by the recession that occurred between 2009 and 2011. In such a scenario, Starwood hotels would be unable to maximise their earnings, which would have a comparable impact on stock market prices. Increasing interest rates are really bad for businesses since few individuals can afford to buy pricey things. Furthermore, poor performance in the aviation and tourist sectors has a direct effect on cash flow at Marriott, Starwood, and other hotels. As a result, the corporation has an informed chief financial officer working at its headquarters who evaluates economic trends in various investment zones. Finally, the government's too stringent investment requirements might have a detrimental effect on Hilton's business operations </w:t>
      </w:r>
      <w:r w:rsidR="00537A5D" w:rsidRPr="00871709">
        <w:rPr>
          <w:rFonts w:ascii="Arial" w:eastAsia="Times New Roman" w:hAnsi="Arial" w:cs="Arial"/>
          <w:kern w:val="0"/>
          <w:sz w:val="24"/>
          <w:szCs w:val="24"/>
          <w14:ligatures w14:val="none"/>
        </w:rPr>
        <w:fldChar w:fldCharType="begin"/>
      </w:r>
      <w:r w:rsidR="00537A5D" w:rsidRPr="00871709">
        <w:rPr>
          <w:rFonts w:ascii="Arial" w:eastAsia="Times New Roman" w:hAnsi="Arial" w:cs="Arial"/>
          <w:kern w:val="0"/>
          <w:sz w:val="24"/>
          <w:szCs w:val="24"/>
          <w14:ligatures w14:val="none"/>
        </w:rPr>
        <w:instrText xml:space="preserve"> ADDIN ZOTERO_ITEM CSL_CITATION {"citationID":"PltvzhlI","properties":{"formattedCitation":"(Jia {\\i{}et al.}, 2022)","plainCitation":"(Jia et al., 2022)","noteIndex":0},"citationItems":[{"id":11207,"uris":["http://zotero.org/users/9433278/items/4WU3GZIF"],"itemData":{"id":11207,"type":"book","event-place":"London","note":"DOI: 10.4135/9781529792683","publisher-place":"London","source":"SAGE Knowledge","title":"Serving Hotel Customers in a Postpandemic World: How Can Hilton Worldwide Recover and Change?","title-short":"Serving Hotel Customers in a Postpandemic World","URL":"https://sk.sagepub.com/cases/serving-hotel-customers-postpandemic-world-hilton-worldwide?token=1363f396-4e76-4159-b255-43e7d9b5f76471b0beb99788447f822a0223c248b6a8add47b652b4e59913cacd91fcef295f4","author":[{"family":"Jia","given":"Yankun"},{"family":"Curpad","given":"Samhitha"},{"family":"Diller","given":"Christopher"},{"family":"Gentry","given":"Richard"}],"accessed":{"date-parts":[["2024",5,9]]},"issued":{"date-parts":[["2022"]]}}}],"schema":"https://github.com/citation-style-language/schema/raw/master/csl-citation.json"} </w:instrText>
      </w:r>
      <w:r w:rsidR="00537A5D" w:rsidRPr="00871709">
        <w:rPr>
          <w:rFonts w:ascii="Arial" w:eastAsia="Times New Roman" w:hAnsi="Arial" w:cs="Arial"/>
          <w:kern w:val="0"/>
          <w:sz w:val="24"/>
          <w:szCs w:val="24"/>
          <w14:ligatures w14:val="none"/>
        </w:rPr>
        <w:fldChar w:fldCharType="separate"/>
      </w:r>
      <w:r w:rsidR="00537A5D" w:rsidRPr="00871709">
        <w:rPr>
          <w:rFonts w:ascii="Arial" w:hAnsi="Arial" w:cs="Arial"/>
          <w:kern w:val="0"/>
          <w:sz w:val="24"/>
          <w:szCs w:val="24"/>
        </w:rPr>
        <w:t xml:space="preserve">(Jia </w:t>
      </w:r>
      <w:r w:rsidR="00537A5D" w:rsidRPr="00871709">
        <w:rPr>
          <w:rFonts w:ascii="Arial" w:hAnsi="Arial" w:cs="Arial"/>
          <w:i/>
          <w:iCs/>
          <w:kern w:val="0"/>
          <w:sz w:val="24"/>
          <w:szCs w:val="24"/>
        </w:rPr>
        <w:t>et al.</w:t>
      </w:r>
      <w:r w:rsidR="00537A5D" w:rsidRPr="00871709">
        <w:rPr>
          <w:rFonts w:ascii="Arial" w:hAnsi="Arial" w:cs="Arial"/>
          <w:kern w:val="0"/>
          <w:sz w:val="24"/>
          <w:szCs w:val="24"/>
        </w:rPr>
        <w:t>, 2022)</w:t>
      </w:r>
      <w:r w:rsidR="00537A5D" w:rsidRPr="00871709">
        <w:rPr>
          <w:rFonts w:ascii="Arial" w:eastAsia="Times New Roman" w:hAnsi="Arial" w:cs="Arial"/>
          <w:kern w:val="0"/>
          <w:sz w:val="24"/>
          <w:szCs w:val="24"/>
          <w14:ligatures w14:val="none"/>
        </w:rPr>
        <w:fldChar w:fldCharType="end"/>
      </w:r>
      <w:r w:rsidR="00744F80" w:rsidRPr="00744F80">
        <w:rPr>
          <w:rFonts w:ascii="Arial" w:eastAsia="Times New Roman" w:hAnsi="Arial" w:cs="Arial"/>
          <w:kern w:val="0"/>
          <w:sz w:val="24"/>
          <w:szCs w:val="24"/>
          <w14:ligatures w14:val="none"/>
        </w:rPr>
        <w:t xml:space="preserve">. </w:t>
      </w:r>
    </w:p>
    <w:p w14:paraId="5673E762" w14:textId="77777777" w:rsidR="00744F80" w:rsidRPr="00871709" w:rsidRDefault="00744F80" w:rsidP="00744F80">
      <w:pPr>
        <w:pStyle w:val="Heading1"/>
        <w:spacing w:line="360" w:lineRule="auto"/>
        <w:jc w:val="both"/>
        <w:rPr>
          <w:rFonts w:ascii="Arial" w:hAnsi="Arial" w:cs="Arial"/>
        </w:rPr>
      </w:pPr>
      <w:bookmarkStart w:id="10" w:name="_Toc166189246"/>
      <w:r w:rsidRPr="00871709">
        <w:rPr>
          <w:rFonts w:ascii="Arial" w:hAnsi="Arial" w:cs="Arial"/>
        </w:rPr>
        <w:t>Employee Management</w:t>
      </w:r>
      <w:bookmarkEnd w:id="10"/>
      <w:r w:rsidRPr="00871709">
        <w:rPr>
          <w:rFonts w:ascii="Arial" w:hAnsi="Arial" w:cs="Arial"/>
        </w:rPr>
        <w:t xml:space="preserve"> </w:t>
      </w:r>
    </w:p>
    <w:p w14:paraId="2ECE2C95" w14:textId="4250979F" w:rsidR="00537A5D" w:rsidRPr="00871709" w:rsidRDefault="00744F80" w:rsidP="00744F80">
      <w:pPr>
        <w:spacing w:after="240" w:line="360" w:lineRule="auto"/>
        <w:jc w:val="both"/>
        <w:rPr>
          <w:rFonts w:ascii="Arial" w:eastAsia="Times New Roman" w:hAnsi="Arial" w:cs="Arial"/>
          <w:kern w:val="0"/>
          <w:sz w:val="24"/>
          <w:szCs w:val="24"/>
          <w14:ligatures w14:val="none"/>
        </w:rPr>
      </w:pPr>
      <w:r w:rsidRPr="00744F80">
        <w:rPr>
          <w:rFonts w:ascii="Arial" w:eastAsia="Times New Roman" w:hAnsi="Arial" w:cs="Arial"/>
          <w:kern w:val="0"/>
          <w:sz w:val="24"/>
          <w:szCs w:val="24"/>
          <w14:ligatures w14:val="none"/>
        </w:rPr>
        <w:t>Hilton Hotels, a well-known hospitality company, uses a variety of methods to monitor employees and management across numerous work modes. One of the primary methods by which Hilton ensures consistency and quality in service delivery is through extensive training programmes and detailed policies</w:t>
      </w:r>
      <w:r w:rsidR="00341CF9" w:rsidRPr="00871709">
        <w:rPr>
          <w:rFonts w:ascii="Arial" w:eastAsia="Times New Roman" w:hAnsi="Arial" w:cs="Arial"/>
          <w:kern w:val="0"/>
          <w:sz w:val="24"/>
          <w:szCs w:val="24"/>
          <w14:ligatures w14:val="none"/>
        </w:rPr>
        <w:t xml:space="preserve"> </w:t>
      </w:r>
      <w:r w:rsidR="00341CF9" w:rsidRPr="00871709">
        <w:rPr>
          <w:rFonts w:ascii="Arial" w:eastAsia="Times New Roman" w:hAnsi="Arial" w:cs="Arial"/>
          <w:kern w:val="0"/>
          <w:sz w:val="24"/>
          <w:szCs w:val="24"/>
          <w14:ligatures w14:val="none"/>
        </w:rPr>
        <w:fldChar w:fldCharType="begin"/>
      </w:r>
      <w:r w:rsidR="00341CF9" w:rsidRPr="00871709">
        <w:rPr>
          <w:rFonts w:ascii="Arial" w:eastAsia="Times New Roman" w:hAnsi="Arial" w:cs="Arial"/>
          <w:kern w:val="0"/>
          <w:sz w:val="24"/>
          <w:szCs w:val="24"/>
          <w14:ligatures w14:val="none"/>
        </w:rPr>
        <w:instrText xml:space="preserve"> ADDIN ZOTERO_ITEM CSL_CITATION {"citationID":"Ijii77RE","properties":{"formattedCitation":"(Albrecht {\\i{}et al.}, 2015)","plainCitation":"(Albrecht et al., 2015)","noteIndex":0},"citationItems":[{"id":11211,"uris":["http://zotero.org/users/9433278/items/5555HW3Q"],"itemData":{"id":11211,"type":"article-journal","abstract":"Purpose The purpose of this paper is to argue in support of a model that shows how four key HRM practices focused on engagement influence organizational climate, job demands and job resources, the psychological experiences of safety, meaningfulness and availability at work, employee engagement, and individual, group and organizational performance and competitive advantage. Design/methodology/approach This conceptual review focuses on the research evidence showing interrelationships between organizational context factors, job factors, individual employee psychological and motivational factors, employee outcomes, organizational outcomes and competitive advantage. The proposed model integrates frameworks that have previously run independently in the HR and engagement literatures. Findings The authors conclude that HRM practitioners need to move beyond the routine administration of annual engagement surveys and need to embed engagement in HRM policies and practices such personnel selection, socialization, performance management, and training and development. Practical implications The authors offer organizations clear guidelines for how HR practices (i.e. selection, socialization, performance management, training) can be used to facilitate and improve employee engagement and result in positive outcomes that will help organizations achieve a competitive advantage. Originality/value The authors provide useful new insights for researchers and management professionals wishing to embed engagement within the fabric of HRM policies and practices and employee behaviour, and organizational outcomes.","container-title":"Journal of Organizational Effectiveness: People and Performance","DOI":"10.1108/JOEPP-08-2014-0042","ISSN":"2051-6614","issue":"1","note":"publisher: Emerald Group Publishing Limited","page":"7-35","source":"Emerald Insight","title":"Employee engagement, human resource management practices and competitive advantage: An integrated approach","title-short":"Employee engagement, human resource management practices and competitive advantage","URL":"https://doi.org/10.1108/JOEPP-08-2014-0042","volume":"2","author":[{"family":"Albrecht","given":"Simon L"},{"family":"Bakker","given":"Arnold B"},{"family":"Gruman","given":"Jamie A"},{"family":"Macey","given":"William H"},{"family":"Saks","given":"Alan M"}],"accessed":{"date-parts":[["2024",5,9]]},"issued":{"date-parts":[["2015",1,1]]}}}],"schema":"https://github.com/citation-style-language/schema/raw/master/csl-citation.json"} </w:instrText>
      </w:r>
      <w:r w:rsidR="00341CF9" w:rsidRPr="00871709">
        <w:rPr>
          <w:rFonts w:ascii="Arial" w:eastAsia="Times New Roman" w:hAnsi="Arial" w:cs="Arial"/>
          <w:kern w:val="0"/>
          <w:sz w:val="24"/>
          <w:szCs w:val="24"/>
          <w14:ligatures w14:val="none"/>
        </w:rPr>
        <w:fldChar w:fldCharType="separate"/>
      </w:r>
      <w:r w:rsidR="00341CF9" w:rsidRPr="00871709">
        <w:rPr>
          <w:rFonts w:ascii="Arial" w:hAnsi="Arial" w:cs="Arial"/>
          <w:kern w:val="0"/>
          <w:sz w:val="24"/>
          <w:szCs w:val="24"/>
        </w:rPr>
        <w:t xml:space="preserve">(Albrecht </w:t>
      </w:r>
      <w:r w:rsidR="00341CF9" w:rsidRPr="00871709">
        <w:rPr>
          <w:rFonts w:ascii="Arial" w:hAnsi="Arial" w:cs="Arial"/>
          <w:i/>
          <w:iCs/>
          <w:kern w:val="0"/>
          <w:sz w:val="24"/>
          <w:szCs w:val="24"/>
        </w:rPr>
        <w:t>et al.</w:t>
      </w:r>
      <w:r w:rsidR="00341CF9" w:rsidRPr="00871709">
        <w:rPr>
          <w:rFonts w:ascii="Arial" w:hAnsi="Arial" w:cs="Arial"/>
          <w:kern w:val="0"/>
          <w:sz w:val="24"/>
          <w:szCs w:val="24"/>
        </w:rPr>
        <w:t>, 2015)</w:t>
      </w:r>
      <w:r w:rsidR="00341CF9"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These training classes not only educate personnel about the brand's standards, but also emphasise the need of adhering to established norms in a variety of work circumstances. Hilton establishes a solid foundation of knowledge and behaviour norms, laying the groundwork for effective monitoring and managerial oversight</w:t>
      </w:r>
      <w:r w:rsidR="00537A5D" w:rsidRPr="00871709">
        <w:rPr>
          <w:rFonts w:ascii="Arial" w:eastAsia="Times New Roman" w:hAnsi="Arial" w:cs="Arial"/>
          <w:kern w:val="0"/>
          <w:sz w:val="24"/>
          <w:szCs w:val="24"/>
          <w14:ligatures w14:val="none"/>
        </w:rPr>
        <w:t xml:space="preserve"> </w:t>
      </w:r>
      <w:r w:rsidR="00537A5D" w:rsidRPr="00871709">
        <w:rPr>
          <w:rFonts w:ascii="Arial" w:eastAsia="Times New Roman" w:hAnsi="Arial" w:cs="Arial"/>
          <w:kern w:val="0"/>
          <w:sz w:val="24"/>
          <w:szCs w:val="24"/>
          <w14:ligatures w14:val="none"/>
        </w:rPr>
        <w:fldChar w:fldCharType="begin"/>
      </w:r>
      <w:r w:rsidR="00341CF9" w:rsidRPr="00871709">
        <w:rPr>
          <w:rFonts w:ascii="Arial" w:eastAsia="Times New Roman" w:hAnsi="Arial" w:cs="Arial"/>
          <w:kern w:val="0"/>
          <w:sz w:val="24"/>
          <w:szCs w:val="24"/>
          <w14:ligatures w14:val="none"/>
        </w:rPr>
        <w:instrText xml:space="preserve"> ADDIN ZOTERO_ITEM CSL_CITATION {"citationID":"TNXIwv1I","properties":{"formattedCitation":"(Horn, 2009)","plainCitation":"(Horn, 2009)","noteIndex":0},"citationItems":[{"id":11189,"uris":["http://zotero.org/users/9433278/items/5WVD7B2M"],"itemData":{"id":11189,"type":"book","abstract":"How do you develop leadership skills or give a successful presentation? What difference can effective thinking and critical reading make to your performance? How can you get and stay organized to meet deadlines? The first book of its kind to cover all the business skills that students need at university and at work, The Business Skills Handbook covers all the practical, cognitive, technical and development skills that students need to succeed, from organising life and work to developing good writing and teamwork skills. Mapped to the learning outcomes of the CIPD Level 7 Advanced Developing Skills for Business Leadership module, and with a focus on experiential learning to get students assessing and developing their skills, The Business Skills Handbook is designed to help students manage themselves more effectively, make justifiable decisions and problem solve more effectively, lead and influence others, interpret financial information, manage financial resources, demonstrate IT proficiency and demonstrate competence in postgraduate study skills. Online supporting resources include an instructor's manual, lecture slides and figures and tables from the book.","ISBN":"978-1-84398-218-0","language":"en","note":"Google-Books-ID: xb25PQAACAAJ","number-of-pages":"536","publisher":"Chartered Institute of Personnel and Development","source":"Google Books","title":"The Business Skills Handbook","author":[{"family":"Horn","given":"Roy"}],"issued":{"date-parts":[["2009"]]}}}],"schema":"https://github.com/citation-style-language/schema/raw/master/csl-citation.json"} </w:instrText>
      </w:r>
      <w:r w:rsidR="00537A5D" w:rsidRPr="00871709">
        <w:rPr>
          <w:rFonts w:ascii="Arial" w:eastAsia="Times New Roman" w:hAnsi="Arial" w:cs="Arial"/>
          <w:kern w:val="0"/>
          <w:sz w:val="24"/>
          <w:szCs w:val="24"/>
          <w14:ligatures w14:val="none"/>
        </w:rPr>
        <w:fldChar w:fldCharType="separate"/>
      </w:r>
      <w:r w:rsidR="00341CF9" w:rsidRPr="00871709">
        <w:rPr>
          <w:rFonts w:ascii="Arial" w:hAnsi="Arial" w:cs="Arial"/>
          <w:sz w:val="24"/>
        </w:rPr>
        <w:t>(Horn, 2009)</w:t>
      </w:r>
      <w:r w:rsidR="00537A5D"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xml:space="preserve">. </w:t>
      </w:r>
    </w:p>
    <w:p w14:paraId="09AA6169" w14:textId="756AF887" w:rsidR="00341CF9" w:rsidRPr="00871709" w:rsidRDefault="00744F80" w:rsidP="00744F80">
      <w:pPr>
        <w:spacing w:after="240" w:line="360" w:lineRule="auto"/>
        <w:jc w:val="both"/>
        <w:rPr>
          <w:rFonts w:ascii="Arial" w:eastAsia="Times New Roman" w:hAnsi="Arial" w:cs="Arial"/>
          <w:kern w:val="0"/>
          <w:sz w:val="24"/>
          <w:szCs w:val="24"/>
          <w14:ligatures w14:val="none"/>
        </w:rPr>
      </w:pPr>
      <w:r w:rsidRPr="00744F80">
        <w:rPr>
          <w:rFonts w:ascii="Arial" w:eastAsia="Times New Roman" w:hAnsi="Arial" w:cs="Arial"/>
          <w:kern w:val="0"/>
          <w:sz w:val="24"/>
          <w:szCs w:val="24"/>
          <w14:ligatures w14:val="none"/>
        </w:rPr>
        <w:t>Technology solutions also play an important role in Hilton's monitoring efforts. Hilton uses innovative software tools to properly regulate workforce scheduling, record work hours, and collect tourist feedback. These systems provide real-time information about staff performance and visitor satisfaction, allowing for proactive management decisions</w:t>
      </w:r>
      <w:r w:rsidR="00341CF9" w:rsidRPr="00871709">
        <w:rPr>
          <w:rFonts w:ascii="Arial" w:eastAsia="Times New Roman" w:hAnsi="Arial" w:cs="Arial"/>
          <w:kern w:val="0"/>
          <w:sz w:val="24"/>
          <w:szCs w:val="24"/>
          <w14:ligatures w14:val="none"/>
        </w:rPr>
        <w:t xml:space="preserve"> </w:t>
      </w:r>
      <w:r w:rsidR="00341CF9" w:rsidRPr="00871709">
        <w:rPr>
          <w:rFonts w:ascii="Arial" w:eastAsia="Times New Roman" w:hAnsi="Arial" w:cs="Arial"/>
          <w:kern w:val="0"/>
          <w:sz w:val="24"/>
          <w:szCs w:val="24"/>
          <w14:ligatures w14:val="none"/>
        </w:rPr>
        <w:lastRenderedPageBreak/>
        <w:fldChar w:fldCharType="begin"/>
      </w:r>
      <w:r w:rsidR="00341CF9" w:rsidRPr="00871709">
        <w:rPr>
          <w:rFonts w:ascii="Arial" w:eastAsia="Times New Roman" w:hAnsi="Arial" w:cs="Arial"/>
          <w:kern w:val="0"/>
          <w:sz w:val="24"/>
          <w:szCs w:val="24"/>
          <w14:ligatures w14:val="none"/>
        </w:rPr>
        <w:instrText xml:space="preserve"> ADDIN ZOTERO_ITEM CSL_CITATION {"citationID":"gQOZu2KH","properties":{"formattedCitation":"(Carter and Baghurst, 2014)","plainCitation":"(Carter and Baghurst, 2014)","noteIndex":0},"citationItems":[{"id":1281,"uris":["http://zotero.org/users/9433278/items/66648DIQ"],"itemData":{"id":1281,"type":"article-journal","abstract":"Servant leadership is a leadership philosophy which addresses the concerns of ethics, customer experience, and employee engagement while creating a unique organizational culture where both leaders and followers unite to reach organizational goals without positional or authoritative power. With employees viewed as one of the greatest assets for organizations, maintaining loyal, productive employees while balancing profits becomes a challenge for leaders, and drives the need to understand employee engagement drivers. Thus, the purpose of this study was to qualitatively explore servant leadership from the perspective of employees. Participants were 11 employees from a servant leadership led restaurant who took part in two focus groups. The modified van Kaam method (Moustakas 1994) contributed to data analysis, which examined employee responses for comparison and assessment. Several themes emerged including servant leader experience, servant leader traits, the impact of servant leadership, the application of servant leadership, and limited employee attrition. The themes revealed servant leadership positively influences employee engagement while contributing to employee loyalty to the workplace. Based on the servant leader experience, participants were more committed, built healthy work relationships, and actively participated in achieving organizational goals. Findings are discussed in light of current research and practical applications are provided.","container-title":"Journal of Business Ethics","DOI":"10.1007/s10551-013-1882-0","ISSN":"1573-0697","issue":"3","journalAbbreviation":"J Bus Ethics","language":"en","page":"453-464","source":"Springer Link","title":"The Influence of Servant Leadership on Restaurant Employee Engagement","URL":"https://doi.org/10.1007/s10551-013-1882-0","volume":"124","author":[{"family":"Carter","given":"Danon"},{"family":"Baghurst","given":"Timothy"}],"accessed":{"date-parts":[["2022",5,26]]},"issued":{"date-parts":[["2014",10,1]]}}}],"schema":"https://github.com/citation-style-language/schema/raw/master/csl-citation.json"} </w:instrText>
      </w:r>
      <w:r w:rsidR="00341CF9" w:rsidRPr="00871709">
        <w:rPr>
          <w:rFonts w:ascii="Arial" w:eastAsia="Times New Roman" w:hAnsi="Arial" w:cs="Arial"/>
          <w:kern w:val="0"/>
          <w:sz w:val="24"/>
          <w:szCs w:val="24"/>
          <w14:ligatures w14:val="none"/>
        </w:rPr>
        <w:fldChar w:fldCharType="separate"/>
      </w:r>
      <w:r w:rsidR="00341CF9" w:rsidRPr="00871709">
        <w:rPr>
          <w:rFonts w:ascii="Arial" w:hAnsi="Arial" w:cs="Arial"/>
          <w:sz w:val="24"/>
        </w:rPr>
        <w:t>(Carter and Baghurst, 2014)</w:t>
      </w:r>
      <w:r w:rsidR="00341CF9"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Furthermore, Hilton may conduct mystery shopping campaigns in which undercover evaluators assess service quality directly. This not only serves as a monitoring tool, but it also fosters a culture of continuous development by highlighting areas for improvement</w:t>
      </w:r>
      <w:r w:rsidR="00341CF9" w:rsidRPr="00871709">
        <w:rPr>
          <w:rFonts w:ascii="Arial" w:eastAsia="Times New Roman" w:hAnsi="Arial" w:cs="Arial"/>
          <w:kern w:val="0"/>
          <w:sz w:val="24"/>
          <w:szCs w:val="24"/>
          <w14:ligatures w14:val="none"/>
        </w:rPr>
        <w:t xml:space="preserve"> </w:t>
      </w:r>
      <w:r w:rsidR="00341CF9" w:rsidRPr="00871709">
        <w:rPr>
          <w:rFonts w:ascii="Arial" w:eastAsia="Times New Roman" w:hAnsi="Arial" w:cs="Arial"/>
          <w:kern w:val="0"/>
          <w:sz w:val="24"/>
          <w:szCs w:val="24"/>
          <w14:ligatures w14:val="none"/>
        </w:rPr>
        <w:fldChar w:fldCharType="begin"/>
      </w:r>
      <w:r w:rsidR="00341CF9" w:rsidRPr="00871709">
        <w:rPr>
          <w:rFonts w:ascii="Arial" w:eastAsia="Times New Roman" w:hAnsi="Arial" w:cs="Arial"/>
          <w:kern w:val="0"/>
          <w:sz w:val="24"/>
          <w:szCs w:val="24"/>
          <w14:ligatures w14:val="none"/>
        </w:rPr>
        <w:instrText xml:space="preserve"> ADDIN ZOTERO_ITEM CSL_CITATION {"citationID":"ByMG9o88","properties":{"formattedCitation":"(Choubtarash Abardeh, 2022)","plainCitation":"(Choubtarash Abardeh, 2022)","noteIndex":0},"citationItems":[{"id":11209,"uris":["http://zotero.org/users/9433278/items/PMTUXNCP"],"itemData":{"id":11209,"type":"book","event-place":"London","note":"DOI: 10.4135/9781529794878","publisher-place":"London","source":"SAGE Knowledge","title":"Finding a Path to Success for the Hilton Atlanta Downtown Hotel","URL":"https://sk.sagepub.com/cases/finding-a-path-to-success-for-the-hilton-atlanta-downtown-hotel?token=9fc81602-4a74-4774-9dba-e86dab4444981613d765a4f96906e4f20224f6cea32bc1ff347648f1f8ce84c8b040b0f33a15","author":[{"family":"Choubtarash Abardeh","given":"Homa"}],"accessed":{"date-parts":[["2024",5,9]]},"issued":{"date-parts":[["2022"]]}}}],"schema":"https://github.com/citation-style-language/schema/raw/master/csl-citation.json"} </w:instrText>
      </w:r>
      <w:r w:rsidR="00341CF9" w:rsidRPr="00871709">
        <w:rPr>
          <w:rFonts w:ascii="Arial" w:eastAsia="Times New Roman" w:hAnsi="Arial" w:cs="Arial"/>
          <w:kern w:val="0"/>
          <w:sz w:val="24"/>
          <w:szCs w:val="24"/>
          <w14:ligatures w14:val="none"/>
        </w:rPr>
        <w:fldChar w:fldCharType="separate"/>
      </w:r>
      <w:r w:rsidR="00341CF9" w:rsidRPr="00871709">
        <w:rPr>
          <w:rFonts w:ascii="Arial" w:hAnsi="Arial" w:cs="Arial"/>
          <w:sz w:val="24"/>
        </w:rPr>
        <w:t>(Choubtarash Abardeh, 2022)</w:t>
      </w:r>
      <w:r w:rsidR="00341CF9"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xml:space="preserve">. </w:t>
      </w:r>
    </w:p>
    <w:p w14:paraId="2CE656CD" w14:textId="19D4525B" w:rsidR="00744F80" w:rsidRPr="00871709" w:rsidRDefault="00744F80" w:rsidP="00744F80">
      <w:pPr>
        <w:spacing w:after="240" w:line="360" w:lineRule="auto"/>
        <w:jc w:val="both"/>
        <w:rPr>
          <w:rFonts w:ascii="Arial" w:eastAsia="Times New Roman" w:hAnsi="Arial" w:cs="Arial"/>
          <w:kern w:val="0"/>
          <w:sz w:val="24"/>
          <w:szCs w:val="24"/>
          <w14:ligatures w14:val="none"/>
        </w:rPr>
      </w:pPr>
      <w:r w:rsidRPr="00744F80">
        <w:rPr>
          <w:rFonts w:ascii="Arial" w:eastAsia="Times New Roman" w:hAnsi="Arial" w:cs="Arial"/>
          <w:kern w:val="0"/>
          <w:sz w:val="24"/>
          <w:szCs w:val="24"/>
          <w14:ligatures w14:val="none"/>
        </w:rPr>
        <w:t>Hilton Hotel has used a variety of methods to measure employee performance. The Hilton hotel uses accurate observation and feedback to measure the performance of its employees. In this technique, the Hilton hotel hires someone to conduct regular and thorough monitoring of the staff's performance</w:t>
      </w:r>
      <w:r w:rsidR="00341CF9" w:rsidRPr="00871709">
        <w:rPr>
          <w:rFonts w:ascii="Arial" w:eastAsia="Times New Roman" w:hAnsi="Arial" w:cs="Arial"/>
          <w:kern w:val="0"/>
          <w:sz w:val="24"/>
          <w:szCs w:val="24"/>
          <w14:ligatures w14:val="none"/>
        </w:rPr>
        <w:t xml:space="preserve"> </w:t>
      </w:r>
      <w:r w:rsidR="00341CF9" w:rsidRPr="00871709">
        <w:rPr>
          <w:rFonts w:ascii="Arial" w:eastAsia="Times New Roman" w:hAnsi="Arial" w:cs="Arial"/>
          <w:kern w:val="0"/>
          <w:sz w:val="24"/>
          <w:szCs w:val="24"/>
          <w14:ligatures w14:val="none"/>
        </w:rPr>
        <w:fldChar w:fldCharType="begin"/>
      </w:r>
      <w:r w:rsidR="00341CF9" w:rsidRPr="00871709">
        <w:rPr>
          <w:rFonts w:ascii="Arial" w:eastAsia="Times New Roman" w:hAnsi="Arial" w:cs="Arial"/>
          <w:kern w:val="0"/>
          <w:sz w:val="24"/>
          <w:szCs w:val="24"/>
          <w14:ligatures w14:val="none"/>
        </w:rPr>
        <w:instrText xml:space="preserve"> ADDIN ZOTERO_ITEM CSL_CITATION {"citationID":"QdAXo1uU","properties":{"formattedCitation":"(Kang and Sung, 2017)","plainCitation":"(Kang and Sung, 2017)","noteIndex":0},"citationItems":[{"id":11212,"uris":["http://zotero.org/users/9433278/items/HLFWNIZ5"],"itemData":{"id":11212,"type":"article-journal","abstract":"Purpose The purpose of this paper is to examine how a company’s symmetrical internal communication efforts could influence its employees’ perception of relationship outcomes with the company and the subsequent employee communication behaviors about the company to others and their turnover intention. Additionally, the mediation effects of employee-organization relationship (EOR) quality between symmetrical internal communication and employee engagement were tested. Design/methodology/approach The study collected the data from a survey of randomly selected 438 individuals who work as sales representatives of the case organization. Respondents were randomly selected through stratified sampling. For the overall statistical procedure, this study adopted the two-step structural equation modeling: on the basis of the final measurement model analysis from confirmatory factor analysis, the proposed structural model was tested using latent variables. Findings The findings of this research clearly demonstrate: employee/internal communication management is linked with employee engagement; employee engagement enhances supportive employee communication behaviors and reduces turnover intention. Also, the mediation results show strong mediation of EORs on the effects of symmetrical internal communication on employee engagement. Research limitations/implications Employees’ communication behaviors such as megaphoning and scouting have special strategic values to organizations. With information seeking, selecting, forwarding, and sharing behaviors of employees, organizations may obtain more valuable information than through formal procedures and channels. Professional literature has long been supporting the importance of fostering positive employee communication behaviors (ECBs), suggesting that WOM and information from the employees deemed as most trustworthy by the external publics. ECBs about their organizations may be viewed as a testament of the quality of EOR. This study results show that employee engagement plays a key role in creating positive ECBs. Practical implications Pragmatically, as noted in the findings, symmetrical communication is an important factor that leads to positive ECB. To facilitate employees’ favorable communication regarding an organization, therefore, the organization needs to practice a two-way, employee-centered symmetrical communication system in its everyday communication management. Communication managers are advised to nurture internal communication practices that listen to the employees and invite their participation in addition to providing complete and fair information to employees. Second, by showing the significant positive influence of EOR on employee engagement and ECB, the finding of the study suggests that strategic relationship management with internal publics affect overall management effectiveness. Hence, organizational managers need to adopt various relationship cultivation strategies in their communication with employees, which have been previously proposed by several studies. Originality/value The findings of the study demonstrated that the effects of employee relationship management and symmetrical internal communication indeed exist beyond ECBs to the actual managerial outcomes. The findings also suggest a three-stage model of employee communication management: employee/internal communication management antecedents; employee engagement; and supportive outcomes of effective employee communication programs, such as supportive/extra ECBs.","container-title":"Journal of Communication Management","DOI":"10.1108/JCOM-04-2016-0026","ISSN":"1363-254X","issue":"1","note":"publisher: Emerald Publishing Limited","page":"82-102","source":"Emerald Insight","title":"How symmetrical employee communication leads to employee engagement and positive employee communication behaviors: The mediation of employee-organization relationships","title-short":"How symmetrical employee communication leads to employee engagement and positive employee communication behaviors","URL":"https://doi.org/10.1108/JCOM-04-2016-0026","volume":"21","author":[{"family":"Kang","given":"Minjeong"},{"family":"Sung","given":"Minjung"}],"accessed":{"date-parts":[["2024",5,9]]},"issued":{"date-parts":[["2017",1,1]]}}}],"schema":"https://github.com/citation-style-language/schema/raw/master/csl-citation.json"} </w:instrText>
      </w:r>
      <w:r w:rsidR="00341CF9" w:rsidRPr="00871709">
        <w:rPr>
          <w:rFonts w:ascii="Arial" w:eastAsia="Times New Roman" w:hAnsi="Arial" w:cs="Arial"/>
          <w:kern w:val="0"/>
          <w:sz w:val="24"/>
          <w:szCs w:val="24"/>
          <w14:ligatures w14:val="none"/>
        </w:rPr>
        <w:fldChar w:fldCharType="separate"/>
      </w:r>
      <w:r w:rsidR="00341CF9" w:rsidRPr="00871709">
        <w:rPr>
          <w:rFonts w:ascii="Arial" w:hAnsi="Arial" w:cs="Arial"/>
          <w:sz w:val="24"/>
        </w:rPr>
        <w:t>(Kang and Sung, 2017)</w:t>
      </w:r>
      <w:r w:rsidR="00341CF9"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Following a thorough observation, the individual provides straightforward comments. The Hilton hotel likewise uses the performance monitoring technique. In this technique, a criterion is provided to the workers, who must meet it in any conceivable way. The personnel's performances are then compared to the set criteria. In this system, performance should be quantifiable and realistic, including expressions in terms of cost, quality, time, effect, and technique of performance</w:t>
      </w:r>
      <w:r w:rsidR="00341CF9" w:rsidRPr="00871709">
        <w:rPr>
          <w:rFonts w:ascii="Arial" w:eastAsia="Times New Roman" w:hAnsi="Arial" w:cs="Arial"/>
          <w:kern w:val="0"/>
          <w:sz w:val="24"/>
          <w:szCs w:val="24"/>
          <w14:ligatures w14:val="none"/>
        </w:rPr>
        <w:t xml:space="preserve"> </w:t>
      </w:r>
      <w:r w:rsidR="00341CF9" w:rsidRPr="00871709">
        <w:rPr>
          <w:rFonts w:ascii="Arial" w:eastAsia="Times New Roman" w:hAnsi="Arial" w:cs="Arial"/>
          <w:kern w:val="0"/>
          <w:sz w:val="24"/>
          <w:szCs w:val="24"/>
          <w14:ligatures w14:val="none"/>
        </w:rPr>
        <w:fldChar w:fldCharType="begin"/>
      </w:r>
      <w:r w:rsidR="00341CF9" w:rsidRPr="00871709">
        <w:rPr>
          <w:rFonts w:ascii="Arial" w:eastAsia="Times New Roman" w:hAnsi="Arial" w:cs="Arial"/>
          <w:kern w:val="0"/>
          <w:sz w:val="24"/>
          <w:szCs w:val="24"/>
          <w14:ligatures w14:val="none"/>
        </w:rPr>
        <w:instrText xml:space="preserve"> ADDIN ZOTERO_ITEM CSL_CITATION {"citationID":"bBBy9vFX","properties":{"formattedCitation":"(Umar {\\i{}et al.}, 2020)","plainCitation":"(Umar et al., 2020)","noteIndex":0},"citationItems":[{"id":1346,"uris":["http://zotero.org/users/9433278/items/T9CWQ3GG"],"itemData":{"id":1346,"type":"article-journal","abstract":"This study aims to invest in empirical relationships in a model that becomes the process of Team-Performance due to participation in practical training through causality between Training Effectiveness variables, soft-skill competence, Employee-Creativity, and team performance. This study uses a quantitative approach. The analytical tool used is structural equation modeling (SEM) using AMOS version 23 software. Accidental sampling technique is used to collect the sample. As many as 202 respondents filled up a survey questionnaire with complete and valid answers. This study's results significantly contribute to fill the gap of inadequate empirical evidence that can answer critical questions about the missing link between training and employee-performance, more specifically between training-effectiveness and team-performance. The results showed that practical training would encourage employees' soft-skill competence, improve Employee-Creativity, and improve Team-Performance. Furthermore, training-effectiveness also plays a significant role in enhancing employee-creativity and helping in optimal team-performance. This study also found that the relationship between employee-creativity and team-performance did not show positive and significant results; therefore, empirically, it did not support the hypothesis built in this study. Practical training targeted towards increasing soft-skills and creativity is a fundamental reason which not only aims to contribute toward organizational performance but also provides personal feedback for self-development.","container-title":"The Journal of Asian Finance, Economics and Business","DOI":"10.13106/jafeb.2020.vol7.no11.1021","ISSN":"2288-4637","issue":"11","language":"eng","note":"publisher: Korea Distribution Science Association","page":"1021-1031","source":"www.koreascience.or.kr","title":"Training-Effectiveness and Team-Performance in Public Organization","URL":"https://www.koreascience.or.kr/article/JAKO202032462597221.page","volume":"7","author":[{"family":"Umar","given":"Akmal"},{"family":"Tamsah","given":"Hasmin"},{"family":"Mattalatta","given":"M."},{"family":"Baharuddin","given":"B."},{"family":"Latief R","given":"Abdul"}],"accessed":{"date-parts":[["2022",6,19]]},"issued":{"date-parts":[["2020"]]}}}],"schema":"https://github.com/citation-style-language/schema/raw/master/csl-citation.json"} </w:instrText>
      </w:r>
      <w:r w:rsidR="00341CF9" w:rsidRPr="00871709">
        <w:rPr>
          <w:rFonts w:ascii="Arial" w:eastAsia="Times New Roman" w:hAnsi="Arial" w:cs="Arial"/>
          <w:kern w:val="0"/>
          <w:sz w:val="24"/>
          <w:szCs w:val="24"/>
          <w14:ligatures w14:val="none"/>
        </w:rPr>
        <w:fldChar w:fldCharType="separate"/>
      </w:r>
      <w:r w:rsidR="00341CF9" w:rsidRPr="00871709">
        <w:rPr>
          <w:rFonts w:ascii="Arial" w:hAnsi="Arial" w:cs="Arial"/>
          <w:kern w:val="0"/>
          <w:sz w:val="24"/>
          <w:szCs w:val="24"/>
        </w:rPr>
        <w:t xml:space="preserve">(Umar </w:t>
      </w:r>
      <w:r w:rsidR="00341CF9" w:rsidRPr="00871709">
        <w:rPr>
          <w:rFonts w:ascii="Arial" w:hAnsi="Arial" w:cs="Arial"/>
          <w:i/>
          <w:iCs/>
          <w:kern w:val="0"/>
          <w:sz w:val="24"/>
          <w:szCs w:val="24"/>
        </w:rPr>
        <w:t>et al.</w:t>
      </w:r>
      <w:r w:rsidR="00341CF9" w:rsidRPr="00871709">
        <w:rPr>
          <w:rFonts w:ascii="Arial" w:hAnsi="Arial" w:cs="Arial"/>
          <w:kern w:val="0"/>
          <w:sz w:val="24"/>
          <w:szCs w:val="24"/>
        </w:rPr>
        <w:t>, 2020)</w:t>
      </w:r>
      <w:r w:rsidR="00341CF9"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xml:space="preserve">. </w:t>
      </w:r>
    </w:p>
    <w:p w14:paraId="2E5E40B5" w14:textId="3820AB5C" w:rsidR="00744F80" w:rsidRPr="00871709" w:rsidRDefault="00744F80" w:rsidP="00744F80">
      <w:pPr>
        <w:spacing w:after="240" w:line="360" w:lineRule="auto"/>
        <w:jc w:val="both"/>
        <w:rPr>
          <w:rFonts w:ascii="Arial" w:eastAsia="Times New Roman" w:hAnsi="Arial" w:cs="Arial"/>
          <w:kern w:val="0"/>
          <w:sz w:val="24"/>
          <w:szCs w:val="24"/>
          <w14:ligatures w14:val="none"/>
        </w:rPr>
      </w:pPr>
      <w:r w:rsidRPr="00744F80">
        <w:rPr>
          <w:rFonts w:ascii="Arial" w:eastAsia="Times New Roman" w:hAnsi="Arial" w:cs="Arial"/>
          <w:kern w:val="0"/>
          <w:sz w:val="24"/>
          <w:szCs w:val="24"/>
          <w14:ligatures w14:val="none"/>
        </w:rPr>
        <w:t>Hotel Hilton also implements the 30-Degree Appraisal technique to assess employee performance in the workplace. In this technique, all Hilton hotel stakeholders evaluate the performance of the workers and provide feedback to them. The method of performance evaluation may also be used to compare an employee's actual performance to the stated performance criteria. Employee monitoring software may also be used to track the performance of staff working on computers. Using this software, Hilton hotels can easily monitor and keep an eye on the performance of its employees</w:t>
      </w:r>
      <w:r w:rsidR="00341CF9" w:rsidRPr="00871709">
        <w:rPr>
          <w:rFonts w:ascii="Arial" w:eastAsia="Times New Roman" w:hAnsi="Arial" w:cs="Arial"/>
          <w:kern w:val="0"/>
          <w:sz w:val="24"/>
          <w:szCs w:val="24"/>
          <w14:ligatures w14:val="none"/>
        </w:rPr>
        <w:t xml:space="preserve"> </w:t>
      </w:r>
      <w:r w:rsidR="00341CF9" w:rsidRPr="00871709">
        <w:rPr>
          <w:rFonts w:ascii="Arial" w:eastAsia="Times New Roman" w:hAnsi="Arial" w:cs="Arial"/>
          <w:kern w:val="0"/>
          <w:sz w:val="24"/>
          <w:szCs w:val="24"/>
          <w14:ligatures w14:val="none"/>
        </w:rPr>
        <w:fldChar w:fldCharType="begin"/>
      </w:r>
      <w:r w:rsidR="00341CF9" w:rsidRPr="00871709">
        <w:rPr>
          <w:rFonts w:ascii="Arial" w:eastAsia="Times New Roman" w:hAnsi="Arial" w:cs="Arial"/>
          <w:kern w:val="0"/>
          <w:sz w:val="24"/>
          <w:szCs w:val="24"/>
          <w14:ligatures w14:val="none"/>
        </w:rPr>
        <w:instrText xml:space="preserve"> ADDIN ZOTERO_ITEM CSL_CITATION {"citationID":"VNAXd1zV","properties":{"formattedCitation":"(Benjamin, 2020)","plainCitation":"(Benjamin, 2020)","noteIndex":0},"citationItems":[{"id":2535,"uris":["http://zotero.org/users/9433278/items/GVLDAAEZ"],"itemData":{"id":2535,"type":"article-journal","container-title":"Master of Science in Organizational Dynamics Theses","title":"Achieving The Dream Through A Screen: Exploring Employee Engagement And Commitment In Virtual Environments","title-short":"Achieving The Dream Through A Screen","URL":"https://repository.upenn.edu/od_theses_msod/103","author":[{"family":"Benjamin","given":"Lacinda"}],"issued":{"date-parts":[["2020",7,30]]}}}],"schema":"https://github.com/citation-style-language/schema/raw/master/csl-citation.json"} </w:instrText>
      </w:r>
      <w:r w:rsidR="00341CF9" w:rsidRPr="00871709">
        <w:rPr>
          <w:rFonts w:ascii="Arial" w:eastAsia="Times New Roman" w:hAnsi="Arial" w:cs="Arial"/>
          <w:kern w:val="0"/>
          <w:sz w:val="24"/>
          <w:szCs w:val="24"/>
          <w14:ligatures w14:val="none"/>
        </w:rPr>
        <w:fldChar w:fldCharType="separate"/>
      </w:r>
      <w:r w:rsidR="00341CF9" w:rsidRPr="00871709">
        <w:rPr>
          <w:rFonts w:ascii="Arial" w:hAnsi="Arial" w:cs="Arial"/>
          <w:sz w:val="24"/>
        </w:rPr>
        <w:t>(Benjamin, 2020)</w:t>
      </w:r>
      <w:r w:rsidR="00341CF9"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xml:space="preserve">. </w:t>
      </w:r>
    </w:p>
    <w:p w14:paraId="1440A166" w14:textId="5BDE5F15" w:rsidR="00744F80" w:rsidRPr="00871709" w:rsidRDefault="00744F80" w:rsidP="00744F80">
      <w:pPr>
        <w:pStyle w:val="Heading1"/>
        <w:spacing w:line="360" w:lineRule="auto"/>
        <w:jc w:val="both"/>
        <w:rPr>
          <w:rFonts w:ascii="Arial" w:hAnsi="Arial" w:cs="Arial"/>
        </w:rPr>
      </w:pPr>
      <w:bookmarkStart w:id="11" w:name="_Toc166189247"/>
      <w:r w:rsidRPr="00871709">
        <w:rPr>
          <w:rFonts w:ascii="Arial" w:hAnsi="Arial" w:cs="Arial"/>
        </w:rPr>
        <w:t>Potential solutions</w:t>
      </w:r>
      <w:bookmarkEnd w:id="11"/>
    </w:p>
    <w:p w14:paraId="14C51C66" w14:textId="6AB79F91" w:rsidR="00744F80" w:rsidRPr="00871709" w:rsidRDefault="00744F80" w:rsidP="00744F80">
      <w:pPr>
        <w:spacing w:after="240" w:line="360" w:lineRule="auto"/>
        <w:jc w:val="both"/>
        <w:rPr>
          <w:rFonts w:ascii="Arial" w:eastAsia="Times New Roman" w:hAnsi="Arial" w:cs="Arial"/>
          <w:kern w:val="0"/>
          <w:sz w:val="24"/>
          <w:szCs w:val="24"/>
          <w14:ligatures w14:val="none"/>
        </w:rPr>
      </w:pPr>
      <w:r w:rsidRPr="00744F80">
        <w:rPr>
          <w:rFonts w:ascii="Arial" w:eastAsia="Times New Roman" w:hAnsi="Arial" w:cs="Arial"/>
          <w:kern w:val="0"/>
          <w:sz w:val="24"/>
          <w:szCs w:val="24"/>
          <w14:ligatures w14:val="none"/>
        </w:rPr>
        <w:t>After entering the twenty-first century, where globalisation of the world economy and the information economy are the two most important elements of the rapidly expanding global economy, cross-border commerce has become the only way for Hilton to thrive. Multinational human resource management staffs have begun to focus on developing the foundation of this indicator for company development</w:t>
      </w:r>
      <w:r w:rsidR="002C714D" w:rsidRPr="00871709">
        <w:rPr>
          <w:rFonts w:ascii="Arial" w:eastAsia="Times New Roman" w:hAnsi="Arial" w:cs="Arial"/>
          <w:kern w:val="0"/>
          <w:sz w:val="24"/>
          <w:szCs w:val="24"/>
          <w14:ligatures w14:val="none"/>
        </w:rPr>
        <w:t xml:space="preserve"> </w:t>
      </w:r>
      <w:r w:rsidR="002C714D" w:rsidRPr="00871709">
        <w:rPr>
          <w:rFonts w:ascii="Arial" w:eastAsia="Times New Roman" w:hAnsi="Arial" w:cs="Arial"/>
          <w:kern w:val="0"/>
          <w:sz w:val="24"/>
          <w:szCs w:val="24"/>
          <w14:ligatures w14:val="none"/>
        </w:rPr>
        <w:fldChar w:fldCharType="begin"/>
      </w:r>
      <w:r w:rsidR="002C714D" w:rsidRPr="00871709">
        <w:rPr>
          <w:rFonts w:ascii="Arial" w:eastAsia="Times New Roman" w:hAnsi="Arial" w:cs="Arial"/>
          <w:kern w:val="0"/>
          <w:sz w:val="24"/>
          <w:szCs w:val="24"/>
          <w14:ligatures w14:val="none"/>
        </w:rPr>
        <w:instrText xml:space="preserve"> ADDIN ZOTERO_ITEM CSL_CITATION {"citationID":"gF27yaw7","properties":{"formattedCitation":"(Reiche {\\i{}et al.}, 2016)","plainCitation":"(Reiche et al., 2016)","noteIndex":0},"citationItems":[{"id":1226,"uris":["http://zotero.org/users/9433278/items/5J5DJFHA"],"itemData":{"id":1226,"type":"book","abstract":"The new edition of Readings and Cases in International Human Resource Management examines the interactions between people, cultures, and human resource systems in a wide variety of regions throughout the world. Taking account of recent developments in the international human resources management (IHRM) field, the sixth edition will enable students to meet the international challenges they will face in the workforce, and sensitize them to the complexity of human resource issues in the era of globalization.  Features include:   New readings and case studies that account for recent changes in the field, positioned alongside \"tried and true\" material. An increased focus on cross-cultural diversity and tools to bridge \"social distance\" between team members. Supplemental material and teaching notes, available for download, to enhance instructors’ abilities to use the readings and cases with their students.   With well-known contributors and field experts, this is the ideal accompaniment for any class in international human resource management, organizational studies, or international business.","ISBN":"978-1-317-36191-6","language":"en","note":"Google-Books-ID: KjolDwAAQBAJ","number-of-pages":"531","publisher":"Taylor &amp; Francis","source":"Google Books","title":"Readings and Cases in International Human Resource Management","author":[{"family":"Reiche","given":"B. Sebastian"},{"family":"Stahl","given":"Günter"},{"family":"Mendenhall","given":"Mark E."},{"family":"Oddou","given":"Gary R."}],"issued":{"date-parts":[["2016",11,8]]}}}],"schema":"https://github.com/citation-style-language/schema/raw/master/csl-citation.json"} </w:instrText>
      </w:r>
      <w:r w:rsidR="002C714D" w:rsidRPr="00871709">
        <w:rPr>
          <w:rFonts w:ascii="Arial" w:eastAsia="Times New Roman" w:hAnsi="Arial" w:cs="Arial"/>
          <w:kern w:val="0"/>
          <w:sz w:val="24"/>
          <w:szCs w:val="24"/>
          <w14:ligatures w14:val="none"/>
        </w:rPr>
        <w:fldChar w:fldCharType="separate"/>
      </w:r>
      <w:r w:rsidR="002C714D" w:rsidRPr="00871709">
        <w:rPr>
          <w:rFonts w:ascii="Arial" w:hAnsi="Arial" w:cs="Arial"/>
          <w:kern w:val="0"/>
          <w:sz w:val="24"/>
          <w:szCs w:val="24"/>
        </w:rPr>
        <w:t xml:space="preserve">(Reiche </w:t>
      </w:r>
      <w:r w:rsidR="002C714D" w:rsidRPr="00871709">
        <w:rPr>
          <w:rFonts w:ascii="Arial" w:hAnsi="Arial" w:cs="Arial"/>
          <w:i/>
          <w:iCs/>
          <w:kern w:val="0"/>
          <w:sz w:val="24"/>
          <w:szCs w:val="24"/>
        </w:rPr>
        <w:t>et al.</w:t>
      </w:r>
      <w:r w:rsidR="002C714D" w:rsidRPr="00871709">
        <w:rPr>
          <w:rFonts w:ascii="Arial" w:hAnsi="Arial" w:cs="Arial"/>
          <w:kern w:val="0"/>
          <w:sz w:val="24"/>
          <w:szCs w:val="24"/>
        </w:rPr>
        <w:t>, 2016)</w:t>
      </w:r>
      <w:r w:rsidR="002C714D"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xml:space="preserve">. As a result, in order to promote people, improve organisational performance, and achieve shared growth, businesses and employees prioritise performance management in the new </w:t>
      </w:r>
      <w:r w:rsidRPr="00744F80">
        <w:rPr>
          <w:rFonts w:ascii="Arial" w:eastAsia="Times New Roman" w:hAnsi="Arial" w:cs="Arial"/>
          <w:kern w:val="0"/>
          <w:sz w:val="24"/>
          <w:szCs w:val="24"/>
          <w14:ligatures w14:val="none"/>
        </w:rPr>
        <w:lastRenderedPageBreak/>
        <w:t>human resource management difficulties. The rapid rise of performance management, which began in the 1980s and was based on theory and experience from other countries, has been extremely successful</w:t>
      </w:r>
      <w:r w:rsidR="00341CF9" w:rsidRPr="00871709">
        <w:rPr>
          <w:rFonts w:ascii="Arial" w:eastAsia="Times New Roman" w:hAnsi="Arial" w:cs="Arial"/>
          <w:kern w:val="0"/>
          <w:sz w:val="24"/>
          <w:szCs w:val="24"/>
          <w14:ligatures w14:val="none"/>
        </w:rPr>
        <w:t xml:space="preserve"> </w:t>
      </w:r>
      <w:r w:rsidR="00341CF9" w:rsidRPr="00871709">
        <w:rPr>
          <w:rFonts w:ascii="Arial" w:eastAsia="Times New Roman" w:hAnsi="Arial" w:cs="Arial"/>
          <w:kern w:val="0"/>
          <w:sz w:val="24"/>
          <w:szCs w:val="24"/>
          <w14:ligatures w14:val="none"/>
        </w:rPr>
        <w:fldChar w:fldCharType="begin"/>
      </w:r>
      <w:r w:rsidR="00341CF9" w:rsidRPr="00871709">
        <w:rPr>
          <w:rFonts w:ascii="Arial" w:eastAsia="Times New Roman" w:hAnsi="Arial" w:cs="Arial"/>
          <w:kern w:val="0"/>
          <w:sz w:val="24"/>
          <w:szCs w:val="24"/>
          <w14:ligatures w14:val="none"/>
        </w:rPr>
        <w:instrText xml:space="preserve"> ADDIN ZOTERO_ITEM CSL_CITATION {"citationID":"vJyvbwE0","properties":{"formattedCitation":"(Inman, O\\uc0\\u8217{}Sullivan and Murton, 2014)","plainCitation":"(Inman, O’Sullivan and Murton, 2014)","noteIndex":0},"citationItems":[{"id":11195,"uris":["http://zotero.org/users/9433278/items/2PX3NYHG"],"itemData":{"id":11195,"type":"book","abstract":"Unlocking Business is a new kind of textbook for business students in their first and second year of a degree. Unlocking Human Resource Management provides the following benefits:- Strict coverage of key knowledge, concepts and ideas, keeping the title lean and focused and allowing students to find what they want without having to plough through thousands of pages.- Carefully written for the learner - case studies, exercises and seminar ideas are woven into the text to help students learn as quickly as possible and to retain that knowledge in the most time-efficient way.- Encourages good practice such as complete referencing and suggested wider reading, to help those who wish to obtain the best possible degree classification.- Useful web resources include further case studies, revision summaries and interactive multiple-choice quizzes at www.routledge.com/cw/inman\n- A cost-effective way to prepare students for their studies.","event-place":"London","ISBN":"978-0-203-78104-3","note":"DOI: 10.4324/9780203781043","number-of-pages":"416","publisher":"Routledge","publisher-place":"London","title":"Unlocking Human Resource Management","author":[{"family":"Inman","given":"Margaret"},{"family":"O'Sullivan","given":"Nuala"},{"family":"Murton","given":"Adrian"}],"issued":{"date-parts":[["2014",1,14]]}}}],"schema":"https://github.com/citation-style-language/schema/raw/master/csl-citation.json"} </w:instrText>
      </w:r>
      <w:r w:rsidR="00341CF9" w:rsidRPr="00871709">
        <w:rPr>
          <w:rFonts w:ascii="Arial" w:eastAsia="Times New Roman" w:hAnsi="Arial" w:cs="Arial"/>
          <w:kern w:val="0"/>
          <w:sz w:val="24"/>
          <w:szCs w:val="24"/>
          <w14:ligatures w14:val="none"/>
        </w:rPr>
        <w:fldChar w:fldCharType="separate"/>
      </w:r>
      <w:r w:rsidR="00341CF9" w:rsidRPr="00871709">
        <w:rPr>
          <w:rFonts w:ascii="Arial" w:hAnsi="Arial" w:cs="Arial"/>
          <w:kern w:val="0"/>
          <w:sz w:val="24"/>
          <w:szCs w:val="24"/>
        </w:rPr>
        <w:t>(Inman, O’Sullivan and Murton, 2014)</w:t>
      </w:r>
      <w:r w:rsidR="00341CF9" w:rsidRPr="00871709">
        <w:rPr>
          <w:rFonts w:ascii="Arial" w:eastAsia="Times New Roman" w:hAnsi="Arial" w:cs="Arial"/>
          <w:kern w:val="0"/>
          <w:sz w:val="24"/>
          <w:szCs w:val="24"/>
          <w14:ligatures w14:val="none"/>
        </w:rPr>
        <w:fldChar w:fldCharType="end"/>
      </w:r>
      <w:r w:rsidRPr="00744F80">
        <w:rPr>
          <w:rFonts w:ascii="Arial" w:eastAsia="Times New Roman" w:hAnsi="Arial" w:cs="Arial"/>
          <w:kern w:val="0"/>
          <w:sz w:val="24"/>
          <w:szCs w:val="24"/>
          <w14:ligatures w14:val="none"/>
        </w:rPr>
        <w:t xml:space="preserve">. </w:t>
      </w:r>
    </w:p>
    <w:p w14:paraId="77AC7327" w14:textId="510054E1" w:rsidR="00744F80" w:rsidRPr="00871709" w:rsidRDefault="00744F80" w:rsidP="00744F80">
      <w:pPr>
        <w:pStyle w:val="Heading1"/>
        <w:spacing w:line="360" w:lineRule="auto"/>
        <w:jc w:val="both"/>
        <w:rPr>
          <w:rFonts w:ascii="Arial" w:hAnsi="Arial" w:cs="Arial"/>
        </w:rPr>
      </w:pPr>
      <w:bookmarkStart w:id="12" w:name="_Toc166189248"/>
      <w:r w:rsidRPr="00871709">
        <w:rPr>
          <w:rFonts w:ascii="Arial" w:hAnsi="Arial" w:cs="Arial"/>
        </w:rPr>
        <w:t>Conclusion</w:t>
      </w:r>
      <w:bookmarkEnd w:id="12"/>
      <w:r w:rsidRPr="00871709">
        <w:rPr>
          <w:rFonts w:ascii="Arial" w:hAnsi="Arial" w:cs="Arial"/>
        </w:rPr>
        <w:t xml:space="preserve"> </w:t>
      </w:r>
    </w:p>
    <w:p w14:paraId="3BBA48D8" w14:textId="6C64F233" w:rsidR="00744F80" w:rsidRPr="00744F80" w:rsidRDefault="00744F80" w:rsidP="00744F80">
      <w:pPr>
        <w:spacing w:after="240" w:line="360" w:lineRule="auto"/>
        <w:jc w:val="both"/>
        <w:rPr>
          <w:rFonts w:ascii="Arial" w:eastAsia="Times New Roman" w:hAnsi="Arial" w:cs="Arial"/>
          <w:kern w:val="0"/>
          <w:sz w:val="24"/>
          <w:szCs w:val="24"/>
          <w14:ligatures w14:val="none"/>
        </w:rPr>
      </w:pPr>
      <w:r w:rsidRPr="00744F80">
        <w:rPr>
          <w:rFonts w:ascii="Arial" w:eastAsia="Times New Roman" w:hAnsi="Arial" w:cs="Arial"/>
          <w:kern w:val="0"/>
          <w:sz w:val="24"/>
          <w:szCs w:val="24"/>
          <w14:ligatures w14:val="none"/>
        </w:rPr>
        <w:t xml:space="preserve">Hilton Hotels is one of the largest hospitality companies in the world. They own, manage, and franchise a variety of hotels and resorts. Hilton Hotels is part of the Hilton Worldwide portfolio, which includes other hospitality brands including Waldorf Astoria, Conrad Hotels, Canopy by Hilton, and DoubleTree by Hilton. Hilton Hotels has around 4,800 hotels with over 758,000 rooms in 105 countries and territories. Hilton aims to be the world's most hospitable organisation by providing customers with memorable, personal, and meaningful experiences. They prioritise their guests' wants and aspirations and strive to exceed their expectations. Hilton Hotels has a culture of excellence and is always innovating to improve its products and services. Hilton Hotels has been successful in implementing its strategy. </w:t>
      </w:r>
    </w:p>
    <w:p w14:paraId="3F4D4311" w14:textId="7F87723F" w:rsidR="00C41604" w:rsidRPr="00871709" w:rsidRDefault="00C41604" w:rsidP="00744F80">
      <w:pPr>
        <w:spacing w:line="360" w:lineRule="auto"/>
        <w:jc w:val="both"/>
        <w:rPr>
          <w:rFonts w:ascii="Arial" w:hAnsi="Arial" w:cs="Arial"/>
          <w:sz w:val="24"/>
          <w:szCs w:val="24"/>
        </w:rPr>
      </w:pPr>
    </w:p>
    <w:p w14:paraId="63B9C2DA" w14:textId="77777777" w:rsidR="00341CF9" w:rsidRPr="00871709" w:rsidRDefault="00341CF9" w:rsidP="00744F80">
      <w:pPr>
        <w:spacing w:line="360" w:lineRule="auto"/>
        <w:jc w:val="both"/>
        <w:rPr>
          <w:rFonts w:ascii="Arial" w:hAnsi="Arial" w:cs="Arial"/>
          <w:sz w:val="24"/>
          <w:szCs w:val="24"/>
        </w:rPr>
      </w:pPr>
    </w:p>
    <w:p w14:paraId="6E14EF29" w14:textId="77777777" w:rsidR="00341CF9" w:rsidRPr="00871709" w:rsidRDefault="00341CF9" w:rsidP="00744F80">
      <w:pPr>
        <w:spacing w:line="360" w:lineRule="auto"/>
        <w:jc w:val="both"/>
        <w:rPr>
          <w:rFonts w:ascii="Arial" w:hAnsi="Arial" w:cs="Arial"/>
          <w:sz w:val="24"/>
          <w:szCs w:val="24"/>
        </w:rPr>
      </w:pPr>
    </w:p>
    <w:p w14:paraId="7912CF1B" w14:textId="77777777" w:rsidR="00341CF9" w:rsidRPr="00871709" w:rsidRDefault="00341CF9" w:rsidP="00744F80">
      <w:pPr>
        <w:spacing w:line="360" w:lineRule="auto"/>
        <w:jc w:val="both"/>
        <w:rPr>
          <w:rFonts w:ascii="Arial" w:hAnsi="Arial" w:cs="Arial"/>
          <w:sz w:val="24"/>
          <w:szCs w:val="24"/>
        </w:rPr>
      </w:pPr>
    </w:p>
    <w:p w14:paraId="5B6D4A1C" w14:textId="77777777" w:rsidR="00341CF9" w:rsidRPr="00871709" w:rsidRDefault="00341CF9" w:rsidP="00744F80">
      <w:pPr>
        <w:spacing w:line="360" w:lineRule="auto"/>
        <w:jc w:val="both"/>
        <w:rPr>
          <w:rFonts w:ascii="Arial" w:hAnsi="Arial" w:cs="Arial"/>
          <w:sz w:val="24"/>
          <w:szCs w:val="24"/>
        </w:rPr>
      </w:pPr>
    </w:p>
    <w:p w14:paraId="277D4EFF" w14:textId="77777777" w:rsidR="00341CF9" w:rsidRPr="00871709" w:rsidRDefault="00341CF9" w:rsidP="00744F80">
      <w:pPr>
        <w:spacing w:line="360" w:lineRule="auto"/>
        <w:jc w:val="both"/>
        <w:rPr>
          <w:rFonts w:ascii="Arial" w:hAnsi="Arial" w:cs="Arial"/>
          <w:sz w:val="24"/>
          <w:szCs w:val="24"/>
        </w:rPr>
      </w:pPr>
    </w:p>
    <w:p w14:paraId="427DBC1C" w14:textId="77777777" w:rsidR="00341CF9" w:rsidRPr="00871709" w:rsidRDefault="00341CF9" w:rsidP="00744F80">
      <w:pPr>
        <w:spacing w:line="360" w:lineRule="auto"/>
        <w:jc w:val="both"/>
        <w:rPr>
          <w:rFonts w:ascii="Arial" w:hAnsi="Arial" w:cs="Arial"/>
          <w:sz w:val="24"/>
          <w:szCs w:val="24"/>
        </w:rPr>
      </w:pPr>
    </w:p>
    <w:p w14:paraId="46264A45" w14:textId="77777777" w:rsidR="00341CF9" w:rsidRPr="00871709" w:rsidRDefault="00341CF9" w:rsidP="00744F80">
      <w:pPr>
        <w:spacing w:line="360" w:lineRule="auto"/>
        <w:jc w:val="both"/>
        <w:rPr>
          <w:rFonts w:ascii="Arial" w:hAnsi="Arial" w:cs="Arial"/>
          <w:sz w:val="24"/>
          <w:szCs w:val="24"/>
        </w:rPr>
      </w:pPr>
    </w:p>
    <w:p w14:paraId="704BF886" w14:textId="77777777" w:rsidR="00341CF9" w:rsidRPr="00871709" w:rsidRDefault="00341CF9" w:rsidP="00744F80">
      <w:pPr>
        <w:spacing w:line="360" w:lineRule="auto"/>
        <w:jc w:val="both"/>
        <w:rPr>
          <w:rFonts w:ascii="Arial" w:hAnsi="Arial" w:cs="Arial"/>
          <w:sz w:val="24"/>
          <w:szCs w:val="24"/>
        </w:rPr>
      </w:pPr>
    </w:p>
    <w:p w14:paraId="4E71D26A" w14:textId="77777777" w:rsidR="00341CF9" w:rsidRPr="00871709" w:rsidRDefault="00341CF9" w:rsidP="00744F80">
      <w:pPr>
        <w:spacing w:line="360" w:lineRule="auto"/>
        <w:jc w:val="both"/>
        <w:rPr>
          <w:rFonts w:ascii="Arial" w:hAnsi="Arial" w:cs="Arial"/>
          <w:sz w:val="24"/>
          <w:szCs w:val="24"/>
        </w:rPr>
      </w:pPr>
    </w:p>
    <w:p w14:paraId="723E7D72" w14:textId="77777777" w:rsidR="00871709" w:rsidRPr="00871709" w:rsidRDefault="00871709" w:rsidP="00744F80">
      <w:pPr>
        <w:spacing w:line="360" w:lineRule="auto"/>
        <w:jc w:val="both"/>
        <w:rPr>
          <w:rFonts w:ascii="Arial" w:hAnsi="Arial" w:cs="Arial"/>
          <w:sz w:val="24"/>
          <w:szCs w:val="24"/>
        </w:rPr>
      </w:pPr>
    </w:p>
    <w:p w14:paraId="09584DCA" w14:textId="373B64E3" w:rsidR="00341CF9" w:rsidRPr="00871709" w:rsidRDefault="00341CF9" w:rsidP="00341CF9">
      <w:pPr>
        <w:pStyle w:val="Heading1"/>
        <w:rPr>
          <w:rFonts w:ascii="Arial" w:hAnsi="Arial" w:cs="Arial"/>
        </w:rPr>
      </w:pPr>
      <w:bookmarkStart w:id="13" w:name="_Toc166189249"/>
      <w:r w:rsidRPr="00871709">
        <w:rPr>
          <w:rFonts w:ascii="Arial" w:hAnsi="Arial" w:cs="Arial"/>
        </w:rPr>
        <w:lastRenderedPageBreak/>
        <w:t>References</w:t>
      </w:r>
      <w:bookmarkEnd w:id="13"/>
    </w:p>
    <w:p w14:paraId="71A147DF" w14:textId="77777777" w:rsidR="002C714D" w:rsidRPr="00871709" w:rsidRDefault="00341CF9" w:rsidP="002C714D">
      <w:pPr>
        <w:pStyle w:val="Bibliography"/>
        <w:rPr>
          <w:rFonts w:ascii="Arial" w:hAnsi="Arial" w:cs="Arial"/>
          <w:sz w:val="24"/>
        </w:rPr>
      </w:pPr>
      <w:r w:rsidRPr="00871709">
        <w:rPr>
          <w:rFonts w:ascii="Arial" w:hAnsi="Arial" w:cs="Arial"/>
          <w:b/>
          <w:bCs/>
        </w:rPr>
        <w:fldChar w:fldCharType="begin"/>
      </w:r>
      <w:r w:rsidRPr="00871709">
        <w:rPr>
          <w:rFonts w:ascii="Arial" w:hAnsi="Arial" w:cs="Arial"/>
          <w:b/>
          <w:bCs/>
        </w:rPr>
        <w:instrText xml:space="preserve"> ADDIN ZOTERO_BIBL {"uncited":[],"omitted":[],"custom":[]} CSL_BIBLIOGRAPHY </w:instrText>
      </w:r>
      <w:r w:rsidRPr="00871709">
        <w:rPr>
          <w:rFonts w:ascii="Arial" w:hAnsi="Arial" w:cs="Arial"/>
          <w:b/>
          <w:bCs/>
        </w:rPr>
        <w:fldChar w:fldCharType="separate"/>
      </w:r>
      <w:r w:rsidR="002C714D" w:rsidRPr="00871709">
        <w:rPr>
          <w:rFonts w:ascii="Arial" w:hAnsi="Arial" w:cs="Arial"/>
          <w:sz w:val="24"/>
        </w:rPr>
        <w:t xml:space="preserve">Alameri, M. </w:t>
      </w:r>
      <w:r w:rsidR="002C714D" w:rsidRPr="00871709">
        <w:rPr>
          <w:rFonts w:ascii="Arial" w:hAnsi="Arial" w:cs="Arial"/>
          <w:i/>
          <w:iCs/>
          <w:sz w:val="24"/>
        </w:rPr>
        <w:t>et al.</w:t>
      </w:r>
      <w:r w:rsidR="002C714D" w:rsidRPr="00871709">
        <w:rPr>
          <w:rFonts w:ascii="Arial" w:hAnsi="Arial" w:cs="Arial"/>
          <w:sz w:val="24"/>
        </w:rPr>
        <w:t xml:space="preserve"> (2021) ‘Financial Analysis of Hilton Holdings’. Rochester, NY. Available at: https://doi.org/10.2139/ssrn.3930493.</w:t>
      </w:r>
    </w:p>
    <w:p w14:paraId="534F2A86"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Albrecht, S.L. </w:t>
      </w:r>
      <w:r w:rsidRPr="00871709">
        <w:rPr>
          <w:rFonts w:ascii="Arial" w:hAnsi="Arial" w:cs="Arial"/>
          <w:i/>
          <w:iCs/>
          <w:sz w:val="24"/>
        </w:rPr>
        <w:t>et al.</w:t>
      </w:r>
      <w:r w:rsidRPr="00871709">
        <w:rPr>
          <w:rFonts w:ascii="Arial" w:hAnsi="Arial" w:cs="Arial"/>
          <w:sz w:val="24"/>
        </w:rPr>
        <w:t xml:space="preserve"> (2015) ‘Employee engagement, human resource management practices and competitive advantage: An integrated approach’, </w:t>
      </w:r>
      <w:r w:rsidRPr="00871709">
        <w:rPr>
          <w:rFonts w:ascii="Arial" w:hAnsi="Arial" w:cs="Arial"/>
          <w:i/>
          <w:iCs/>
          <w:sz w:val="24"/>
        </w:rPr>
        <w:t>Journal of Organizational Effectiveness: People and Performance</w:t>
      </w:r>
      <w:r w:rsidRPr="00871709">
        <w:rPr>
          <w:rFonts w:ascii="Arial" w:hAnsi="Arial" w:cs="Arial"/>
          <w:sz w:val="24"/>
        </w:rPr>
        <w:t>, 2(1), pp. 7–35. Available at: https://doi.org/10.1108/JOEPP-08-2014-0042.</w:t>
      </w:r>
    </w:p>
    <w:p w14:paraId="1F1F41E8"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Armstrong, M. and Taylor, S. (2014) </w:t>
      </w:r>
      <w:r w:rsidRPr="00871709">
        <w:rPr>
          <w:rFonts w:ascii="Arial" w:hAnsi="Arial" w:cs="Arial"/>
          <w:i/>
          <w:iCs/>
          <w:sz w:val="24"/>
        </w:rPr>
        <w:t>Armstrong’s Handbook of Human Resource Management Practice</w:t>
      </w:r>
      <w:r w:rsidRPr="00871709">
        <w:rPr>
          <w:rFonts w:ascii="Arial" w:hAnsi="Arial" w:cs="Arial"/>
          <w:sz w:val="24"/>
        </w:rPr>
        <w:t>. 13th edition. London: Kogan Page Ltd.</w:t>
      </w:r>
    </w:p>
    <w:p w14:paraId="0D3011FD"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Benjamin, L. (2020) ‘Achieving The Dream Through A Screen: Exploring Employee Engagement And Commitment In Virtual Environments’, </w:t>
      </w:r>
      <w:r w:rsidRPr="00871709">
        <w:rPr>
          <w:rFonts w:ascii="Arial" w:hAnsi="Arial" w:cs="Arial"/>
          <w:i/>
          <w:iCs/>
          <w:sz w:val="24"/>
        </w:rPr>
        <w:t>Master of Science in Organizational Dynamics Theses</w:t>
      </w:r>
      <w:r w:rsidRPr="00871709">
        <w:rPr>
          <w:rFonts w:ascii="Arial" w:hAnsi="Arial" w:cs="Arial"/>
          <w:sz w:val="24"/>
        </w:rPr>
        <w:t xml:space="preserve"> [Preprint]. Available at: https://repository.upenn.edu/od_theses_msod/103.</w:t>
      </w:r>
    </w:p>
    <w:p w14:paraId="082ECCF0"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Carter, D. and Baghurst, T. (2014) ‘The Influence of Servant Leadership on Restaurant Employee Engagement’, </w:t>
      </w:r>
      <w:r w:rsidRPr="00871709">
        <w:rPr>
          <w:rFonts w:ascii="Arial" w:hAnsi="Arial" w:cs="Arial"/>
          <w:i/>
          <w:iCs/>
          <w:sz w:val="24"/>
        </w:rPr>
        <w:t>Journal of Business Ethics</w:t>
      </w:r>
      <w:r w:rsidRPr="00871709">
        <w:rPr>
          <w:rFonts w:ascii="Arial" w:hAnsi="Arial" w:cs="Arial"/>
          <w:sz w:val="24"/>
        </w:rPr>
        <w:t>, 124(3), pp. 453–464. Available at: https://doi.org/10.1007/s10551-013-1882-0.</w:t>
      </w:r>
    </w:p>
    <w:p w14:paraId="0678C53E"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Çetin, H.A., Ultav, Z.T. and Uz, F. (2019) ‘Reflections of the İstanbul Hilton Hotel on Mid-century Hotel Buildings in Turkey’, </w:t>
      </w:r>
      <w:r w:rsidRPr="00871709">
        <w:rPr>
          <w:rFonts w:ascii="Arial" w:hAnsi="Arial" w:cs="Arial"/>
          <w:i/>
          <w:iCs/>
          <w:sz w:val="24"/>
        </w:rPr>
        <w:t>Art-Sanat Dergisi</w:t>
      </w:r>
      <w:r w:rsidRPr="00871709">
        <w:rPr>
          <w:rFonts w:ascii="Arial" w:hAnsi="Arial" w:cs="Arial"/>
          <w:sz w:val="24"/>
        </w:rPr>
        <w:t>, (12), pp. 57–88. Available at: https://dergipark.org.tr/en/pub/iuarts/issue/47471/598494 (Accessed: 9 May 2024).</w:t>
      </w:r>
    </w:p>
    <w:p w14:paraId="62339BE3"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Chang, Y.-C., Ku, C.-H. and Chen, C.-H. (2019) ‘Social media analytics: Extracting and visualizing Hilton hotel ratings and reviews from TripAdvisor’, </w:t>
      </w:r>
      <w:r w:rsidRPr="00871709">
        <w:rPr>
          <w:rFonts w:ascii="Arial" w:hAnsi="Arial" w:cs="Arial"/>
          <w:i/>
          <w:iCs/>
          <w:sz w:val="24"/>
        </w:rPr>
        <w:t>International Journal of Information Management</w:t>
      </w:r>
      <w:r w:rsidRPr="00871709">
        <w:rPr>
          <w:rFonts w:ascii="Arial" w:hAnsi="Arial" w:cs="Arial"/>
          <w:sz w:val="24"/>
        </w:rPr>
        <w:t>, 48, pp. 263–279. Available at: https://doi.org/10.1016/j.ijinfomgt.2017.11.001.</w:t>
      </w:r>
    </w:p>
    <w:p w14:paraId="70F02E6D"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Choubtarash Abardeh, H. (2022) </w:t>
      </w:r>
      <w:r w:rsidRPr="00871709">
        <w:rPr>
          <w:rFonts w:ascii="Arial" w:hAnsi="Arial" w:cs="Arial"/>
          <w:i/>
          <w:iCs/>
          <w:sz w:val="24"/>
        </w:rPr>
        <w:t>Finding a Path to Success for the Hilton Atlanta Downtown Hotel</w:t>
      </w:r>
      <w:r w:rsidRPr="00871709">
        <w:rPr>
          <w:rFonts w:ascii="Arial" w:hAnsi="Arial" w:cs="Arial"/>
          <w:sz w:val="24"/>
        </w:rPr>
        <w:t>. London. Available at: https://doi.org/10.4135/9781529794878.</w:t>
      </w:r>
    </w:p>
    <w:p w14:paraId="4931F911"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Dixit, S.K. and Piramanayagam, S. (2023) </w:t>
      </w:r>
      <w:r w:rsidRPr="00871709">
        <w:rPr>
          <w:rFonts w:ascii="Arial" w:hAnsi="Arial" w:cs="Arial"/>
          <w:i/>
          <w:iCs/>
          <w:sz w:val="24"/>
        </w:rPr>
        <w:t>Teaching Cases in Tourism, Hospitality and Events</w:t>
      </w:r>
      <w:r w:rsidRPr="00871709">
        <w:rPr>
          <w:rFonts w:ascii="Arial" w:hAnsi="Arial" w:cs="Arial"/>
          <w:sz w:val="24"/>
        </w:rPr>
        <w:t>. CABI.</w:t>
      </w:r>
    </w:p>
    <w:p w14:paraId="1D2CE98E"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Fachada, B.C. (2023) </w:t>
      </w:r>
      <w:r w:rsidRPr="00871709">
        <w:rPr>
          <w:rFonts w:ascii="Arial" w:hAnsi="Arial" w:cs="Arial"/>
          <w:i/>
          <w:iCs/>
          <w:sz w:val="24"/>
        </w:rPr>
        <w:t>Business adaptive strategies in crisis : the case of Hilton Hotels Worldwide</w:t>
      </w:r>
      <w:r w:rsidRPr="00871709">
        <w:rPr>
          <w:rFonts w:ascii="Arial" w:hAnsi="Arial" w:cs="Arial"/>
          <w:sz w:val="24"/>
        </w:rPr>
        <w:t>. masterThesis. Available at: https://repositorio.ucp.pt/handle/10400.14/41371 (Accessed: 9 May 2024).</w:t>
      </w:r>
    </w:p>
    <w:p w14:paraId="5F08A109"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Horn, R. (2009) </w:t>
      </w:r>
      <w:r w:rsidRPr="00871709">
        <w:rPr>
          <w:rFonts w:ascii="Arial" w:hAnsi="Arial" w:cs="Arial"/>
          <w:i/>
          <w:iCs/>
          <w:sz w:val="24"/>
        </w:rPr>
        <w:t>The Business Skills Handbook</w:t>
      </w:r>
      <w:r w:rsidRPr="00871709">
        <w:rPr>
          <w:rFonts w:ascii="Arial" w:hAnsi="Arial" w:cs="Arial"/>
          <w:sz w:val="24"/>
        </w:rPr>
        <w:t>. Chartered Institute of Personnel and Development.</w:t>
      </w:r>
    </w:p>
    <w:p w14:paraId="6916B5CD"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Inman, M., O’Sullivan, N. and Murton, A. (2014) </w:t>
      </w:r>
      <w:r w:rsidRPr="00871709">
        <w:rPr>
          <w:rFonts w:ascii="Arial" w:hAnsi="Arial" w:cs="Arial"/>
          <w:i/>
          <w:iCs/>
          <w:sz w:val="24"/>
        </w:rPr>
        <w:t>Unlocking Human Resource Management</w:t>
      </w:r>
      <w:r w:rsidRPr="00871709">
        <w:rPr>
          <w:rFonts w:ascii="Arial" w:hAnsi="Arial" w:cs="Arial"/>
          <w:sz w:val="24"/>
        </w:rPr>
        <w:t>. London: Routledge. Available at: https://doi.org/10.4324/9780203781043.</w:t>
      </w:r>
    </w:p>
    <w:p w14:paraId="27496A04" w14:textId="77777777" w:rsidR="002C714D" w:rsidRPr="00871709" w:rsidRDefault="002C714D" w:rsidP="002C714D">
      <w:pPr>
        <w:pStyle w:val="Bibliography"/>
        <w:rPr>
          <w:rFonts w:ascii="Arial" w:hAnsi="Arial" w:cs="Arial"/>
          <w:sz w:val="24"/>
        </w:rPr>
      </w:pPr>
      <w:r w:rsidRPr="00871709">
        <w:rPr>
          <w:rFonts w:ascii="Arial" w:hAnsi="Arial" w:cs="Arial"/>
          <w:sz w:val="24"/>
        </w:rPr>
        <w:lastRenderedPageBreak/>
        <w:t xml:space="preserve">Jia, Y. </w:t>
      </w:r>
      <w:r w:rsidRPr="00871709">
        <w:rPr>
          <w:rFonts w:ascii="Arial" w:hAnsi="Arial" w:cs="Arial"/>
          <w:i/>
          <w:iCs/>
          <w:sz w:val="24"/>
        </w:rPr>
        <w:t>et al.</w:t>
      </w:r>
      <w:r w:rsidRPr="00871709">
        <w:rPr>
          <w:rFonts w:ascii="Arial" w:hAnsi="Arial" w:cs="Arial"/>
          <w:sz w:val="24"/>
        </w:rPr>
        <w:t xml:space="preserve"> (2022) </w:t>
      </w:r>
      <w:r w:rsidRPr="00871709">
        <w:rPr>
          <w:rFonts w:ascii="Arial" w:hAnsi="Arial" w:cs="Arial"/>
          <w:i/>
          <w:iCs/>
          <w:sz w:val="24"/>
        </w:rPr>
        <w:t>Serving Hotel Customers in a Postpandemic World: How Can Hilton Worldwide Recover and Change?</w:t>
      </w:r>
      <w:r w:rsidRPr="00871709">
        <w:rPr>
          <w:rFonts w:ascii="Arial" w:hAnsi="Arial" w:cs="Arial"/>
          <w:sz w:val="24"/>
        </w:rPr>
        <w:t xml:space="preserve"> London. Available at: https://doi.org/10.4135/9781529792683.</w:t>
      </w:r>
    </w:p>
    <w:p w14:paraId="4674EE8C"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Jones, P., Hillier, D. and Comfort, D. (2014) ‘Sustainability in the global hotel industry’, </w:t>
      </w:r>
      <w:r w:rsidRPr="00871709">
        <w:rPr>
          <w:rFonts w:ascii="Arial" w:hAnsi="Arial" w:cs="Arial"/>
          <w:i/>
          <w:iCs/>
          <w:sz w:val="24"/>
        </w:rPr>
        <w:t>International Journal of Contemporary Hospitality Management</w:t>
      </w:r>
      <w:r w:rsidRPr="00871709">
        <w:rPr>
          <w:rFonts w:ascii="Arial" w:hAnsi="Arial" w:cs="Arial"/>
          <w:sz w:val="24"/>
        </w:rPr>
        <w:t>, 26(1), pp. 5–17. Available at: https://doi.org/10.1108/IJCHM-10-2012-0180.</w:t>
      </w:r>
    </w:p>
    <w:p w14:paraId="0EF05B90"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Kang, M. and Sung, M. (2017) ‘How symmetrical employee communication leads to employee engagement and positive employee communication behaviors: The mediation of employee-organization relationships’, </w:t>
      </w:r>
      <w:r w:rsidRPr="00871709">
        <w:rPr>
          <w:rFonts w:ascii="Arial" w:hAnsi="Arial" w:cs="Arial"/>
          <w:i/>
          <w:iCs/>
          <w:sz w:val="24"/>
        </w:rPr>
        <w:t>Journal of Communication Management</w:t>
      </w:r>
      <w:r w:rsidRPr="00871709">
        <w:rPr>
          <w:rFonts w:ascii="Arial" w:hAnsi="Arial" w:cs="Arial"/>
          <w:sz w:val="24"/>
        </w:rPr>
        <w:t>, 21(1), pp. 82–102. Available at: https://doi.org/10.1108/JCOM-04-2016-0026.</w:t>
      </w:r>
    </w:p>
    <w:p w14:paraId="35F5499A"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Marchington, M. </w:t>
      </w:r>
      <w:r w:rsidRPr="00871709">
        <w:rPr>
          <w:rFonts w:ascii="Arial" w:hAnsi="Arial" w:cs="Arial"/>
          <w:i/>
          <w:iCs/>
          <w:sz w:val="24"/>
        </w:rPr>
        <w:t>et al.</w:t>
      </w:r>
      <w:r w:rsidRPr="00871709">
        <w:rPr>
          <w:rFonts w:ascii="Arial" w:hAnsi="Arial" w:cs="Arial"/>
          <w:sz w:val="24"/>
        </w:rPr>
        <w:t xml:space="preserve"> (2016) </w:t>
      </w:r>
      <w:r w:rsidRPr="00871709">
        <w:rPr>
          <w:rFonts w:ascii="Arial" w:hAnsi="Arial" w:cs="Arial"/>
          <w:i/>
          <w:iCs/>
          <w:sz w:val="24"/>
        </w:rPr>
        <w:t>Human Resource Management at Work</w:t>
      </w:r>
      <w:r w:rsidRPr="00871709">
        <w:rPr>
          <w:rFonts w:ascii="Arial" w:hAnsi="Arial" w:cs="Arial"/>
          <w:sz w:val="24"/>
        </w:rPr>
        <w:t>. Kogan Page.</w:t>
      </w:r>
    </w:p>
    <w:p w14:paraId="1E156BD2"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Reiche, B.S. </w:t>
      </w:r>
      <w:r w:rsidRPr="00871709">
        <w:rPr>
          <w:rFonts w:ascii="Arial" w:hAnsi="Arial" w:cs="Arial"/>
          <w:i/>
          <w:iCs/>
          <w:sz w:val="24"/>
        </w:rPr>
        <w:t>et al.</w:t>
      </w:r>
      <w:r w:rsidRPr="00871709">
        <w:rPr>
          <w:rFonts w:ascii="Arial" w:hAnsi="Arial" w:cs="Arial"/>
          <w:sz w:val="24"/>
        </w:rPr>
        <w:t xml:space="preserve"> (2016) </w:t>
      </w:r>
      <w:r w:rsidRPr="00871709">
        <w:rPr>
          <w:rFonts w:ascii="Arial" w:hAnsi="Arial" w:cs="Arial"/>
          <w:i/>
          <w:iCs/>
          <w:sz w:val="24"/>
        </w:rPr>
        <w:t>Readings and Cases in International Human Resource Management</w:t>
      </w:r>
      <w:r w:rsidRPr="00871709">
        <w:rPr>
          <w:rFonts w:ascii="Arial" w:hAnsi="Arial" w:cs="Arial"/>
          <w:sz w:val="24"/>
        </w:rPr>
        <w:t>. Taylor &amp; Francis.</w:t>
      </w:r>
    </w:p>
    <w:p w14:paraId="36D606B8" w14:textId="77777777" w:rsidR="002C714D" w:rsidRPr="00871709" w:rsidRDefault="002C714D" w:rsidP="002C714D">
      <w:pPr>
        <w:pStyle w:val="Bibliography"/>
        <w:rPr>
          <w:rFonts w:ascii="Arial" w:hAnsi="Arial" w:cs="Arial"/>
          <w:sz w:val="24"/>
        </w:rPr>
      </w:pPr>
      <w:r w:rsidRPr="00871709">
        <w:rPr>
          <w:rFonts w:ascii="Arial" w:hAnsi="Arial" w:cs="Arial"/>
          <w:sz w:val="24"/>
        </w:rPr>
        <w:t>Reidhead, C. (2020) ‘Impact of Organizational Culture on Employee Satisfaction: A Case of Hilton Hotel, United Kingdom’. Rochester, NY. Available at: https://papers.ssrn.com/abstract=3563546 (Accessed: 9 May 2024).</w:t>
      </w:r>
    </w:p>
    <w:p w14:paraId="4BCC99DC"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Umar, A. </w:t>
      </w:r>
      <w:r w:rsidRPr="00871709">
        <w:rPr>
          <w:rFonts w:ascii="Arial" w:hAnsi="Arial" w:cs="Arial"/>
          <w:i/>
          <w:iCs/>
          <w:sz w:val="24"/>
        </w:rPr>
        <w:t>et al.</w:t>
      </w:r>
      <w:r w:rsidRPr="00871709">
        <w:rPr>
          <w:rFonts w:ascii="Arial" w:hAnsi="Arial" w:cs="Arial"/>
          <w:sz w:val="24"/>
        </w:rPr>
        <w:t xml:space="preserve"> (2020) ‘Training-Effectiveness and Team-Performance in Public Organization’, </w:t>
      </w:r>
      <w:r w:rsidRPr="00871709">
        <w:rPr>
          <w:rFonts w:ascii="Arial" w:hAnsi="Arial" w:cs="Arial"/>
          <w:i/>
          <w:iCs/>
          <w:sz w:val="24"/>
        </w:rPr>
        <w:t>The Journal of Asian Finance, Economics and Business</w:t>
      </w:r>
      <w:r w:rsidRPr="00871709">
        <w:rPr>
          <w:rFonts w:ascii="Arial" w:hAnsi="Arial" w:cs="Arial"/>
          <w:sz w:val="24"/>
        </w:rPr>
        <w:t>, 7(11), pp. 1021–1031. Available at: https://doi.org/10.13106/jafeb.2020.vol7.no11.1021.</w:t>
      </w:r>
    </w:p>
    <w:p w14:paraId="03375EAC" w14:textId="77777777" w:rsidR="002C714D" w:rsidRPr="00871709" w:rsidRDefault="002C714D" w:rsidP="002C714D">
      <w:pPr>
        <w:pStyle w:val="Bibliography"/>
        <w:rPr>
          <w:rFonts w:ascii="Arial" w:hAnsi="Arial" w:cs="Arial"/>
          <w:sz w:val="24"/>
        </w:rPr>
      </w:pPr>
      <w:r w:rsidRPr="00871709">
        <w:rPr>
          <w:rFonts w:ascii="Arial" w:hAnsi="Arial" w:cs="Arial"/>
          <w:sz w:val="24"/>
        </w:rPr>
        <w:t xml:space="preserve">Ying-Chang, C., Wen-Cheng, W. and Ying-Chien, C. (2011) ‘A Case Study on the Business Performance Management of Hilton Hotels Corporation’, </w:t>
      </w:r>
      <w:r w:rsidRPr="00871709">
        <w:rPr>
          <w:rFonts w:ascii="Arial" w:hAnsi="Arial" w:cs="Arial"/>
          <w:i/>
          <w:iCs/>
          <w:sz w:val="24"/>
        </w:rPr>
        <w:t>International Business Research</w:t>
      </w:r>
      <w:r w:rsidRPr="00871709">
        <w:rPr>
          <w:rFonts w:ascii="Arial" w:hAnsi="Arial" w:cs="Arial"/>
          <w:sz w:val="24"/>
        </w:rPr>
        <w:t>, 4. Available at: https://doi.org/10.5539/ibr.v4n2p213.</w:t>
      </w:r>
    </w:p>
    <w:p w14:paraId="3EA882A8" w14:textId="2111D684" w:rsidR="00341CF9" w:rsidRPr="00871709" w:rsidRDefault="00341CF9" w:rsidP="001046FC">
      <w:r w:rsidRPr="00871709">
        <w:fldChar w:fldCharType="end"/>
      </w:r>
    </w:p>
    <w:sectPr w:rsidR="00341CF9" w:rsidRPr="008717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508"/>
    <w:rsid w:val="001046FC"/>
    <w:rsid w:val="001D4261"/>
    <w:rsid w:val="002C714D"/>
    <w:rsid w:val="00341CF9"/>
    <w:rsid w:val="003B0768"/>
    <w:rsid w:val="00402508"/>
    <w:rsid w:val="004F6AF7"/>
    <w:rsid w:val="00537A5D"/>
    <w:rsid w:val="0061319E"/>
    <w:rsid w:val="006C2D16"/>
    <w:rsid w:val="00744F80"/>
    <w:rsid w:val="007F3F98"/>
    <w:rsid w:val="008528A5"/>
    <w:rsid w:val="00871709"/>
    <w:rsid w:val="00C41604"/>
    <w:rsid w:val="00CF197A"/>
    <w:rsid w:val="00D1003B"/>
    <w:rsid w:val="00EF4012"/>
    <w:rsid w:val="00F47397"/>
    <w:rsid w:val="00FD71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98F85"/>
  <w15:chartTrackingRefBased/>
  <w15:docId w15:val="{DDFEEC5A-3BC3-446A-9B2A-A369A0191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F80"/>
    <w:pPr>
      <w:spacing w:after="240" w:line="240" w:lineRule="auto"/>
      <w:outlineLvl w:val="0"/>
    </w:pPr>
    <w:rPr>
      <w:rFonts w:ascii="Times New Roman" w:eastAsia="Times New Roman" w:hAnsi="Times New Roman" w:cs="Times New Roman"/>
      <w:b/>
      <w:bCs/>
      <w:kern w:val="0"/>
      <w:sz w:val="24"/>
      <w:szCs w:val="24"/>
      <w14:ligatures w14:val="none"/>
    </w:rPr>
  </w:style>
  <w:style w:type="paragraph" w:styleId="Heading3">
    <w:name w:val="heading 3"/>
    <w:basedOn w:val="Normal"/>
    <w:next w:val="Normal"/>
    <w:link w:val="Heading3Char"/>
    <w:uiPriority w:val="9"/>
    <w:semiHidden/>
    <w:unhideWhenUsed/>
    <w:qFormat/>
    <w:rsid w:val="008528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528A5"/>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8528A5"/>
    <w:rPr>
      <w:rFonts w:ascii="Times New Roman" w:eastAsia="Times New Roman" w:hAnsi="Times New Roman" w:cs="Times New Roman"/>
      <w:b/>
      <w:bCs/>
      <w:kern w:val="0"/>
      <w:sz w:val="24"/>
      <w:szCs w:val="24"/>
      <w14:ligatures w14:val="none"/>
    </w:rPr>
  </w:style>
  <w:style w:type="paragraph" w:styleId="NormalWeb">
    <w:name w:val="Normal (Web)"/>
    <w:basedOn w:val="Normal"/>
    <w:uiPriority w:val="99"/>
    <w:unhideWhenUsed/>
    <w:rsid w:val="008528A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3Char">
    <w:name w:val="Heading 3 Char"/>
    <w:basedOn w:val="DefaultParagraphFont"/>
    <w:link w:val="Heading3"/>
    <w:uiPriority w:val="9"/>
    <w:semiHidden/>
    <w:rsid w:val="008528A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8528A5"/>
    <w:rPr>
      <w:i/>
      <w:iCs/>
    </w:rPr>
  </w:style>
  <w:style w:type="character" w:styleId="Hyperlink">
    <w:name w:val="Hyperlink"/>
    <w:basedOn w:val="DefaultParagraphFont"/>
    <w:uiPriority w:val="99"/>
    <w:unhideWhenUsed/>
    <w:rsid w:val="008528A5"/>
    <w:rPr>
      <w:color w:val="0000FF"/>
      <w:u w:val="single"/>
    </w:rPr>
  </w:style>
  <w:style w:type="character" w:customStyle="1" w:styleId="text-color-black-700">
    <w:name w:val="text-color-black-700"/>
    <w:basedOn w:val="DefaultParagraphFont"/>
    <w:rsid w:val="008528A5"/>
  </w:style>
  <w:style w:type="character" w:customStyle="1" w:styleId="text-color-green-500">
    <w:name w:val="text-color-green-500"/>
    <w:basedOn w:val="DefaultParagraphFont"/>
    <w:rsid w:val="008528A5"/>
  </w:style>
  <w:style w:type="character" w:customStyle="1" w:styleId="Heading1Char">
    <w:name w:val="Heading 1 Char"/>
    <w:basedOn w:val="DefaultParagraphFont"/>
    <w:link w:val="Heading1"/>
    <w:uiPriority w:val="9"/>
    <w:rsid w:val="00744F80"/>
    <w:rPr>
      <w:rFonts w:ascii="Times New Roman" w:eastAsia="Times New Roman" w:hAnsi="Times New Roman" w:cs="Times New Roman"/>
      <w:b/>
      <w:bCs/>
      <w:kern w:val="0"/>
      <w:sz w:val="24"/>
      <w:szCs w:val="24"/>
      <w14:ligatures w14:val="none"/>
    </w:rPr>
  </w:style>
  <w:style w:type="paragraph" w:styleId="Bibliography">
    <w:name w:val="Bibliography"/>
    <w:basedOn w:val="Normal"/>
    <w:next w:val="Normal"/>
    <w:uiPriority w:val="37"/>
    <w:unhideWhenUsed/>
    <w:rsid w:val="00341CF9"/>
    <w:pPr>
      <w:spacing w:after="240" w:line="240" w:lineRule="auto"/>
    </w:pPr>
  </w:style>
  <w:style w:type="paragraph" w:styleId="TOCHeading">
    <w:name w:val="TOC Heading"/>
    <w:basedOn w:val="Heading1"/>
    <w:next w:val="Normal"/>
    <w:uiPriority w:val="39"/>
    <w:unhideWhenUsed/>
    <w:qFormat/>
    <w:rsid w:val="00871709"/>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87170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85048">
      <w:bodyDiv w:val="1"/>
      <w:marLeft w:val="0"/>
      <w:marRight w:val="0"/>
      <w:marTop w:val="0"/>
      <w:marBottom w:val="0"/>
      <w:divBdr>
        <w:top w:val="none" w:sz="0" w:space="0" w:color="auto"/>
        <w:left w:val="none" w:sz="0" w:space="0" w:color="auto"/>
        <w:bottom w:val="none" w:sz="0" w:space="0" w:color="auto"/>
        <w:right w:val="none" w:sz="0" w:space="0" w:color="auto"/>
      </w:divBdr>
    </w:div>
    <w:div w:id="570894922">
      <w:bodyDiv w:val="1"/>
      <w:marLeft w:val="0"/>
      <w:marRight w:val="0"/>
      <w:marTop w:val="0"/>
      <w:marBottom w:val="0"/>
      <w:divBdr>
        <w:top w:val="none" w:sz="0" w:space="0" w:color="auto"/>
        <w:left w:val="none" w:sz="0" w:space="0" w:color="auto"/>
        <w:bottom w:val="none" w:sz="0" w:space="0" w:color="auto"/>
        <w:right w:val="none" w:sz="0" w:space="0" w:color="auto"/>
      </w:divBdr>
    </w:div>
    <w:div w:id="643387506">
      <w:bodyDiv w:val="1"/>
      <w:marLeft w:val="0"/>
      <w:marRight w:val="0"/>
      <w:marTop w:val="0"/>
      <w:marBottom w:val="0"/>
      <w:divBdr>
        <w:top w:val="none" w:sz="0" w:space="0" w:color="auto"/>
        <w:left w:val="none" w:sz="0" w:space="0" w:color="auto"/>
        <w:bottom w:val="none" w:sz="0" w:space="0" w:color="auto"/>
        <w:right w:val="none" w:sz="0" w:space="0" w:color="auto"/>
      </w:divBdr>
    </w:div>
    <w:div w:id="728185642">
      <w:bodyDiv w:val="1"/>
      <w:marLeft w:val="0"/>
      <w:marRight w:val="0"/>
      <w:marTop w:val="0"/>
      <w:marBottom w:val="0"/>
      <w:divBdr>
        <w:top w:val="none" w:sz="0" w:space="0" w:color="auto"/>
        <w:left w:val="none" w:sz="0" w:space="0" w:color="auto"/>
        <w:bottom w:val="none" w:sz="0" w:space="0" w:color="auto"/>
        <w:right w:val="none" w:sz="0" w:space="0" w:color="auto"/>
      </w:divBdr>
    </w:div>
    <w:div w:id="830029095">
      <w:bodyDiv w:val="1"/>
      <w:marLeft w:val="0"/>
      <w:marRight w:val="0"/>
      <w:marTop w:val="0"/>
      <w:marBottom w:val="0"/>
      <w:divBdr>
        <w:top w:val="none" w:sz="0" w:space="0" w:color="auto"/>
        <w:left w:val="none" w:sz="0" w:space="0" w:color="auto"/>
        <w:bottom w:val="none" w:sz="0" w:space="0" w:color="auto"/>
        <w:right w:val="none" w:sz="0" w:space="0" w:color="auto"/>
      </w:divBdr>
    </w:div>
    <w:div w:id="938757856">
      <w:bodyDiv w:val="1"/>
      <w:marLeft w:val="0"/>
      <w:marRight w:val="0"/>
      <w:marTop w:val="0"/>
      <w:marBottom w:val="0"/>
      <w:divBdr>
        <w:top w:val="none" w:sz="0" w:space="0" w:color="auto"/>
        <w:left w:val="none" w:sz="0" w:space="0" w:color="auto"/>
        <w:bottom w:val="none" w:sz="0" w:space="0" w:color="auto"/>
        <w:right w:val="none" w:sz="0" w:space="0" w:color="auto"/>
      </w:divBdr>
    </w:div>
    <w:div w:id="939290619">
      <w:bodyDiv w:val="1"/>
      <w:marLeft w:val="0"/>
      <w:marRight w:val="0"/>
      <w:marTop w:val="0"/>
      <w:marBottom w:val="0"/>
      <w:divBdr>
        <w:top w:val="none" w:sz="0" w:space="0" w:color="auto"/>
        <w:left w:val="none" w:sz="0" w:space="0" w:color="auto"/>
        <w:bottom w:val="none" w:sz="0" w:space="0" w:color="auto"/>
        <w:right w:val="none" w:sz="0" w:space="0" w:color="auto"/>
      </w:divBdr>
    </w:div>
    <w:div w:id="940837002">
      <w:bodyDiv w:val="1"/>
      <w:marLeft w:val="0"/>
      <w:marRight w:val="0"/>
      <w:marTop w:val="0"/>
      <w:marBottom w:val="0"/>
      <w:divBdr>
        <w:top w:val="none" w:sz="0" w:space="0" w:color="auto"/>
        <w:left w:val="none" w:sz="0" w:space="0" w:color="auto"/>
        <w:bottom w:val="none" w:sz="0" w:space="0" w:color="auto"/>
        <w:right w:val="none" w:sz="0" w:space="0" w:color="auto"/>
      </w:divBdr>
    </w:div>
    <w:div w:id="1793398096">
      <w:bodyDiv w:val="1"/>
      <w:marLeft w:val="0"/>
      <w:marRight w:val="0"/>
      <w:marTop w:val="0"/>
      <w:marBottom w:val="0"/>
      <w:divBdr>
        <w:top w:val="none" w:sz="0" w:space="0" w:color="auto"/>
        <w:left w:val="none" w:sz="0" w:space="0" w:color="auto"/>
        <w:bottom w:val="none" w:sz="0" w:space="0" w:color="auto"/>
        <w:right w:val="none" w:sz="0" w:space="0" w:color="auto"/>
      </w:divBdr>
    </w:div>
    <w:div w:id="1814255856">
      <w:bodyDiv w:val="1"/>
      <w:marLeft w:val="0"/>
      <w:marRight w:val="0"/>
      <w:marTop w:val="0"/>
      <w:marBottom w:val="0"/>
      <w:divBdr>
        <w:top w:val="none" w:sz="0" w:space="0" w:color="auto"/>
        <w:left w:val="none" w:sz="0" w:space="0" w:color="auto"/>
        <w:bottom w:val="none" w:sz="0" w:space="0" w:color="auto"/>
        <w:right w:val="none" w:sz="0" w:space="0" w:color="auto"/>
      </w:divBdr>
    </w:div>
    <w:div w:id="2132357463">
      <w:bodyDiv w:val="1"/>
      <w:marLeft w:val="0"/>
      <w:marRight w:val="0"/>
      <w:marTop w:val="0"/>
      <w:marBottom w:val="0"/>
      <w:divBdr>
        <w:top w:val="none" w:sz="0" w:space="0" w:color="auto"/>
        <w:left w:val="none" w:sz="0" w:space="0" w:color="auto"/>
        <w:bottom w:val="none" w:sz="0" w:space="0" w:color="auto"/>
        <w:right w:val="none" w:sz="0" w:space="0" w:color="auto"/>
      </w:divBdr>
      <w:divsChild>
        <w:div w:id="1282373262">
          <w:marLeft w:val="0"/>
          <w:marRight w:val="0"/>
          <w:marTop w:val="0"/>
          <w:marBottom w:val="0"/>
          <w:divBdr>
            <w:top w:val="none" w:sz="0" w:space="0" w:color="auto"/>
            <w:left w:val="none" w:sz="0" w:space="0" w:color="auto"/>
            <w:bottom w:val="none" w:sz="0" w:space="0" w:color="auto"/>
            <w:right w:val="none" w:sz="0" w:space="0" w:color="auto"/>
          </w:divBdr>
          <w:divsChild>
            <w:div w:id="703091702">
              <w:marLeft w:val="0"/>
              <w:marRight w:val="0"/>
              <w:marTop w:val="0"/>
              <w:marBottom w:val="0"/>
              <w:divBdr>
                <w:top w:val="none" w:sz="0" w:space="0" w:color="auto"/>
                <w:left w:val="none" w:sz="0" w:space="0" w:color="auto"/>
                <w:bottom w:val="none" w:sz="0" w:space="0" w:color="auto"/>
                <w:right w:val="none" w:sz="0" w:space="0" w:color="auto"/>
              </w:divBdr>
            </w:div>
            <w:div w:id="992179317">
              <w:marLeft w:val="0"/>
              <w:marRight w:val="0"/>
              <w:marTop w:val="0"/>
              <w:marBottom w:val="0"/>
              <w:divBdr>
                <w:top w:val="none" w:sz="0" w:space="0" w:color="auto"/>
                <w:left w:val="none" w:sz="0" w:space="0" w:color="auto"/>
                <w:bottom w:val="none" w:sz="0" w:space="0" w:color="auto"/>
                <w:right w:val="none" w:sz="0" w:space="0" w:color="auto"/>
              </w:divBdr>
            </w:div>
          </w:divsChild>
        </w:div>
        <w:div w:id="2113668157">
          <w:marLeft w:val="0"/>
          <w:marRight w:val="0"/>
          <w:marTop w:val="0"/>
          <w:marBottom w:val="0"/>
          <w:divBdr>
            <w:top w:val="none" w:sz="0" w:space="0" w:color="auto"/>
            <w:left w:val="none" w:sz="0" w:space="0" w:color="auto"/>
            <w:bottom w:val="none" w:sz="0" w:space="0" w:color="auto"/>
            <w:right w:val="none" w:sz="0" w:space="0" w:color="auto"/>
          </w:divBdr>
          <w:divsChild>
            <w:div w:id="272441225">
              <w:marLeft w:val="0"/>
              <w:marRight w:val="0"/>
              <w:marTop w:val="0"/>
              <w:marBottom w:val="0"/>
              <w:divBdr>
                <w:top w:val="none" w:sz="0" w:space="0" w:color="auto"/>
                <w:left w:val="none" w:sz="0" w:space="0" w:color="auto"/>
                <w:bottom w:val="none" w:sz="0" w:space="0" w:color="auto"/>
                <w:right w:val="none" w:sz="0" w:space="0" w:color="auto"/>
              </w:divBdr>
            </w:div>
            <w:div w:id="1177310097">
              <w:marLeft w:val="0"/>
              <w:marRight w:val="0"/>
              <w:marTop w:val="0"/>
              <w:marBottom w:val="0"/>
              <w:divBdr>
                <w:top w:val="none" w:sz="0" w:space="0" w:color="auto"/>
                <w:left w:val="none" w:sz="0" w:space="0" w:color="auto"/>
                <w:bottom w:val="none" w:sz="0" w:space="0" w:color="auto"/>
                <w:right w:val="none" w:sz="0" w:space="0" w:color="auto"/>
              </w:divBdr>
            </w:div>
          </w:divsChild>
        </w:div>
        <w:div w:id="1496267192">
          <w:marLeft w:val="0"/>
          <w:marRight w:val="0"/>
          <w:marTop w:val="0"/>
          <w:marBottom w:val="0"/>
          <w:divBdr>
            <w:top w:val="none" w:sz="0" w:space="0" w:color="auto"/>
            <w:left w:val="none" w:sz="0" w:space="0" w:color="auto"/>
            <w:bottom w:val="none" w:sz="0" w:space="0" w:color="auto"/>
            <w:right w:val="none" w:sz="0" w:space="0" w:color="auto"/>
          </w:divBdr>
          <w:divsChild>
            <w:div w:id="679891660">
              <w:marLeft w:val="0"/>
              <w:marRight w:val="0"/>
              <w:marTop w:val="0"/>
              <w:marBottom w:val="0"/>
              <w:divBdr>
                <w:top w:val="none" w:sz="0" w:space="0" w:color="auto"/>
                <w:left w:val="none" w:sz="0" w:space="0" w:color="auto"/>
                <w:bottom w:val="none" w:sz="0" w:space="0" w:color="auto"/>
                <w:right w:val="none" w:sz="0" w:space="0" w:color="auto"/>
              </w:divBdr>
            </w:div>
            <w:div w:id="765881697">
              <w:marLeft w:val="0"/>
              <w:marRight w:val="0"/>
              <w:marTop w:val="0"/>
              <w:marBottom w:val="0"/>
              <w:divBdr>
                <w:top w:val="none" w:sz="0" w:space="0" w:color="auto"/>
                <w:left w:val="none" w:sz="0" w:space="0" w:color="auto"/>
                <w:bottom w:val="none" w:sz="0" w:space="0" w:color="auto"/>
                <w:right w:val="none" w:sz="0" w:space="0" w:color="auto"/>
              </w:divBdr>
            </w:div>
          </w:divsChild>
        </w:div>
        <w:div w:id="133910877">
          <w:marLeft w:val="0"/>
          <w:marRight w:val="0"/>
          <w:marTop w:val="0"/>
          <w:marBottom w:val="0"/>
          <w:divBdr>
            <w:top w:val="none" w:sz="0" w:space="0" w:color="auto"/>
            <w:left w:val="none" w:sz="0" w:space="0" w:color="auto"/>
            <w:bottom w:val="none" w:sz="0" w:space="0" w:color="auto"/>
            <w:right w:val="none" w:sz="0" w:space="0" w:color="auto"/>
          </w:divBdr>
          <w:divsChild>
            <w:div w:id="598147671">
              <w:marLeft w:val="0"/>
              <w:marRight w:val="0"/>
              <w:marTop w:val="0"/>
              <w:marBottom w:val="0"/>
              <w:divBdr>
                <w:top w:val="none" w:sz="0" w:space="0" w:color="auto"/>
                <w:left w:val="none" w:sz="0" w:space="0" w:color="auto"/>
                <w:bottom w:val="none" w:sz="0" w:space="0" w:color="auto"/>
                <w:right w:val="none" w:sz="0" w:space="0" w:color="auto"/>
              </w:divBdr>
            </w:div>
            <w:div w:id="43328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Pages>
  <Words>6425</Words>
  <Characters>36625</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wajiha zainab</dc:creator>
  <cp:keywords/>
  <dc:description/>
  <cp:lastModifiedBy>Ciprian Isar</cp:lastModifiedBy>
  <cp:revision>8</cp:revision>
  <dcterms:created xsi:type="dcterms:W3CDTF">2024-05-09T15:35:00Z</dcterms:created>
  <dcterms:modified xsi:type="dcterms:W3CDTF">2024-06-05T17:13:00Z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id="5mfItqBo"/&gt;&lt;style id="http://www.zotero.org/styles/harvard-cite-them-right" hasBibliography="1" bibliographyStyleHasBeenSet="1"/&gt;&lt;prefs&gt;&lt;pref name="fieldType" value="Field"/&gt;&lt;/prefs&gt;&lt;/data&gt;</vt:lpwstr>
  </property>
</Properties>
</file>