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EF36CB" w14:textId="77777777" w:rsidR="0065341E" w:rsidRPr="0065341E" w:rsidRDefault="0065341E" w:rsidP="0065341E">
      <w:pPr>
        <w:rPr>
          <w:u w:val="single"/>
        </w:rPr>
      </w:pPr>
    </w:p>
    <w:p w14:paraId="4A15ED40" w14:textId="0D63FD58" w:rsidR="0065341E" w:rsidRPr="0065341E" w:rsidRDefault="0065341E" w:rsidP="0065341E">
      <w:pPr>
        <w:rPr>
          <w:u w:val="single"/>
        </w:rPr>
      </w:pPr>
      <w:r w:rsidRPr="0065341E">
        <w:t xml:space="preserve">               </w:t>
      </w:r>
      <w:r w:rsidRPr="0065341E">
        <w:rPr>
          <w:u w:val="single"/>
        </w:rPr>
        <w:t>Did World War I Help or Hinder the Women’s Suffrage Movement?</w:t>
      </w:r>
    </w:p>
    <w:p w14:paraId="0B21959F" w14:textId="77777777" w:rsidR="0065341E" w:rsidRDefault="0065341E" w:rsidP="0065341E">
      <w:pPr>
        <w:rPr>
          <w:sz w:val="22"/>
          <w:szCs w:val="22"/>
        </w:rPr>
      </w:pPr>
    </w:p>
    <w:p w14:paraId="13AFA942" w14:textId="1A7432AB" w:rsidR="0065341E" w:rsidRDefault="0065341E" w:rsidP="0065341E">
      <w:pPr>
        <w:rPr>
          <w:sz w:val="22"/>
          <w:szCs w:val="22"/>
        </w:rPr>
      </w:pPr>
      <w:r>
        <w:rPr>
          <w:sz w:val="22"/>
          <w:szCs w:val="22"/>
        </w:rPr>
        <w:t>The Women’s Suffrage Movement is one of the most influential movements of the 19</w:t>
      </w:r>
      <w:r w:rsidRPr="0065341E">
        <w:rPr>
          <w:sz w:val="22"/>
          <w:szCs w:val="22"/>
          <w:vertAlign w:val="superscript"/>
        </w:rPr>
        <w:t>th</w:t>
      </w:r>
      <w:r>
        <w:rPr>
          <w:sz w:val="22"/>
          <w:szCs w:val="22"/>
        </w:rPr>
        <w:t xml:space="preserve"> and 20</w:t>
      </w:r>
      <w:r w:rsidRPr="0065341E">
        <w:rPr>
          <w:sz w:val="22"/>
          <w:szCs w:val="22"/>
          <w:vertAlign w:val="superscript"/>
        </w:rPr>
        <w:t>th</w:t>
      </w:r>
      <w:r>
        <w:rPr>
          <w:sz w:val="22"/>
          <w:szCs w:val="22"/>
        </w:rPr>
        <w:t xml:space="preserve"> centuries. This essay will argue that World War I helped the Women’s Suffrage Movement as the shortage of labour proved the importance of women in the workforce and proved that women were able to hold wider roles within society. </w:t>
      </w:r>
    </w:p>
    <w:p w14:paraId="604549F8" w14:textId="64EC2091" w:rsidR="00AF1EAE" w:rsidRDefault="00532927" w:rsidP="0065341E">
      <w:pPr>
        <w:rPr>
          <w:sz w:val="22"/>
          <w:szCs w:val="22"/>
        </w:rPr>
      </w:pPr>
      <w:r>
        <w:rPr>
          <w:sz w:val="22"/>
          <w:szCs w:val="22"/>
        </w:rPr>
        <w:t xml:space="preserve">Influential figures </w:t>
      </w:r>
      <w:r w:rsidR="00DA3C20">
        <w:rPr>
          <w:sz w:val="22"/>
          <w:szCs w:val="22"/>
        </w:rPr>
        <w:t>and organisations such as Emeline Pankhurst and the Women’s Social and Political Union can be seen as both helping and hindering the Women’s Suffrage Movement. Before the First World War, Emeline Pankhurst and the Women’s Social and Political Union used militant action to try and achieve their aim for women’s enfranchisement</w:t>
      </w:r>
      <w:r w:rsidR="007A5FED">
        <w:rPr>
          <w:rStyle w:val="FootnoteReference"/>
          <w:sz w:val="22"/>
          <w:szCs w:val="22"/>
        </w:rPr>
        <w:footnoteReference w:id="1"/>
      </w:r>
      <w:r w:rsidR="00DA3C20">
        <w:rPr>
          <w:sz w:val="22"/>
          <w:szCs w:val="22"/>
        </w:rPr>
        <w:t>. This militant action became more violent between 1912 and 1914 when there was arson of post boxes and vandalism of paintings</w:t>
      </w:r>
      <w:r w:rsidR="005C7772">
        <w:rPr>
          <w:rStyle w:val="FootnoteReference"/>
          <w:sz w:val="22"/>
          <w:szCs w:val="22"/>
        </w:rPr>
        <w:footnoteReference w:id="2"/>
      </w:r>
      <w:r w:rsidR="00DA3C20">
        <w:rPr>
          <w:sz w:val="22"/>
          <w:szCs w:val="22"/>
        </w:rPr>
        <w:t>. When World War I was declared in 1914, there was a massive change from militant action to supporting the war effort</w:t>
      </w:r>
      <w:r w:rsidR="00F55751">
        <w:rPr>
          <w:rStyle w:val="FootnoteReference"/>
          <w:sz w:val="22"/>
          <w:szCs w:val="22"/>
        </w:rPr>
        <w:footnoteReference w:id="3"/>
      </w:r>
      <w:r w:rsidR="00DA3C20">
        <w:rPr>
          <w:sz w:val="22"/>
          <w:szCs w:val="22"/>
        </w:rPr>
        <w:t xml:space="preserve">. Throughout the war, the Women’s Suffrage Movement </w:t>
      </w:r>
      <w:r w:rsidR="009A4C05">
        <w:rPr>
          <w:sz w:val="22"/>
          <w:szCs w:val="22"/>
        </w:rPr>
        <w:t>had continuously campaigned for women to work in places such as munitions factories</w:t>
      </w:r>
      <w:r w:rsidR="009D245A">
        <w:rPr>
          <w:rStyle w:val="FootnoteReference"/>
          <w:sz w:val="22"/>
          <w:szCs w:val="22"/>
        </w:rPr>
        <w:footnoteReference w:id="4"/>
      </w:r>
      <w:r w:rsidR="009A4C05">
        <w:rPr>
          <w:sz w:val="22"/>
          <w:szCs w:val="22"/>
        </w:rPr>
        <w:t>. The radical change from militant action to supporting the war effort was a step forward for the Women’s Suffrage Movement, as in 1916 the question of women’s enfranchisement was again debated in parliament</w:t>
      </w:r>
      <w:r w:rsidR="00E11F8C">
        <w:rPr>
          <w:rStyle w:val="FootnoteReference"/>
          <w:sz w:val="22"/>
          <w:szCs w:val="22"/>
        </w:rPr>
        <w:footnoteReference w:id="5"/>
      </w:r>
      <w:r w:rsidR="009A4C05">
        <w:rPr>
          <w:sz w:val="22"/>
          <w:szCs w:val="22"/>
        </w:rPr>
        <w:t xml:space="preserve">. </w:t>
      </w:r>
    </w:p>
    <w:p w14:paraId="1D7FED29" w14:textId="27EEE407" w:rsidR="00AF1EAE" w:rsidRDefault="009A4C05" w:rsidP="0065341E">
      <w:pPr>
        <w:rPr>
          <w:sz w:val="22"/>
          <w:szCs w:val="22"/>
        </w:rPr>
      </w:pPr>
      <w:r>
        <w:rPr>
          <w:sz w:val="22"/>
          <w:szCs w:val="22"/>
        </w:rPr>
        <w:t>However, the change to the supporting of the war effort could also be seen as hindering the Women’s Suffrage Movement, as supporting the war effort could remove focus from trying to give women the right to vote.</w:t>
      </w:r>
      <w:r w:rsidR="00AF1EAE">
        <w:rPr>
          <w:sz w:val="22"/>
          <w:szCs w:val="22"/>
        </w:rPr>
        <w:t xml:space="preserve"> One way that Emeline Pankhurst’s support for the war effort </w:t>
      </w:r>
      <w:r w:rsidR="00B146B1">
        <w:rPr>
          <w:sz w:val="22"/>
          <w:szCs w:val="22"/>
        </w:rPr>
        <w:t>removed focus from giving women the vote is that she stopped agitating for women’s suffrage</w:t>
      </w:r>
      <w:r w:rsidR="00C1622D">
        <w:rPr>
          <w:rStyle w:val="FootnoteReference"/>
          <w:sz w:val="22"/>
          <w:szCs w:val="22"/>
        </w:rPr>
        <w:footnoteReference w:id="6"/>
      </w:r>
      <w:r w:rsidR="00B146B1">
        <w:rPr>
          <w:sz w:val="22"/>
          <w:szCs w:val="22"/>
        </w:rPr>
        <w:t xml:space="preserve">. The stopping of agitation for women’s suffrage can be seen as hindering women’s suffrage as it removes the incentive for the government to give women the right to vote. </w:t>
      </w:r>
    </w:p>
    <w:p w14:paraId="76A647F2" w14:textId="41A57A14" w:rsidR="00BD03BD" w:rsidRDefault="00BD03BD" w:rsidP="0065341E">
      <w:pPr>
        <w:rPr>
          <w:sz w:val="22"/>
          <w:szCs w:val="22"/>
        </w:rPr>
      </w:pPr>
      <w:r>
        <w:rPr>
          <w:sz w:val="22"/>
          <w:szCs w:val="22"/>
        </w:rPr>
        <w:t xml:space="preserve">It can also be argued that World War I helped the </w:t>
      </w:r>
      <w:r w:rsidR="0070576A">
        <w:rPr>
          <w:sz w:val="22"/>
          <w:szCs w:val="22"/>
        </w:rPr>
        <w:t>Women’s Suffrage Movement to some extent due to the change in tactics towards supporting the war effort. Some Anti-Suffrage members of parliament were fearful that the end of World War I could mean a change back to violent militancy tactics, and therefore voted in favour of giving women the right to vote</w:t>
      </w:r>
      <w:r w:rsidR="00C040A2">
        <w:rPr>
          <w:rStyle w:val="FootnoteReference"/>
          <w:sz w:val="22"/>
          <w:szCs w:val="22"/>
        </w:rPr>
        <w:footnoteReference w:id="7"/>
      </w:r>
      <w:r w:rsidR="0070576A">
        <w:rPr>
          <w:sz w:val="22"/>
          <w:szCs w:val="22"/>
        </w:rPr>
        <w:t xml:space="preserve">. However, it </w:t>
      </w:r>
      <w:r w:rsidR="0070576A">
        <w:rPr>
          <w:sz w:val="22"/>
          <w:szCs w:val="22"/>
        </w:rPr>
        <w:lastRenderedPageBreak/>
        <w:t>could be argued that due to these members of parliament anti-suffrage stance, they made it so that only a certain percentage of women could vote. Therefore, removing some of the success World War I gave to Women’s Suffrage.</w:t>
      </w:r>
    </w:p>
    <w:p w14:paraId="6FFD81DB" w14:textId="0D85F301" w:rsidR="00B146B1" w:rsidRDefault="00C11EE7" w:rsidP="0065341E">
      <w:pPr>
        <w:rPr>
          <w:sz w:val="22"/>
          <w:szCs w:val="22"/>
        </w:rPr>
      </w:pPr>
      <w:r>
        <w:rPr>
          <w:sz w:val="22"/>
          <w:szCs w:val="22"/>
        </w:rPr>
        <w:t>The Women’s Army Auxiliary Corps proved that women could hold wider roles in society, and was a step towards enfranchising women. The Women’s Army Auxiliary Corps was established in 1917 to free up men to serve on the frontlines</w:t>
      </w:r>
      <w:r w:rsidR="0037765B">
        <w:rPr>
          <w:rStyle w:val="FootnoteReference"/>
          <w:sz w:val="22"/>
          <w:szCs w:val="22"/>
        </w:rPr>
        <w:footnoteReference w:id="8"/>
      </w:r>
      <w:r>
        <w:rPr>
          <w:sz w:val="22"/>
          <w:szCs w:val="22"/>
        </w:rPr>
        <w:t>. The establishment of this branch of the military had a strong positive reaction from women. Around 50,000 women had volunteered to join the Women’s Army Auxiliary Corps by the end of the war</w:t>
      </w:r>
      <w:r w:rsidR="00BD4F16">
        <w:rPr>
          <w:rStyle w:val="FootnoteReference"/>
          <w:sz w:val="22"/>
          <w:szCs w:val="22"/>
        </w:rPr>
        <w:footnoteReference w:id="9"/>
      </w:r>
      <w:r>
        <w:rPr>
          <w:sz w:val="22"/>
          <w:szCs w:val="22"/>
        </w:rPr>
        <w:t>. The Women’s Army Auxiliary Corps</w:t>
      </w:r>
      <w:r w:rsidR="005D60CC">
        <w:rPr>
          <w:sz w:val="22"/>
          <w:szCs w:val="22"/>
        </w:rPr>
        <w:t xml:space="preserve"> proved that women were able and willing to help in the war effort. This, in turn, proved to men that women were responsible enough to have the right to vote. However, although women proved themselves to be responsible and able to have the right to vote, their efforts in the war effort were unable to break the traditional idea of women’s roles in society. In the Women’s Army Auxiliary Corps, women were only able to hold what men considered ‘feminine’ roles in the army</w:t>
      </w:r>
      <w:r w:rsidR="005A3C9C">
        <w:rPr>
          <w:rStyle w:val="FootnoteReference"/>
          <w:sz w:val="22"/>
          <w:szCs w:val="22"/>
        </w:rPr>
        <w:footnoteReference w:id="10"/>
      </w:r>
      <w:r w:rsidR="005D60CC">
        <w:rPr>
          <w:sz w:val="22"/>
          <w:szCs w:val="22"/>
        </w:rPr>
        <w:t xml:space="preserve">. </w:t>
      </w:r>
      <w:r w:rsidR="00FB4FC0">
        <w:rPr>
          <w:sz w:val="22"/>
          <w:szCs w:val="22"/>
        </w:rPr>
        <w:t>This restricted women to roles such as catering and store work</w:t>
      </w:r>
      <w:r w:rsidR="005A3C9C">
        <w:rPr>
          <w:rStyle w:val="FootnoteReference"/>
          <w:sz w:val="22"/>
          <w:szCs w:val="22"/>
        </w:rPr>
        <w:footnoteReference w:id="11"/>
      </w:r>
      <w:r w:rsidR="00FB4FC0">
        <w:rPr>
          <w:sz w:val="22"/>
          <w:szCs w:val="22"/>
        </w:rPr>
        <w:t xml:space="preserve">. </w:t>
      </w:r>
    </w:p>
    <w:p w14:paraId="74E9D4CA" w14:textId="3FCA9E5B" w:rsidR="00F660E3" w:rsidRDefault="007E4709" w:rsidP="0065341E">
      <w:pPr>
        <w:rPr>
          <w:sz w:val="22"/>
          <w:szCs w:val="22"/>
        </w:rPr>
      </w:pPr>
      <w:r>
        <w:rPr>
          <w:sz w:val="22"/>
          <w:szCs w:val="22"/>
        </w:rPr>
        <w:t>Another way that women proved to men that they were able to be given the vote is by working in munitions factories. Due to the labour shortage during World War I, the government used posters and slogans designed to entice women into the factories</w:t>
      </w:r>
      <w:r w:rsidR="00856F5E">
        <w:rPr>
          <w:rStyle w:val="FootnoteReference"/>
          <w:sz w:val="22"/>
          <w:szCs w:val="22"/>
        </w:rPr>
        <w:footnoteReference w:id="12"/>
      </w:r>
      <w:r>
        <w:rPr>
          <w:sz w:val="22"/>
          <w:szCs w:val="22"/>
        </w:rPr>
        <w:t xml:space="preserve">. At the start of the war there was large opposition by men </w:t>
      </w:r>
      <w:r w:rsidR="005B1A65">
        <w:rPr>
          <w:sz w:val="22"/>
          <w:szCs w:val="22"/>
        </w:rPr>
        <w:t>to women being in factories. This is due to the traditional ideology of women, by men, that they are seen as ‘weak’, and unsuitable for manual labour roles in society.</w:t>
      </w:r>
      <w:r w:rsidR="00575C30">
        <w:rPr>
          <w:sz w:val="22"/>
          <w:szCs w:val="22"/>
        </w:rPr>
        <w:t xml:space="preserve"> There was a massive change in opposition in 1915 when the government passed the Munitions Act, which enabled women to be able to work in munitions factories and other jobs which would otherwise be unavailable due to the ideology of women at that time.</w:t>
      </w:r>
      <w:r w:rsidR="00B028AB">
        <w:rPr>
          <w:sz w:val="22"/>
          <w:szCs w:val="22"/>
        </w:rPr>
        <w:t xml:space="preserve"> Women working in munitions factories helped the Women’s Suffrage Movement as working women </w:t>
      </w:r>
      <w:r w:rsidR="00F660E3">
        <w:rPr>
          <w:sz w:val="22"/>
          <w:szCs w:val="22"/>
        </w:rPr>
        <w:t xml:space="preserve">in jobs that were unavailable to them before the war, was a step forward towards women’s enfranchisement. </w:t>
      </w:r>
    </w:p>
    <w:p w14:paraId="013C646B" w14:textId="360A297B" w:rsidR="00FB4FC0" w:rsidRDefault="00F660E3" w:rsidP="0065341E">
      <w:pPr>
        <w:rPr>
          <w:sz w:val="22"/>
          <w:szCs w:val="22"/>
        </w:rPr>
      </w:pPr>
      <w:r>
        <w:rPr>
          <w:sz w:val="22"/>
          <w:szCs w:val="22"/>
        </w:rPr>
        <w:t>However, although women proved themselves, through their help in the war effort, responsible enough to be enfranchised</w:t>
      </w:r>
      <w:r w:rsidR="00BC38AA">
        <w:rPr>
          <w:sz w:val="22"/>
          <w:szCs w:val="22"/>
        </w:rPr>
        <w:t xml:space="preserve">, only certain groups of women over the age of 30 were given the vote in 1918. Also, women who worked in these munitions factories, their hair and skin turned yellow due to the chemicals used in the munitions. This led to hundreds of women dying in those munitions factories. This shows that many women </w:t>
      </w:r>
      <w:r w:rsidR="000244F4">
        <w:rPr>
          <w:sz w:val="22"/>
          <w:szCs w:val="22"/>
        </w:rPr>
        <w:t xml:space="preserve">gave their health and their lives so that only a portion of women were enfranchised. </w:t>
      </w:r>
    </w:p>
    <w:p w14:paraId="1D033B29" w14:textId="0B6A5E07" w:rsidR="000244F4" w:rsidRDefault="00C66132" w:rsidP="0065341E">
      <w:pPr>
        <w:rPr>
          <w:sz w:val="22"/>
          <w:szCs w:val="22"/>
        </w:rPr>
      </w:pPr>
      <w:r>
        <w:rPr>
          <w:sz w:val="22"/>
          <w:szCs w:val="22"/>
        </w:rPr>
        <w:lastRenderedPageBreak/>
        <w:t>It can also be argued that the move towards women’s employment as a means of gaining women’s enfranchisement was not particularly successful</w:t>
      </w:r>
      <w:r w:rsidR="00856F5E">
        <w:rPr>
          <w:sz w:val="22"/>
          <w:szCs w:val="22"/>
        </w:rPr>
        <w:t xml:space="preserve"> in the early years of the war</w:t>
      </w:r>
      <w:r>
        <w:rPr>
          <w:sz w:val="22"/>
          <w:szCs w:val="22"/>
        </w:rPr>
        <w:t>. In the 1911 census it was recorded that around six million women and girls over the age of 10 were in some form of employment</w:t>
      </w:r>
      <w:r w:rsidR="00AD23CC">
        <w:rPr>
          <w:rStyle w:val="FootnoteReference"/>
          <w:sz w:val="22"/>
          <w:szCs w:val="22"/>
        </w:rPr>
        <w:footnoteReference w:id="13"/>
      </w:r>
      <w:r>
        <w:rPr>
          <w:sz w:val="22"/>
          <w:szCs w:val="22"/>
        </w:rPr>
        <w:t>. This number accounts for around 29% of the British workforce</w:t>
      </w:r>
      <w:r w:rsidR="008B60BC">
        <w:rPr>
          <w:rStyle w:val="FootnoteReference"/>
          <w:sz w:val="22"/>
          <w:szCs w:val="22"/>
        </w:rPr>
        <w:footnoteReference w:id="14"/>
      </w:r>
      <w:r>
        <w:rPr>
          <w:sz w:val="22"/>
          <w:szCs w:val="22"/>
        </w:rPr>
        <w:t>. After the outbreak of war in 1914, there were large layoffs in some industries</w:t>
      </w:r>
      <w:r w:rsidR="00980702">
        <w:rPr>
          <w:rStyle w:val="FootnoteReference"/>
          <w:sz w:val="22"/>
          <w:szCs w:val="22"/>
        </w:rPr>
        <w:footnoteReference w:id="15"/>
      </w:r>
      <w:r w:rsidR="00302A72">
        <w:rPr>
          <w:sz w:val="22"/>
          <w:szCs w:val="22"/>
        </w:rPr>
        <w:t>. This led to 44% of previously employed women being unemployed or working few hours by September 1914</w:t>
      </w:r>
      <w:r w:rsidR="00980702">
        <w:rPr>
          <w:rStyle w:val="FootnoteReference"/>
          <w:sz w:val="22"/>
          <w:szCs w:val="22"/>
        </w:rPr>
        <w:footnoteReference w:id="16"/>
      </w:r>
      <w:r w:rsidR="00302A72">
        <w:rPr>
          <w:sz w:val="22"/>
          <w:szCs w:val="22"/>
        </w:rPr>
        <w:t xml:space="preserve">. Efforts were made to increase the amount of women in employment during World War I, and by April 1915 the number of employed women had returned to its </w:t>
      </w:r>
      <w:proofErr w:type="spellStart"/>
      <w:r w:rsidR="00302A72">
        <w:rPr>
          <w:sz w:val="22"/>
          <w:szCs w:val="22"/>
        </w:rPr>
        <w:t>pre war</w:t>
      </w:r>
      <w:proofErr w:type="spellEnd"/>
      <w:r w:rsidR="00302A72">
        <w:rPr>
          <w:sz w:val="22"/>
          <w:szCs w:val="22"/>
        </w:rPr>
        <w:t xml:space="preserve"> numbers</w:t>
      </w:r>
      <w:r w:rsidR="00980702">
        <w:rPr>
          <w:rStyle w:val="FootnoteReference"/>
          <w:sz w:val="22"/>
          <w:szCs w:val="22"/>
        </w:rPr>
        <w:footnoteReference w:id="17"/>
      </w:r>
      <w:r w:rsidR="00302A72">
        <w:rPr>
          <w:sz w:val="22"/>
          <w:szCs w:val="22"/>
        </w:rPr>
        <w:t xml:space="preserve">. This mass unemployment of women at the start of the war shows that men underestimated the value of women in the workforce. Therefore, it could be suggested that the employment drive for women hindered Women’s Suffrage at the start of the war, but helped the movement in the long term as men started to realise the importance of a female workforce. </w:t>
      </w:r>
    </w:p>
    <w:p w14:paraId="57E50061" w14:textId="6C28DC61" w:rsidR="00302A72" w:rsidRDefault="00EB5F43" w:rsidP="0065341E">
      <w:pPr>
        <w:rPr>
          <w:sz w:val="22"/>
          <w:szCs w:val="22"/>
        </w:rPr>
      </w:pPr>
      <w:r>
        <w:rPr>
          <w:sz w:val="22"/>
          <w:szCs w:val="22"/>
        </w:rPr>
        <w:t xml:space="preserve">The change by both Emeline and Christabel Pankhurst to support the war effort could be argued to hinder the Women’s Suffrage Movement </w:t>
      </w:r>
      <w:r w:rsidR="00D97C25">
        <w:rPr>
          <w:sz w:val="22"/>
          <w:szCs w:val="22"/>
        </w:rPr>
        <w:t>as it could be seen as an overly patriotic stance which moves away from the suffrage movements primary aims.</w:t>
      </w:r>
      <w:r w:rsidR="00EA190A">
        <w:rPr>
          <w:sz w:val="22"/>
          <w:szCs w:val="22"/>
        </w:rPr>
        <w:t xml:space="preserve"> Some magazine articles edited by Christabel Pankhurst during the First World War focuses more on the war effort than on women’s suffrage. An article edited by Christabel Pankhurst dated the 1</w:t>
      </w:r>
      <w:r w:rsidR="00EA190A" w:rsidRPr="00EA190A">
        <w:rPr>
          <w:sz w:val="22"/>
          <w:szCs w:val="22"/>
          <w:vertAlign w:val="superscript"/>
        </w:rPr>
        <w:t>st</w:t>
      </w:r>
      <w:r w:rsidR="00EA190A">
        <w:rPr>
          <w:sz w:val="22"/>
          <w:szCs w:val="22"/>
        </w:rPr>
        <w:t xml:space="preserve"> March 1918 opens with a patriotic poem written by a soldier</w:t>
      </w:r>
      <w:r w:rsidR="007C37FD">
        <w:rPr>
          <w:rStyle w:val="FootnoteReference"/>
          <w:sz w:val="22"/>
          <w:szCs w:val="22"/>
        </w:rPr>
        <w:footnoteReference w:id="18"/>
      </w:r>
      <w:r w:rsidR="00EA190A">
        <w:rPr>
          <w:sz w:val="22"/>
          <w:szCs w:val="22"/>
        </w:rPr>
        <w:t>. This shows that the support for the war effort and women’s suffrage are becoming two different ideas, where the support for the war effort does not move forward the goal of women’s suffrage.</w:t>
      </w:r>
      <w:r w:rsidR="003736D9">
        <w:rPr>
          <w:sz w:val="22"/>
          <w:szCs w:val="22"/>
        </w:rPr>
        <w:t xml:space="preserve"> However, other magazines, such as the Women’s Dreadnought, incorporate both women’s suffrage and the support for the war effort successfully</w:t>
      </w:r>
      <w:r w:rsidR="00425781">
        <w:rPr>
          <w:rStyle w:val="FootnoteReference"/>
          <w:sz w:val="22"/>
          <w:szCs w:val="22"/>
        </w:rPr>
        <w:footnoteReference w:id="19"/>
      </w:r>
      <w:r w:rsidR="003736D9">
        <w:rPr>
          <w:sz w:val="22"/>
          <w:szCs w:val="22"/>
        </w:rPr>
        <w:t xml:space="preserve">. </w:t>
      </w:r>
      <w:r w:rsidR="00C77815">
        <w:rPr>
          <w:sz w:val="22"/>
          <w:szCs w:val="22"/>
        </w:rPr>
        <w:t>One issue of the Women’s Dreadnought, dated 14</w:t>
      </w:r>
      <w:r w:rsidR="00C77815" w:rsidRPr="00C77815">
        <w:rPr>
          <w:sz w:val="22"/>
          <w:szCs w:val="22"/>
          <w:vertAlign w:val="superscript"/>
        </w:rPr>
        <w:t>th</w:t>
      </w:r>
      <w:r w:rsidR="00C77815">
        <w:rPr>
          <w:sz w:val="22"/>
          <w:szCs w:val="22"/>
        </w:rPr>
        <w:t xml:space="preserve"> November 1914, proves this where </w:t>
      </w:r>
      <w:r w:rsidR="00B40673">
        <w:rPr>
          <w:sz w:val="22"/>
          <w:szCs w:val="22"/>
        </w:rPr>
        <w:t>the picture on the title page links women’s suffrage to women’s help in the war effort</w:t>
      </w:r>
      <w:r w:rsidR="00BC2534">
        <w:rPr>
          <w:rStyle w:val="FootnoteReference"/>
          <w:sz w:val="22"/>
          <w:szCs w:val="22"/>
        </w:rPr>
        <w:footnoteReference w:id="20"/>
      </w:r>
      <w:r w:rsidR="00B40673">
        <w:rPr>
          <w:sz w:val="22"/>
          <w:szCs w:val="22"/>
        </w:rPr>
        <w:t>.</w:t>
      </w:r>
      <w:r w:rsidR="00ED3C67">
        <w:rPr>
          <w:sz w:val="22"/>
          <w:szCs w:val="22"/>
        </w:rPr>
        <w:t xml:space="preserve"> </w:t>
      </w:r>
    </w:p>
    <w:p w14:paraId="0A271E26" w14:textId="08B485D5" w:rsidR="00ED3C67" w:rsidRDefault="00ED3C67" w:rsidP="0065341E">
      <w:pPr>
        <w:rPr>
          <w:sz w:val="22"/>
          <w:szCs w:val="22"/>
        </w:rPr>
      </w:pPr>
      <w:r>
        <w:rPr>
          <w:sz w:val="22"/>
          <w:szCs w:val="22"/>
        </w:rPr>
        <w:t xml:space="preserve">As the war continues, the divide between women’s suffrage and helping the war effort becomes clearer. </w:t>
      </w:r>
      <w:r w:rsidR="006F3D4E">
        <w:rPr>
          <w:sz w:val="22"/>
          <w:szCs w:val="22"/>
        </w:rPr>
        <w:t>This is shown when Christabel Pankhurst calls all pacifists a ‘disease’</w:t>
      </w:r>
      <w:r w:rsidR="00C80332">
        <w:rPr>
          <w:rStyle w:val="FootnoteReference"/>
          <w:sz w:val="22"/>
          <w:szCs w:val="22"/>
        </w:rPr>
        <w:footnoteReference w:id="21"/>
      </w:r>
      <w:r w:rsidR="006F3D4E">
        <w:rPr>
          <w:sz w:val="22"/>
          <w:szCs w:val="22"/>
        </w:rPr>
        <w:t xml:space="preserve">. Her words are </w:t>
      </w:r>
      <w:r w:rsidR="006F3D4E">
        <w:rPr>
          <w:sz w:val="22"/>
          <w:szCs w:val="22"/>
        </w:rPr>
        <w:lastRenderedPageBreak/>
        <w:t>taken from an article titled ‘No Compromise, Peace’</w:t>
      </w:r>
      <w:r w:rsidR="00C80332">
        <w:rPr>
          <w:rStyle w:val="FootnoteReference"/>
          <w:sz w:val="22"/>
          <w:szCs w:val="22"/>
        </w:rPr>
        <w:footnoteReference w:id="22"/>
      </w:r>
      <w:r w:rsidR="006F3D4E">
        <w:rPr>
          <w:sz w:val="22"/>
          <w:szCs w:val="22"/>
        </w:rPr>
        <w:t>. These words show how large the divide is between women’s suffrage and supporting the war effort. In the same article Christabel Pankhurst goes further and says that the nation of Germany should be destroyed</w:t>
      </w:r>
      <w:r w:rsidR="00FA6EB3">
        <w:rPr>
          <w:rStyle w:val="FootnoteReference"/>
          <w:sz w:val="22"/>
          <w:szCs w:val="22"/>
        </w:rPr>
        <w:footnoteReference w:id="23"/>
      </w:r>
      <w:r w:rsidR="006F3D4E">
        <w:rPr>
          <w:sz w:val="22"/>
          <w:szCs w:val="22"/>
        </w:rPr>
        <w:t xml:space="preserve">. Due to her strong patriotic views, it could be argued that her views were hindering the Women’s Suffrage Movement. The article continuously </w:t>
      </w:r>
      <w:r w:rsidR="00835F26">
        <w:rPr>
          <w:sz w:val="22"/>
          <w:szCs w:val="22"/>
        </w:rPr>
        <w:t>denounces Germany and has strong views for its destruction, but has no mention of women’s suffrage, showing the large divide and its hindrance towards the enfranchisement of women.</w:t>
      </w:r>
      <w:r w:rsidR="00C60C9E">
        <w:rPr>
          <w:sz w:val="22"/>
          <w:szCs w:val="22"/>
        </w:rPr>
        <w:t xml:space="preserve"> Christabel’s rhetoric towards pacifists and her patriotic views are shown throughout the war in the publications of the ‘Britannia’</w:t>
      </w:r>
      <w:r w:rsidR="00971136">
        <w:rPr>
          <w:rStyle w:val="FootnoteReference"/>
          <w:sz w:val="22"/>
          <w:szCs w:val="22"/>
        </w:rPr>
        <w:footnoteReference w:id="24"/>
      </w:r>
      <w:r w:rsidR="00C60C9E">
        <w:rPr>
          <w:sz w:val="22"/>
          <w:szCs w:val="22"/>
        </w:rPr>
        <w:t>.</w:t>
      </w:r>
      <w:r w:rsidR="005E60F9">
        <w:rPr>
          <w:sz w:val="22"/>
          <w:szCs w:val="22"/>
        </w:rPr>
        <w:t xml:space="preserve"> </w:t>
      </w:r>
    </w:p>
    <w:p w14:paraId="2231CAEC" w14:textId="49C18EB2" w:rsidR="005E60F9" w:rsidRDefault="00A620E9" w:rsidP="0065341E">
      <w:pPr>
        <w:rPr>
          <w:sz w:val="22"/>
          <w:szCs w:val="22"/>
        </w:rPr>
      </w:pPr>
      <w:r>
        <w:rPr>
          <w:sz w:val="22"/>
          <w:szCs w:val="22"/>
        </w:rPr>
        <w:t>Propaganda was a useful tool for the Women’s Suffrage Movement as it was used to create a widespread call across Britain for women to take up employment. Propaganda posters used emotive language in messages in an attempt to recruit women. One such poster from the Women’s Army Auxiliary Corps uses the message ‘Women Urgently Wanted for the WAAC’</w:t>
      </w:r>
      <w:r w:rsidR="003F6747">
        <w:rPr>
          <w:rStyle w:val="FootnoteReference"/>
          <w:sz w:val="22"/>
          <w:szCs w:val="22"/>
        </w:rPr>
        <w:footnoteReference w:id="25"/>
      </w:r>
      <w:r>
        <w:rPr>
          <w:sz w:val="22"/>
          <w:szCs w:val="22"/>
        </w:rPr>
        <w:t>. This recruitment drive was for mainly</w:t>
      </w:r>
      <w:r w:rsidR="00FB5885">
        <w:rPr>
          <w:sz w:val="22"/>
          <w:szCs w:val="22"/>
        </w:rPr>
        <w:t xml:space="preserve"> what were considered feminine roles in society, such as cooking</w:t>
      </w:r>
      <w:r w:rsidR="00CF2A14">
        <w:rPr>
          <w:rStyle w:val="FootnoteReference"/>
          <w:sz w:val="22"/>
          <w:szCs w:val="22"/>
        </w:rPr>
        <w:footnoteReference w:id="26"/>
      </w:r>
      <w:r w:rsidR="00FB5885">
        <w:rPr>
          <w:sz w:val="22"/>
          <w:szCs w:val="22"/>
        </w:rPr>
        <w:t>. However, this recruitment drive also advertised roles primarily considered masculine roles, such as mechanics</w:t>
      </w:r>
      <w:r w:rsidR="00C55DA1">
        <w:rPr>
          <w:rStyle w:val="FootnoteReference"/>
          <w:sz w:val="22"/>
          <w:szCs w:val="22"/>
        </w:rPr>
        <w:footnoteReference w:id="27"/>
      </w:r>
      <w:r w:rsidR="00FB5885">
        <w:rPr>
          <w:sz w:val="22"/>
          <w:szCs w:val="22"/>
        </w:rPr>
        <w:t xml:space="preserve">. The recruitment drive for women’s employment was successful using posters such as the Women’s Army Auxiliary Corps recruitment poster, as </w:t>
      </w:r>
      <w:r w:rsidR="00C55DA1">
        <w:rPr>
          <w:sz w:val="22"/>
          <w:szCs w:val="22"/>
        </w:rPr>
        <w:t>t</w:t>
      </w:r>
      <w:r w:rsidR="00FB5885">
        <w:rPr>
          <w:sz w:val="22"/>
          <w:szCs w:val="22"/>
        </w:rPr>
        <w:t>here was a 50% increase of women in employment</w:t>
      </w:r>
      <w:r w:rsidR="00C55DA1">
        <w:rPr>
          <w:rStyle w:val="FootnoteReference"/>
          <w:sz w:val="22"/>
          <w:szCs w:val="22"/>
        </w:rPr>
        <w:footnoteReference w:id="28"/>
      </w:r>
      <w:r w:rsidR="00FB5885">
        <w:rPr>
          <w:sz w:val="22"/>
          <w:szCs w:val="22"/>
        </w:rPr>
        <w:t xml:space="preserve">. </w:t>
      </w:r>
      <w:r w:rsidR="00E34A09">
        <w:rPr>
          <w:sz w:val="22"/>
          <w:szCs w:val="22"/>
        </w:rPr>
        <w:t>The use of propaganda posters throughout World War I showed and proved the importance of women in the workforce. The use of propaganda also helped to persuade men to give women the right to vote.</w:t>
      </w:r>
      <w:r w:rsidR="006B0818">
        <w:rPr>
          <w:sz w:val="22"/>
          <w:szCs w:val="22"/>
        </w:rPr>
        <w:t xml:space="preserve"> </w:t>
      </w:r>
    </w:p>
    <w:p w14:paraId="2AFBAC4D" w14:textId="24D0EF13" w:rsidR="006B0818" w:rsidRDefault="006B0818" w:rsidP="0065341E">
      <w:pPr>
        <w:rPr>
          <w:sz w:val="22"/>
          <w:szCs w:val="22"/>
        </w:rPr>
      </w:pPr>
      <w:r>
        <w:rPr>
          <w:sz w:val="22"/>
          <w:szCs w:val="22"/>
        </w:rPr>
        <w:t>Other propaganda posters not only helped and encouraged women to take up employment, they also helped to break traditional stereotypes of women, which in turn helped to give women the vote. One poster is encouraging women to enrol in the Women’s Army Auxiliary Corps and the Women’s Royal Naval Service</w:t>
      </w:r>
      <w:r w:rsidR="00B3059F">
        <w:rPr>
          <w:rStyle w:val="FootnoteReference"/>
          <w:sz w:val="22"/>
          <w:szCs w:val="22"/>
        </w:rPr>
        <w:footnoteReference w:id="29"/>
      </w:r>
      <w:r>
        <w:rPr>
          <w:sz w:val="22"/>
          <w:szCs w:val="22"/>
        </w:rPr>
        <w:t xml:space="preserve">. Both </w:t>
      </w:r>
      <w:r w:rsidR="00A73F8F">
        <w:rPr>
          <w:sz w:val="22"/>
          <w:szCs w:val="22"/>
        </w:rPr>
        <w:t>the language and the imagery of the poster are used to encourage women. Emotive language such as the word ‘Urgently’ and that women would be doing a ‘patriotic service’ were used to entice women into either the WAAC or WRNS</w:t>
      </w:r>
      <w:r w:rsidR="0077333E">
        <w:rPr>
          <w:rStyle w:val="FootnoteReference"/>
          <w:sz w:val="22"/>
          <w:szCs w:val="22"/>
        </w:rPr>
        <w:footnoteReference w:id="30"/>
      </w:r>
      <w:r w:rsidR="00A73F8F">
        <w:rPr>
          <w:sz w:val="22"/>
          <w:szCs w:val="22"/>
        </w:rPr>
        <w:t>. Colours such as red text in ‘Women Wanted Urgently’ are used to get an emotive response from women</w:t>
      </w:r>
      <w:r w:rsidR="00F03E28">
        <w:rPr>
          <w:rStyle w:val="FootnoteReference"/>
          <w:sz w:val="22"/>
          <w:szCs w:val="22"/>
        </w:rPr>
        <w:footnoteReference w:id="31"/>
      </w:r>
      <w:r w:rsidR="00A73F8F">
        <w:rPr>
          <w:sz w:val="22"/>
          <w:szCs w:val="22"/>
        </w:rPr>
        <w:t>.</w:t>
      </w:r>
      <w:r w:rsidR="004446DC">
        <w:rPr>
          <w:sz w:val="22"/>
          <w:szCs w:val="22"/>
        </w:rPr>
        <w:t xml:space="preserve"> </w:t>
      </w:r>
      <w:r w:rsidR="00945BE6">
        <w:rPr>
          <w:sz w:val="22"/>
          <w:szCs w:val="22"/>
        </w:rPr>
        <w:t xml:space="preserve">Imagery such as the use of Britannia in the poster is also used to get an emotional response from women. Britannia is </w:t>
      </w:r>
      <w:r w:rsidR="00976350">
        <w:rPr>
          <w:sz w:val="22"/>
          <w:szCs w:val="22"/>
        </w:rPr>
        <w:t xml:space="preserve">often depicted in times of crisis and it can be suggested that </w:t>
      </w:r>
      <w:r w:rsidR="00976350">
        <w:rPr>
          <w:sz w:val="22"/>
          <w:szCs w:val="22"/>
        </w:rPr>
        <w:lastRenderedPageBreak/>
        <w:t xml:space="preserve">it is </w:t>
      </w:r>
      <w:r w:rsidR="00945BE6">
        <w:rPr>
          <w:sz w:val="22"/>
          <w:szCs w:val="22"/>
        </w:rPr>
        <w:t>used as a symbol of strength</w:t>
      </w:r>
      <w:r w:rsidR="00976350">
        <w:rPr>
          <w:sz w:val="22"/>
          <w:szCs w:val="22"/>
        </w:rPr>
        <w:t xml:space="preserve"> in this image</w:t>
      </w:r>
      <w:r w:rsidR="008D7EE3">
        <w:rPr>
          <w:rStyle w:val="FootnoteReference"/>
          <w:sz w:val="22"/>
          <w:szCs w:val="22"/>
        </w:rPr>
        <w:footnoteReference w:id="32"/>
      </w:r>
      <w:r w:rsidR="00945BE6">
        <w:rPr>
          <w:sz w:val="22"/>
          <w:szCs w:val="22"/>
        </w:rPr>
        <w:t xml:space="preserve">. This imagery helped to break traditional ideas about women by </w:t>
      </w:r>
      <w:r w:rsidR="006642C5">
        <w:rPr>
          <w:sz w:val="22"/>
          <w:szCs w:val="22"/>
        </w:rPr>
        <w:t>presenting them as strong, rather than weak.</w:t>
      </w:r>
      <w:r w:rsidR="00FB2F96">
        <w:rPr>
          <w:sz w:val="22"/>
          <w:szCs w:val="22"/>
        </w:rPr>
        <w:t xml:space="preserve"> The imagery seen in the posters likely influenced men, and the actions of women in the WAAC and the WRNS proved to men that they earned the right to vote for their services to the war effort.</w:t>
      </w:r>
      <w:r w:rsidR="001523B2">
        <w:rPr>
          <w:sz w:val="22"/>
          <w:szCs w:val="22"/>
        </w:rPr>
        <w:t xml:space="preserve"> </w:t>
      </w:r>
    </w:p>
    <w:p w14:paraId="6CBB99F2" w14:textId="647D666A" w:rsidR="001523B2" w:rsidRDefault="001523B2" w:rsidP="0065341E">
      <w:pPr>
        <w:rPr>
          <w:sz w:val="22"/>
          <w:szCs w:val="22"/>
        </w:rPr>
      </w:pPr>
      <w:r>
        <w:rPr>
          <w:sz w:val="22"/>
          <w:szCs w:val="22"/>
        </w:rPr>
        <w:t>Another propaganda poster is aimed at women to be employed at munitions factories</w:t>
      </w:r>
      <w:r w:rsidR="00B3059F">
        <w:rPr>
          <w:rStyle w:val="FootnoteReference"/>
          <w:sz w:val="22"/>
          <w:szCs w:val="22"/>
        </w:rPr>
        <w:footnoteReference w:id="33"/>
      </w:r>
      <w:r>
        <w:rPr>
          <w:sz w:val="22"/>
          <w:szCs w:val="22"/>
        </w:rPr>
        <w:t xml:space="preserve">. Emotive language is again used to in an attempt to employ women in the munitions factories. Words such as </w:t>
      </w:r>
      <w:r w:rsidR="00721E68">
        <w:rPr>
          <w:sz w:val="22"/>
          <w:szCs w:val="22"/>
        </w:rPr>
        <w:t>‘Urgently Wanted’ are used to create a sense of need and a sense of belonging</w:t>
      </w:r>
      <w:r w:rsidR="00F03E28">
        <w:rPr>
          <w:rStyle w:val="FootnoteReference"/>
          <w:sz w:val="22"/>
          <w:szCs w:val="22"/>
        </w:rPr>
        <w:footnoteReference w:id="34"/>
      </w:r>
      <w:r w:rsidR="00721E68">
        <w:rPr>
          <w:sz w:val="22"/>
          <w:szCs w:val="22"/>
        </w:rPr>
        <w:t>. Another sense of belonging is shown as the poster focuses its audience on women.</w:t>
      </w:r>
      <w:r w:rsidR="004B4C4D">
        <w:rPr>
          <w:sz w:val="22"/>
          <w:szCs w:val="22"/>
        </w:rPr>
        <w:t xml:space="preserve"> The imagery in the poster, which depicts an all women workforce in the factory, is meant to appeal to and entice women to the munitions factories</w:t>
      </w:r>
      <w:r w:rsidR="0049722C">
        <w:rPr>
          <w:rStyle w:val="FootnoteReference"/>
          <w:sz w:val="22"/>
          <w:szCs w:val="22"/>
        </w:rPr>
        <w:footnoteReference w:id="35"/>
      </w:r>
      <w:r w:rsidR="004B4C4D">
        <w:rPr>
          <w:sz w:val="22"/>
          <w:szCs w:val="22"/>
        </w:rPr>
        <w:t xml:space="preserve">. By giving women employment at jobs such as munition factories, which were jobs originally held by men, the government are giving the Women’s Suffrage Movement what they want. Therefore, by giving the Women’s Suffrage Movement what they want, women are proving themselves to the government, which overall helps women’s enfranchisement. </w:t>
      </w:r>
    </w:p>
    <w:p w14:paraId="3DEC1E8D" w14:textId="5B5B2250" w:rsidR="004B4C4D" w:rsidRDefault="00022F90" w:rsidP="0065341E">
      <w:pPr>
        <w:rPr>
          <w:sz w:val="22"/>
          <w:szCs w:val="22"/>
        </w:rPr>
      </w:pPr>
      <w:r>
        <w:rPr>
          <w:sz w:val="22"/>
          <w:szCs w:val="22"/>
        </w:rPr>
        <w:t xml:space="preserve">In conclusion, World War I did help the Women’s Suffrage Movement. Although the argument can be made that the change in tactics from militancy and campaigning to supporting the war effort moves away </w:t>
      </w:r>
      <w:r w:rsidR="00AB7CCE">
        <w:rPr>
          <w:sz w:val="22"/>
          <w:szCs w:val="22"/>
        </w:rPr>
        <w:t>from the Women Suffrage Movements primary aims, the shortage of labour throughout the war proved to men that women had earned the right to vote. Propaganda posters and legislation through parliament, such as the Munitions Act, were a step forward for the Women’s Suffrage Movement as it allowed and encouraged women to hold positions in employment which were traditionally held by men. Although the uptake of employment for women was slow and unemployment rose for women in the early years of the war, women were incredibly valuable throughout the war in munitions factories, and in the WAAC and WRNS at home and abroad. The invaluable effort by women throughout the war undoubtedly helped them win the right to vote in 1918.</w:t>
      </w:r>
      <w:r w:rsidR="00CD5310">
        <w:rPr>
          <w:sz w:val="22"/>
          <w:szCs w:val="22"/>
        </w:rPr>
        <w:t xml:space="preserve"> </w:t>
      </w:r>
    </w:p>
    <w:p w14:paraId="0372E1AA" w14:textId="77777777" w:rsidR="00CD5310" w:rsidRDefault="00CD5310" w:rsidP="0065341E">
      <w:pPr>
        <w:rPr>
          <w:sz w:val="22"/>
          <w:szCs w:val="22"/>
        </w:rPr>
      </w:pPr>
    </w:p>
    <w:p w14:paraId="0542A4DF" w14:textId="77777777" w:rsidR="00CD5310" w:rsidRDefault="00CD5310" w:rsidP="0065341E">
      <w:pPr>
        <w:rPr>
          <w:sz w:val="22"/>
          <w:szCs w:val="22"/>
        </w:rPr>
      </w:pPr>
    </w:p>
    <w:p w14:paraId="0450B05C" w14:textId="77777777" w:rsidR="00CD5310" w:rsidRDefault="00CD5310" w:rsidP="0065341E">
      <w:pPr>
        <w:rPr>
          <w:sz w:val="22"/>
          <w:szCs w:val="22"/>
        </w:rPr>
      </w:pPr>
    </w:p>
    <w:p w14:paraId="29D0AA96" w14:textId="77777777" w:rsidR="00CD5310" w:rsidRDefault="00CD5310" w:rsidP="0065341E">
      <w:pPr>
        <w:rPr>
          <w:sz w:val="22"/>
          <w:szCs w:val="22"/>
        </w:rPr>
      </w:pPr>
    </w:p>
    <w:p w14:paraId="273A8C12" w14:textId="77777777" w:rsidR="00035BE0" w:rsidRDefault="00035BE0" w:rsidP="0065341E">
      <w:pPr>
        <w:rPr>
          <w:sz w:val="22"/>
          <w:szCs w:val="22"/>
          <w:u w:val="single"/>
        </w:rPr>
      </w:pPr>
    </w:p>
    <w:p w14:paraId="3730D62E" w14:textId="77777777" w:rsidR="00035BE0" w:rsidRDefault="00035BE0" w:rsidP="0065341E">
      <w:pPr>
        <w:rPr>
          <w:sz w:val="22"/>
          <w:szCs w:val="22"/>
          <w:u w:val="single"/>
        </w:rPr>
      </w:pPr>
    </w:p>
    <w:p w14:paraId="6CCF5F48" w14:textId="77777777" w:rsidR="00035BE0" w:rsidRDefault="00035BE0" w:rsidP="0065341E">
      <w:pPr>
        <w:rPr>
          <w:sz w:val="22"/>
          <w:szCs w:val="22"/>
          <w:u w:val="single"/>
        </w:rPr>
      </w:pPr>
    </w:p>
    <w:p w14:paraId="5FB8E1E5" w14:textId="77777777" w:rsidR="00035BE0" w:rsidRDefault="00035BE0" w:rsidP="0065341E">
      <w:pPr>
        <w:rPr>
          <w:sz w:val="22"/>
          <w:szCs w:val="22"/>
          <w:u w:val="single"/>
        </w:rPr>
      </w:pPr>
    </w:p>
    <w:p w14:paraId="0267DA9B" w14:textId="77777777" w:rsidR="00035BE0" w:rsidRDefault="00035BE0" w:rsidP="0065341E">
      <w:pPr>
        <w:rPr>
          <w:sz w:val="22"/>
          <w:szCs w:val="22"/>
          <w:u w:val="single"/>
        </w:rPr>
      </w:pPr>
    </w:p>
    <w:p w14:paraId="6CEF95DC" w14:textId="52BEF272" w:rsidR="00CD5310" w:rsidRDefault="00CD5310" w:rsidP="0065341E">
      <w:pPr>
        <w:rPr>
          <w:sz w:val="22"/>
          <w:szCs w:val="22"/>
        </w:rPr>
      </w:pPr>
      <w:r>
        <w:rPr>
          <w:sz w:val="22"/>
          <w:szCs w:val="22"/>
          <w:u w:val="single"/>
        </w:rPr>
        <w:t>Bibliography</w:t>
      </w:r>
      <w:r w:rsidR="00A50DD6">
        <w:rPr>
          <w:sz w:val="22"/>
          <w:szCs w:val="22"/>
        </w:rPr>
        <w:t xml:space="preserve"> </w:t>
      </w:r>
    </w:p>
    <w:p w14:paraId="32E9A6D1" w14:textId="38E4D077" w:rsidR="00A50DD6" w:rsidRDefault="007C0C88" w:rsidP="007C0C88">
      <w:pPr>
        <w:pStyle w:val="ListParagraph"/>
        <w:numPr>
          <w:ilvl w:val="0"/>
          <w:numId w:val="1"/>
        </w:numPr>
        <w:rPr>
          <w:sz w:val="22"/>
          <w:szCs w:val="22"/>
        </w:rPr>
      </w:pPr>
      <w:r>
        <w:rPr>
          <w:sz w:val="22"/>
          <w:szCs w:val="22"/>
        </w:rPr>
        <w:t xml:space="preserve">E. Nym Mayhall, Laura, ‘Domesticating Emmeline: Representing the Suffragette, 1930-1993’, </w:t>
      </w:r>
      <w:r w:rsidR="0047038A">
        <w:rPr>
          <w:i/>
          <w:iCs/>
          <w:sz w:val="22"/>
          <w:szCs w:val="22"/>
        </w:rPr>
        <w:t>National Women’s Studies Association Journal, Women Created, Women Transfigured, Women Consumed</w:t>
      </w:r>
      <w:r w:rsidR="0047038A">
        <w:rPr>
          <w:sz w:val="22"/>
          <w:szCs w:val="22"/>
        </w:rPr>
        <w:t>, Vol.11, No.2, (1999), pp 1-24</w:t>
      </w:r>
      <w:r w:rsidR="00CC6335">
        <w:rPr>
          <w:sz w:val="22"/>
          <w:szCs w:val="22"/>
        </w:rPr>
        <w:t>, &lt;</w:t>
      </w:r>
      <w:hyperlink r:id="rId8" w:history="1">
        <w:r w:rsidR="00CC6335" w:rsidRPr="00A66442">
          <w:rPr>
            <w:rStyle w:val="Hyperlink"/>
            <w:sz w:val="22"/>
            <w:szCs w:val="22"/>
          </w:rPr>
          <w:t>https://www.jstor.org/stable/4316653?seq=1</w:t>
        </w:r>
      </w:hyperlink>
      <w:r w:rsidR="00CC6335">
        <w:rPr>
          <w:sz w:val="22"/>
          <w:szCs w:val="22"/>
        </w:rPr>
        <w:t>&gt;, [Accessed: 16</w:t>
      </w:r>
      <w:r w:rsidR="00CC6335" w:rsidRPr="00CC6335">
        <w:rPr>
          <w:sz w:val="22"/>
          <w:szCs w:val="22"/>
          <w:vertAlign w:val="superscript"/>
        </w:rPr>
        <w:t>th</w:t>
      </w:r>
      <w:r w:rsidR="00CC6335">
        <w:rPr>
          <w:sz w:val="22"/>
          <w:szCs w:val="22"/>
        </w:rPr>
        <w:t xml:space="preserve"> January 2026].</w:t>
      </w:r>
    </w:p>
    <w:p w14:paraId="665946A7" w14:textId="170C9C73" w:rsidR="008610D0" w:rsidRDefault="008610D0" w:rsidP="007C0C88">
      <w:pPr>
        <w:pStyle w:val="ListParagraph"/>
        <w:numPr>
          <w:ilvl w:val="0"/>
          <w:numId w:val="1"/>
        </w:numPr>
        <w:rPr>
          <w:sz w:val="22"/>
          <w:szCs w:val="22"/>
        </w:rPr>
      </w:pPr>
      <w:r>
        <w:rPr>
          <w:sz w:val="22"/>
          <w:szCs w:val="22"/>
        </w:rPr>
        <w:t xml:space="preserve">Fara, Patricia, </w:t>
      </w:r>
      <w:r w:rsidR="003B6E0E">
        <w:rPr>
          <w:sz w:val="22"/>
          <w:szCs w:val="22"/>
        </w:rPr>
        <w:t xml:space="preserve">‘Chemical ‘Canaries’: Munitions Workers in the First World War’, </w:t>
      </w:r>
      <w:r w:rsidR="003B6E0E">
        <w:rPr>
          <w:i/>
          <w:iCs/>
          <w:sz w:val="22"/>
          <w:szCs w:val="22"/>
        </w:rPr>
        <w:t>History of Science</w:t>
      </w:r>
      <w:r w:rsidR="003B6E0E">
        <w:rPr>
          <w:sz w:val="22"/>
          <w:szCs w:val="22"/>
        </w:rPr>
        <w:t>, Vol 61, Issue 4, (2023), pp 1-15, &lt;</w:t>
      </w:r>
      <w:hyperlink r:id="rId9" w:history="1">
        <w:r w:rsidR="003B6E0E" w:rsidRPr="0056435B">
          <w:rPr>
            <w:rStyle w:val="Hyperlink"/>
            <w:sz w:val="22"/>
            <w:szCs w:val="22"/>
          </w:rPr>
          <w:t>https://doi.org/10.1177/00732753231173063</w:t>
        </w:r>
      </w:hyperlink>
      <w:r w:rsidR="003B6E0E">
        <w:rPr>
          <w:sz w:val="22"/>
          <w:szCs w:val="22"/>
        </w:rPr>
        <w:t>&gt;, [Accessed: 16</w:t>
      </w:r>
      <w:r w:rsidR="003B6E0E" w:rsidRPr="003B6E0E">
        <w:rPr>
          <w:sz w:val="22"/>
          <w:szCs w:val="22"/>
          <w:vertAlign w:val="superscript"/>
        </w:rPr>
        <w:t>th</w:t>
      </w:r>
      <w:r w:rsidR="003B6E0E">
        <w:rPr>
          <w:sz w:val="22"/>
          <w:szCs w:val="22"/>
        </w:rPr>
        <w:t xml:space="preserve"> January 2026].</w:t>
      </w:r>
    </w:p>
    <w:p w14:paraId="54C1E9F1" w14:textId="29628CEB" w:rsidR="00812644" w:rsidRDefault="00812644" w:rsidP="007C0C88">
      <w:pPr>
        <w:pStyle w:val="ListParagraph"/>
        <w:numPr>
          <w:ilvl w:val="0"/>
          <w:numId w:val="1"/>
        </w:numPr>
        <w:rPr>
          <w:sz w:val="22"/>
          <w:szCs w:val="22"/>
        </w:rPr>
      </w:pPr>
      <w:r>
        <w:rPr>
          <w:sz w:val="22"/>
          <w:szCs w:val="22"/>
        </w:rPr>
        <w:t xml:space="preserve">Imperial War Museum, </w:t>
      </w:r>
      <w:r w:rsidR="00915558">
        <w:rPr>
          <w:i/>
          <w:iCs/>
          <w:sz w:val="22"/>
          <w:szCs w:val="22"/>
        </w:rPr>
        <w:t>Free Training for Munitions Workers</w:t>
      </w:r>
      <w:r w:rsidR="00915558">
        <w:rPr>
          <w:sz w:val="22"/>
          <w:szCs w:val="22"/>
        </w:rPr>
        <w:t>, Unknown, &lt;</w:t>
      </w:r>
      <w:hyperlink r:id="rId10" w:history="1">
        <w:r w:rsidR="00915558" w:rsidRPr="0056435B">
          <w:rPr>
            <w:rStyle w:val="Hyperlink"/>
            <w:sz w:val="22"/>
            <w:szCs w:val="22"/>
          </w:rPr>
          <w:t>https://www.iwm.org.uk/collections/item/object/28479</w:t>
        </w:r>
      </w:hyperlink>
      <w:r w:rsidR="00915558">
        <w:rPr>
          <w:sz w:val="22"/>
          <w:szCs w:val="22"/>
        </w:rPr>
        <w:t>&gt;, [Accessed: 16</w:t>
      </w:r>
      <w:r w:rsidR="00915558" w:rsidRPr="00915558">
        <w:rPr>
          <w:sz w:val="22"/>
          <w:szCs w:val="22"/>
          <w:vertAlign w:val="superscript"/>
        </w:rPr>
        <w:t>th</w:t>
      </w:r>
      <w:r w:rsidR="00915558">
        <w:rPr>
          <w:sz w:val="22"/>
          <w:szCs w:val="22"/>
        </w:rPr>
        <w:t xml:space="preserve"> January 2026].</w:t>
      </w:r>
    </w:p>
    <w:p w14:paraId="0D19AE57" w14:textId="402EE404" w:rsidR="00230F00" w:rsidRDefault="00230F00" w:rsidP="007C0C88">
      <w:pPr>
        <w:pStyle w:val="ListParagraph"/>
        <w:numPr>
          <w:ilvl w:val="0"/>
          <w:numId w:val="1"/>
        </w:numPr>
        <w:rPr>
          <w:sz w:val="22"/>
          <w:szCs w:val="22"/>
        </w:rPr>
      </w:pPr>
      <w:r>
        <w:rPr>
          <w:sz w:val="22"/>
          <w:szCs w:val="22"/>
        </w:rPr>
        <w:t xml:space="preserve">Imperial War Museum, </w:t>
      </w:r>
      <w:r w:rsidR="00A76CE5" w:rsidRPr="00A76CE5">
        <w:rPr>
          <w:i/>
          <w:iCs/>
          <w:sz w:val="22"/>
          <w:szCs w:val="22"/>
        </w:rPr>
        <w:t>Women Wanted Urgently</w:t>
      </w:r>
      <w:r w:rsidR="00A76CE5">
        <w:rPr>
          <w:sz w:val="22"/>
          <w:szCs w:val="22"/>
        </w:rPr>
        <w:t>, Unknown, &lt;</w:t>
      </w:r>
      <w:hyperlink r:id="rId11" w:history="1">
        <w:r w:rsidR="00A76CE5" w:rsidRPr="0056435B">
          <w:rPr>
            <w:rStyle w:val="Hyperlink"/>
            <w:sz w:val="22"/>
            <w:szCs w:val="22"/>
          </w:rPr>
          <w:t>https://www.iwm.org.uk/collections/item/object/31380</w:t>
        </w:r>
      </w:hyperlink>
      <w:r w:rsidR="00A76CE5">
        <w:rPr>
          <w:sz w:val="22"/>
          <w:szCs w:val="22"/>
        </w:rPr>
        <w:t>&gt;, [Accessed: 16</w:t>
      </w:r>
      <w:r w:rsidR="00A76CE5" w:rsidRPr="00A76CE5">
        <w:rPr>
          <w:sz w:val="22"/>
          <w:szCs w:val="22"/>
          <w:vertAlign w:val="superscript"/>
        </w:rPr>
        <w:t>th</w:t>
      </w:r>
      <w:r w:rsidR="00A76CE5">
        <w:rPr>
          <w:sz w:val="22"/>
          <w:szCs w:val="22"/>
        </w:rPr>
        <w:t xml:space="preserve"> January 2026].</w:t>
      </w:r>
    </w:p>
    <w:p w14:paraId="56AF80E9" w14:textId="360627AF" w:rsidR="00270F42" w:rsidRDefault="00270F42" w:rsidP="007C0C88">
      <w:pPr>
        <w:pStyle w:val="ListParagraph"/>
        <w:numPr>
          <w:ilvl w:val="0"/>
          <w:numId w:val="1"/>
        </w:numPr>
        <w:rPr>
          <w:sz w:val="22"/>
          <w:szCs w:val="22"/>
        </w:rPr>
      </w:pPr>
      <w:r>
        <w:rPr>
          <w:sz w:val="22"/>
          <w:szCs w:val="22"/>
        </w:rPr>
        <w:t xml:space="preserve">K. Smith, Angela, ‘The </w:t>
      </w:r>
      <w:proofErr w:type="spellStart"/>
      <w:r>
        <w:rPr>
          <w:sz w:val="22"/>
          <w:szCs w:val="22"/>
        </w:rPr>
        <w:t>Pankhursts</w:t>
      </w:r>
      <w:proofErr w:type="spellEnd"/>
      <w:r>
        <w:rPr>
          <w:sz w:val="22"/>
          <w:szCs w:val="22"/>
        </w:rPr>
        <w:t xml:space="preserve"> and the War: Suffrage Magazines and First World War Propaganda’, </w:t>
      </w:r>
      <w:r>
        <w:rPr>
          <w:i/>
          <w:iCs/>
          <w:sz w:val="22"/>
          <w:szCs w:val="22"/>
        </w:rPr>
        <w:t>Women’s History Review</w:t>
      </w:r>
      <w:r>
        <w:rPr>
          <w:sz w:val="22"/>
          <w:szCs w:val="22"/>
        </w:rPr>
        <w:t>, Vol. 12, No.1, (2006), pp 103-118, &lt;</w:t>
      </w:r>
      <w:hyperlink r:id="rId12" w:history="1">
        <w:r w:rsidRPr="0056435B">
          <w:rPr>
            <w:rStyle w:val="Hyperlink"/>
            <w:sz w:val="22"/>
            <w:szCs w:val="22"/>
          </w:rPr>
          <w:t>https://www.tandfonline.com/doi/pdf/10.1080/09612020300200349</w:t>
        </w:r>
      </w:hyperlink>
      <w:r>
        <w:rPr>
          <w:sz w:val="22"/>
          <w:szCs w:val="22"/>
        </w:rPr>
        <w:t>&gt;, [</w:t>
      </w:r>
      <w:r w:rsidR="00EF21D8">
        <w:rPr>
          <w:sz w:val="22"/>
          <w:szCs w:val="22"/>
        </w:rPr>
        <w:t>Accessed: 16</w:t>
      </w:r>
      <w:r w:rsidR="00EF21D8" w:rsidRPr="00EF21D8">
        <w:rPr>
          <w:sz w:val="22"/>
          <w:szCs w:val="22"/>
          <w:vertAlign w:val="superscript"/>
        </w:rPr>
        <w:t>th</w:t>
      </w:r>
      <w:r w:rsidR="00EF21D8">
        <w:rPr>
          <w:sz w:val="22"/>
          <w:szCs w:val="22"/>
        </w:rPr>
        <w:t xml:space="preserve"> January 2026].</w:t>
      </w:r>
    </w:p>
    <w:p w14:paraId="604E3928" w14:textId="148F40A4" w:rsidR="00D60960" w:rsidRDefault="00D60960" w:rsidP="007C0C88">
      <w:pPr>
        <w:pStyle w:val="ListParagraph"/>
        <w:numPr>
          <w:ilvl w:val="0"/>
          <w:numId w:val="1"/>
        </w:numPr>
        <w:rPr>
          <w:sz w:val="22"/>
          <w:szCs w:val="22"/>
        </w:rPr>
      </w:pPr>
      <w:r>
        <w:rPr>
          <w:sz w:val="22"/>
          <w:szCs w:val="22"/>
        </w:rPr>
        <w:t xml:space="preserve">Kingsley Kent, Susan, ‘The Politics of Sexual Difference: World War I and the Demise of British Feminism’, </w:t>
      </w:r>
      <w:r>
        <w:rPr>
          <w:i/>
          <w:iCs/>
          <w:sz w:val="22"/>
          <w:szCs w:val="22"/>
        </w:rPr>
        <w:t>Journal of British Studies, The Dilemmas of Democratic Politics</w:t>
      </w:r>
      <w:r w:rsidR="004E0F6D">
        <w:rPr>
          <w:sz w:val="22"/>
          <w:szCs w:val="22"/>
        </w:rPr>
        <w:t>, Vol. 27, No.3, (1988), pp 232-253, &lt;</w:t>
      </w:r>
      <w:hyperlink r:id="rId13" w:history="1">
        <w:r w:rsidR="004E0F6D" w:rsidRPr="0056435B">
          <w:rPr>
            <w:rStyle w:val="Hyperlink"/>
            <w:sz w:val="22"/>
            <w:szCs w:val="22"/>
          </w:rPr>
          <w:t>https://www.jstor.org/stable/pdf/175664.pdf?casa_token=umo4IrWjUxkAAAAA:KqtXGiZX2IDQ5CJ-64mQdqFF9WcuhFqCaf1D_06lrXREVELliiYLNVyu2Zi1bkCBJEoEDOc45Ydf36eukWDEe4Uh5qDJvmWffjsX7RWYy_FpmYiVpQM</w:t>
        </w:r>
      </w:hyperlink>
      <w:r w:rsidR="004E0F6D">
        <w:rPr>
          <w:sz w:val="22"/>
          <w:szCs w:val="22"/>
        </w:rPr>
        <w:t>&gt;, [Accessed: 16</w:t>
      </w:r>
      <w:r w:rsidR="004E0F6D" w:rsidRPr="004E0F6D">
        <w:rPr>
          <w:sz w:val="22"/>
          <w:szCs w:val="22"/>
          <w:vertAlign w:val="superscript"/>
        </w:rPr>
        <w:t>th</w:t>
      </w:r>
      <w:r w:rsidR="004E0F6D">
        <w:rPr>
          <w:sz w:val="22"/>
          <w:szCs w:val="22"/>
        </w:rPr>
        <w:t xml:space="preserve"> January 2026].</w:t>
      </w:r>
    </w:p>
    <w:p w14:paraId="271F6946" w14:textId="6D9CF51C" w:rsidR="00FF7218" w:rsidRPr="00FF7218" w:rsidRDefault="00FF7218" w:rsidP="007C0C88">
      <w:pPr>
        <w:pStyle w:val="ListParagraph"/>
        <w:numPr>
          <w:ilvl w:val="0"/>
          <w:numId w:val="1"/>
        </w:numPr>
        <w:rPr>
          <w:sz w:val="22"/>
          <w:szCs w:val="22"/>
        </w:rPr>
      </w:pPr>
      <w:r>
        <w:rPr>
          <w:sz w:val="22"/>
          <w:szCs w:val="22"/>
        </w:rPr>
        <w:t xml:space="preserve">Major, </w:t>
      </w:r>
      <w:r w:rsidRPr="00FF7218">
        <w:rPr>
          <w:sz w:val="22"/>
          <w:szCs w:val="22"/>
        </w:rPr>
        <w:t xml:space="preserve">Emma, ‘The History of Madam Britannia’, in </w:t>
      </w:r>
      <w:r w:rsidRPr="00FF7218">
        <w:rPr>
          <w:i/>
          <w:iCs/>
          <w:sz w:val="22"/>
          <w:szCs w:val="22"/>
        </w:rPr>
        <w:t>Madam Britannia: Women, Church, and Nation 1712-1812</w:t>
      </w:r>
      <w:r w:rsidRPr="00FF7218">
        <w:rPr>
          <w:sz w:val="22"/>
          <w:szCs w:val="22"/>
        </w:rPr>
        <w:t>, (Oxford: Oxford University Press, 2011), pp 23-68,</w:t>
      </w:r>
      <w:r>
        <w:rPr>
          <w:sz w:val="22"/>
          <w:szCs w:val="22"/>
        </w:rPr>
        <w:t xml:space="preserve"> </w:t>
      </w:r>
      <w:r w:rsidRPr="00FF7218">
        <w:rPr>
          <w:sz w:val="22"/>
          <w:szCs w:val="22"/>
        </w:rPr>
        <w:t>&lt;</w:t>
      </w:r>
      <w:hyperlink r:id="rId14" w:history="1">
        <w:r w:rsidRPr="00FF7218">
          <w:rPr>
            <w:rStyle w:val="Hyperlink"/>
            <w:sz w:val="22"/>
            <w:szCs w:val="22"/>
          </w:rPr>
          <w:t>https://academic.oup.com/book/7442/chapter/152326486?login=true</w:t>
        </w:r>
      </w:hyperlink>
      <w:r w:rsidRPr="00FF7218">
        <w:rPr>
          <w:sz w:val="22"/>
          <w:szCs w:val="22"/>
        </w:rPr>
        <w:t>&gt;, [Accessed: 16</w:t>
      </w:r>
      <w:r w:rsidRPr="00FF7218">
        <w:rPr>
          <w:sz w:val="22"/>
          <w:szCs w:val="22"/>
          <w:vertAlign w:val="superscript"/>
        </w:rPr>
        <w:t>th</w:t>
      </w:r>
      <w:r w:rsidRPr="00FF7218">
        <w:rPr>
          <w:sz w:val="22"/>
          <w:szCs w:val="22"/>
        </w:rPr>
        <w:t xml:space="preserve"> January 2026].</w:t>
      </w:r>
    </w:p>
    <w:p w14:paraId="32DB26C2" w14:textId="313E6F00" w:rsidR="0091121A" w:rsidRDefault="00710009" w:rsidP="007C0C88">
      <w:pPr>
        <w:pStyle w:val="ListParagraph"/>
        <w:numPr>
          <w:ilvl w:val="0"/>
          <w:numId w:val="1"/>
        </w:numPr>
        <w:rPr>
          <w:sz w:val="22"/>
          <w:szCs w:val="22"/>
        </w:rPr>
      </w:pPr>
      <w:r>
        <w:rPr>
          <w:sz w:val="22"/>
          <w:szCs w:val="22"/>
        </w:rPr>
        <w:t xml:space="preserve">Margaret Gould, Jennifer, ‘The Women’s Corps: The Establishment of Women’s Military Services in Britain’, </w:t>
      </w:r>
      <w:r w:rsidR="00D12A5F">
        <w:rPr>
          <w:sz w:val="22"/>
          <w:szCs w:val="22"/>
        </w:rPr>
        <w:t xml:space="preserve">University College London, </w:t>
      </w:r>
      <w:r w:rsidR="009A7ED2">
        <w:rPr>
          <w:sz w:val="22"/>
          <w:szCs w:val="22"/>
        </w:rPr>
        <w:t>(1988), pp 1-488, &lt;</w:t>
      </w:r>
      <w:hyperlink r:id="rId15" w:history="1">
        <w:r w:rsidR="009A7ED2" w:rsidRPr="0056435B">
          <w:rPr>
            <w:rStyle w:val="Hyperlink"/>
            <w:sz w:val="22"/>
            <w:szCs w:val="22"/>
          </w:rPr>
          <w:t>https://discovery.ucl.ac.uk/id/eprint/1317607/1/260868.pdf</w:t>
        </w:r>
      </w:hyperlink>
      <w:r w:rsidR="009A7ED2">
        <w:rPr>
          <w:sz w:val="22"/>
          <w:szCs w:val="22"/>
        </w:rPr>
        <w:t>&gt;, [Accessed: 16</w:t>
      </w:r>
      <w:r w:rsidR="009A7ED2" w:rsidRPr="009A7ED2">
        <w:rPr>
          <w:sz w:val="22"/>
          <w:szCs w:val="22"/>
          <w:vertAlign w:val="superscript"/>
        </w:rPr>
        <w:t>th</w:t>
      </w:r>
      <w:r w:rsidR="009A7ED2">
        <w:rPr>
          <w:sz w:val="22"/>
          <w:szCs w:val="22"/>
        </w:rPr>
        <w:t xml:space="preserve"> January 2026].</w:t>
      </w:r>
      <w:r w:rsidR="00D60960">
        <w:rPr>
          <w:sz w:val="22"/>
          <w:szCs w:val="22"/>
        </w:rPr>
        <w:t xml:space="preserve"> </w:t>
      </w:r>
    </w:p>
    <w:p w14:paraId="4E008D86" w14:textId="77777777" w:rsidR="00323148" w:rsidRDefault="00323148" w:rsidP="00323148">
      <w:pPr>
        <w:pStyle w:val="ListParagraph"/>
        <w:numPr>
          <w:ilvl w:val="0"/>
          <w:numId w:val="1"/>
        </w:numPr>
        <w:rPr>
          <w:sz w:val="22"/>
          <w:szCs w:val="22"/>
        </w:rPr>
      </w:pPr>
      <w:r>
        <w:rPr>
          <w:sz w:val="22"/>
          <w:szCs w:val="22"/>
        </w:rPr>
        <w:t>National Army Museum, ‘</w:t>
      </w:r>
      <w:r w:rsidRPr="00EC7FE1">
        <w:rPr>
          <w:i/>
          <w:iCs/>
          <w:sz w:val="22"/>
          <w:szCs w:val="22"/>
        </w:rPr>
        <w:t>Queen Mary’s Army Auxiliary Corps</w:t>
      </w:r>
      <w:r>
        <w:rPr>
          <w:sz w:val="22"/>
          <w:szCs w:val="22"/>
        </w:rPr>
        <w:t>’, Unknown, &lt;</w:t>
      </w:r>
      <w:hyperlink r:id="rId16" w:history="1">
        <w:r w:rsidRPr="00A66442">
          <w:rPr>
            <w:rStyle w:val="Hyperlink"/>
            <w:sz w:val="22"/>
            <w:szCs w:val="22"/>
          </w:rPr>
          <w:t>https://www.nam.ac.uk/explore/queen-marys-army-auxiliary-corps</w:t>
        </w:r>
      </w:hyperlink>
      <w:r>
        <w:rPr>
          <w:sz w:val="22"/>
          <w:szCs w:val="22"/>
        </w:rPr>
        <w:t>&gt;, [Accessed: 16</w:t>
      </w:r>
      <w:r w:rsidRPr="00EC7FE1">
        <w:rPr>
          <w:sz w:val="22"/>
          <w:szCs w:val="22"/>
          <w:vertAlign w:val="superscript"/>
        </w:rPr>
        <w:t>th</w:t>
      </w:r>
      <w:r>
        <w:rPr>
          <w:sz w:val="22"/>
          <w:szCs w:val="22"/>
        </w:rPr>
        <w:t xml:space="preserve"> January 2026]. </w:t>
      </w:r>
    </w:p>
    <w:p w14:paraId="0579585A" w14:textId="1BAF5CC1" w:rsidR="00D60960" w:rsidRPr="007C0C88" w:rsidRDefault="00323148" w:rsidP="007C0C88">
      <w:pPr>
        <w:pStyle w:val="ListParagraph"/>
        <w:numPr>
          <w:ilvl w:val="0"/>
          <w:numId w:val="1"/>
        </w:numPr>
        <w:rPr>
          <w:sz w:val="22"/>
          <w:szCs w:val="22"/>
        </w:rPr>
      </w:pPr>
      <w:r>
        <w:rPr>
          <w:sz w:val="22"/>
          <w:szCs w:val="22"/>
        </w:rPr>
        <w:t xml:space="preserve">Parker, Abbey, </w:t>
      </w:r>
      <w:r w:rsidRPr="00323148">
        <w:rPr>
          <w:i/>
          <w:iCs/>
          <w:sz w:val="22"/>
          <w:szCs w:val="22"/>
        </w:rPr>
        <w:t>Gender Roles in World War I, Britains Use of Women in War and Propaganda</w:t>
      </w:r>
      <w:r>
        <w:rPr>
          <w:sz w:val="22"/>
          <w:szCs w:val="22"/>
        </w:rPr>
        <w:t>, 2025, &lt;</w:t>
      </w:r>
      <w:hyperlink r:id="rId17" w:history="1">
        <w:r w:rsidRPr="0056435B">
          <w:rPr>
            <w:rStyle w:val="Hyperlink"/>
            <w:sz w:val="22"/>
            <w:szCs w:val="22"/>
          </w:rPr>
          <w:t>https://twu.edu/history/ibid/ibid-volume-18-spring-2025/gender-roles-in-wwi/</w:t>
        </w:r>
      </w:hyperlink>
      <w:r>
        <w:rPr>
          <w:sz w:val="22"/>
          <w:szCs w:val="22"/>
        </w:rPr>
        <w:t>&gt;, [Accessed: 16</w:t>
      </w:r>
      <w:r w:rsidRPr="00323148">
        <w:rPr>
          <w:sz w:val="22"/>
          <w:szCs w:val="22"/>
          <w:vertAlign w:val="superscript"/>
        </w:rPr>
        <w:t>th</w:t>
      </w:r>
      <w:r>
        <w:rPr>
          <w:sz w:val="22"/>
          <w:szCs w:val="22"/>
        </w:rPr>
        <w:t xml:space="preserve"> January 2026].</w:t>
      </w:r>
    </w:p>
    <w:sectPr w:rsidR="00D60960" w:rsidRPr="007C0C8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6E99B4" w14:textId="77777777" w:rsidR="00182AB3" w:rsidRDefault="00182AB3" w:rsidP="007A5FED">
      <w:pPr>
        <w:spacing w:after="0" w:line="240" w:lineRule="auto"/>
      </w:pPr>
      <w:r>
        <w:separator/>
      </w:r>
    </w:p>
  </w:endnote>
  <w:endnote w:type="continuationSeparator" w:id="0">
    <w:p w14:paraId="48E39780" w14:textId="77777777" w:rsidR="00182AB3" w:rsidRDefault="00182AB3" w:rsidP="007A5F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8825C4" w14:textId="77777777" w:rsidR="00182AB3" w:rsidRDefault="00182AB3" w:rsidP="007A5FED">
      <w:pPr>
        <w:spacing w:after="0" w:line="240" w:lineRule="auto"/>
      </w:pPr>
      <w:r>
        <w:separator/>
      </w:r>
    </w:p>
  </w:footnote>
  <w:footnote w:type="continuationSeparator" w:id="0">
    <w:p w14:paraId="090E02C8" w14:textId="77777777" w:rsidR="00182AB3" w:rsidRDefault="00182AB3" w:rsidP="007A5FED">
      <w:pPr>
        <w:spacing w:after="0" w:line="240" w:lineRule="auto"/>
      </w:pPr>
      <w:r>
        <w:continuationSeparator/>
      </w:r>
    </w:p>
  </w:footnote>
  <w:footnote w:id="1">
    <w:p w14:paraId="53B69903" w14:textId="7427D3AE" w:rsidR="007A5FED" w:rsidRPr="00C040A2" w:rsidRDefault="007A5FED" w:rsidP="00C040A2">
      <w:pPr>
        <w:rPr>
          <w:sz w:val="20"/>
          <w:szCs w:val="20"/>
        </w:rPr>
      </w:pPr>
      <w:r>
        <w:rPr>
          <w:rStyle w:val="FootnoteReference"/>
        </w:rPr>
        <w:footnoteRef/>
      </w:r>
      <w:r w:rsidRPr="0037765B">
        <w:rPr>
          <w:sz w:val="20"/>
          <w:szCs w:val="20"/>
        </w:rPr>
        <w:t xml:space="preserve"> Laura,</w:t>
      </w:r>
      <w:r w:rsidR="00B0681C" w:rsidRPr="0037765B">
        <w:rPr>
          <w:sz w:val="20"/>
          <w:szCs w:val="20"/>
        </w:rPr>
        <w:t xml:space="preserve"> E. Nym Mayhall,</w:t>
      </w:r>
      <w:r w:rsidRPr="0037765B">
        <w:rPr>
          <w:sz w:val="20"/>
          <w:szCs w:val="20"/>
        </w:rPr>
        <w:t xml:space="preserve"> ‘Domesticating Emmeline: Representing the Suffragette, 1930-1993’, </w:t>
      </w:r>
      <w:r w:rsidRPr="0037765B">
        <w:rPr>
          <w:i/>
          <w:iCs/>
          <w:sz w:val="20"/>
          <w:szCs w:val="20"/>
        </w:rPr>
        <w:t>National Women’s Studies Association Journal, Women Created, Women Transfigured, Women Consumed</w:t>
      </w:r>
      <w:r w:rsidRPr="0037765B">
        <w:rPr>
          <w:sz w:val="20"/>
          <w:szCs w:val="20"/>
        </w:rPr>
        <w:t>, Vol.11, No.2, (1999), pp 1-24,</w:t>
      </w:r>
      <w:r w:rsidR="00F67100" w:rsidRPr="0037765B">
        <w:rPr>
          <w:sz w:val="20"/>
          <w:szCs w:val="20"/>
        </w:rPr>
        <w:t xml:space="preserve"> p2,</w:t>
      </w:r>
      <w:r w:rsidRPr="0037765B">
        <w:rPr>
          <w:sz w:val="20"/>
          <w:szCs w:val="20"/>
        </w:rPr>
        <w:t xml:space="preserve"> &lt;</w:t>
      </w:r>
      <w:hyperlink r:id="rId1" w:history="1">
        <w:r w:rsidRPr="0037765B">
          <w:rPr>
            <w:rStyle w:val="Hyperlink"/>
            <w:sz w:val="20"/>
            <w:szCs w:val="20"/>
          </w:rPr>
          <w:t>https://www.jstor.org/stable/4316653?seq=1</w:t>
        </w:r>
      </w:hyperlink>
      <w:r w:rsidRPr="0037765B">
        <w:rPr>
          <w:sz w:val="20"/>
          <w:szCs w:val="20"/>
        </w:rPr>
        <w:t>&gt;, [Accessed: 16</w:t>
      </w:r>
      <w:r w:rsidRPr="0037765B">
        <w:rPr>
          <w:sz w:val="20"/>
          <w:szCs w:val="20"/>
          <w:vertAlign w:val="superscript"/>
        </w:rPr>
        <w:t>th</w:t>
      </w:r>
      <w:r w:rsidRPr="0037765B">
        <w:rPr>
          <w:sz w:val="20"/>
          <w:szCs w:val="20"/>
        </w:rPr>
        <w:t xml:space="preserve"> January 2026].</w:t>
      </w:r>
    </w:p>
  </w:footnote>
  <w:footnote w:id="2">
    <w:p w14:paraId="5E2E1279" w14:textId="319E7B49" w:rsidR="005C7772" w:rsidRDefault="005C7772">
      <w:pPr>
        <w:pStyle w:val="FootnoteText"/>
      </w:pPr>
      <w:r>
        <w:rPr>
          <w:rStyle w:val="FootnoteReference"/>
        </w:rPr>
        <w:footnoteRef/>
      </w:r>
      <w:r>
        <w:t xml:space="preserve"> Ibid: Nym Mayhall, ‘Domesticating Emmeline: Representing the Suffragette, 1930-1993’, p2.</w:t>
      </w:r>
    </w:p>
  </w:footnote>
  <w:footnote w:id="3">
    <w:p w14:paraId="4AC8D7C7" w14:textId="125D5300" w:rsidR="00F55751" w:rsidRDefault="00F55751">
      <w:pPr>
        <w:pStyle w:val="FootnoteText"/>
      </w:pPr>
      <w:r>
        <w:rPr>
          <w:rStyle w:val="FootnoteReference"/>
        </w:rPr>
        <w:footnoteRef/>
      </w:r>
      <w:r>
        <w:t xml:space="preserve"> Ibid: Nym Mayhall, ‘Domesticating Emmeline: Representing the Suffragette, 1930-1993’, p3.</w:t>
      </w:r>
    </w:p>
  </w:footnote>
  <w:footnote w:id="4">
    <w:p w14:paraId="34761965" w14:textId="380F6B6D" w:rsidR="009D245A" w:rsidRDefault="009D245A">
      <w:pPr>
        <w:pStyle w:val="FootnoteText"/>
      </w:pPr>
      <w:r>
        <w:rPr>
          <w:rStyle w:val="FootnoteReference"/>
        </w:rPr>
        <w:footnoteRef/>
      </w:r>
      <w:r>
        <w:t xml:space="preserve"> Ibid: Nym Mayhall, ‘Domesticating Emmeline: Representing the Suffragette, 1930-1993’, p3.</w:t>
      </w:r>
    </w:p>
  </w:footnote>
  <w:footnote w:id="5">
    <w:p w14:paraId="51AA3530" w14:textId="2128E72D" w:rsidR="00E11F8C" w:rsidRDefault="00E11F8C">
      <w:pPr>
        <w:pStyle w:val="FootnoteText"/>
      </w:pPr>
      <w:r>
        <w:rPr>
          <w:rStyle w:val="FootnoteReference"/>
        </w:rPr>
        <w:footnoteRef/>
      </w:r>
      <w:r>
        <w:t xml:space="preserve"> Ibid: Nym Mayhall, ‘Domesticating Emmeline: Representing the Suffragette, 1930-1993’, p</w:t>
      </w:r>
      <w:r w:rsidR="002F157D">
        <w:t>3.</w:t>
      </w:r>
    </w:p>
  </w:footnote>
  <w:footnote w:id="6">
    <w:p w14:paraId="12AEA3FB" w14:textId="057ABD97" w:rsidR="00C1622D" w:rsidRDefault="00C1622D">
      <w:pPr>
        <w:pStyle w:val="FootnoteText"/>
      </w:pPr>
      <w:r>
        <w:rPr>
          <w:rStyle w:val="FootnoteReference"/>
        </w:rPr>
        <w:footnoteRef/>
      </w:r>
      <w:r>
        <w:t xml:space="preserve"> Ibid: Nym Mayhall, ‘Domesticating Emmeline: Representing the Suffragette, 1930-1993’, p3.</w:t>
      </w:r>
    </w:p>
  </w:footnote>
  <w:footnote w:id="7">
    <w:p w14:paraId="7A9E8B2A" w14:textId="67B5B290" w:rsidR="00155540" w:rsidRPr="00155540" w:rsidRDefault="00C040A2" w:rsidP="00155540">
      <w:pPr>
        <w:rPr>
          <w:sz w:val="20"/>
          <w:szCs w:val="20"/>
        </w:rPr>
      </w:pPr>
      <w:r w:rsidRPr="00155540">
        <w:rPr>
          <w:rStyle w:val="FootnoteReference"/>
          <w:sz w:val="20"/>
          <w:szCs w:val="20"/>
        </w:rPr>
        <w:footnoteRef/>
      </w:r>
      <w:r w:rsidR="00155540" w:rsidRPr="00155540">
        <w:rPr>
          <w:sz w:val="20"/>
          <w:szCs w:val="20"/>
        </w:rPr>
        <w:t xml:space="preserve"> Susan,</w:t>
      </w:r>
      <w:r w:rsidR="00155540">
        <w:rPr>
          <w:sz w:val="20"/>
          <w:szCs w:val="20"/>
        </w:rPr>
        <w:t xml:space="preserve"> </w:t>
      </w:r>
      <w:r w:rsidR="00155540" w:rsidRPr="00155540">
        <w:rPr>
          <w:sz w:val="20"/>
          <w:szCs w:val="20"/>
        </w:rPr>
        <w:t>Kingsley Kent</w:t>
      </w:r>
      <w:r w:rsidR="00155540">
        <w:rPr>
          <w:sz w:val="20"/>
          <w:szCs w:val="20"/>
        </w:rPr>
        <w:t>,</w:t>
      </w:r>
      <w:r w:rsidR="00155540" w:rsidRPr="00155540">
        <w:rPr>
          <w:sz w:val="20"/>
          <w:szCs w:val="20"/>
        </w:rPr>
        <w:t xml:space="preserve"> ‘The Politics of Sexual Difference: World War I and the Demise of British Feminism’, </w:t>
      </w:r>
      <w:r w:rsidR="00155540" w:rsidRPr="00155540">
        <w:rPr>
          <w:i/>
          <w:iCs/>
          <w:sz w:val="20"/>
          <w:szCs w:val="20"/>
        </w:rPr>
        <w:t>Journal of British Studies, The Dilemmas of Democratic Politics</w:t>
      </w:r>
      <w:r w:rsidR="00155540" w:rsidRPr="00155540">
        <w:rPr>
          <w:sz w:val="20"/>
          <w:szCs w:val="20"/>
        </w:rPr>
        <w:t>, Vol. 27, No.3, (1988), pp 232-253, &lt;</w:t>
      </w:r>
      <w:hyperlink r:id="rId2" w:history="1">
        <w:r w:rsidR="00155540" w:rsidRPr="00155540">
          <w:rPr>
            <w:rStyle w:val="Hyperlink"/>
            <w:sz w:val="20"/>
            <w:szCs w:val="20"/>
          </w:rPr>
          <w:t>https://www.jstor.org/stable/pdf/175664.pdf?casa_token=umo4IrWjUxkAAAAA:KqtXGiZX2IDQ5CJ-64mQdqFF9WcuhFqCaf1D_06lrXREVELliiYLNVyu2Zi1bkCBJEoEDOc45Ydf36eukWDEe4Uh5qDJvmWffjsX7RWYy_FpmYiVpQM</w:t>
        </w:r>
      </w:hyperlink>
      <w:r w:rsidR="00155540" w:rsidRPr="00155540">
        <w:rPr>
          <w:sz w:val="20"/>
          <w:szCs w:val="20"/>
        </w:rPr>
        <w:t>&gt;, [Accessed: 16</w:t>
      </w:r>
      <w:r w:rsidR="00155540" w:rsidRPr="00155540">
        <w:rPr>
          <w:sz w:val="20"/>
          <w:szCs w:val="20"/>
          <w:vertAlign w:val="superscript"/>
        </w:rPr>
        <w:t>th</w:t>
      </w:r>
      <w:r w:rsidR="00155540" w:rsidRPr="00155540">
        <w:rPr>
          <w:sz w:val="20"/>
          <w:szCs w:val="20"/>
        </w:rPr>
        <w:t xml:space="preserve"> January 2026].</w:t>
      </w:r>
    </w:p>
    <w:p w14:paraId="04493A18" w14:textId="2F4DC97D" w:rsidR="00C040A2" w:rsidRDefault="00C040A2">
      <w:pPr>
        <w:pStyle w:val="FootnoteText"/>
      </w:pPr>
    </w:p>
  </w:footnote>
  <w:footnote w:id="8">
    <w:p w14:paraId="3AECC003" w14:textId="2ADC983E" w:rsidR="0037765B" w:rsidRPr="00856F5E" w:rsidRDefault="0037765B" w:rsidP="00856F5E">
      <w:pPr>
        <w:rPr>
          <w:sz w:val="22"/>
          <w:szCs w:val="22"/>
        </w:rPr>
      </w:pPr>
      <w:r>
        <w:rPr>
          <w:rStyle w:val="FootnoteReference"/>
        </w:rPr>
        <w:footnoteRef/>
      </w:r>
      <w:r>
        <w:t xml:space="preserve"> </w:t>
      </w:r>
      <w:r w:rsidRPr="0037765B">
        <w:rPr>
          <w:sz w:val="20"/>
          <w:szCs w:val="20"/>
        </w:rPr>
        <w:t>National Army Museum, ‘</w:t>
      </w:r>
      <w:r w:rsidRPr="0037765B">
        <w:rPr>
          <w:i/>
          <w:iCs/>
          <w:sz w:val="20"/>
          <w:szCs w:val="20"/>
        </w:rPr>
        <w:t>Queen Mary’s Army Auxiliary Corps</w:t>
      </w:r>
      <w:r w:rsidRPr="0037765B">
        <w:rPr>
          <w:sz w:val="20"/>
          <w:szCs w:val="20"/>
        </w:rPr>
        <w:t>’, Unknown, &lt;</w:t>
      </w:r>
      <w:hyperlink r:id="rId3" w:history="1">
        <w:r w:rsidRPr="0037765B">
          <w:rPr>
            <w:rStyle w:val="Hyperlink"/>
            <w:sz w:val="20"/>
            <w:szCs w:val="20"/>
          </w:rPr>
          <w:t>https://www.nam.ac.uk/explore/queen-marys-army-auxiliary-corps</w:t>
        </w:r>
      </w:hyperlink>
      <w:r w:rsidRPr="0037765B">
        <w:rPr>
          <w:sz w:val="20"/>
          <w:szCs w:val="20"/>
        </w:rPr>
        <w:t>&gt;, [Accessed: 16</w:t>
      </w:r>
      <w:r w:rsidRPr="0037765B">
        <w:rPr>
          <w:sz w:val="20"/>
          <w:szCs w:val="20"/>
          <w:vertAlign w:val="superscript"/>
        </w:rPr>
        <w:t>th</w:t>
      </w:r>
      <w:r w:rsidRPr="0037765B">
        <w:rPr>
          <w:sz w:val="20"/>
          <w:szCs w:val="20"/>
        </w:rPr>
        <w:t xml:space="preserve"> January 2026].</w:t>
      </w:r>
      <w:r w:rsidRPr="0037765B">
        <w:rPr>
          <w:sz w:val="22"/>
          <w:szCs w:val="22"/>
        </w:rPr>
        <w:t xml:space="preserve"> </w:t>
      </w:r>
    </w:p>
  </w:footnote>
  <w:footnote w:id="9">
    <w:p w14:paraId="6FAF6297" w14:textId="73C27A62" w:rsidR="00BD4F16" w:rsidRDefault="00BD4F16">
      <w:pPr>
        <w:pStyle w:val="FootnoteText"/>
      </w:pPr>
      <w:r>
        <w:rPr>
          <w:rStyle w:val="FootnoteReference"/>
        </w:rPr>
        <w:footnoteRef/>
      </w:r>
      <w:r>
        <w:t xml:space="preserve"> Ibid: National Army Museum</w:t>
      </w:r>
      <w:r w:rsidR="005A3C9C">
        <w:t>, Unknown.</w:t>
      </w:r>
    </w:p>
  </w:footnote>
  <w:footnote w:id="10">
    <w:p w14:paraId="67C714D1" w14:textId="7C4F6942" w:rsidR="005A3C9C" w:rsidRDefault="005A3C9C">
      <w:pPr>
        <w:pStyle w:val="FootnoteText"/>
      </w:pPr>
      <w:r>
        <w:rPr>
          <w:rStyle w:val="FootnoteReference"/>
        </w:rPr>
        <w:footnoteRef/>
      </w:r>
      <w:r>
        <w:t xml:space="preserve"> Ibid: National Army Museum, Unknown.</w:t>
      </w:r>
    </w:p>
  </w:footnote>
  <w:footnote w:id="11">
    <w:p w14:paraId="66C821BC" w14:textId="7E869A3B" w:rsidR="005A3C9C" w:rsidRDefault="005A3C9C">
      <w:pPr>
        <w:pStyle w:val="FootnoteText"/>
      </w:pPr>
      <w:r>
        <w:rPr>
          <w:rStyle w:val="FootnoteReference"/>
        </w:rPr>
        <w:footnoteRef/>
      </w:r>
      <w:r>
        <w:t xml:space="preserve"> Ibid: National Army Museum, Unknown.</w:t>
      </w:r>
    </w:p>
  </w:footnote>
  <w:footnote w:id="12">
    <w:p w14:paraId="5B29DC9A" w14:textId="35FC1C05" w:rsidR="00856F5E" w:rsidRPr="00AD23CC" w:rsidRDefault="00856F5E" w:rsidP="00AD23CC">
      <w:pPr>
        <w:rPr>
          <w:sz w:val="22"/>
          <w:szCs w:val="22"/>
        </w:rPr>
      </w:pPr>
      <w:r>
        <w:rPr>
          <w:rStyle w:val="FootnoteReference"/>
        </w:rPr>
        <w:footnoteRef/>
      </w:r>
      <w:r>
        <w:t xml:space="preserve"> </w:t>
      </w:r>
      <w:r w:rsidRPr="00856F5E">
        <w:rPr>
          <w:sz w:val="20"/>
          <w:szCs w:val="20"/>
        </w:rPr>
        <w:t>Patricia, Fara</w:t>
      </w:r>
      <w:r>
        <w:rPr>
          <w:sz w:val="20"/>
          <w:szCs w:val="20"/>
        </w:rPr>
        <w:t>,</w:t>
      </w:r>
      <w:r w:rsidRPr="00856F5E">
        <w:rPr>
          <w:sz w:val="20"/>
          <w:szCs w:val="20"/>
        </w:rPr>
        <w:t xml:space="preserve"> ‘Chemical ‘Canaries’: Munitions Workers in the First World War’, </w:t>
      </w:r>
      <w:r w:rsidRPr="00856F5E">
        <w:rPr>
          <w:i/>
          <w:iCs/>
          <w:sz w:val="20"/>
          <w:szCs w:val="20"/>
        </w:rPr>
        <w:t>History of Science</w:t>
      </w:r>
      <w:r w:rsidRPr="00856F5E">
        <w:rPr>
          <w:sz w:val="20"/>
          <w:szCs w:val="20"/>
        </w:rPr>
        <w:t>, Vol 61, Issue 4, (2023), pp 1-15, &lt;</w:t>
      </w:r>
      <w:hyperlink r:id="rId4" w:history="1">
        <w:r w:rsidRPr="00856F5E">
          <w:rPr>
            <w:rStyle w:val="Hyperlink"/>
            <w:sz w:val="20"/>
            <w:szCs w:val="20"/>
          </w:rPr>
          <w:t>https://doi.org/10.1177/00732753231173063</w:t>
        </w:r>
      </w:hyperlink>
      <w:r w:rsidRPr="00856F5E">
        <w:rPr>
          <w:sz w:val="20"/>
          <w:szCs w:val="20"/>
        </w:rPr>
        <w:t>&gt;, [Accessed: 16</w:t>
      </w:r>
      <w:r w:rsidRPr="00856F5E">
        <w:rPr>
          <w:sz w:val="20"/>
          <w:szCs w:val="20"/>
          <w:vertAlign w:val="superscript"/>
        </w:rPr>
        <w:t>th</w:t>
      </w:r>
      <w:r w:rsidRPr="00856F5E">
        <w:rPr>
          <w:sz w:val="20"/>
          <w:szCs w:val="20"/>
        </w:rPr>
        <w:t xml:space="preserve"> January 2026].</w:t>
      </w:r>
    </w:p>
  </w:footnote>
  <w:footnote w:id="13">
    <w:p w14:paraId="60D76697" w14:textId="45990F2E" w:rsidR="00AD23CC" w:rsidRPr="00AD23CC" w:rsidRDefault="00AD23CC" w:rsidP="00AD23CC">
      <w:pPr>
        <w:rPr>
          <w:sz w:val="22"/>
          <w:szCs w:val="22"/>
        </w:rPr>
      </w:pPr>
      <w:r>
        <w:rPr>
          <w:rStyle w:val="FootnoteReference"/>
        </w:rPr>
        <w:footnoteRef/>
      </w:r>
      <w:r w:rsidRPr="00AD23CC">
        <w:rPr>
          <w:sz w:val="20"/>
          <w:szCs w:val="20"/>
        </w:rPr>
        <w:t xml:space="preserve"> Jennifer,</w:t>
      </w:r>
      <w:r>
        <w:rPr>
          <w:sz w:val="20"/>
          <w:szCs w:val="20"/>
        </w:rPr>
        <w:t xml:space="preserve"> </w:t>
      </w:r>
      <w:r w:rsidRPr="00AD23CC">
        <w:rPr>
          <w:sz w:val="20"/>
          <w:szCs w:val="20"/>
        </w:rPr>
        <w:t>Margaret Gould, ‘The Women’s Corps: The Establishment of Women’s Military Services in Britain’,</w:t>
      </w:r>
      <w:r w:rsidR="00C55211">
        <w:rPr>
          <w:sz w:val="20"/>
          <w:szCs w:val="20"/>
        </w:rPr>
        <w:t xml:space="preserve"> University College London,</w:t>
      </w:r>
      <w:r w:rsidRPr="00AD23CC">
        <w:rPr>
          <w:sz w:val="20"/>
          <w:szCs w:val="20"/>
        </w:rPr>
        <w:t xml:space="preserve"> (1988), pp 1-488,</w:t>
      </w:r>
      <w:r w:rsidR="008B60BC">
        <w:rPr>
          <w:sz w:val="20"/>
          <w:szCs w:val="20"/>
        </w:rPr>
        <w:t xml:space="preserve"> p59,</w:t>
      </w:r>
      <w:r w:rsidRPr="00AD23CC">
        <w:rPr>
          <w:sz w:val="20"/>
          <w:szCs w:val="20"/>
        </w:rPr>
        <w:t xml:space="preserve"> &lt;</w:t>
      </w:r>
      <w:hyperlink r:id="rId5" w:history="1">
        <w:r w:rsidRPr="00AD23CC">
          <w:rPr>
            <w:rStyle w:val="Hyperlink"/>
            <w:sz w:val="20"/>
            <w:szCs w:val="20"/>
          </w:rPr>
          <w:t>https://discovery.ucl.ac.uk/id/eprint/1317607/1/260868.pdf</w:t>
        </w:r>
      </w:hyperlink>
      <w:r w:rsidRPr="00AD23CC">
        <w:rPr>
          <w:sz w:val="20"/>
          <w:szCs w:val="20"/>
        </w:rPr>
        <w:t>&gt;, [Accessed: 16</w:t>
      </w:r>
      <w:r w:rsidRPr="00AD23CC">
        <w:rPr>
          <w:sz w:val="20"/>
          <w:szCs w:val="20"/>
          <w:vertAlign w:val="superscript"/>
        </w:rPr>
        <w:t>th</w:t>
      </w:r>
      <w:r w:rsidRPr="00AD23CC">
        <w:rPr>
          <w:sz w:val="20"/>
          <w:szCs w:val="20"/>
        </w:rPr>
        <w:t xml:space="preserve"> January 2026].</w:t>
      </w:r>
      <w:r w:rsidRPr="00AD23CC">
        <w:rPr>
          <w:sz w:val="22"/>
          <w:szCs w:val="22"/>
        </w:rPr>
        <w:t xml:space="preserve"> </w:t>
      </w:r>
    </w:p>
  </w:footnote>
  <w:footnote w:id="14">
    <w:p w14:paraId="6B71CEAE" w14:textId="009223F2" w:rsidR="008B60BC" w:rsidRDefault="008B60BC">
      <w:pPr>
        <w:pStyle w:val="FootnoteText"/>
      </w:pPr>
      <w:r>
        <w:rPr>
          <w:rStyle w:val="FootnoteReference"/>
        </w:rPr>
        <w:footnoteRef/>
      </w:r>
      <w:r>
        <w:t xml:space="preserve"> Ibid: Margaret Gould, ‘The Women’s Corps: The Establishment of Women’s Military Services in Britain’, p59.</w:t>
      </w:r>
    </w:p>
  </w:footnote>
  <w:footnote w:id="15">
    <w:p w14:paraId="54E39CFF" w14:textId="4C451E18" w:rsidR="00980702" w:rsidRDefault="00980702">
      <w:pPr>
        <w:pStyle w:val="FootnoteText"/>
      </w:pPr>
      <w:r>
        <w:rPr>
          <w:rStyle w:val="FootnoteReference"/>
        </w:rPr>
        <w:footnoteRef/>
      </w:r>
      <w:r>
        <w:t xml:space="preserve"> Ibid: Margaret Gould, ‘The Women’s Corps: The Establishment of Women’s Military Services in Britain’, p59.</w:t>
      </w:r>
    </w:p>
  </w:footnote>
  <w:footnote w:id="16">
    <w:p w14:paraId="2CD9B2F8" w14:textId="08DC6DBB" w:rsidR="00980702" w:rsidRDefault="00980702">
      <w:pPr>
        <w:pStyle w:val="FootnoteText"/>
      </w:pPr>
      <w:r>
        <w:rPr>
          <w:rStyle w:val="FootnoteReference"/>
        </w:rPr>
        <w:footnoteRef/>
      </w:r>
      <w:r>
        <w:t xml:space="preserve"> Ibid: Margaret Gould, ‘The Women’s Corps: The Establishment of Women’s Military Services in Britain’, p59.</w:t>
      </w:r>
    </w:p>
  </w:footnote>
  <w:footnote w:id="17">
    <w:p w14:paraId="0AA5E3C6" w14:textId="164C3B9E" w:rsidR="00980702" w:rsidRDefault="00980702">
      <w:pPr>
        <w:pStyle w:val="FootnoteText"/>
      </w:pPr>
      <w:r>
        <w:rPr>
          <w:rStyle w:val="FootnoteReference"/>
        </w:rPr>
        <w:footnoteRef/>
      </w:r>
      <w:r>
        <w:t xml:space="preserve"> Ibid: Margaret Gould, ‘The Women’s Corps: The Establishment of Women’s Military Services in Britain’, p59.</w:t>
      </w:r>
    </w:p>
  </w:footnote>
  <w:footnote w:id="18">
    <w:p w14:paraId="1FF0416A" w14:textId="20228DDF" w:rsidR="007C37FD" w:rsidRPr="007C37FD" w:rsidRDefault="007C37FD" w:rsidP="007C37FD">
      <w:pPr>
        <w:rPr>
          <w:sz w:val="22"/>
          <w:szCs w:val="22"/>
        </w:rPr>
      </w:pPr>
      <w:r>
        <w:rPr>
          <w:rStyle w:val="FootnoteReference"/>
        </w:rPr>
        <w:footnoteRef/>
      </w:r>
      <w:r>
        <w:t xml:space="preserve"> </w:t>
      </w:r>
      <w:r w:rsidRPr="007C37FD">
        <w:rPr>
          <w:sz w:val="20"/>
          <w:szCs w:val="20"/>
        </w:rPr>
        <w:t>Angela,</w:t>
      </w:r>
      <w:r>
        <w:rPr>
          <w:sz w:val="20"/>
          <w:szCs w:val="20"/>
        </w:rPr>
        <w:t xml:space="preserve"> </w:t>
      </w:r>
      <w:r w:rsidRPr="007C37FD">
        <w:rPr>
          <w:sz w:val="20"/>
          <w:szCs w:val="20"/>
        </w:rPr>
        <w:t>K. Smith</w:t>
      </w:r>
      <w:r w:rsidR="00425781">
        <w:rPr>
          <w:sz w:val="20"/>
          <w:szCs w:val="20"/>
        </w:rPr>
        <w:t>,</w:t>
      </w:r>
      <w:r w:rsidRPr="007C37FD">
        <w:rPr>
          <w:sz w:val="20"/>
          <w:szCs w:val="20"/>
        </w:rPr>
        <w:t xml:space="preserve"> ‘The </w:t>
      </w:r>
      <w:proofErr w:type="spellStart"/>
      <w:r w:rsidRPr="007C37FD">
        <w:rPr>
          <w:sz w:val="20"/>
          <w:szCs w:val="20"/>
        </w:rPr>
        <w:t>Pankhursts</w:t>
      </w:r>
      <w:proofErr w:type="spellEnd"/>
      <w:r w:rsidRPr="007C37FD">
        <w:rPr>
          <w:sz w:val="20"/>
          <w:szCs w:val="20"/>
        </w:rPr>
        <w:t xml:space="preserve"> and the War: Suffrage Magazines and First World War Propaganda’, </w:t>
      </w:r>
      <w:r w:rsidRPr="007C37FD">
        <w:rPr>
          <w:i/>
          <w:iCs/>
          <w:sz w:val="20"/>
          <w:szCs w:val="20"/>
        </w:rPr>
        <w:t>Women’s History Review</w:t>
      </w:r>
      <w:r w:rsidRPr="007C37FD">
        <w:rPr>
          <w:sz w:val="20"/>
          <w:szCs w:val="20"/>
        </w:rPr>
        <w:t xml:space="preserve">, Vol. 12, No.1, (2006), pp 103-118, </w:t>
      </w:r>
      <w:r w:rsidR="008C4495">
        <w:rPr>
          <w:sz w:val="20"/>
          <w:szCs w:val="20"/>
        </w:rPr>
        <w:t xml:space="preserve">p108, </w:t>
      </w:r>
      <w:r w:rsidRPr="007C37FD">
        <w:rPr>
          <w:sz w:val="20"/>
          <w:szCs w:val="20"/>
        </w:rPr>
        <w:t>&lt;</w:t>
      </w:r>
      <w:hyperlink r:id="rId6" w:history="1">
        <w:r w:rsidRPr="007C37FD">
          <w:rPr>
            <w:rStyle w:val="Hyperlink"/>
            <w:sz w:val="20"/>
            <w:szCs w:val="20"/>
          </w:rPr>
          <w:t>https://www.tandfonline.com/doi/pdf/10.1080/09612020300200349</w:t>
        </w:r>
      </w:hyperlink>
      <w:r w:rsidRPr="007C37FD">
        <w:rPr>
          <w:sz w:val="20"/>
          <w:szCs w:val="20"/>
        </w:rPr>
        <w:t>&gt;, [Accessed: 16</w:t>
      </w:r>
      <w:r w:rsidRPr="007C37FD">
        <w:rPr>
          <w:sz w:val="20"/>
          <w:szCs w:val="20"/>
          <w:vertAlign w:val="superscript"/>
        </w:rPr>
        <w:t>th</w:t>
      </w:r>
      <w:r w:rsidRPr="007C37FD">
        <w:rPr>
          <w:sz w:val="20"/>
          <w:szCs w:val="20"/>
        </w:rPr>
        <w:t xml:space="preserve"> January 2026].</w:t>
      </w:r>
    </w:p>
  </w:footnote>
  <w:footnote w:id="19">
    <w:p w14:paraId="5A105471" w14:textId="3DCEEA6F" w:rsidR="00425781" w:rsidRDefault="00425781">
      <w:pPr>
        <w:pStyle w:val="FootnoteText"/>
      </w:pPr>
      <w:r>
        <w:rPr>
          <w:rStyle w:val="FootnoteReference"/>
        </w:rPr>
        <w:footnoteRef/>
      </w:r>
      <w:r>
        <w:t xml:space="preserve"> Ibid: K. Smith</w:t>
      </w:r>
      <w:r w:rsidR="008C4495">
        <w:t xml:space="preserve">, ‘The </w:t>
      </w:r>
      <w:proofErr w:type="spellStart"/>
      <w:r w:rsidR="008C4495">
        <w:t>Pankhursts</w:t>
      </w:r>
      <w:proofErr w:type="spellEnd"/>
      <w:r w:rsidR="008C4495">
        <w:t xml:space="preserve"> and the War: Suffrage Magazines and First World War Propaganda’, p108.</w:t>
      </w:r>
    </w:p>
  </w:footnote>
  <w:footnote w:id="20">
    <w:p w14:paraId="769B5F1C" w14:textId="4A8DBC25" w:rsidR="00BC2534" w:rsidRDefault="00BC2534">
      <w:pPr>
        <w:pStyle w:val="FootnoteText"/>
      </w:pPr>
      <w:r>
        <w:rPr>
          <w:rStyle w:val="FootnoteReference"/>
        </w:rPr>
        <w:footnoteRef/>
      </w:r>
      <w:r>
        <w:t xml:space="preserve"> Ibid: K. Smith, ‘The </w:t>
      </w:r>
      <w:proofErr w:type="spellStart"/>
      <w:r>
        <w:t>Pankhursts</w:t>
      </w:r>
      <w:proofErr w:type="spellEnd"/>
      <w:r>
        <w:t xml:space="preserve"> and the War: Suffrage Magazines and First World War Propaganda’, p108.</w:t>
      </w:r>
    </w:p>
  </w:footnote>
  <w:footnote w:id="21">
    <w:p w14:paraId="0852D96E" w14:textId="1BF3AB97" w:rsidR="00C80332" w:rsidRDefault="00C80332">
      <w:pPr>
        <w:pStyle w:val="FootnoteText"/>
      </w:pPr>
      <w:r>
        <w:rPr>
          <w:rStyle w:val="FootnoteReference"/>
        </w:rPr>
        <w:footnoteRef/>
      </w:r>
      <w:r>
        <w:t xml:space="preserve"> Ibid: K. Smith, ‘The </w:t>
      </w:r>
      <w:proofErr w:type="spellStart"/>
      <w:r>
        <w:t>Pankhursts</w:t>
      </w:r>
      <w:proofErr w:type="spellEnd"/>
      <w:r>
        <w:t xml:space="preserve"> and the War: Suffrage Magazines and First World War Propaganda’, p109.</w:t>
      </w:r>
    </w:p>
  </w:footnote>
  <w:footnote w:id="22">
    <w:p w14:paraId="21257EFE" w14:textId="60113DCB" w:rsidR="00C80332" w:rsidRDefault="00C80332">
      <w:pPr>
        <w:pStyle w:val="FootnoteText"/>
      </w:pPr>
      <w:r>
        <w:rPr>
          <w:rStyle w:val="FootnoteReference"/>
        </w:rPr>
        <w:footnoteRef/>
      </w:r>
      <w:r>
        <w:t xml:space="preserve"> Ibid: K. Smith, ‘The </w:t>
      </w:r>
      <w:proofErr w:type="spellStart"/>
      <w:r>
        <w:t>Pankhursts</w:t>
      </w:r>
      <w:proofErr w:type="spellEnd"/>
      <w:r>
        <w:t xml:space="preserve"> and the War: Suffrage Magazines and First World War Propaganda’, p109.</w:t>
      </w:r>
    </w:p>
  </w:footnote>
  <w:footnote w:id="23">
    <w:p w14:paraId="1B75BFE1" w14:textId="605D5627" w:rsidR="00FA6EB3" w:rsidRDefault="00FA6EB3">
      <w:pPr>
        <w:pStyle w:val="FootnoteText"/>
      </w:pPr>
      <w:r>
        <w:rPr>
          <w:rStyle w:val="FootnoteReference"/>
        </w:rPr>
        <w:footnoteRef/>
      </w:r>
      <w:r>
        <w:t xml:space="preserve"> Ibid: K. Smith, ‘The </w:t>
      </w:r>
      <w:proofErr w:type="spellStart"/>
      <w:r>
        <w:t>Pankhursts</w:t>
      </w:r>
      <w:proofErr w:type="spellEnd"/>
      <w:r>
        <w:t xml:space="preserve"> and the War: Suffrage Magazines and First World War Propaganda’, p109.</w:t>
      </w:r>
    </w:p>
  </w:footnote>
  <w:footnote w:id="24">
    <w:p w14:paraId="107EE13F" w14:textId="412F661B" w:rsidR="00971136" w:rsidRDefault="00971136">
      <w:pPr>
        <w:pStyle w:val="FootnoteText"/>
      </w:pPr>
      <w:r>
        <w:rPr>
          <w:rStyle w:val="FootnoteReference"/>
        </w:rPr>
        <w:footnoteRef/>
      </w:r>
      <w:r>
        <w:t xml:space="preserve"> Ibid: K. Smith, ‘The </w:t>
      </w:r>
      <w:proofErr w:type="spellStart"/>
      <w:r>
        <w:t>Pankhursts</w:t>
      </w:r>
      <w:proofErr w:type="spellEnd"/>
      <w:r>
        <w:t xml:space="preserve"> and the War: Suffrage Magazines and First World War Propaganda’, p109.</w:t>
      </w:r>
    </w:p>
  </w:footnote>
  <w:footnote w:id="25">
    <w:p w14:paraId="763CB24F" w14:textId="01E44191" w:rsidR="003F6747" w:rsidRPr="00B3059F" w:rsidRDefault="003F6747" w:rsidP="00B3059F">
      <w:pPr>
        <w:rPr>
          <w:sz w:val="22"/>
          <w:szCs w:val="22"/>
        </w:rPr>
      </w:pPr>
      <w:r>
        <w:rPr>
          <w:rStyle w:val="FootnoteReference"/>
        </w:rPr>
        <w:footnoteRef/>
      </w:r>
      <w:r w:rsidRPr="003F6747">
        <w:rPr>
          <w:sz w:val="20"/>
          <w:szCs w:val="20"/>
        </w:rPr>
        <w:t xml:space="preserve"> Abbey,</w:t>
      </w:r>
      <w:r>
        <w:rPr>
          <w:sz w:val="20"/>
          <w:szCs w:val="20"/>
        </w:rPr>
        <w:t xml:space="preserve"> Parker,</w:t>
      </w:r>
      <w:r w:rsidRPr="003F6747">
        <w:rPr>
          <w:sz w:val="20"/>
          <w:szCs w:val="20"/>
        </w:rPr>
        <w:t xml:space="preserve"> </w:t>
      </w:r>
      <w:r w:rsidRPr="003F6747">
        <w:rPr>
          <w:i/>
          <w:iCs/>
          <w:sz w:val="20"/>
          <w:szCs w:val="20"/>
        </w:rPr>
        <w:t>Gender Roles in World War I, Britains Use of Women in War and Propaganda</w:t>
      </w:r>
      <w:r w:rsidRPr="003F6747">
        <w:rPr>
          <w:sz w:val="20"/>
          <w:szCs w:val="20"/>
        </w:rPr>
        <w:t>, 2025, &lt;</w:t>
      </w:r>
      <w:hyperlink r:id="rId7" w:history="1">
        <w:r w:rsidRPr="003F6747">
          <w:rPr>
            <w:rStyle w:val="Hyperlink"/>
            <w:sz w:val="20"/>
            <w:szCs w:val="20"/>
          </w:rPr>
          <w:t>https://twu.edu/history/ibid/ibid-volume-18-spring-2025/gender-roles-in-wwi/</w:t>
        </w:r>
      </w:hyperlink>
      <w:r w:rsidRPr="003F6747">
        <w:rPr>
          <w:sz w:val="20"/>
          <w:szCs w:val="20"/>
        </w:rPr>
        <w:t>&gt;, [Accessed: 16</w:t>
      </w:r>
      <w:r w:rsidRPr="003F6747">
        <w:rPr>
          <w:sz w:val="20"/>
          <w:szCs w:val="20"/>
          <w:vertAlign w:val="superscript"/>
        </w:rPr>
        <w:t>th</w:t>
      </w:r>
      <w:r w:rsidRPr="003F6747">
        <w:rPr>
          <w:sz w:val="20"/>
          <w:szCs w:val="20"/>
        </w:rPr>
        <w:t xml:space="preserve"> January 2026].</w:t>
      </w:r>
    </w:p>
  </w:footnote>
  <w:footnote w:id="26">
    <w:p w14:paraId="32ED076E" w14:textId="552C0DC5" w:rsidR="00CF2A14" w:rsidRDefault="00CF2A14">
      <w:pPr>
        <w:pStyle w:val="FootnoteText"/>
      </w:pPr>
      <w:r>
        <w:rPr>
          <w:rStyle w:val="FootnoteReference"/>
        </w:rPr>
        <w:footnoteRef/>
      </w:r>
      <w:r>
        <w:t xml:space="preserve"> Ibid: Parker, 2025.</w:t>
      </w:r>
    </w:p>
  </w:footnote>
  <w:footnote w:id="27">
    <w:p w14:paraId="1B5803CB" w14:textId="664EBF15" w:rsidR="00C55DA1" w:rsidRDefault="00C55DA1">
      <w:pPr>
        <w:pStyle w:val="FootnoteText"/>
      </w:pPr>
      <w:r>
        <w:rPr>
          <w:rStyle w:val="FootnoteReference"/>
        </w:rPr>
        <w:footnoteRef/>
      </w:r>
      <w:r>
        <w:t xml:space="preserve"> Ibid: Parker, 2025.</w:t>
      </w:r>
    </w:p>
  </w:footnote>
  <w:footnote w:id="28">
    <w:p w14:paraId="218C0C52" w14:textId="361DE653" w:rsidR="00C55DA1" w:rsidRDefault="00C55DA1">
      <w:pPr>
        <w:pStyle w:val="FootnoteText"/>
      </w:pPr>
      <w:r>
        <w:rPr>
          <w:rStyle w:val="FootnoteReference"/>
        </w:rPr>
        <w:footnoteRef/>
      </w:r>
      <w:r>
        <w:t xml:space="preserve"> Ibid: Parker, 2025.</w:t>
      </w:r>
    </w:p>
  </w:footnote>
  <w:footnote w:id="29">
    <w:p w14:paraId="592F41C3" w14:textId="3B768036" w:rsidR="00B3059F" w:rsidRPr="00B3059F" w:rsidRDefault="00B3059F" w:rsidP="00B3059F">
      <w:pPr>
        <w:rPr>
          <w:sz w:val="22"/>
          <w:szCs w:val="22"/>
        </w:rPr>
      </w:pPr>
      <w:r>
        <w:rPr>
          <w:rStyle w:val="FootnoteReference"/>
        </w:rPr>
        <w:footnoteRef/>
      </w:r>
      <w:r>
        <w:t xml:space="preserve"> </w:t>
      </w:r>
      <w:r w:rsidRPr="00B3059F">
        <w:rPr>
          <w:sz w:val="20"/>
          <w:szCs w:val="20"/>
        </w:rPr>
        <w:t xml:space="preserve">Imperial War Museum, </w:t>
      </w:r>
      <w:r w:rsidRPr="00B3059F">
        <w:rPr>
          <w:i/>
          <w:iCs/>
          <w:sz w:val="20"/>
          <w:szCs w:val="20"/>
        </w:rPr>
        <w:t>Women Wanted Urgently</w:t>
      </w:r>
      <w:r w:rsidRPr="00B3059F">
        <w:rPr>
          <w:sz w:val="20"/>
          <w:szCs w:val="20"/>
        </w:rPr>
        <w:t>, Unknown, &lt;</w:t>
      </w:r>
      <w:hyperlink r:id="rId8" w:history="1">
        <w:r w:rsidRPr="00B3059F">
          <w:rPr>
            <w:rStyle w:val="Hyperlink"/>
            <w:sz w:val="20"/>
            <w:szCs w:val="20"/>
          </w:rPr>
          <w:t>https://www.iwm.org.uk/collections/item/object/31380</w:t>
        </w:r>
      </w:hyperlink>
      <w:r w:rsidRPr="00B3059F">
        <w:rPr>
          <w:sz w:val="20"/>
          <w:szCs w:val="20"/>
        </w:rPr>
        <w:t>&gt;, [Accessed: 16</w:t>
      </w:r>
      <w:r w:rsidRPr="00B3059F">
        <w:rPr>
          <w:sz w:val="20"/>
          <w:szCs w:val="20"/>
          <w:vertAlign w:val="superscript"/>
        </w:rPr>
        <w:t>th</w:t>
      </w:r>
      <w:r w:rsidRPr="00B3059F">
        <w:rPr>
          <w:sz w:val="20"/>
          <w:szCs w:val="20"/>
        </w:rPr>
        <w:t xml:space="preserve"> January 2026].</w:t>
      </w:r>
    </w:p>
  </w:footnote>
  <w:footnote w:id="30">
    <w:p w14:paraId="01712863" w14:textId="4A6B496E" w:rsidR="0077333E" w:rsidRPr="0077333E" w:rsidRDefault="0077333E">
      <w:pPr>
        <w:pStyle w:val="FootnoteText"/>
      </w:pPr>
      <w:r>
        <w:rPr>
          <w:rStyle w:val="FootnoteReference"/>
        </w:rPr>
        <w:footnoteRef/>
      </w:r>
      <w:r>
        <w:t xml:space="preserve"> Ibid: Imperial War Museum, </w:t>
      </w:r>
      <w:r>
        <w:rPr>
          <w:i/>
          <w:iCs/>
        </w:rPr>
        <w:t>Women Wanted Urgently</w:t>
      </w:r>
      <w:r>
        <w:t>, [Accessed: 16</w:t>
      </w:r>
      <w:r w:rsidRPr="0077333E">
        <w:rPr>
          <w:vertAlign w:val="superscript"/>
        </w:rPr>
        <w:t>th</w:t>
      </w:r>
      <w:r>
        <w:t xml:space="preserve"> January 2026].</w:t>
      </w:r>
    </w:p>
  </w:footnote>
  <w:footnote w:id="31">
    <w:p w14:paraId="73E674D9" w14:textId="48C169DA" w:rsidR="00F03E28" w:rsidRDefault="00F03E28">
      <w:pPr>
        <w:pStyle w:val="FootnoteText"/>
      </w:pPr>
      <w:r>
        <w:rPr>
          <w:rStyle w:val="FootnoteReference"/>
        </w:rPr>
        <w:footnoteRef/>
      </w:r>
      <w:r>
        <w:t xml:space="preserve"> Ibid: Imperial War Museum, </w:t>
      </w:r>
      <w:r>
        <w:rPr>
          <w:i/>
          <w:iCs/>
        </w:rPr>
        <w:t>Women Wanted Urgently</w:t>
      </w:r>
      <w:r>
        <w:t>, [Accessed: 16</w:t>
      </w:r>
      <w:r w:rsidRPr="0077333E">
        <w:rPr>
          <w:vertAlign w:val="superscript"/>
        </w:rPr>
        <w:t>th</w:t>
      </w:r>
      <w:r>
        <w:t xml:space="preserve"> January 2026].</w:t>
      </w:r>
    </w:p>
  </w:footnote>
  <w:footnote w:id="32">
    <w:p w14:paraId="7E707926" w14:textId="30EF5229" w:rsidR="008D7EE3" w:rsidRPr="008D7EE3" w:rsidRDefault="008D7EE3">
      <w:pPr>
        <w:pStyle w:val="FootnoteText"/>
      </w:pPr>
      <w:r>
        <w:rPr>
          <w:rStyle w:val="FootnoteReference"/>
        </w:rPr>
        <w:footnoteRef/>
      </w:r>
      <w:r>
        <w:t xml:space="preserve"> Emma, Major, ‘The History of Madam Britannia’, in </w:t>
      </w:r>
      <w:r>
        <w:rPr>
          <w:i/>
          <w:iCs/>
        </w:rPr>
        <w:t>Madam Britannia: Women, Church, and Nation 1712-1812</w:t>
      </w:r>
      <w:r>
        <w:t>,</w:t>
      </w:r>
      <w:r w:rsidR="000E54AD">
        <w:t xml:space="preserve"> (Oxford: Oxford University Press, 2011), pp 23-68, p66, &lt;</w:t>
      </w:r>
      <w:hyperlink r:id="rId9" w:history="1">
        <w:r w:rsidR="000E54AD" w:rsidRPr="00DB1B60">
          <w:rPr>
            <w:rStyle w:val="Hyperlink"/>
          </w:rPr>
          <w:t>https://academic.oup.com/book/7442/chapter/152326486?login=true</w:t>
        </w:r>
      </w:hyperlink>
      <w:r w:rsidR="000E54AD">
        <w:t>&gt;, [Accessed: 16</w:t>
      </w:r>
      <w:r w:rsidR="000E54AD" w:rsidRPr="000E54AD">
        <w:rPr>
          <w:vertAlign w:val="superscript"/>
        </w:rPr>
        <w:t>th</w:t>
      </w:r>
      <w:r w:rsidR="000E54AD">
        <w:t xml:space="preserve"> January 2026].</w:t>
      </w:r>
    </w:p>
  </w:footnote>
  <w:footnote w:id="33">
    <w:p w14:paraId="49D29681" w14:textId="209EDC9D" w:rsidR="00B3059F" w:rsidRPr="006279A9" w:rsidRDefault="00B3059F" w:rsidP="006279A9">
      <w:pPr>
        <w:rPr>
          <w:sz w:val="22"/>
          <w:szCs w:val="22"/>
        </w:rPr>
      </w:pPr>
      <w:r>
        <w:rPr>
          <w:rStyle w:val="FootnoteReference"/>
        </w:rPr>
        <w:footnoteRef/>
      </w:r>
      <w:r>
        <w:t xml:space="preserve"> </w:t>
      </w:r>
      <w:r w:rsidRPr="00B3059F">
        <w:rPr>
          <w:sz w:val="20"/>
          <w:szCs w:val="20"/>
        </w:rPr>
        <w:t xml:space="preserve">Imperial War Museum, </w:t>
      </w:r>
      <w:r w:rsidRPr="00B3059F">
        <w:rPr>
          <w:i/>
          <w:iCs/>
          <w:sz w:val="20"/>
          <w:szCs w:val="20"/>
        </w:rPr>
        <w:t>Free Training for Munitions Workers</w:t>
      </w:r>
      <w:r w:rsidRPr="00B3059F">
        <w:rPr>
          <w:sz w:val="20"/>
          <w:szCs w:val="20"/>
        </w:rPr>
        <w:t>, Unknown, &lt;</w:t>
      </w:r>
      <w:hyperlink r:id="rId10" w:history="1">
        <w:r w:rsidRPr="00B3059F">
          <w:rPr>
            <w:rStyle w:val="Hyperlink"/>
            <w:sz w:val="20"/>
            <w:szCs w:val="20"/>
          </w:rPr>
          <w:t>https://www.iwm.org.uk/collections/item/object/28479</w:t>
        </w:r>
      </w:hyperlink>
      <w:r w:rsidRPr="00B3059F">
        <w:rPr>
          <w:sz w:val="20"/>
          <w:szCs w:val="20"/>
        </w:rPr>
        <w:t>&gt;, [Accessed: 16</w:t>
      </w:r>
      <w:r w:rsidRPr="00B3059F">
        <w:rPr>
          <w:sz w:val="20"/>
          <w:szCs w:val="20"/>
          <w:vertAlign w:val="superscript"/>
        </w:rPr>
        <w:t>th</w:t>
      </w:r>
      <w:r w:rsidRPr="00B3059F">
        <w:rPr>
          <w:sz w:val="20"/>
          <w:szCs w:val="20"/>
        </w:rPr>
        <w:t xml:space="preserve"> January 2026].</w:t>
      </w:r>
    </w:p>
  </w:footnote>
  <w:footnote w:id="34">
    <w:p w14:paraId="7D291346" w14:textId="2F1A0EA1" w:rsidR="00F03E28" w:rsidRPr="00F03E28" w:rsidRDefault="00F03E28">
      <w:pPr>
        <w:pStyle w:val="FootnoteText"/>
      </w:pPr>
      <w:r>
        <w:rPr>
          <w:rStyle w:val="FootnoteReference"/>
        </w:rPr>
        <w:footnoteRef/>
      </w:r>
      <w:r>
        <w:t xml:space="preserve"> Ibid: Imperial War Museum, </w:t>
      </w:r>
      <w:r>
        <w:rPr>
          <w:i/>
          <w:iCs/>
        </w:rPr>
        <w:t>Free Training for Munitions Workers</w:t>
      </w:r>
      <w:r>
        <w:t>, [Accessed: 16</w:t>
      </w:r>
      <w:r w:rsidRPr="00F03E28">
        <w:rPr>
          <w:vertAlign w:val="superscript"/>
        </w:rPr>
        <w:t>th</w:t>
      </w:r>
      <w:r>
        <w:t xml:space="preserve"> January 2026].</w:t>
      </w:r>
    </w:p>
  </w:footnote>
  <w:footnote w:id="35">
    <w:p w14:paraId="39CEEF83" w14:textId="5C831BE9" w:rsidR="0049722C" w:rsidRDefault="0049722C">
      <w:pPr>
        <w:pStyle w:val="FootnoteText"/>
      </w:pPr>
      <w:r>
        <w:rPr>
          <w:rStyle w:val="FootnoteReference"/>
        </w:rPr>
        <w:footnoteRef/>
      </w:r>
      <w:r>
        <w:t xml:space="preserve"> Ibid: Imperial War Museum, </w:t>
      </w:r>
      <w:r>
        <w:rPr>
          <w:i/>
          <w:iCs/>
        </w:rPr>
        <w:t>Free Training for Munitions Workers</w:t>
      </w:r>
      <w:r>
        <w:t>, [Accessed: 16</w:t>
      </w:r>
      <w:r w:rsidRPr="00F03E28">
        <w:rPr>
          <w:vertAlign w:val="superscript"/>
        </w:rPr>
        <w:t>th</w:t>
      </w:r>
      <w:r>
        <w:t xml:space="preserve"> January 2026].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F54204"/>
    <w:multiLevelType w:val="hybridMultilevel"/>
    <w:tmpl w:val="238048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680025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341E"/>
    <w:rsid w:val="00022F90"/>
    <w:rsid w:val="000244F4"/>
    <w:rsid w:val="00035BE0"/>
    <w:rsid w:val="000E276E"/>
    <w:rsid w:val="000E54AD"/>
    <w:rsid w:val="0013182B"/>
    <w:rsid w:val="001523B2"/>
    <w:rsid w:val="00155540"/>
    <w:rsid w:val="00182AB3"/>
    <w:rsid w:val="001D7B14"/>
    <w:rsid w:val="00223198"/>
    <w:rsid w:val="00230F00"/>
    <w:rsid w:val="00270F42"/>
    <w:rsid w:val="002E6A38"/>
    <w:rsid w:val="002F157D"/>
    <w:rsid w:val="00302A72"/>
    <w:rsid w:val="00323148"/>
    <w:rsid w:val="003736D9"/>
    <w:rsid w:val="0037765B"/>
    <w:rsid w:val="003B6E0E"/>
    <w:rsid w:val="003F6747"/>
    <w:rsid w:val="00425781"/>
    <w:rsid w:val="004446DC"/>
    <w:rsid w:val="0047038A"/>
    <w:rsid w:val="0049722C"/>
    <w:rsid w:val="00497E6B"/>
    <w:rsid w:val="004B4C4D"/>
    <w:rsid w:val="004E0F6D"/>
    <w:rsid w:val="00532927"/>
    <w:rsid w:val="00575C30"/>
    <w:rsid w:val="005A3C9C"/>
    <w:rsid w:val="005B1A65"/>
    <w:rsid w:val="005C7772"/>
    <w:rsid w:val="005D60CC"/>
    <w:rsid w:val="005E60F9"/>
    <w:rsid w:val="006279A9"/>
    <w:rsid w:val="0065341E"/>
    <w:rsid w:val="006642C5"/>
    <w:rsid w:val="006B0818"/>
    <w:rsid w:val="006F3D4E"/>
    <w:rsid w:val="0070576A"/>
    <w:rsid w:val="00710009"/>
    <w:rsid w:val="00721E68"/>
    <w:rsid w:val="0077333E"/>
    <w:rsid w:val="007A5FED"/>
    <w:rsid w:val="007C0C88"/>
    <w:rsid w:val="007C15F8"/>
    <w:rsid w:val="007C37FD"/>
    <w:rsid w:val="007E4709"/>
    <w:rsid w:val="00812644"/>
    <w:rsid w:val="00835F26"/>
    <w:rsid w:val="00856F5E"/>
    <w:rsid w:val="008610D0"/>
    <w:rsid w:val="008B60BC"/>
    <w:rsid w:val="008C4495"/>
    <w:rsid w:val="008D7EE3"/>
    <w:rsid w:val="0091121A"/>
    <w:rsid w:val="00915558"/>
    <w:rsid w:val="00945BE6"/>
    <w:rsid w:val="00957A16"/>
    <w:rsid w:val="00971136"/>
    <w:rsid w:val="00976350"/>
    <w:rsid w:val="00980702"/>
    <w:rsid w:val="009A4C05"/>
    <w:rsid w:val="009A7ED2"/>
    <w:rsid w:val="009D245A"/>
    <w:rsid w:val="00A06744"/>
    <w:rsid w:val="00A50DD6"/>
    <w:rsid w:val="00A620E9"/>
    <w:rsid w:val="00A73F8F"/>
    <w:rsid w:val="00A76CE5"/>
    <w:rsid w:val="00AB7CCE"/>
    <w:rsid w:val="00AD23CC"/>
    <w:rsid w:val="00AF1EAE"/>
    <w:rsid w:val="00B028AB"/>
    <w:rsid w:val="00B0681C"/>
    <w:rsid w:val="00B146B1"/>
    <w:rsid w:val="00B3059F"/>
    <w:rsid w:val="00B40673"/>
    <w:rsid w:val="00BC2534"/>
    <w:rsid w:val="00BC38AA"/>
    <w:rsid w:val="00BD03BD"/>
    <w:rsid w:val="00BD4F16"/>
    <w:rsid w:val="00C040A2"/>
    <w:rsid w:val="00C11EE7"/>
    <w:rsid w:val="00C1622D"/>
    <w:rsid w:val="00C55211"/>
    <w:rsid w:val="00C55DA1"/>
    <w:rsid w:val="00C60C9E"/>
    <w:rsid w:val="00C66132"/>
    <w:rsid w:val="00C77815"/>
    <w:rsid w:val="00C80332"/>
    <w:rsid w:val="00CC6335"/>
    <w:rsid w:val="00CD5310"/>
    <w:rsid w:val="00CF2A14"/>
    <w:rsid w:val="00D12A5F"/>
    <w:rsid w:val="00D60960"/>
    <w:rsid w:val="00D97C25"/>
    <w:rsid w:val="00DA3C20"/>
    <w:rsid w:val="00DB791A"/>
    <w:rsid w:val="00E11F8C"/>
    <w:rsid w:val="00E34A09"/>
    <w:rsid w:val="00EA190A"/>
    <w:rsid w:val="00EB5F43"/>
    <w:rsid w:val="00EC7FE1"/>
    <w:rsid w:val="00ED3C67"/>
    <w:rsid w:val="00EF21D8"/>
    <w:rsid w:val="00F03E28"/>
    <w:rsid w:val="00F1450D"/>
    <w:rsid w:val="00F55751"/>
    <w:rsid w:val="00F660E3"/>
    <w:rsid w:val="00F67100"/>
    <w:rsid w:val="00FA6EB3"/>
    <w:rsid w:val="00FB2F96"/>
    <w:rsid w:val="00FB4FC0"/>
    <w:rsid w:val="00FB5885"/>
    <w:rsid w:val="00FF721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266CC9"/>
  <w15:chartTrackingRefBased/>
  <w15:docId w15:val="{C5C3481A-3A8B-45EB-BFF1-CD28FFCDEA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5341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5341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5341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5341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5341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5341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5341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5341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5341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341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5341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5341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5341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5341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5341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5341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5341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5341E"/>
    <w:rPr>
      <w:rFonts w:eastAsiaTheme="majorEastAsia" w:cstheme="majorBidi"/>
      <w:color w:val="272727" w:themeColor="text1" w:themeTint="D8"/>
    </w:rPr>
  </w:style>
  <w:style w:type="paragraph" w:styleId="Title">
    <w:name w:val="Title"/>
    <w:basedOn w:val="Normal"/>
    <w:next w:val="Normal"/>
    <w:link w:val="TitleChar"/>
    <w:uiPriority w:val="10"/>
    <w:qFormat/>
    <w:rsid w:val="0065341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5341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5341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5341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5341E"/>
    <w:pPr>
      <w:spacing w:before="160"/>
      <w:jc w:val="center"/>
    </w:pPr>
    <w:rPr>
      <w:i/>
      <w:iCs/>
      <w:color w:val="404040" w:themeColor="text1" w:themeTint="BF"/>
    </w:rPr>
  </w:style>
  <w:style w:type="character" w:customStyle="1" w:styleId="QuoteChar">
    <w:name w:val="Quote Char"/>
    <w:basedOn w:val="DefaultParagraphFont"/>
    <w:link w:val="Quote"/>
    <w:uiPriority w:val="29"/>
    <w:rsid w:val="0065341E"/>
    <w:rPr>
      <w:i/>
      <w:iCs/>
      <w:color w:val="404040" w:themeColor="text1" w:themeTint="BF"/>
    </w:rPr>
  </w:style>
  <w:style w:type="paragraph" w:styleId="ListParagraph">
    <w:name w:val="List Paragraph"/>
    <w:basedOn w:val="Normal"/>
    <w:uiPriority w:val="34"/>
    <w:qFormat/>
    <w:rsid w:val="0065341E"/>
    <w:pPr>
      <w:ind w:left="720"/>
      <w:contextualSpacing/>
    </w:pPr>
  </w:style>
  <w:style w:type="character" w:styleId="IntenseEmphasis">
    <w:name w:val="Intense Emphasis"/>
    <w:basedOn w:val="DefaultParagraphFont"/>
    <w:uiPriority w:val="21"/>
    <w:qFormat/>
    <w:rsid w:val="0065341E"/>
    <w:rPr>
      <w:i/>
      <w:iCs/>
      <w:color w:val="0F4761" w:themeColor="accent1" w:themeShade="BF"/>
    </w:rPr>
  </w:style>
  <w:style w:type="paragraph" w:styleId="IntenseQuote">
    <w:name w:val="Intense Quote"/>
    <w:basedOn w:val="Normal"/>
    <w:next w:val="Normal"/>
    <w:link w:val="IntenseQuoteChar"/>
    <w:uiPriority w:val="30"/>
    <w:qFormat/>
    <w:rsid w:val="0065341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5341E"/>
    <w:rPr>
      <w:i/>
      <w:iCs/>
      <w:color w:val="0F4761" w:themeColor="accent1" w:themeShade="BF"/>
    </w:rPr>
  </w:style>
  <w:style w:type="character" w:styleId="IntenseReference">
    <w:name w:val="Intense Reference"/>
    <w:basedOn w:val="DefaultParagraphFont"/>
    <w:uiPriority w:val="32"/>
    <w:qFormat/>
    <w:rsid w:val="0065341E"/>
    <w:rPr>
      <w:b/>
      <w:bCs/>
      <w:smallCaps/>
      <w:color w:val="0F4761" w:themeColor="accent1" w:themeShade="BF"/>
      <w:spacing w:val="5"/>
    </w:rPr>
  </w:style>
  <w:style w:type="character" w:styleId="Hyperlink">
    <w:name w:val="Hyperlink"/>
    <w:basedOn w:val="DefaultParagraphFont"/>
    <w:uiPriority w:val="99"/>
    <w:unhideWhenUsed/>
    <w:rsid w:val="00CC6335"/>
    <w:rPr>
      <w:color w:val="467886" w:themeColor="hyperlink"/>
      <w:u w:val="single"/>
    </w:rPr>
  </w:style>
  <w:style w:type="character" w:styleId="UnresolvedMention">
    <w:name w:val="Unresolved Mention"/>
    <w:basedOn w:val="DefaultParagraphFont"/>
    <w:uiPriority w:val="99"/>
    <w:semiHidden/>
    <w:unhideWhenUsed/>
    <w:rsid w:val="00CC6335"/>
    <w:rPr>
      <w:color w:val="605E5C"/>
      <w:shd w:val="clear" w:color="auto" w:fill="E1DFDD"/>
    </w:rPr>
  </w:style>
  <w:style w:type="paragraph" w:styleId="FootnoteText">
    <w:name w:val="footnote text"/>
    <w:basedOn w:val="Normal"/>
    <w:link w:val="FootnoteTextChar"/>
    <w:uiPriority w:val="99"/>
    <w:semiHidden/>
    <w:unhideWhenUsed/>
    <w:rsid w:val="007A5FE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A5FED"/>
    <w:rPr>
      <w:sz w:val="20"/>
      <w:szCs w:val="20"/>
    </w:rPr>
  </w:style>
  <w:style w:type="character" w:styleId="FootnoteReference">
    <w:name w:val="footnote reference"/>
    <w:basedOn w:val="DefaultParagraphFont"/>
    <w:uiPriority w:val="99"/>
    <w:semiHidden/>
    <w:unhideWhenUsed/>
    <w:rsid w:val="007A5F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stor.org/stable/4316653?seq=1" TargetMode="External"/><Relationship Id="rId13" Type="http://schemas.openxmlformats.org/officeDocument/2006/relationships/hyperlink" Target="https://www.jstor.org/stable/pdf/175664.pdf?casa_token=umo4IrWjUxkAAAAA:KqtXGiZX2IDQ5CJ-64mQdqFF9WcuhFqCaf1D_06lrXREVELliiYLNVyu2Zi1bkCBJEoEDOc45Ydf36eukWDEe4Uh5qDJvmWffjsX7RWYy_FpmYiVpQ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tandfonline.com/doi/pdf/10.1080/09612020300200349" TargetMode="External"/><Relationship Id="rId17" Type="http://schemas.openxmlformats.org/officeDocument/2006/relationships/hyperlink" Target="https://twu.edu/history/ibid/ibid-volume-18-spring-2025/gender-roles-in-wwi/" TargetMode="External"/><Relationship Id="rId2" Type="http://schemas.openxmlformats.org/officeDocument/2006/relationships/numbering" Target="numbering.xml"/><Relationship Id="rId16" Type="http://schemas.openxmlformats.org/officeDocument/2006/relationships/hyperlink" Target="https://www.nam.ac.uk/explore/queen-marys-army-auxiliary-corp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wm.org.uk/collections/item/object/31380" TargetMode="External"/><Relationship Id="rId5" Type="http://schemas.openxmlformats.org/officeDocument/2006/relationships/webSettings" Target="webSettings.xml"/><Relationship Id="rId15" Type="http://schemas.openxmlformats.org/officeDocument/2006/relationships/hyperlink" Target="https://discovery.ucl.ac.uk/id/eprint/1317607/1/260868.pdf" TargetMode="External"/><Relationship Id="rId10" Type="http://schemas.openxmlformats.org/officeDocument/2006/relationships/hyperlink" Target="https://www.iwm.org.uk/collections/item/object/28479"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doi.org/10.1177/00732753231173063" TargetMode="External"/><Relationship Id="rId14" Type="http://schemas.openxmlformats.org/officeDocument/2006/relationships/hyperlink" Target="https://academic.oup.com/book/7442/chapter/152326486?login=true"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iwm.org.uk/collections/item/object/31380" TargetMode="External"/><Relationship Id="rId3" Type="http://schemas.openxmlformats.org/officeDocument/2006/relationships/hyperlink" Target="https://www.nam.ac.uk/explore/queen-marys-army-auxiliary-corps" TargetMode="External"/><Relationship Id="rId7" Type="http://schemas.openxmlformats.org/officeDocument/2006/relationships/hyperlink" Target="https://twu.edu/history/ibid/ibid-volume-18-spring-2025/gender-roles-in-wwi/" TargetMode="External"/><Relationship Id="rId2" Type="http://schemas.openxmlformats.org/officeDocument/2006/relationships/hyperlink" Target="https://www.jstor.org/stable/pdf/175664.pdf?casa_token=umo4IrWjUxkAAAAA:KqtXGiZX2IDQ5CJ-64mQdqFF9WcuhFqCaf1D_06lrXREVELliiYLNVyu2Zi1bkCBJEoEDOc45Ydf36eukWDEe4Uh5qDJvmWffjsX7RWYy_FpmYiVpQM" TargetMode="External"/><Relationship Id="rId1" Type="http://schemas.openxmlformats.org/officeDocument/2006/relationships/hyperlink" Target="https://www.jstor.org/stable/4316653?seq=1" TargetMode="External"/><Relationship Id="rId6" Type="http://schemas.openxmlformats.org/officeDocument/2006/relationships/hyperlink" Target="https://www.tandfonline.com/doi/pdf/10.1080/09612020300200349" TargetMode="External"/><Relationship Id="rId5" Type="http://schemas.openxmlformats.org/officeDocument/2006/relationships/hyperlink" Target="https://discovery.ucl.ac.uk/id/eprint/1317607/1/260868.pdf" TargetMode="External"/><Relationship Id="rId10" Type="http://schemas.openxmlformats.org/officeDocument/2006/relationships/hyperlink" Target="https://www.iwm.org.uk/collections/item/object/28479" TargetMode="External"/><Relationship Id="rId4" Type="http://schemas.openxmlformats.org/officeDocument/2006/relationships/hyperlink" Target="https://doi.org/10.1177/00732753231173063" TargetMode="External"/><Relationship Id="rId9" Type="http://schemas.openxmlformats.org/officeDocument/2006/relationships/hyperlink" Target="https://academic.oup.com/book/7442/chapter/152326486?login=tru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7DF4DF-B429-45A6-BC5A-77290B7F27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445</TotalTime>
  <Pages>6</Pages>
  <Words>2236</Words>
  <Characters>12751</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Cottrell</dc:creator>
  <cp:keywords/>
  <dc:description/>
  <cp:lastModifiedBy>Adam Cottrell</cp:lastModifiedBy>
  <cp:revision>79</cp:revision>
  <dcterms:created xsi:type="dcterms:W3CDTF">2026-01-15T17:07:00Z</dcterms:created>
  <dcterms:modified xsi:type="dcterms:W3CDTF">2026-01-17T12:32:00Z</dcterms:modified>
</cp:coreProperties>
</file>