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88CC96" w14:textId="19AAF539" w:rsidR="3ED31BD3" w:rsidRDefault="3C0493CB" w:rsidP="5C7EFC97">
      <w:pPr>
        <w:spacing w:after="160"/>
        <w:rPr>
          <w:rFonts w:ascii="Calibri" w:eastAsia="Calibri" w:hAnsi="Calibri" w:cs="Calibri"/>
          <w:sz w:val="22"/>
          <w:szCs w:val="22"/>
        </w:rPr>
      </w:pPr>
      <w:r w:rsidRPr="3C0493CB">
        <w:rPr>
          <w:lang w:val="en-GB"/>
        </w:rPr>
        <w:t xml:space="preserve"> </w:t>
      </w:r>
      <w:r w:rsidR="3ED31BD3">
        <w:rPr>
          <w:noProof/>
          <w:lang w:val="en-GB" w:eastAsia="en-GB"/>
        </w:rPr>
        <w:drawing>
          <wp:inline distT="0" distB="0" distL="0" distR="0" wp14:anchorId="5E90775B" wp14:editId="5BED0665">
            <wp:extent cx="2943225" cy="1543050"/>
            <wp:effectExtent l="0" t="0" r="0" b="0"/>
            <wp:docPr id="100693293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2943225" cy="1543050"/>
                    </a:xfrm>
                    <a:prstGeom prst="rect">
                      <a:avLst/>
                    </a:prstGeom>
                  </pic:spPr>
                </pic:pic>
              </a:graphicData>
            </a:graphic>
          </wp:inline>
        </w:drawing>
      </w:r>
    </w:p>
    <w:p w14:paraId="1436A236" w14:textId="499DFA39" w:rsidR="3ED31BD3" w:rsidRDefault="3ED31BD3" w:rsidP="78F6347D">
      <w:pPr>
        <w:spacing w:after="160"/>
        <w:rPr>
          <w:rFonts w:ascii="Verdana" w:eastAsia="Verdana" w:hAnsi="Verdana" w:cs="Verdana"/>
        </w:rPr>
      </w:pPr>
    </w:p>
    <w:p w14:paraId="7A033575" w14:textId="1FD6BC41" w:rsidR="3ED31BD3" w:rsidRDefault="3ED31BD3" w:rsidP="78F6347D">
      <w:pPr>
        <w:spacing w:after="160"/>
        <w:rPr>
          <w:rFonts w:ascii="Verdana" w:eastAsia="Verdana" w:hAnsi="Verdana" w:cs="Verdana"/>
        </w:rPr>
      </w:pPr>
    </w:p>
    <w:p w14:paraId="50BA993A" w14:textId="276071AE" w:rsidR="3ED31BD3" w:rsidRDefault="6395FD93" w:rsidP="6395FD93">
      <w:pPr>
        <w:spacing w:after="160"/>
        <w:rPr>
          <w:rFonts w:ascii="Verdana" w:eastAsia="Verdana" w:hAnsi="Verdana" w:cs="Verdana"/>
          <w:color w:val="000000" w:themeColor="text1"/>
          <w:sz w:val="36"/>
          <w:szCs w:val="36"/>
        </w:rPr>
      </w:pPr>
      <w:r w:rsidRPr="6395FD93">
        <w:rPr>
          <w:rFonts w:ascii="Verdana" w:eastAsia="Verdana" w:hAnsi="Verdana" w:cs="Verdana"/>
          <w:b/>
          <w:bCs/>
          <w:color w:val="000000" w:themeColor="text1"/>
          <w:lang w:val="en-GB"/>
        </w:rPr>
        <w:t>Student Name:</w:t>
      </w:r>
      <w:r w:rsidRPr="6395FD93">
        <w:rPr>
          <w:rFonts w:ascii="Verdana" w:eastAsia="Verdana" w:hAnsi="Verdana" w:cs="Verdana"/>
          <w:b/>
          <w:bCs/>
          <w:color w:val="000000" w:themeColor="text1"/>
          <w:sz w:val="36"/>
          <w:szCs w:val="36"/>
          <w:lang w:val="en-GB"/>
        </w:rPr>
        <w:t xml:space="preserve"> </w:t>
      </w:r>
      <w:r w:rsidRPr="6395FD93">
        <w:rPr>
          <w:rFonts w:ascii="Verdana" w:eastAsia="Verdana" w:hAnsi="Verdana" w:cs="Verdana"/>
          <w:color w:val="000000" w:themeColor="text1"/>
          <w:sz w:val="24"/>
          <w:szCs w:val="24"/>
          <w:lang w:val="en-GB"/>
        </w:rPr>
        <w:t>Sunday Fatubarin</w:t>
      </w:r>
      <w:r w:rsidRPr="6395FD93">
        <w:rPr>
          <w:rFonts w:ascii="Verdana" w:eastAsia="Verdana" w:hAnsi="Verdana" w:cs="Verdana"/>
          <w:b/>
          <w:bCs/>
          <w:color w:val="000000" w:themeColor="text1"/>
          <w:sz w:val="36"/>
          <w:szCs w:val="36"/>
          <w:lang w:val="en-GB"/>
        </w:rPr>
        <w:t xml:space="preserve"> </w:t>
      </w:r>
    </w:p>
    <w:p w14:paraId="535D8CEB" w14:textId="71913B21" w:rsidR="3ED31BD3" w:rsidRDefault="3ED31BD3" w:rsidP="3C0493CB">
      <w:pPr>
        <w:spacing w:after="160"/>
        <w:rPr>
          <w:rFonts w:ascii="Verdana" w:eastAsia="Verdana" w:hAnsi="Verdana" w:cs="Verdana"/>
          <w:color w:val="000000" w:themeColor="text1"/>
          <w:sz w:val="36"/>
          <w:szCs w:val="36"/>
        </w:rPr>
      </w:pPr>
    </w:p>
    <w:p w14:paraId="47EA5BCD" w14:textId="56C3A3B4" w:rsidR="3ED31BD3" w:rsidRDefault="6395FD93" w:rsidP="6395FD93">
      <w:pPr>
        <w:spacing w:after="160"/>
        <w:rPr>
          <w:rFonts w:ascii="Verdana" w:eastAsia="Verdana" w:hAnsi="Verdana" w:cs="Verdana"/>
          <w:color w:val="000000" w:themeColor="text1"/>
          <w:sz w:val="36"/>
          <w:szCs w:val="36"/>
        </w:rPr>
      </w:pPr>
      <w:r w:rsidRPr="6395FD93">
        <w:rPr>
          <w:rFonts w:ascii="Verdana" w:eastAsia="Verdana" w:hAnsi="Verdana" w:cs="Verdana"/>
          <w:b/>
          <w:bCs/>
          <w:color w:val="000000" w:themeColor="text1"/>
          <w:lang w:val="en-GB"/>
        </w:rPr>
        <w:t>Student Number:</w:t>
      </w:r>
      <w:r w:rsidRPr="6395FD93">
        <w:rPr>
          <w:rFonts w:ascii="Verdana" w:eastAsia="Verdana" w:hAnsi="Verdana" w:cs="Verdana"/>
          <w:b/>
          <w:bCs/>
          <w:color w:val="000000" w:themeColor="text1"/>
          <w:sz w:val="36"/>
          <w:szCs w:val="36"/>
          <w:lang w:val="en-GB"/>
        </w:rPr>
        <w:t xml:space="preserve"> </w:t>
      </w:r>
      <w:r w:rsidRPr="6395FD93">
        <w:rPr>
          <w:rFonts w:ascii="Verdana" w:eastAsia="Verdana" w:hAnsi="Verdana" w:cs="Verdana"/>
          <w:color w:val="000000" w:themeColor="text1"/>
          <w:sz w:val="24"/>
          <w:szCs w:val="24"/>
          <w:lang w:val="en-GB"/>
        </w:rPr>
        <w:t>1710948</w:t>
      </w:r>
      <w:r w:rsidRPr="6395FD93">
        <w:rPr>
          <w:rFonts w:ascii="Verdana" w:eastAsia="Verdana" w:hAnsi="Verdana" w:cs="Verdana"/>
          <w:color w:val="000000" w:themeColor="text1"/>
          <w:sz w:val="36"/>
          <w:szCs w:val="36"/>
          <w:lang w:val="en-GB"/>
        </w:rPr>
        <w:t xml:space="preserve"> </w:t>
      </w:r>
    </w:p>
    <w:p w14:paraId="13C285DC" w14:textId="6D630AC5" w:rsidR="3ED31BD3" w:rsidRDefault="3ED31BD3" w:rsidP="3C0493CB">
      <w:pPr>
        <w:spacing w:after="160"/>
        <w:rPr>
          <w:rFonts w:ascii="Verdana" w:eastAsia="Verdana" w:hAnsi="Verdana" w:cs="Verdana"/>
          <w:color w:val="000000" w:themeColor="text1"/>
          <w:sz w:val="36"/>
          <w:szCs w:val="36"/>
        </w:rPr>
      </w:pPr>
    </w:p>
    <w:p w14:paraId="6CCB9CCF" w14:textId="2F7F1D4C" w:rsidR="3ED31BD3" w:rsidRDefault="6395FD93" w:rsidP="6395FD93">
      <w:pPr>
        <w:spacing w:after="160"/>
        <w:rPr>
          <w:rFonts w:ascii="Verdana" w:eastAsia="Verdana" w:hAnsi="Verdana" w:cs="Verdana"/>
          <w:color w:val="000000" w:themeColor="text1"/>
          <w:sz w:val="36"/>
          <w:szCs w:val="36"/>
        </w:rPr>
      </w:pPr>
      <w:r w:rsidRPr="6395FD93">
        <w:rPr>
          <w:rFonts w:ascii="Verdana" w:eastAsia="Verdana" w:hAnsi="Verdana" w:cs="Verdana"/>
          <w:b/>
          <w:bCs/>
          <w:color w:val="000000" w:themeColor="text1"/>
          <w:lang w:val="en-GB"/>
        </w:rPr>
        <w:t>Module Title:</w:t>
      </w:r>
      <w:r w:rsidRPr="6395FD93">
        <w:rPr>
          <w:rFonts w:ascii="Verdana" w:eastAsia="Verdana" w:hAnsi="Verdana" w:cs="Verdana"/>
          <w:b/>
          <w:bCs/>
          <w:color w:val="000000" w:themeColor="text1"/>
          <w:sz w:val="36"/>
          <w:szCs w:val="36"/>
          <w:lang w:val="en-GB"/>
        </w:rPr>
        <w:t xml:space="preserve"> </w:t>
      </w:r>
      <w:r w:rsidRPr="6395FD93">
        <w:rPr>
          <w:rFonts w:ascii="Verdana" w:eastAsia="Verdana" w:hAnsi="Verdana" w:cs="Verdana"/>
          <w:color w:val="000000" w:themeColor="text1"/>
          <w:sz w:val="24"/>
          <w:szCs w:val="24"/>
          <w:lang w:val="en-GB"/>
        </w:rPr>
        <w:t>SBMA7100</w:t>
      </w:r>
      <w:r w:rsidRPr="6395FD93">
        <w:rPr>
          <w:rFonts w:ascii="Verdana" w:eastAsia="Verdana" w:hAnsi="Verdana" w:cs="Verdana"/>
          <w:b/>
          <w:bCs/>
          <w:color w:val="000000" w:themeColor="text1"/>
          <w:sz w:val="36"/>
          <w:szCs w:val="36"/>
          <w:lang w:val="en-GB"/>
        </w:rPr>
        <w:t xml:space="preserve"> </w:t>
      </w:r>
    </w:p>
    <w:p w14:paraId="02B2EA2A" w14:textId="392C255E" w:rsidR="3ED31BD3" w:rsidRDefault="3ED31BD3" w:rsidP="3C0493CB">
      <w:pPr>
        <w:spacing w:after="160"/>
        <w:rPr>
          <w:rFonts w:ascii="Verdana" w:eastAsia="Verdana" w:hAnsi="Verdana" w:cs="Verdana"/>
          <w:color w:val="000000" w:themeColor="text1"/>
          <w:sz w:val="36"/>
          <w:szCs w:val="36"/>
        </w:rPr>
      </w:pPr>
    </w:p>
    <w:p w14:paraId="12183366" w14:textId="0BF20480" w:rsidR="3ED31BD3" w:rsidRDefault="6395FD93" w:rsidP="6395FD93">
      <w:pPr>
        <w:spacing w:after="160"/>
        <w:rPr>
          <w:rFonts w:ascii="Verdana" w:eastAsia="Verdana" w:hAnsi="Verdana" w:cs="Verdana"/>
          <w:color w:val="000000" w:themeColor="text1"/>
          <w:sz w:val="24"/>
          <w:szCs w:val="24"/>
        </w:rPr>
      </w:pPr>
      <w:r w:rsidRPr="6395FD93">
        <w:rPr>
          <w:rFonts w:ascii="Verdana" w:eastAsia="Verdana" w:hAnsi="Verdana" w:cs="Verdana"/>
          <w:b/>
          <w:bCs/>
          <w:color w:val="000000" w:themeColor="text1"/>
          <w:lang w:val="en-GB"/>
        </w:rPr>
        <w:t>Assignment Title:</w:t>
      </w:r>
      <w:r w:rsidRPr="6395FD93">
        <w:rPr>
          <w:rFonts w:ascii="Verdana" w:eastAsia="Verdana" w:hAnsi="Verdana" w:cs="Verdana"/>
          <w:b/>
          <w:bCs/>
          <w:color w:val="000000" w:themeColor="text1"/>
          <w:sz w:val="36"/>
          <w:szCs w:val="36"/>
          <w:lang w:val="en-GB"/>
        </w:rPr>
        <w:t xml:space="preserve"> </w:t>
      </w:r>
      <w:r w:rsidRPr="6395FD93">
        <w:rPr>
          <w:rFonts w:ascii="Verdana" w:eastAsia="Verdana" w:hAnsi="Verdana" w:cs="Verdana"/>
          <w:color w:val="000000" w:themeColor="text1"/>
          <w:sz w:val="24"/>
          <w:szCs w:val="24"/>
          <w:lang w:val="en-GB"/>
        </w:rPr>
        <w:t>Financial Management – Assessment 1 and 2</w:t>
      </w:r>
    </w:p>
    <w:p w14:paraId="03F47240" w14:textId="5C6E13C6" w:rsidR="3ED31BD3" w:rsidRDefault="3ED31BD3" w:rsidP="3C0493CB">
      <w:pPr>
        <w:spacing w:after="160"/>
        <w:rPr>
          <w:rFonts w:ascii="Verdana" w:eastAsia="Verdana" w:hAnsi="Verdana" w:cs="Verdana"/>
          <w:color w:val="000000" w:themeColor="text1"/>
          <w:sz w:val="36"/>
          <w:szCs w:val="36"/>
        </w:rPr>
      </w:pPr>
    </w:p>
    <w:p w14:paraId="3BF32BDF" w14:textId="1D478F08" w:rsidR="3ED31BD3" w:rsidRDefault="6395FD93" w:rsidP="6395FD93">
      <w:pPr>
        <w:spacing w:after="160"/>
        <w:rPr>
          <w:rFonts w:ascii="Verdana" w:eastAsia="Verdana" w:hAnsi="Verdana" w:cs="Verdana"/>
          <w:color w:val="000000" w:themeColor="text1"/>
          <w:sz w:val="24"/>
          <w:szCs w:val="24"/>
          <w:lang w:val="en-GB"/>
        </w:rPr>
      </w:pPr>
      <w:r w:rsidRPr="6395FD93">
        <w:rPr>
          <w:rFonts w:ascii="Verdana" w:eastAsia="Verdana" w:hAnsi="Verdana" w:cs="Verdana"/>
          <w:b/>
          <w:bCs/>
          <w:color w:val="000000" w:themeColor="text1"/>
          <w:lang w:val="en-GB"/>
        </w:rPr>
        <w:t>Lecturer’s Name:</w:t>
      </w:r>
      <w:r w:rsidRPr="6395FD93">
        <w:rPr>
          <w:rFonts w:ascii="Verdana" w:eastAsia="Verdana" w:hAnsi="Verdana" w:cs="Verdana"/>
          <w:b/>
          <w:bCs/>
          <w:color w:val="000000" w:themeColor="text1"/>
          <w:sz w:val="36"/>
          <w:szCs w:val="36"/>
          <w:lang w:val="en-GB"/>
        </w:rPr>
        <w:t xml:space="preserve"> </w:t>
      </w:r>
      <w:r w:rsidRPr="6395FD93">
        <w:rPr>
          <w:rFonts w:ascii="Verdana" w:eastAsia="Verdana" w:hAnsi="Verdana" w:cs="Verdana"/>
          <w:color w:val="000000" w:themeColor="text1"/>
          <w:sz w:val="24"/>
          <w:szCs w:val="24"/>
          <w:lang w:val="en-GB"/>
        </w:rPr>
        <w:t>Dr Isaiah Oino</w:t>
      </w:r>
    </w:p>
    <w:p w14:paraId="14DE40AC" w14:textId="43EF0B5F" w:rsidR="3C0493CB" w:rsidRDefault="3C0493CB" w:rsidP="3C0493CB">
      <w:pPr>
        <w:spacing w:after="160"/>
        <w:rPr>
          <w:rFonts w:ascii="Verdana" w:eastAsia="Verdana" w:hAnsi="Verdana" w:cs="Verdana"/>
          <w:color w:val="000000" w:themeColor="text1"/>
          <w:sz w:val="24"/>
          <w:szCs w:val="24"/>
          <w:lang w:val="en-GB"/>
        </w:rPr>
      </w:pPr>
    </w:p>
    <w:p w14:paraId="6053DBBA" w14:textId="3FA3BBE3" w:rsidR="3C0493CB" w:rsidRDefault="3C0493CB" w:rsidP="3C0493CB">
      <w:pPr>
        <w:spacing w:after="160"/>
        <w:rPr>
          <w:rFonts w:ascii="Verdana" w:eastAsia="Verdana" w:hAnsi="Verdana" w:cs="Verdana"/>
          <w:color w:val="000000" w:themeColor="text1"/>
          <w:sz w:val="24"/>
          <w:szCs w:val="24"/>
          <w:lang w:val="en-GB"/>
        </w:rPr>
      </w:pPr>
    </w:p>
    <w:p w14:paraId="31AA1528" w14:textId="3346A141" w:rsidR="3C0493CB" w:rsidRDefault="6395FD93" w:rsidP="6395FD93">
      <w:pPr>
        <w:spacing w:after="160"/>
        <w:rPr>
          <w:rFonts w:ascii="Verdana" w:eastAsia="Verdana" w:hAnsi="Verdana" w:cs="Verdana"/>
          <w:color w:val="000000" w:themeColor="text1"/>
          <w:sz w:val="24"/>
          <w:szCs w:val="24"/>
          <w:lang w:val="en-GB"/>
        </w:rPr>
      </w:pPr>
      <w:r w:rsidRPr="6395FD93">
        <w:rPr>
          <w:rFonts w:ascii="Verdana" w:eastAsia="Verdana" w:hAnsi="Verdana" w:cs="Verdana"/>
          <w:b/>
          <w:bCs/>
          <w:color w:val="000000" w:themeColor="text1"/>
          <w:lang w:val="en-GB"/>
        </w:rPr>
        <w:t xml:space="preserve">Submission date: </w:t>
      </w:r>
      <w:r w:rsidRPr="6395FD93">
        <w:rPr>
          <w:rFonts w:ascii="Verdana" w:eastAsia="Verdana" w:hAnsi="Verdana" w:cs="Verdana"/>
          <w:color w:val="000000" w:themeColor="text1"/>
          <w:sz w:val="24"/>
          <w:szCs w:val="24"/>
          <w:lang w:val="en-GB"/>
        </w:rPr>
        <w:t>0</w:t>
      </w:r>
      <w:r w:rsidR="002944E5">
        <w:rPr>
          <w:rFonts w:ascii="Verdana" w:eastAsia="Verdana" w:hAnsi="Verdana" w:cs="Verdana"/>
          <w:color w:val="000000" w:themeColor="text1"/>
          <w:sz w:val="24"/>
          <w:szCs w:val="24"/>
          <w:lang w:val="en-GB"/>
        </w:rPr>
        <w:t>8</w:t>
      </w:r>
      <w:r w:rsidRPr="6395FD93">
        <w:rPr>
          <w:rFonts w:ascii="Verdana" w:eastAsia="Verdana" w:hAnsi="Verdana" w:cs="Verdana"/>
          <w:color w:val="000000" w:themeColor="text1"/>
          <w:sz w:val="24"/>
          <w:szCs w:val="24"/>
          <w:lang w:val="en-GB"/>
        </w:rPr>
        <w:t>/05/2018</w:t>
      </w:r>
    </w:p>
    <w:p w14:paraId="1828B21C" w14:textId="39EBDD58" w:rsidR="3ED31BD3" w:rsidRDefault="3ED31BD3" w:rsidP="3C0493CB">
      <w:pPr>
        <w:pStyle w:val="ListBullet"/>
        <w:numPr>
          <w:ilvl w:val="0"/>
          <w:numId w:val="0"/>
        </w:numPr>
        <w:rPr>
          <w:color w:val="000000" w:themeColor="text1"/>
        </w:rPr>
      </w:pPr>
    </w:p>
    <w:p w14:paraId="3564668B" w14:textId="42AB99DF" w:rsidR="3ED31BD3" w:rsidRDefault="3ED31BD3" w:rsidP="3C0493CB">
      <w:pPr>
        <w:pStyle w:val="ListBullet"/>
        <w:numPr>
          <w:ilvl w:val="0"/>
          <w:numId w:val="0"/>
        </w:numPr>
        <w:rPr>
          <w:color w:val="000000" w:themeColor="text1"/>
        </w:rPr>
      </w:pPr>
    </w:p>
    <w:p w14:paraId="04EE9FFE" w14:textId="288779AA" w:rsidR="3ED31BD3" w:rsidRDefault="3ED31BD3" w:rsidP="3C0493CB">
      <w:pPr>
        <w:pStyle w:val="ListBullet"/>
        <w:numPr>
          <w:ilvl w:val="0"/>
          <w:numId w:val="0"/>
        </w:numPr>
        <w:rPr>
          <w:color w:val="000000" w:themeColor="text1"/>
        </w:rPr>
      </w:pPr>
    </w:p>
    <w:p w14:paraId="4BB18A5E" w14:textId="4E6EB178" w:rsidR="3ED31BD3" w:rsidRDefault="3ED31BD3" w:rsidP="3C0493CB">
      <w:pPr>
        <w:pStyle w:val="ListBullet"/>
        <w:numPr>
          <w:ilvl w:val="0"/>
          <w:numId w:val="0"/>
        </w:numPr>
        <w:rPr>
          <w:color w:val="000000" w:themeColor="text1"/>
        </w:rPr>
      </w:pPr>
    </w:p>
    <w:p w14:paraId="5C5FBB60" w14:textId="12B59D60" w:rsidR="3ED31BD3" w:rsidRPr="00127AD6" w:rsidRDefault="00684868" w:rsidP="3C0493CB">
      <w:pPr>
        <w:pStyle w:val="ListBullet"/>
        <w:numPr>
          <w:ilvl w:val="0"/>
          <w:numId w:val="0"/>
        </w:numPr>
        <w:rPr>
          <w:b/>
          <w:bCs/>
          <w:color w:val="000000" w:themeColor="text1"/>
          <w:sz w:val="24"/>
          <w:szCs w:val="24"/>
        </w:rPr>
      </w:pPr>
      <w:r w:rsidRPr="00127AD6">
        <w:rPr>
          <w:b/>
          <w:bCs/>
          <w:color w:val="000000" w:themeColor="text1"/>
          <w:sz w:val="24"/>
          <w:szCs w:val="24"/>
        </w:rPr>
        <w:lastRenderedPageBreak/>
        <w:t>Table of Contents</w:t>
      </w:r>
    </w:p>
    <w:p w14:paraId="385C007A" w14:textId="3FFC6CD5" w:rsidR="00684868" w:rsidRPr="00127AD6" w:rsidRDefault="004A068F" w:rsidP="3C0493CB">
      <w:pPr>
        <w:pStyle w:val="ListBullet"/>
        <w:numPr>
          <w:ilvl w:val="0"/>
          <w:numId w:val="0"/>
        </w:numPr>
        <w:rPr>
          <w:b/>
          <w:bCs/>
          <w:color w:val="000000" w:themeColor="text1"/>
          <w:sz w:val="24"/>
          <w:szCs w:val="24"/>
        </w:rPr>
      </w:pPr>
      <w:r w:rsidRPr="00FA5BD6">
        <w:rPr>
          <w:color w:val="000000" w:themeColor="text1"/>
          <w:sz w:val="24"/>
          <w:szCs w:val="24"/>
        </w:rPr>
        <w:t xml:space="preserve">                                                                                                </w:t>
      </w:r>
      <w:r w:rsidR="00FA5BD6">
        <w:rPr>
          <w:color w:val="000000" w:themeColor="text1"/>
          <w:sz w:val="24"/>
          <w:szCs w:val="24"/>
        </w:rPr>
        <w:t xml:space="preserve">                         </w:t>
      </w:r>
      <w:r w:rsidRPr="00FA5BD6">
        <w:rPr>
          <w:color w:val="000000" w:themeColor="text1"/>
          <w:sz w:val="24"/>
          <w:szCs w:val="24"/>
        </w:rPr>
        <w:t xml:space="preserve">  </w:t>
      </w:r>
      <w:r w:rsidRPr="00127AD6">
        <w:rPr>
          <w:b/>
          <w:bCs/>
          <w:color w:val="000000" w:themeColor="text1"/>
          <w:sz w:val="24"/>
          <w:szCs w:val="24"/>
        </w:rPr>
        <w:t xml:space="preserve"> </w:t>
      </w:r>
      <w:r w:rsidR="00FA5BD6" w:rsidRPr="00127AD6">
        <w:rPr>
          <w:b/>
          <w:bCs/>
          <w:color w:val="000000" w:themeColor="text1"/>
          <w:sz w:val="24"/>
          <w:szCs w:val="24"/>
        </w:rPr>
        <w:t>Page</w:t>
      </w:r>
    </w:p>
    <w:p w14:paraId="48E64A0D" w14:textId="6EBE694A" w:rsidR="00FA5BD6" w:rsidRDefault="00FA5BD6" w:rsidP="3C0493CB">
      <w:pPr>
        <w:pStyle w:val="ListBullet"/>
        <w:numPr>
          <w:ilvl w:val="0"/>
          <w:numId w:val="0"/>
        </w:numPr>
        <w:rPr>
          <w:color w:val="000000" w:themeColor="text1"/>
          <w:sz w:val="24"/>
          <w:szCs w:val="24"/>
        </w:rPr>
      </w:pPr>
      <w:r>
        <w:rPr>
          <w:color w:val="000000" w:themeColor="text1"/>
          <w:sz w:val="24"/>
          <w:szCs w:val="24"/>
        </w:rPr>
        <w:t>Abstract</w:t>
      </w:r>
      <w:r w:rsidR="00300ABB">
        <w:rPr>
          <w:color w:val="000000" w:themeColor="text1"/>
          <w:sz w:val="24"/>
          <w:szCs w:val="24"/>
        </w:rPr>
        <w:t xml:space="preserve"> …………………………………………………………………………………</w:t>
      </w:r>
      <w:r w:rsidR="00B20BCF">
        <w:rPr>
          <w:color w:val="000000" w:themeColor="text1"/>
          <w:sz w:val="24"/>
          <w:szCs w:val="24"/>
        </w:rPr>
        <w:t>3</w:t>
      </w:r>
    </w:p>
    <w:p w14:paraId="150FDFE9" w14:textId="55A25280" w:rsidR="00300ABB" w:rsidRDefault="004251FC" w:rsidP="3C0493CB">
      <w:pPr>
        <w:pStyle w:val="ListBullet"/>
        <w:numPr>
          <w:ilvl w:val="0"/>
          <w:numId w:val="0"/>
        </w:numPr>
        <w:rPr>
          <w:color w:val="000000" w:themeColor="text1"/>
          <w:sz w:val="24"/>
          <w:szCs w:val="24"/>
        </w:rPr>
      </w:pPr>
      <w:r>
        <w:rPr>
          <w:color w:val="000000" w:themeColor="text1"/>
          <w:sz w:val="24"/>
          <w:szCs w:val="24"/>
        </w:rPr>
        <w:t>Introduction ……………………………………………………………………………</w:t>
      </w:r>
      <w:r w:rsidR="001C4E4A">
        <w:rPr>
          <w:color w:val="000000" w:themeColor="text1"/>
          <w:sz w:val="24"/>
          <w:szCs w:val="24"/>
        </w:rPr>
        <w:t>.</w:t>
      </w:r>
      <w:r w:rsidR="0063241D">
        <w:rPr>
          <w:color w:val="000000" w:themeColor="text1"/>
          <w:sz w:val="24"/>
          <w:szCs w:val="24"/>
        </w:rPr>
        <w:t xml:space="preserve"> </w:t>
      </w:r>
      <w:r w:rsidR="001C4E4A">
        <w:rPr>
          <w:color w:val="000000" w:themeColor="text1"/>
          <w:sz w:val="24"/>
          <w:szCs w:val="24"/>
        </w:rPr>
        <w:t>3</w:t>
      </w:r>
    </w:p>
    <w:p w14:paraId="5EBE80DA" w14:textId="77777777" w:rsidR="00B20BCF" w:rsidRDefault="001C4E4A" w:rsidP="3C0493CB">
      <w:pPr>
        <w:pStyle w:val="ListBullet"/>
        <w:numPr>
          <w:ilvl w:val="0"/>
          <w:numId w:val="0"/>
        </w:numPr>
        <w:rPr>
          <w:color w:val="000000" w:themeColor="text1"/>
          <w:sz w:val="24"/>
          <w:szCs w:val="24"/>
        </w:rPr>
      </w:pPr>
      <w:r>
        <w:rPr>
          <w:color w:val="000000" w:themeColor="text1"/>
          <w:sz w:val="24"/>
          <w:szCs w:val="24"/>
        </w:rPr>
        <w:t>Financial Analysis of William Hill plc and Paddy Power BetFair plc</w:t>
      </w:r>
      <w:r w:rsidR="00B20BCF">
        <w:rPr>
          <w:color w:val="000000" w:themeColor="text1"/>
          <w:sz w:val="24"/>
          <w:szCs w:val="24"/>
        </w:rPr>
        <w:t xml:space="preserve">- Sales </w:t>
      </w:r>
    </w:p>
    <w:p w14:paraId="12E3143E" w14:textId="170E0FEA" w:rsidR="00415895" w:rsidRDefault="00B20BCF" w:rsidP="3C0493CB">
      <w:pPr>
        <w:pStyle w:val="ListBullet"/>
        <w:numPr>
          <w:ilvl w:val="0"/>
          <w:numId w:val="0"/>
        </w:numPr>
        <w:rPr>
          <w:color w:val="000000" w:themeColor="text1"/>
          <w:sz w:val="24"/>
          <w:szCs w:val="24"/>
        </w:rPr>
      </w:pPr>
      <w:r>
        <w:rPr>
          <w:color w:val="000000" w:themeColor="text1"/>
          <w:sz w:val="24"/>
          <w:szCs w:val="24"/>
        </w:rPr>
        <w:t>growth , Gross Profit………………………………….………………………..</w:t>
      </w:r>
      <w:r w:rsidR="001C4E4A">
        <w:rPr>
          <w:color w:val="000000" w:themeColor="text1"/>
          <w:sz w:val="24"/>
          <w:szCs w:val="24"/>
        </w:rPr>
        <w:t xml:space="preserve">………4 </w:t>
      </w:r>
      <w:r w:rsidR="00583A5F">
        <w:rPr>
          <w:color w:val="000000" w:themeColor="text1"/>
          <w:sz w:val="24"/>
          <w:szCs w:val="24"/>
        </w:rPr>
        <w:t>- 5</w:t>
      </w:r>
    </w:p>
    <w:p w14:paraId="7C8BD77F" w14:textId="2837DE13" w:rsidR="00415895" w:rsidRDefault="00415895" w:rsidP="00415895">
      <w:pPr>
        <w:pStyle w:val="ListBullet"/>
        <w:numPr>
          <w:ilvl w:val="0"/>
          <w:numId w:val="0"/>
        </w:numPr>
        <w:rPr>
          <w:color w:val="000000" w:themeColor="text1"/>
          <w:sz w:val="24"/>
          <w:szCs w:val="24"/>
        </w:rPr>
      </w:pPr>
      <w:r>
        <w:rPr>
          <w:color w:val="000000" w:themeColor="text1"/>
          <w:sz w:val="24"/>
          <w:szCs w:val="24"/>
        </w:rPr>
        <w:t>Financial Analysis of William Hill plc and Paddy Power BetFair plc</w:t>
      </w:r>
      <w:r w:rsidR="00B20BCF">
        <w:rPr>
          <w:color w:val="000000" w:themeColor="text1"/>
          <w:sz w:val="24"/>
          <w:szCs w:val="24"/>
        </w:rPr>
        <w:t xml:space="preserve"> Profitability Ratios……………………………………………………………………</w:t>
      </w:r>
      <w:r>
        <w:rPr>
          <w:color w:val="000000" w:themeColor="text1"/>
          <w:sz w:val="24"/>
          <w:szCs w:val="24"/>
        </w:rPr>
        <w:t>………………</w:t>
      </w:r>
      <w:r w:rsidR="00583A5F">
        <w:rPr>
          <w:color w:val="000000" w:themeColor="text1"/>
          <w:sz w:val="24"/>
          <w:szCs w:val="24"/>
        </w:rPr>
        <w:t>6</w:t>
      </w:r>
      <w:r>
        <w:rPr>
          <w:color w:val="000000" w:themeColor="text1"/>
          <w:sz w:val="24"/>
          <w:szCs w:val="24"/>
        </w:rPr>
        <w:t xml:space="preserve"> -</w:t>
      </w:r>
    </w:p>
    <w:p w14:paraId="632DBB47" w14:textId="0493C73C" w:rsidR="00415895" w:rsidRDefault="00415895" w:rsidP="00415895">
      <w:pPr>
        <w:pStyle w:val="ListBullet"/>
        <w:numPr>
          <w:ilvl w:val="0"/>
          <w:numId w:val="0"/>
        </w:numPr>
        <w:rPr>
          <w:color w:val="000000" w:themeColor="text1"/>
          <w:sz w:val="24"/>
          <w:szCs w:val="24"/>
        </w:rPr>
      </w:pPr>
      <w:r>
        <w:rPr>
          <w:color w:val="000000" w:themeColor="text1"/>
          <w:sz w:val="24"/>
          <w:szCs w:val="24"/>
        </w:rPr>
        <w:t>Financial Analysis of William Hill plc and Paddy Power BetFair plc…</w:t>
      </w:r>
      <w:r w:rsidR="00B20BCF">
        <w:rPr>
          <w:color w:val="000000" w:themeColor="text1"/>
          <w:sz w:val="24"/>
          <w:szCs w:val="24"/>
        </w:rPr>
        <w:t>Liquidity Ratios</w:t>
      </w:r>
      <w:r>
        <w:rPr>
          <w:color w:val="000000" w:themeColor="text1"/>
          <w:sz w:val="24"/>
          <w:szCs w:val="24"/>
        </w:rPr>
        <w:t>…</w:t>
      </w:r>
      <w:r w:rsidR="00B20BCF">
        <w:rPr>
          <w:color w:val="000000" w:themeColor="text1"/>
          <w:sz w:val="24"/>
          <w:szCs w:val="24"/>
        </w:rPr>
        <w:t>……………………………………………………………………...</w:t>
      </w:r>
      <w:r>
        <w:rPr>
          <w:color w:val="000000" w:themeColor="text1"/>
          <w:sz w:val="24"/>
          <w:szCs w:val="24"/>
        </w:rPr>
        <w:t>…………</w:t>
      </w:r>
      <w:r w:rsidR="00583A5F">
        <w:rPr>
          <w:color w:val="000000" w:themeColor="text1"/>
          <w:sz w:val="24"/>
          <w:szCs w:val="24"/>
        </w:rPr>
        <w:t>8</w:t>
      </w:r>
      <w:r>
        <w:rPr>
          <w:color w:val="000000" w:themeColor="text1"/>
          <w:sz w:val="24"/>
          <w:szCs w:val="24"/>
        </w:rPr>
        <w:t xml:space="preserve"> -</w:t>
      </w:r>
    </w:p>
    <w:p w14:paraId="1500FF47" w14:textId="71C4D9FD" w:rsidR="00415895" w:rsidRDefault="00415895" w:rsidP="00415895">
      <w:pPr>
        <w:pStyle w:val="ListBullet"/>
        <w:numPr>
          <w:ilvl w:val="0"/>
          <w:numId w:val="0"/>
        </w:numPr>
        <w:rPr>
          <w:color w:val="000000" w:themeColor="text1"/>
          <w:sz w:val="24"/>
          <w:szCs w:val="24"/>
        </w:rPr>
      </w:pPr>
      <w:r>
        <w:rPr>
          <w:color w:val="000000" w:themeColor="text1"/>
          <w:sz w:val="24"/>
          <w:szCs w:val="24"/>
        </w:rPr>
        <w:t>Financial Analysis of William Hill plc and Paddy Power BetFair plc…</w:t>
      </w:r>
      <w:r w:rsidR="00B20BCF">
        <w:rPr>
          <w:color w:val="000000" w:themeColor="text1"/>
          <w:sz w:val="24"/>
          <w:szCs w:val="24"/>
        </w:rPr>
        <w:t>Efficiency Ratios……………………………………………………………………….</w:t>
      </w:r>
      <w:r>
        <w:rPr>
          <w:color w:val="000000" w:themeColor="text1"/>
          <w:sz w:val="24"/>
          <w:szCs w:val="24"/>
        </w:rPr>
        <w:t>……………</w:t>
      </w:r>
      <w:r w:rsidR="00583A5F">
        <w:rPr>
          <w:color w:val="000000" w:themeColor="text1"/>
          <w:sz w:val="24"/>
          <w:szCs w:val="24"/>
        </w:rPr>
        <w:t>9</w:t>
      </w:r>
      <w:r>
        <w:rPr>
          <w:color w:val="000000" w:themeColor="text1"/>
          <w:sz w:val="24"/>
          <w:szCs w:val="24"/>
        </w:rPr>
        <w:t>-</w:t>
      </w:r>
    </w:p>
    <w:p w14:paraId="584B6EE8" w14:textId="3BD8CD9C" w:rsidR="00415895" w:rsidRDefault="00415895" w:rsidP="00415895">
      <w:pPr>
        <w:pStyle w:val="ListBullet"/>
        <w:numPr>
          <w:ilvl w:val="0"/>
          <w:numId w:val="0"/>
        </w:numPr>
        <w:rPr>
          <w:color w:val="000000" w:themeColor="text1"/>
          <w:sz w:val="24"/>
          <w:szCs w:val="24"/>
        </w:rPr>
      </w:pPr>
      <w:r>
        <w:rPr>
          <w:color w:val="000000" w:themeColor="text1"/>
          <w:sz w:val="24"/>
          <w:szCs w:val="24"/>
        </w:rPr>
        <w:t>Financial Analysis of William Hill plc and Paddy Power BetFair plc…</w:t>
      </w:r>
      <w:r w:rsidR="00B20BCF">
        <w:rPr>
          <w:color w:val="000000" w:themeColor="text1"/>
          <w:sz w:val="24"/>
          <w:szCs w:val="24"/>
        </w:rPr>
        <w:t>Gearing Ratios……………………………………………………………………….</w:t>
      </w:r>
      <w:r>
        <w:rPr>
          <w:color w:val="000000" w:themeColor="text1"/>
          <w:sz w:val="24"/>
          <w:szCs w:val="24"/>
        </w:rPr>
        <w:t>……………</w:t>
      </w:r>
      <w:r w:rsidR="00583A5F">
        <w:rPr>
          <w:color w:val="000000" w:themeColor="text1"/>
          <w:sz w:val="24"/>
          <w:szCs w:val="24"/>
        </w:rPr>
        <w:t>10–</w:t>
      </w:r>
    </w:p>
    <w:p w14:paraId="57BFD1C2" w14:textId="1E42BDE7" w:rsidR="00583A5F" w:rsidRDefault="00583A5F" w:rsidP="00583A5F">
      <w:pPr>
        <w:pStyle w:val="ListBullet"/>
        <w:numPr>
          <w:ilvl w:val="0"/>
          <w:numId w:val="0"/>
        </w:numPr>
        <w:rPr>
          <w:color w:val="000000" w:themeColor="text1"/>
          <w:sz w:val="24"/>
          <w:szCs w:val="24"/>
        </w:rPr>
      </w:pPr>
      <w:r>
        <w:rPr>
          <w:color w:val="000000" w:themeColor="text1"/>
          <w:sz w:val="24"/>
          <w:szCs w:val="24"/>
        </w:rPr>
        <w:t>Financial Analysis of William Hill plc and Paddy Power BetFair plc…</w:t>
      </w:r>
      <w:r>
        <w:rPr>
          <w:color w:val="000000" w:themeColor="text1"/>
          <w:sz w:val="24"/>
          <w:szCs w:val="24"/>
        </w:rPr>
        <w:t xml:space="preserve">Investment </w:t>
      </w:r>
      <w:r>
        <w:rPr>
          <w:color w:val="000000" w:themeColor="text1"/>
          <w:sz w:val="24"/>
          <w:szCs w:val="24"/>
        </w:rPr>
        <w:t>Ratios……………………………………………………………………….……………</w:t>
      </w:r>
      <w:r>
        <w:rPr>
          <w:color w:val="000000" w:themeColor="text1"/>
          <w:sz w:val="24"/>
          <w:szCs w:val="24"/>
        </w:rPr>
        <w:t>11</w:t>
      </w:r>
      <w:r>
        <w:rPr>
          <w:color w:val="000000" w:themeColor="text1"/>
          <w:sz w:val="24"/>
          <w:szCs w:val="24"/>
        </w:rPr>
        <w:t xml:space="preserve"> -</w:t>
      </w:r>
    </w:p>
    <w:p w14:paraId="18457CF9" w14:textId="36D6D2AA" w:rsidR="00583A5F" w:rsidRDefault="00583A5F" w:rsidP="00583A5F">
      <w:pPr>
        <w:pStyle w:val="ListBullet"/>
        <w:numPr>
          <w:ilvl w:val="0"/>
          <w:numId w:val="0"/>
        </w:numPr>
        <w:rPr>
          <w:color w:val="000000" w:themeColor="text1"/>
          <w:sz w:val="24"/>
          <w:szCs w:val="24"/>
        </w:rPr>
      </w:pPr>
      <w:r>
        <w:rPr>
          <w:color w:val="000000" w:themeColor="text1"/>
          <w:sz w:val="24"/>
          <w:szCs w:val="24"/>
        </w:rPr>
        <w:t>Financial Analysis of William Hill plc and Paddy Power BetFair plc…</w:t>
      </w:r>
      <w:r>
        <w:rPr>
          <w:color w:val="000000" w:themeColor="text1"/>
          <w:sz w:val="24"/>
          <w:szCs w:val="24"/>
        </w:rPr>
        <w:t>Valuation</w:t>
      </w:r>
      <w:r>
        <w:rPr>
          <w:color w:val="000000" w:themeColor="text1"/>
          <w:sz w:val="24"/>
          <w:szCs w:val="24"/>
        </w:rPr>
        <w:t xml:space="preserve"> Ratios……………………………………………………………………….……………</w:t>
      </w:r>
      <w:r>
        <w:rPr>
          <w:color w:val="000000" w:themeColor="text1"/>
          <w:sz w:val="24"/>
          <w:szCs w:val="24"/>
        </w:rPr>
        <w:t>12</w:t>
      </w:r>
    </w:p>
    <w:p w14:paraId="422A29A4" w14:textId="297E84D2" w:rsidR="001C4E4A" w:rsidRDefault="00415895" w:rsidP="00415895">
      <w:pPr>
        <w:pStyle w:val="ListBullet"/>
        <w:numPr>
          <w:ilvl w:val="0"/>
          <w:numId w:val="0"/>
        </w:numPr>
        <w:rPr>
          <w:color w:val="000000" w:themeColor="text1"/>
          <w:sz w:val="24"/>
          <w:szCs w:val="24"/>
        </w:rPr>
      </w:pPr>
      <w:r>
        <w:rPr>
          <w:color w:val="000000" w:themeColor="text1"/>
          <w:sz w:val="24"/>
          <w:szCs w:val="24"/>
        </w:rPr>
        <w:t>Conclusion………………………………………………………………………………13</w:t>
      </w:r>
    </w:p>
    <w:p w14:paraId="75BA3BC9" w14:textId="1E5B4ED3" w:rsidR="00415895" w:rsidRDefault="00415895" w:rsidP="00415895">
      <w:pPr>
        <w:pStyle w:val="ListBullet"/>
        <w:numPr>
          <w:ilvl w:val="0"/>
          <w:numId w:val="0"/>
        </w:numPr>
        <w:rPr>
          <w:color w:val="000000" w:themeColor="text1"/>
          <w:sz w:val="24"/>
          <w:szCs w:val="24"/>
        </w:rPr>
      </w:pPr>
      <w:r>
        <w:rPr>
          <w:color w:val="000000" w:themeColor="text1"/>
          <w:sz w:val="24"/>
          <w:szCs w:val="24"/>
        </w:rPr>
        <w:t>Recommendation……………………………………………………………………….13</w:t>
      </w:r>
    </w:p>
    <w:p w14:paraId="2FEBC8E0" w14:textId="5FC9328D" w:rsidR="00B20BCF" w:rsidRDefault="00B20BCF" w:rsidP="00415895">
      <w:pPr>
        <w:pStyle w:val="ListBullet"/>
        <w:numPr>
          <w:ilvl w:val="0"/>
          <w:numId w:val="0"/>
        </w:numPr>
        <w:rPr>
          <w:color w:val="000000" w:themeColor="text1"/>
          <w:sz w:val="24"/>
          <w:szCs w:val="24"/>
        </w:rPr>
      </w:pPr>
      <w:r>
        <w:rPr>
          <w:color w:val="000000" w:themeColor="text1"/>
          <w:sz w:val="24"/>
          <w:szCs w:val="24"/>
        </w:rPr>
        <w:t>Payback Period and NPV results……………………………………………………..14</w:t>
      </w:r>
    </w:p>
    <w:p w14:paraId="44A54402" w14:textId="16C8BE42" w:rsidR="00B20BCF" w:rsidRDefault="00B20BCF" w:rsidP="00415895">
      <w:pPr>
        <w:pStyle w:val="ListBullet"/>
        <w:numPr>
          <w:ilvl w:val="0"/>
          <w:numId w:val="0"/>
        </w:numPr>
        <w:rPr>
          <w:color w:val="000000" w:themeColor="text1"/>
          <w:sz w:val="24"/>
          <w:szCs w:val="24"/>
        </w:rPr>
      </w:pPr>
      <w:r>
        <w:rPr>
          <w:color w:val="000000" w:themeColor="text1"/>
          <w:sz w:val="24"/>
          <w:szCs w:val="24"/>
        </w:rPr>
        <w:t>ARR and Discounted Payback result…………………………………………………14</w:t>
      </w:r>
    </w:p>
    <w:p w14:paraId="2E37B1AF" w14:textId="23F9E8B2" w:rsidR="00B20BCF" w:rsidRDefault="00B20BCF" w:rsidP="00415895">
      <w:pPr>
        <w:pStyle w:val="ListBullet"/>
        <w:numPr>
          <w:ilvl w:val="0"/>
          <w:numId w:val="0"/>
        </w:numPr>
        <w:rPr>
          <w:color w:val="000000" w:themeColor="text1"/>
          <w:sz w:val="24"/>
          <w:szCs w:val="24"/>
        </w:rPr>
      </w:pPr>
      <w:r>
        <w:rPr>
          <w:color w:val="000000" w:themeColor="text1"/>
          <w:sz w:val="24"/>
          <w:szCs w:val="24"/>
        </w:rPr>
        <w:t>IRR and Profitability index result………………………………………………………14</w:t>
      </w:r>
    </w:p>
    <w:p w14:paraId="4560AC56" w14:textId="32248112" w:rsidR="00B20BCF" w:rsidRDefault="00B20BCF" w:rsidP="00415895">
      <w:pPr>
        <w:pStyle w:val="ListBullet"/>
        <w:numPr>
          <w:ilvl w:val="0"/>
          <w:numId w:val="0"/>
        </w:numPr>
        <w:rPr>
          <w:color w:val="000000" w:themeColor="text1"/>
          <w:sz w:val="24"/>
          <w:szCs w:val="24"/>
        </w:rPr>
      </w:pPr>
      <w:r>
        <w:rPr>
          <w:color w:val="000000" w:themeColor="text1"/>
          <w:sz w:val="24"/>
          <w:szCs w:val="24"/>
        </w:rPr>
        <w:t>Evaluation of result –Payback and NPV……………………………………………..14</w:t>
      </w:r>
    </w:p>
    <w:p w14:paraId="3D78648C" w14:textId="4B1852BA" w:rsidR="00B20BCF" w:rsidRDefault="00B20BCF" w:rsidP="00415895">
      <w:pPr>
        <w:pStyle w:val="ListBullet"/>
        <w:numPr>
          <w:ilvl w:val="0"/>
          <w:numId w:val="0"/>
        </w:numPr>
        <w:rPr>
          <w:color w:val="000000" w:themeColor="text1"/>
          <w:sz w:val="24"/>
          <w:szCs w:val="24"/>
        </w:rPr>
      </w:pPr>
      <w:r>
        <w:rPr>
          <w:color w:val="000000" w:themeColor="text1"/>
          <w:sz w:val="24"/>
          <w:szCs w:val="24"/>
        </w:rPr>
        <w:t>Recommendation of project to be adopted…………………………………………..14</w:t>
      </w:r>
    </w:p>
    <w:p w14:paraId="7F2A9324" w14:textId="11BD54DF" w:rsidR="00B20BCF" w:rsidRDefault="00B20BCF" w:rsidP="00415895">
      <w:pPr>
        <w:pStyle w:val="ListBullet"/>
        <w:numPr>
          <w:ilvl w:val="0"/>
          <w:numId w:val="0"/>
        </w:numPr>
        <w:rPr>
          <w:color w:val="000000" w:themeColor="text1"/>
          <w:sz w:val="24"/>
          <w:szCs w:val="24"/>
        </w:rPr>
      </w:pPr>
      <w:r>
        <w:rPr>
          <w:color w:val="000000" w:themeColor="text1"/>
          <w:sz w:val="24"/>
          <w:szCs w:val="24"/>
        </w:rPr>
        <w:t>Advantages &amp; shortcomings of Payback and NPV………………………………….16</w:t>
      </w:r>
    </w:p>
    <w:p w14:paraId="3450B1B7" w14:textId="42DE9231" w:rsidR="00B20BCF" w:rsidRDefault="00B20BCF" w:rsidP="00415895">
      <w:pPr>
        <w:pStyle w:val="ListBullet"/>
        <w:numPr>
          <w:ilvl w:val="0"/>
          <w:numId w:val="0"/>
        </w:numPr>
        <w:rPr>
          <w:color w:val="000000" w:themeColor="text1"/>
          <w:sz w:val="24"/>
          <w:szCs w:val="24"/>
        </w:rPr>
      </w:pPr>
      <w:r>
        <w:rPr>
          <w:color w:val="000000" w:themeColor="text1"/>
          <w:sz w:val="24"/>
          <w:szCs w:val="24"/>
        </w:rPr>
        <w:t>Non-financial factors to be considered in investment appraisal…………………..17-19</w:t>
      </w:r>
    </w:p>
    <w:p w14:paraId="0610924C" w14:textId="0F015C0D" w:rsidR="00037B67" w:rsidRDefault="00AE113C" w:rsidP="3C0493CB">
      <w:pPr>
        <w:pStyle w:val="ListBullet"/>
        <w:numPr>
          <w:ilvl w:val="0"/>
          <w:numId w:val="0"/>
        </w:numPr>
        <w:rPr>
          <w:color w:val="000000" w:themeColor="text1"/>
          <w:sz w:val="24"/>
          <w:szCs w:val="24"/>
        </w:rPr>
      </w:pPr>
      <w:r>
        <w:rPr>
          <w:color w:val="000000" w:themeColor="text1"/>
          <w:sz w:val="24"/>
          <w:szCs w:val="24"/>
        </w:rPr>
        <w:t>References ……………………………………………………………………………</w:t>
      </w:r>
      <w:r w:rsidR="00583A5F">
        <w:rPr>
          <w:color w:val="000000" w:themeColor="text1"/>
          <w:sz w:val="24"/>
          <w:szCs w:val="24"/>
        </w:rPr>
        <w:t>21</w:t>
      </w:r>
      <w:r>
        <w:rPr>
          <w:color w:val="000000" w:themeColor="text1"/>
          <w:sz w:val="24"/>
          <w:szCs w:val="24"/>
        </w:rPr>
        <w:t xml:space="preserve"> </w:t>
      </w:r>
      <w:r w:rsidR="00056795">
        <w:rPr>
          <w:color w:val="000000" w:themeColor="text1"/>
          <w:sz w:val="24"/>
          <w:szCs w:val="24"/>
        </w:rPr>
        <w:t>–</w:t>
      </w:r>
      <w:r>
        <w:rPr>
          <w:color w:val="000000" w:themeColor="text1"/>
          <w:sz w:val="24"/>
          <w:szCs w:val="24"/>
        </w:rPr>
        <w:t xml:space="preserve"> </w:t>
      </w:r>
      <w:r w:rsidR="00583A5F">
        <w:rPr>
          <w:color w:val="000000" w:themeColor="text1"/>
          <w:sz w:val="24"/>
          <w:szCs w:val="24"/>
        </w:rPr>
        <w:t>22</w:t>
      </w:r>
      <w:bookmarkStart w:id="0" w:name="_GoBack"/>
      <w:bookmarkEnd w:id="0"/>
    </w:p>
    <w:p w14:paraId="2D6DF834" w14:textId="5EBEB5B0" w:rsidR="00056795" w:rsidRDefault="00056795" w:rsidP="3C0493CB">
      <w:pPr>
        <w:pStyle w:val="ListBullet"/>
        <w:numPr>
          <w:ilvl w:val="0"/>
          <w:numId w:val="0"/>
        </w:numPr>
        <w:rPr>
          <w:color w:val="000000" w:themeColor="text1"/>
          <w:sz w:val="24"/>
          <w:szCs w:val="24"/>
        </w:rPr>
      </w:pPr>
      <w:r>
        <w:rPr>
          <w:color w:val="000000" w:themeColor="text1"/>
          <w:sz w:val="24"/>
          <w:szCs w:val="24"/>
        </w:rPr>
        <w:t xml:space="preserve">Appendices …………………………………………………………………………...49 </w:t>
      </w:r>
      <w:r w:rsidR="00772A21">
        <w:rPr>
          <w:color w:val="000000" w:themeColor="text1"/>
          <w:sz w:val="24"/>
          <w:szCs w:val="24"/>
        </w:rPr>
        <w:t>–</w:t>
      </w:r>
      <w:r>
        <w:rPr>
          <w:color w:val="000000" w:themeColor="text1"/>
          <w:sz w:val="24"/>
          <w:szCs w:val="24"/>
        </w:rPr>
        <w:t xml:space="preserve"> </w:t>
      </w:r>
      <w:r w:rsidR="00772A21">
        <w:rPr>
          <w:color w:val="000000" w:themeColor="text1"/>
          <w:sz w:val="24"/>
          <w:szCs w:val="24"/>
        </w:rPr>
        <w:t>54</w:t>
      </w:r>
    </w:p>
    <w:p w14:paraId="68A23F50" w14:textId="3620402D" w:rsidR="3ED31BD3" w:rsidRDefault="3ED31BD3" w:rsidP="3C0493CB">
      <w:pPr>
        <w:pStyle w:val="ListBullet"/>
        <w:numPr>
          <w:ilvl w:val="0"/>
          <w:numId w:val="0"/>
        </w:numPr>
        <w:rPr>
          <w:color w:val="000000" w:themeColor="text1"/>
        </w:rPr>
      </w:pPr>
    </w:p>
    <w:p w14:paraId="0E4AC3E2" w14:textId="77777777" w:rsidR="00583A5F" w:rsidRDefault="00583A5F" w:rsidP="3C0493CB">
      <w:pPr>
        <w:pStyle w:val="ListBullet"/>
        <w:numPr>
          <w:ilvl w:val="0"/>
          <w:numId w:val="0"/>
        </w:numPr>
        <w:rPr>
          <w:color w:val="000000" w:themeColor="text1"/>
        </w:rPr>
      </w:pPr>
    </w:p>
    <w:p w14:paraId="01D1D70B" w14:textId="2227CEE1" w:rsidR="3ED31BD3" w:rsidRDefault="6395FD93" w:rsidP="6395FD93">
      <w:pPr>
        <w:pStyle w:val="ListBullet"/>
        <w:numPr>
          <w:ilvl w:val="0"/>
          <w:numId w:val="0"/>
        </w:numPr>
        <w:jc w:val="center"/>
        <w:rPr>
          <w:b/>
          <w:bCs/>
          <w:color w:val="000000" w:themeColor="text1"/>
          <w:sz w:val="24"/>
          <w:szCs w:val="24"/>
          <w:lang w:val="en-GB"/>
        </w:rPr>
      </w:pPr>
      <w:r w:rsidRPr="6395FD93">
        <w:rPr>
          <w:b/>
          <w:bCs/>
          <w:color w:val="000000" w:themeColor="text1"/>
          <w:sz w:val="24"/>
          <w:szCs w:val="24"/>
          <w:lang w:val="en-GB"/>
        </w:rPr>
        <w:lastRenderedPageBreak/>
        <w:t>FINANCIAL ANALYSIS REPORT OF WILLIAM HILL AND PADDY POWER-BET FAIR PLC</w:t>
      </w:r>
    </w:p>
    <w:p w14:paraId="22DA8516" w14:textId="2C26F78C" w:rsidR="3ED31BD3" w:rsidRDefault="3ED31BD3" w:rsidP="3C0493CB">
      <w:pPr>
        <w:pStyle w:val="ListBullet"/>
        <w:numPr>
          <w:ilvl w:val="0"/>
          <w:numId w:val="0"/>
        </w:numPr>
        <w:rPr>
          <w:color w:val="000000" w:themeColor="text1"/>
          <w:sz w:val="24"/>
          <w:szCs w:val="24"/>
          <w:lang w:val="en-GB"/>
        </w:rPr>
      </w:pPr>
    </w:p>
    <w:p w14:paraId="4702A53B" w14:textId="3878B90B" w:rsidR="3ED31BD3" w:rsidRDefault="6395FD93" w:rsidP="002944E5">
      <w:pPr>
        <w:pStyle w:val="ListBullet"/>
        <w:numPr>
          <w:ilvl w:val="0"/>
          <w:numId w:val="0"/>
        </w:numPr>
        <w:rPr>
          <w:color w:val="000000" w:themeColor="text1"/>
          <w:sz w:val="24"/>
          <w:szCs w:val="24"/>
          <w:lang w:val="en-GB"/>
        </w:rPr>
      </w:pPr>
      <w:r w:rsidRPr="6395FD93">
        <w:rPr>
          <w:b/>
          <w:bCs/>
          <w:color w:val="000000" w:themeColor="text1"/>
          <w:sz w:val="24"/>
          <w:szCs w:val="24"/>
          <w:lang w:val="en-GB"/>
        </w:rPr>
        <w:t xml:space="preserve">To: </w:t>
      </w:r>
      <w:r w:rsidRPr="6395FD93">
        <w:rPr>
          <w:color w:val="000000" w:themeColor="text1"/>
          <w:sz w:val="24"/>
          <w:szCs w:val="24"/>
          <w:lang w:val="en-GB"/>
        </w:rPr>
        <w:t>Dr Isaiah Oino - Investment Manager</w:t>
      </w:r>
      <w:r w:rsidR="00347DA6">
        <w:rPr>
          <w:color w:val="000000" w:themeColor="text1"/>
          <w:sz w:val="24"/>
          <w:szCs w:val="24"/>
          <w:lang w:val="en-GB"/>
        </w:rPr>
        <w:t xml:space="preserve"> – World Wealth Management</w:t>
      </w:r>
    </w:p>
    <w:p w14:paraId="5B23D23F" w14:textId="6309677D" w:rsidR="3ED31BD3" w:rsidRDefault="6395FD93" w:rsidP="002944E5">
      <w:pPr>
        <w:pStyle w:val="ListBullet"/>
        <w:numPr>
          <w:ilvl w:val="0"/>
          <w:numId w:val="0"/>
        </w:numPr>
        <w:rPr>
          <w:color w:val="000000" w:themeColor="text1"/>
          <w:sz w:val="24"/>
          <w:szCs w:val="24"/>
          <w:lang w:val="en-GB"/>
        </w:rPr>
      </w:pPr>
      <w:r w:rsidRPr="6395FD93">
        <w:rPr>
          <w:b/>
          <w:bCs/>
          <w:color w:val="000000" w:themeColor="text1"/>
          <w:sz w:val="24"/>
          <w:szCs w:val="24"/>
          <w:lang w:val="en-GB"/>
        </w:rPr>
        <w:t xml:space="preserve">From: </w:t>
      </w:r>
      <w:r w:rsidRPr="6395FD93">
        <w:rPr>
          <w:color w:val="000000" w:themeColor="text1"/>
          <w:sz w:val="24"/>
          <w:szCs w:val="24"/>
          <w:lang w:val="en-GB"/>
        </w:rPr>
        <w:t>Sunday Fatubarin - Financial Analyst</w:t>
      </w:r>
      <w:r w:rsidR="00347DA6">
        <w:rPr>
          <w:color w:val="000000" w:themeColor="text1"/>
          <w:sz w:val="24"/>
          <w:szCs w:val="24"/>
          <w:lang w:val="en-GB"/>
        </w:rPr>
        <w:t xml:space="preserve"> – World Wealth Management</w:t>
      </w:r>
    </w:p>
    <w:p w14:paraId="3EEAB351" w14:textId="6EB05825" w:rsidR="3ED31BD3" w:rsidRDefault="6395FD93" w:rsidP="002944E5">
      <w:pPr>
        <w:pStyle w:val="ListBullet"/>
        <w:numPr>
          <w:ilvl w:val="0"/>
          <w:numId w:val="0"/>
        </w:numPr>
        <w:rPr>
          <w:color w:val="000000" w:themeColor="text1"/>
          <w:sz w:val="24"/>
          <w:szCs w:val="24"/>
          <w:lang w:val="en-GB"/>
        </w:rPr>
      </w:pPr>
      <w:r w:rsidRPr="6395FD93">
        <w:rPr>
          <w:b/>
          <w:bCs/>
          <w:color w:val="000000" w:themeColor="text1"/>
          <w:sz w:val="24"/>
          <w:szCs w:val="24"/>
          <w:lang w:val="en-GB"/>
        </w:rPr>
        <w:t xml:space="preserve">Date: </w:t>
      </w:r>
      <w:r w:rsidR="0032541C">
        <w:rPr>
          <w:color w:val="000000" w:themeColor="text1"/>
          <w:sz w:val="24"/>
          <w:szCs w:val="24"/>
          <w:lang w:val="en-GB"/>
        </w:rPr>
        <w:t>8</w:t>
      </w:r>
      <w:r w:rsidRPr="6395FD93">
        <w:rPr>
          <w:color w:val="000000" w:themeColor="text1"/>
          <w:sz w:val="24"/>
          <w:szCs w:val="24"/>
          <w:vertAlign w:val="superscript"/>
          <w:lang w:val="en-GB"/>
        </w:rPr>
        <w:t>th</w:t>
      </w:r>
      <w:r w:rsidRPr="6395FD93">
        <w:rPr>
          <w:color w:val="000000" w:themeColor="text1"/>
          <w:sz w:val="24"/>
          <w:szCs w:val="24"/>
          <w:lang w:val="en-GB"/>
        </w:rPr>
        <w:t xml:space="preserve"> May 2017</w:t>
      </w:r>
    </w:p>
    <w:p w14:paraId="6FC72D48" w14:textId="17651207" w:rsidR="3ED31BD3" w:rsidRDefault="3ED31BD3" w:rsidP="3C0493CB">
      <w:pPr>
        <w:pStyle w:val="ListBullet"/>
        <w:numPr>
          <w:ilvl w:val="0"/>
          <w:numId w:val="0"/>
        </w:numPr>
        <w:rPr>
          <w:color w:val="000000" w:themeColor="text1"/>
          <w:sz w:val="24"/>
          <w:szCs w:val="24"/>
          <w:lang w:val="en-GB"/>
        </w:rPr>
      </w:pPr>
    </w:p>
    <w:p w14:paraId="6FD4D74C" w14:textId="3DC640D2" w:rsidR="3ED31BD3" w:rsidRDefault="6395FD93" w:rsidP="6395FD93">
      <w:pPr>
        <w:pStyle w:val="ListBullet"/>
        <w:numPr>
          <w:ilvl w:val="0"/>
          <w:numId w:val="0"/>
        </w:numPr>
        <w:rPr>
          <w:color w:val="000000" w:themeColor="text1"/>
          <w:sz w:val="24"/>
          <w:szCs w:val="24"/>
          <w:lang w:val="en-GB"/>
        </w:rPr>
      </w:pPr>
      <w:r w:rsidRPr="6395FD93">
        <w:rPr>
          <w:b/>
          <w:bCs/>
          <w:color w:val="000000" w:themeColor="text1"/>
          <w:sz w:val="24"/>
          <w:szCs w:val="24"/>
          <w:lang w:val="en-GB"/>
        </w:rPr>
        <w:t>Subject:</w:t>
      </w:r>
      <w:r w:rsidRPr="6395FD93">
        <w:rPr>
          <w:color w:val="000000" w:themeColor="text1"/>
          <w:sz w:val="24"/>
          <w:szCs w:val="24"/>
          <w:lang w:val="en-GB"/>
        </w:rPr>
        <w:t xml:space="preserve"> Financial Analysis of William Hill plc and Paddy Power BetFair plc.</w:t>
      </w:r>
    </w:p>
    <w:p w14:paraId="0DA9F755" w14:textId="6BB6E1BC" w:rsidR="3ED31BD3" w:rsidRDefault="3ED31BD3" w:rsidP="3C0493CB">
      <w:pPr>
        <w:pStyle w:val="ListBullet"/>
        <w:numPr>
          <w:ilvl w:val="0"/>
          <w:numId w:val="0"/>
        </w:numPr>
        <w:rPr>
          <w:color w:val="000000" w:themeColor="text1"/>
          <w:sz w:val="24"/>
          <w:szCs w:val="24"/>
          <w:lang w:val="en-GB"/>
        </w:rPr>
      </w:pPr>
    </w:p>
    <w:p w14:paraId="713C1729" w14:textId="5E5093E3" w:rsidR="3ED31BD3" w:rsidRDefault="6395FD93" w:rsidP="6395FD93">
      <w:pPr>
        <w:pStyle w:val="ListBullet"/>
        <w:numPr>
          <w:ilvl w:val="0"/>
          <w:numId w:val="0"/>
        </w:numPr>
        <w:jc w:val="center"/>
        <w:rPr>
          <w:b/>
          <w:bCs/>
          <w:color w:val="000000" w:themeColor="text1"/>
          <w:sz w:val="24"/>
          <w:szCs w:val="24"/>
          <w:lang w:val="en-GB"/>
        </w:rPr>
      </w:pPr>
      <w:r w:rsidRPr="6395FD93">
        <w:rPr>
          <w:b/>
          <w:bCs/>
          <w:color w:val="000000" w:themeColor="text1"/>
          <w:sz w:val="24"/>
          <w:szCs w:val="24"/>
          <w:lang w:val="en-GB"/>
        </w:rPr>
        <w:t>ABSTRACT</w:t>
      </w:r>
    </w:p>
    <w:p w14:paraId="7C47357E" w14:textId="33841D8F" w:rsidR="3ED31BD3"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This paper </w:t>
      </w:r>
      <w:r w:rsidR="003F2236">
        <w:rPr>
          <w:color w:val="000000" w:themeColor="text1"/>
          <w:sz w:val="24"/>
          <w:szCs w:val="24"/>
          <w:lang w:val="en-GB"/>
        </w:rPr>
        <w:t>evaluates th</w:t>
      </w:r>
      <w:r w:rsidR="008E34F4">
        <w:rPr>
          <w:color w:val="000000" w:themeColor="text1"/>
          <w:sz w:val="24"/>
          <w:szCs w:val="24"/>
          <w:lang w:val="en-GB"/>
        </w:rPr>
        <w:t>e</w:t>
      </w:r>
      <w:r w:rsidRPr="6395FD93">
        <w:rPr>
          <w:color w:val="000000" w:themeColor="text1"/>
          <w:sz w:val="24"/>
          <w:szCs w:val="24"/>
          <w:lang w:val="en-GB"/>
        </w:rPr>
        <w:t xml:space="preserve"> financial </w:t>
      </w:r>
      <w:r w:rsidR="008E34F4">
        <w:rPr>
          <w:color w:val="000000" w:themeColor="text1"/>
          <w:sz w:val="24"/>
          <w:szCs w:val="24"/>
          <w:lang w:val="en-GB"/>
        </w:rPr>
        <w:t xml:space="preserve">position and </w:t>
      </w:r>
      <w:r w:rsidR="00FC70DA">
        <w:rPr>
          <w:color w:val="000000" w:themeColor="text1"/>
          <w:sz w:val="24"/>
          <w:szCs w:val="24"/>
          <w:lang w:val="en-GB"/>
        </w:rPr>
        <w:t xml:space="preserve">performance of two of the biggest betting </w:t>
      </w:r>
      <w:r w:rsidR="007C2F8F">
        <w:rPr>
          <w:color w:val="000000" w:themeColor="text1"/>
          <w:sz w:val="24"/>
          <w:szCs w:val="24"/>
          <w:lang w:val="en-GB"/>
        </w:rPr>
        <w:t>companies in the United Kingdom</w:t>
      </w:r>
      <w:r w:rsidR="008A222E">
        <w:rPr>
          <w:color w:val="000000" w:themeColor="text1"/>
          <w:sz w:val="24"/>
          <w:szCs w:val="24"/>
          <w:lang w:val="en-GB"/>
        </w:rPr>
        <w:t xml:space="preserve"> namely;</w:t>
      </w:r>
      <w:r w:rsidRPr="6395FD93">
        <w:rPr>
          <w:color w:val="000000" w:themeColor="text1"/>
          <w:sz w:val="24"/>
          <w:szCs w:val="24"/>
          <w:lang w:val="en-GB"/>
        </w:rPr>
        <w:t xml:space="preserve"> William plc and Paddy Power BetFair plc</w:t>
      </w:r>
      <w:r w:rsidR="008A222E">
        <w:rPr>
          <w:color w:val="000000" w:themeColor="text1"/>
          <w:sz w:val="24"/>
          <w:szCs w:val="24"/>
          <w:lang w:val="en-GB"/>
        </w:rPr>
        <w:t xml:space="preserve">, both of </w:t>
      </w:r>
      <w:r w:rsidRPr="6395FD93">
        <w:rPr>
          <w:color w:val="000000" w:themeColor="text1"/>
          <w:sz w:val="24"/>
          <w:szCs w:val="24"/>
          <w:lang w:val="en-GB"/>
        </w:rPr>
        <w:t xml:space="preserve">whose shares are traded in the UK FTSE 100. The </w:t>
      </w:r>
      <w:r w:rsidR="00B46F72">
        <w:rPr>
          <w:color w:val="000000" w:themeColor="text1"/>
          <w:sz w:val="24"/>
          <w:szCs w:val="24"/>
          <w:lang w:val="en-GB"/>
        </w:rPr>
        <w:t xml:space="preserve">remit of </w:t>
      </w:r>
      <w:r w:rsidRPr="6395FD93">
        <w:rPr>
          <w:color w:val="000000" w:themeColor="text1"/>
          <w:sz w:val="24"/>
          <w:szCs w:val="24"/>
          <w:lang w:val="en-GB"/>
        </w:rPr>
        <w:t xml:space="preserve">this paper is to </w:t>
      </w:r>
      <w:r w:rsidR="00B46F72">
        <w:rPr>
          <w:color w:val="000000" w:themeColor="text1"/>
          <w:sz w:val="24"/>
          <w:szCs w:val="24"/>
          <w:lang w:val="en-GB"/>
        </w:rPr>
        <w:t xml:space="preserve">analyse three consecutive years </w:t>
      </w:r>
      <w:r w:rsidR="00B16303">
        <w:rPr>
          <w:color w:val="000000" w:themeColor="text1"/>
          <w:sz w:val="24"/>
          <w:szCs w:val="24"/>
          <w:lang w:val="en-GB"/>
        </w:rPr>
        <w:t xml:space="preserve">financial statements </w:t>
      </w:r>
      <w:r w:rsidR="00B46F72">
        <w:rPr>
          <w:color w:val="000000" w:themeColor="text1"/>
          <w:sz w:val="24"/>
          <w:szCs w:val="24"/>
          <w:lang w:val="en-GB"/>
        </w:rPr>
        <w:t>of these two companies</w:t>
      </w:r>
      <w:r w:rsidR="00B16303">
        <w:rPr>
          <w:color w:val="000000" w:themeColor="text1"/>
          <w:sz w:val="24"/>
          <w:szCs w:val="24"/>
          <w:lang w:val="en-GB"/>
        </w:rPr>
        <w:t xml:space="preserve"> and make </w:t>
      </w:r>
      <w:r w:rsidR="009C27D6">
        <w:rPr>
          <w:color w:val="000000" w:themeColor="text1"/>
          <w:sz w:val="24"/>
          <w:szCs w:val="24"/>
          <w:lang w:val="en-GB"/>
        </w:rPr>
        <w:t xml:space="preserve">an </w:t>
      </w:r>
      <w:r w:rsidRPr="6395FD93">
        <w:rPr>
          <w:color w:val="000000" w:themeColor="text1"/>
          <w:sz w:val="24"/>
          <w:szCs w:val="24"/>
          <w:lang w:val="en-GB"/>
        </w:rPr>
        <w:t xml:space="preserve">informed </w:t>
      </w:r>
      <w:r w:rsidR="009C27D6">
        <w:rPr>
          <w:color w:val="000000" w:themeColor="text1"/>
          <w:sz w:val="24"/>
          <w:szCs w:val="24"/>
          <w:lang w:val="en-GB"/>
        </w:rPr>
        <w:t xml:space="preserve">recommendation as to </w:t>
      </w:r>
      <w:r w:rsidR="001451CB">
        <w:rPr>
          <w:color w:val="000000" w:themeColor="text1"/>
          <w:sz w:val="24"/>
          <w:szCs w:val="24"/>
          <w:lang w:val="en-GB"/>
        </w:rPr>
        <w:t>whether to invest in these company or not.</w:t>
      </w:r>
      <w:r w:rsidR="009979AA">
        <w:rPr>
          <w:color w:val="000000" w:themeColor="text1"/>
          <w:sz w:val="24"/>
          <w:szCs w:val="24"/>
          <w:lang w:val="en-GB"/>
        </w:rPr>
        <w:t xml:space="preserve"> In order to get a more rounded view of these two companies</w:t>
      </w:r>
      <w:r w:rsidR="001C4A1B">
        <w:rPr>
          <w:color w:val="000000" w:themeColor="text1"/>
          <w:sz w:val="24"/>
          <w:szCs w:val="24"/>
          <w:lang w:val="en-GB"/>
        </w:rPr>
        <w:t>, t</w:t>
      </w:r>
      <w:r w:rsidR="009979AA">
        <w:rPr>
          <w:color w:val="000000" w:themeColor="text1"/>
          <w:sz w:val="24"/>
          <w:szCs w:val="24"/>
          <w:lang w:val="en-GB"/>
        </w:rPr>
        <w:t xml:space="preserve">his paper </w:t>
      </w:r>
      <w:r w:rsidR="009708BC">
        <w:rPr>
          <w:color w:val="000000" w:themeColor="text1"/>
          <w:sz w:val="24"/>
          <w:szCs w:val="24"/>
          <w:lang w:val="en-GB"/>
        </w:rPr>
        <w:t xml:space="preserve">decides to </w:t>
      </w:r>
      <w:r w:rsidR="001C4A1B">
        <w:rPr>
          <w:color w:val="000000" w:themeColor="text1"/>
          <w:sz w:val="24"/>
          <w:szCs w:val="24"/>
          <w:lang w:val="en-GB"/>
        </w:rPr>
        <w:t>analyse five year financial statements</w:t>
      </w:r>
      <w:r w:rsidR="008519C9">
        <w:rPr>
          <w:color w:val="000000" w:themeColor="text1"/>
          <w:sz w:val="24"/>
          <w:szCs w:val="24"/>
          <w:lang w:val="en-GB"/>
        </w:rPr>
        <w:t xml:space="preserve"> </w:t>
      </w:r>
      <w:r w:rsidR="009708BC">
        <w:rPr>
          <w:color w:val="000000" w:themeColor="text1"/>
          <w:sz w:val="24"/>
          <w:szCs w:val="24"/>
          <w:lang w:val="en-GB"/>
        </w:rPr>
        <w:t>so</w:t>
      </w:r>
      <w:r w:rsidR="00A92369">
        <w:rPr>
          <w:color w:val="000000" w:themeColor="text1"/>
          <w:sz w:val="24"/>
          <w:szCs w:val="24"/>
          <w:lang w:val="en-GB"/>
        </w:rPr>
        <w:t xml:space="preserve"> that a trend </w:t>
      </w:r>
      <w:r w:rsidR="002A53E4">
        <w:rPr>
          <w:color w:val="000000" w:themeColor="text1"/>
          <w:sz w:val="24"/>
          <w:szCs w:val="24"/>
          <w:lang w:val="en-GB"/>
        </w:rPr>
        <w:t>in performance can be observed.</w:t>
      </w:r>
    </w:p>
    <w:p w14:paraId="2696B357" w14:textId="192D3D5C" w:rsidR="3ED31BD3"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Given the findings found below, it shows that Paddy Power Betfair plc is worth investing in but William Hill plc is not worth investing in at this momemt. For a risk-averse investor </w:t>
      </w:r>
      <w:r w:rsidR="00EE135D">
        <w:rPr>
          <w:color w:val="000000" w:themeColor="text1"/>
          <w:sz w:val="24"/>
          <w:szCs w:val="24"/>
          <w:lang w:val="en-GB"/>
        </w:rPr>
        <w:t xml:space="preserve">like </w:t>
      </w:r>
      <w:r w:rsidR="002D5765">
        <w:rPr>
          <w:color w:val="000000" w:themeColor="text1"/>
          <w:sz w:val="24"/>
          <w:szCs w:val="24"/>
          <w:lang w:val="en-GB"/>
        </w:rPr>
        <w:t xml:space="preserve">Mr Tim Farrow, the paper opines that his </w:t>
      </w:r>
      <w:r w:rsidR="00BC05FF">
        <w:rPr>
          <w:color w:val="000000" w:themeColor="text1"/>
          <w:sz w:val="24"/>
          <w:szCs w:val="24"/>
          <w:lang w:val="en-GB"/>
        </w:rPr>
        <w:t xml:space="preserve">investment objective will be better </w:t>
      </w:r>
      <w:r w:rsidR="00261E67">
        <w:rPr>
          <w:color w:val="000000" w:themeColor="text1"/>
          <w:sz w:val="24"/>
          <w:szCs w:val="24"/>
          <w:lang w:val="en-GB"/>
        </w:rPr>
        <w:t>met by investing in Paddy Power BetFair plc</w:t>
      </w:r>
      <w:r w:rsidRPr="6395FD93">
        <w:rPr>
          <w:color w:val="000000" w:themeColor="text1"/>
          <w:sz w:val="24"/>
          <w:szCs w:val="24"/>
          <w:lang w:val="en-GB"/>
        </w:rPr>
        <w:t xml:space="preserve">.  </w:t>
      </w:r>
    </w:p>
    <w:p w14:paraId="6AD8187B" w14:textId="67449AB8" w:rsidR="7BD40906" w:rsidRDefault="6395FD93" w:rsidP="00944446">
      <w:pPr>
        <w:pStyle w:val="ListBullet"/>
        <w:numPr>
          <w:ilvl w:val="0"/>
          <w:numId w:val="0"/>
        </w:numPr>
        <w:rPr>
          <w:color w:val="000000" w:themeColor="text1"/>
          <w:sz w:val="24"/>
          <w:szCs w:val="24"/>
          <w:lang w:val="en-GB"/>
        </w:rPr>
      </w:pPr>
      <w:r w:rsidRPr="6395FD93">
        <w:rPr>
          <w:rFonts w:ascii="Arial" w:eastAsia="Arial" w:hAnsi="Arial" w:cs="Arial"/>
          <w:b/>
          <w:bCs/>
          <w:color w:val="000000" w:themeColor="text1"/>
          <w:sz w:val="24"/>
          <w:szCs w:val="24"/>
          <w:lang w:val="en-GB"/>
        </w:rPr>
        <w:t xml:space="preserve">KEYWORDS: </w:t>
      </w:r>
      <w:r w:rsidRPr="6395FD93">
        <w:rPr>
          <w:rFonts w:ascii="Arial" w:eastAsia="Arial" w:hAnsi="Arial" w:cs="Arial"/>
          <w:color w:val="000000" w:themeColor="text1"/>
          <w:sz w:val="24"/>
          <w:szCs w:val="24"/>
          <w:lang w:val="en-GB"/>
        </w:rPr>
        <w:t>W</w:t>
      </w:r>
      <w:r w:rsidRPr="5173864F">
        <w:rPr>
          <w:color w:val="000000" w:themeColor="text1"/>
          <w:sz w:val="24"/>
          <w:szCs w:val="24"/>
          <w:lang w:val="en-GB"/>
        </w:rPr>
        <w:t xml:space="preserve">illiam Hill Plc, Paddy Power BetFair Plc, financial analysis, </w:t>
      </w:r>
      <w:r w:rsidR="162B5B88" w:rsidRPr="5173864F">
        <w:rPr>
          <w:color w:val="000000" w:themeColor="text1"/>
          <w:sz w:val="24"/>
          <w:szCs w:val="24"/>
          <w:lang w:val="en-GB"/>
        </w:rPr>
        <w:t>short-</w:t>
      </w:r>
      <w:r w:rsidR="5173864F" w:rsidRPr="5173864F">
        <w:rPr>
          <w:color w:val="000000" w:themeColor="text1"/>
          <w:sz w:val="24"/>
          <w:szCs w:val="24"/>
          <w:lang w:val="en-GB"/>
        </w:rPr>
        <w:t xml:space="preserve">            </w:t>
      </w:r>
      <w:r w:rsidR="369A4143" w:rsidRPr="369A4143">
        <w:rPr>
          <w:color w:val="000000" w:themeColor="text1"/>
          <w:sz w:val="24"/>
          <w:szCs w:val="24"/>
          <w:lang w:val="en-GB"/>
        </w:rPr>
        <w:t xml:space="preserve">     </w:t>
      </w:r>
      <w:r w:rsidR="007E3C86">
        <w:rPr>
          <w:color w:val="000000" w:themeColor="text1"/>
          <w:sz w:val="24"/>
          <w:szCs w:val="24"/>
          <w:lang w:val="en-GB"/>
        </w:rPr>
        <w:t xml:space="preserve">                      </w:t>
      </w:r>
      <w:r w:rsidR="00FF585B">
        <w:rPr>
          <w:color w:val="000000" w:themeColor="text1"/>
          <w:sz w:val="24"/>
          <w:szCs w:val="24"/>
          <w:lang w:val="en-GB"/>
        </w:rPr>
        <w:t xml:space="preserve">      </w:t>
      </w:r>
      <w:r w:rsidR="162B5B88" w:rsidRPr="5173864F">
        <w:rPr>
          <w:color w:val="000000" w:themeColor="text1"/>
          <w:sz w:val="24"/>
          <w:szCs w:val="24"/>
          <w:lang w:val="en-GB"/>
        </w:rPr>
        <w:t xml:space="preserve">termism, backward-looking, </w:t>
      </w:r>
      <w:r w:rsidRPr="5173864F">
        <w:rPr>
          <w:color w:val="000000" w:themeColor="text1"/>
          <w:sz w:val="24"/>
          <w:szCs w:val="24"/>
          <w:lang w:val="en-GB"/>
        </w:rPr>
        <w:t xml:space="preserve">key performance indicators, non-financial </w:t>
      </w:r>
      <w:r w:rsidR="369A4143" w:rsidRPr="369A4143">
        <w:rPr>
          <w:color w:val="000000" w:themeColor="text1"/>
          <w:sz w:val="24"/>
          <w:szCs w:val="24"/>
          <w:lang w:val="en-GB"/>
        </w:rPr>
        <w:t xml:space="preserve">                                   </w:t>
      </w:r>
      <w:r w:rsidRPr="5173864F">
        <w:rPr>
          <w:color w:val="000000" w:themeColor="text1"/>
          <w:sz w:val="24"/>
          <w:szCs w:val="24"/>
          <w:lang w:val="en-GB"/>
        </w:rPr>
        <w:t>performance indicators</w:t>
      </w:r>
      <w:r w:rsidR="28A864C7" w:rsidRPr="5173864F">
        <w:rPr>
          <w:color w:val="000000" w:themeColor="text1"/>
          <w:sz w:val="24"/>
          <w:szCs w:val="24"/>
          <w:lang w:val="en-GB"/>
        </w:rPr>
        <w:t>, balance scorecard</w:t>
      </w:r>
      <w:r w:rsidR="05D6BB81" w:rsidRPr="5173864F">
        <w:rPr>
          <w:color w:val="000000" w:themeColor="text1"/>
          <w:sz w:val="24"/>
          <w:szCs w:val="24"/>
          <w:lang w:val="en-GB"/>
        </w:rPr>
        <w:t xml:space="preserve">, building blocks model, </w:t>
      </w:r>
      <w:r w:rsidR="06BA7192" w:rsidRPr="5173864F">
        <w:rPr>
          <w:color w:val="000000" w:themeColor="text1"/>
          <w:sz w:val="24"/>
          <w:szCs w:val="24"/>
          <w:lang w:val="en-GB"/>
        </w:rPr>
        <w:t xml:space="preserve">performance </w:t>
      </w:r>
      <w:r w:rsidR="32D73BB2" w:rsidRPr="32D73BB2">
        <w:rPr>
          <w:color w:val="000000" w:themeColor="text1"/>
          <w:sz w:val="24"/>
          <w:szCs w:val="24"/>
          <w:lang w:val="en-GB"/>
        </w:rPr>
        <w:t xml:space="preserve">                  pyramid.</w:t>
      </w:r>
    </w:p>
    <w:p w14:paraId="4DF06A12" w14:textId="37D41EA8" w:rsidR="001C4E4A" w:rsidRDefault="001C4E4A" w:rsidP="00944446">
      <w:pPr>
        <w:pStyle w:val="ListBullet"/>
        <w:numPr>
          <w:ilvl w:val="0"/>
          <w:numId w:val="0"/>
        </w:numPr>
        <w:rPr>
          <w:color w:val="000000" w:themeColor="text1"/>
          <w:sz w:val="24"/>
          <w:szCs w:val="24"/>
          <w:lang w:val="en-GB"/>
        </w:rPr>
      </w:pPr>
    </w:p>
    <w:p w14:paraId="5FA8ECCB" w14:textId="77777777" w:rsidR="001C4E4A" w:rsidRDefault="001C4E4A" w:rsidP="00944446">
      <w:pPr>
        <w:pStyle w:val="ListBullet"/>
        <w:numPr>
          <w:ilvl w:val="0"/>
          <w:numId w:val="0"/>
        </w:numPr>
        <w:rPr>
          <w:color w:val="000000" w:themeColor="text1"/>
          <w:sz w:val="24"/>
          <w:szCs w:val="24"/>
          <w:lang w:val="en-GB"/>
        </w:rPr>
      </w:pPr>
    </w:p>
    <w:p w14:paraId="6E55552E" w14:textId="32B699A1" w:rsidR="7BD40906" w:rsidRDefault="6395FD93" w:rsidP="6395FD93">
      <w:pPr>
        <w:pStyle w:val="ListBullet"/>
        <w:numPr>
          <w:ilvl w:val="0"/>
          <w:numId w:val="0"/>
        </w:numPr>
        <w:jc w:val="center"/>
        <w:rPr>
          <w:b/>
          <w:bCs/>
          <w:color w:val="000000" w:themeColor="text1"/>
          <w:sz w:val="24"/>
          <w:szCs w:val="24"/>
          <w:lang w:val="en-GB"/>
        </w:rPr>
      </w:pPr>
      <w:r w:rsidRPr="6395FD93">
        <w:rPr>
          <w:b/>
          <w:bCs/>
          <w:color w:val="000000" w:themeColor="text1"/>
          <w:sz w:val="24"/>
          <w:szCs w:val="24"/>
          <w:lang w:val="en-GB"/>
        </w:rPr>
        <w:t>INTRODUCTION</w:t>
      </w:r>
    </w:p>
    <w:p w14:paraId="42263EA1" w14:textId="3208E39D" w:rsidR="3C0493CB" w:rsidRDefault="6395FD93" w:rsidP="6395FD93">
      <w:pPr>
        <w:rPr>
          <w:rFonts w:ascii="Arial" w:eastAsia="Arial" w:hAnsi="Arial" w:cs="Arial"/>
          <w:color w:val="000000" w:themeColor="text1"/>
          <w:sz w:val="24"/>
          <w:szCs w:val="24"/>
          <w:lang w:val="en-GB"/>
        </w:rPr>
      </w:pPr>
      <w:r w:rsidRPr="6395FD93">
        <w:rPr>
          <w:rFonts w:ascii="Arial" w:eastAsia="Arial" w:hAnsi="Arial" w:cs="Arial"/>
          <w:color w:val="000000" w:themeColor="text1"/>
          <w:sz w:val="24"/>
          <w:szCs w:val="24"/>
          <w:lang w:val="en-GB"/>
        </w:rPr>
        <w:t>William Hill plc is one of the oldest bookmakers in the United Kingdom and was founded in 1934 by Mr William Hill and has gone through series of change of ownership over the years. In 1971, it was acquired by Sears Holdings and then by Grand Metropolitan in 1988 then changed hands the following year to Brent Walker. Then It was bought by Nomura in 1997 but later was offloaded to private equity firms Cinven and CVC Capital Partners and was listed on the London S</w:t>
      </w:r>
      <w:r w:rsidR="001C4E4A">
        <w:rPr>
          <w:rFonts w:ascii="Arial" w:eastAsia="Arial" w:hAnsi="Arial" w:cs="Arial"/>
          <w:color w:val="000000" w:themeColor="text1"/>
          <w:sz w:val="24"/>
          <w:szCs w:val="24"/>
          <w:lang w:val="en-GB"/>
        </w:rPr>
        <w:t xml:space="preserve">tock Exchange on the 20th June </w:t>
      </w:r>
      <w:r w:rsidRPr="6395FD93">
        <w:rPr>
          <w:rFonts w:ascii="Arial" w:eastAsia="Arial" w:hAnsi="Arial" w:cs="Arial"/>
          <w:color w:val="000000" w:themeColor="text1"/>
          <w:sz w:val="24"/>
          <w:szCs w:val="24"/>
          <w:lang w:val="en-GB"/>
        </w:rPr>
        <w:t>2002. William Hill has over 16,000 employees worldwide. As of today 30th April 2018 William</w:t>
      </w:r>
      <w:r w:rsidR="00C63830">
        <w:rPr>
          <w:rFonts w:ascii="Arial" w:eastAsia="Arial" w:hAnsi="Arial" w:cs="Arial"/>
          <w:color w:val="000000" w:themeColor="text1"/>
          <w:sz w:val="24"/>
          <w:szCs w:val="24"/>
          <w:lang w:val="en-GB"/>
        </w:rPr>
        <w:t xml:space="preserve"> Hill plc market capitalisation</w:t>
      </w:r>
      <w:r w:rsidRPr="6395FD93">
        <w:rPr>
          <w:rFonts w:ascii="Arial" w:eastAsia="Arial" w:hAnsi="Arial" w:cs="Arial"/>
          <w:color w:val="000000" w:themeColor="text1"/>
          <w:sz w:val="24"/>
          <w:szCs w:val="24"/>
          <w:lang w:val="en-GB"/>
        </w:rPr>
        <w:t xml:space="preserve"> </w:t>
      </w:r>
      <w:r w:rsidR="0B7A11AD" w:rsidRPr="0B7A11AD">
        <w:rPr>
          <w:rFonts w:ascii="Arial" w:eastAsia="Arial" w:hAnsi="Arial" w:cs="Arial"/>
          <w:color w:val="000000" w:themeColor="text1"/>
          <w:sz w:val="24"/>
          <w:szCs w:val="24"/>
          <w:lang w:val="en-GB"/>
        </w:rPr>
        <w:t>was</w:t>
      </w:r>
      <w:r w:rsidRPr="6395FD93">
        <w:rPr>
          <w:rFonts w:ascii="Arial" w:eastAsia="Arial" w:hAnsi="Arial" w:cs="Arial"/>
          <w:color w:val="000000" w:themeColor="text1"/>
          <w:sz w:val="24"/>
          <w:szCs w:val="24"/>
          <w:lang w:val="en-GB"/>
        </w:rPr>
        <w:t xml:space="preserve"> £2,531,000,000.</w:t>
      </w:r>
    </w:p>
    <w:p w14:paraId="7A7DAE57" w14:textId="7DB69F4C" w:rsidR="3C0493CB" w:rsidRDefault="6395FD93" w:rsidP="6395FD93">
      <w:pPr>
        <w:rPr>
          <w:rFonts w:ascii="Arial" w:eastAsia="Arial" w:hAnsi="Arial" w:cs="Arial"/>
          <w:color w:val="000000" w:themeColor="text1"/>
          <w:sz w:val="24"/>
          <w:szCs w:val="24"/>
          <w:lang w:val="en-GB"/>
        </w:rPr>
      </w:pPr>
      <w:r w:rsidRPr="6395FD93">
        <w:rPr>
          <w:rFonts w:ascii="Arial" w:eastAsia="Arial" w:hAnsi="Arial" w:cs="Arial"/>
          <w:color w:val="000000" w:themeColor="text1"/>
          <w:sz w:val="24"/>
          <w:szCs w:val="24"/>
          <w:lang w:val="en-GB"/>
        </w:rPr>
        <w:lastRenderedPageBreak/>
        <w:t>William Hill plc operates in the Travel and leisure sector of the FTSE 100.</w:t>
      </w:r>
    </w:p>
    <w:p w14:paraId="3D6B066B" w14:textId="34492E3D" w:rsidR="3C0493CB" w:rsidRDefault="3C0493CB" w:rsidP="3C0493CB">
      <w:pPr>
        <w:rPr>
          <w:rFonts w:ascii="Arial" w:eastAsia="Arial" w:hAnsi="Arial" w:cs="Arial"/>
          <w:color w:val="000000" w:themeColor="text1"/>
          <w:sz w:val="24"/>
          <w:szCs w:val="24"/>
          <w:lang w:val="en-GB"/>
        </w:rPr>
      </w:pPr>
    </w:p>
    <w:p w14:paraId="4A04EB3E" w14:textId="7A480542" w:rsidR="3C0493CB" w:rsidRDefault="6395FD93" w:rsidP="6395FD93">
      <w:pPr>
        <w:rPr>
          <w:rFonts w:ascii="Arial" w:eastAsia="Arial" w:hAnsi="Arial" w:cs="Arial"/>
          <w:color w:val="000000" w:themeColor="text1"/>
          <w:sz w:val="24"/>
          <w:szCs w:val="24"/>
          <w:lang w:val="en-GB"/>
        </w:rPr>
      </w:pPr>
      <w:r w:rsidRPr="6395FD93">
        <w:rPr>
          <w:rFonts w:ascii="Arial" w:eastAsia="Arial" w:hAnsi="Arial" w:cs="Arial"/>
          <w:color w:val="000000" w:themeColor="text1"/>
          <w:sz w:val="24"/>
          <w:szCs w:val="24"/>
          <w:lang w:val="en-GB"/>
        </w:rPr>
        <w:t xml:space="preserve">Paddy Power BetFair plc was founded in 1988 with 42 shops in Dublin, Ireland by the merger of three Irish bookmakers, Mr Stewart Kenny, Mr David Power and Mr John Corcoran. Paddy Power BetFair plc have grown over the years through series of acquisitions. </w:t>
      </w:r>
      <w:r w:rsidR="00271304">
        <w:rPr>
          <w:rFonts w:ascii="Arial" w:eastAsia="Arial" w:hAnsi="Arial" w:cs="Arial"/>
          <w:color w:val="000000" w:themeColor="text1"/>
          <w:sz w:val="24"/>
          <w:szCs w:val="24"/>
          <w:lang w:val="en-GB"/>
        </w:rPr>
        <w:t>Bet Fair which is UK – based agreed terms</w:t>
      </w:r>
      <w:r w:rsidR="00841C91">
        <w:rPr>
          <w:rFonts w:ascii="Arial" w:eastAsia="Arial" w:hAnsi="Arial" w:cs="Arial"/>
          <w:color w:val="000000" w:themeColor="text1"/>
          <w:sz w:val="24"/>
          <w:szCs w:val="24"/>
          <w:lang w:val="en-GB"/>
        </w:rPr>
        <w:t xml:space="preserve"> of</w:t>
      </w:r>
      <w:r w:rsidR="00271304">
        <w:rPr>
          <w:rFonts w:ascii="Arial" w:eastAsia="Arial" w:hAnsi="Arial" w:cs="Arial"/>
          <w:color w:val="000000" w:themeColor="text1"/>
          <w:sz w:val="24"/>
          <w:szCs w:val="24"/>
          <w:lang w:val="en-GB"/>
        </w:rPr>
        <w:t xml:space="preserve"> a merger with Paddy Power on the 8</w:t>
      </w:r>
      <w:r w:rsidR="00271304" w:rsidRPr="00271304">
        <w:rPr>
          <w:rFonts w:ascii="Arial" w:eastAsia="Arial" w:hAnsi="Arial" w:cs="Arial"/>
          <w:color w:val="000000" w:themeColor="text1"/>
          <w:sz w:val="24"/>
          <w:szCs w:val="24"/>
          <w:vertAlign w:val="superscript"/>
          <w:lang w:val="en-GB"/>
        </w:rPr>
        <w:t>th</w:t>
      </w:r>
      <w:r w:rsidR="00271304">
        <w:rPr>
          <w:rFonts w:ascii="Arial" w:eastAsia="Arial" w:hAnsi="Arial" w:cs="Arial"/>
          <w:color w:val="000000" w:themeColor="text1"/>
          <w:sz w:val="24"/>
          <w:szCs w:val="24"/>
          <w:lang w:val="en-GB"/>
        </w:rPr>
        <w:t xml:space="preserve"> September 2015</w:t>
      </w:r>
      <w:r w:rsidR="00841C91">
        <w:rPr>
          <w:rFonts w:ascii="Arial" w:eastAsia="Arial" w:hAnsi="Arial" w:cs="Arial"/>
          <w:color w:val="000000" w:themeColor="text1"/>
          <w:sz w:val="24"/>
          <w:szCs w:val="24"/>
          <w:lang w:val="en-GB"/>
        </w:rPr>
        <w:t xml:space="preserve"> to become PaddyPower BetFair plc</w:t>
      </w:r>
      <w:r w:rsidR="00EA54BC">
        <w:rPr>
          <w:rFonts w:ascii="Arial" w:eastAsia="Arial" w:hAnsi="Arial" w:cs="Arial"/>
          <w:color w:val="000000" w:themeColor="text1"/>
          <w:sz w:val="24"/>
          <w:szCs w:val="24"/>
          <w:lang w:val="en-GB"/>
        </w:rPr>
        <w:t>. Paddy Power</w:t>
      </w:r>
      <w:r w:rsidR="00540CD0">
        <w:rPr>
          <w:rFonts w:ascii="Arial" w:eastAsia="Arial" w:hAnsi="Arial" w:cs="Arial"/>
          <w:color w:val="000000" w:themeColor="text1"/>
          <w:sz w:val="24"/>
          <w:szCs w:val="24"/>
          <w:lang w:val="en-GB"/>
        </w:rPr>
        <w:t xml:space="preserve"> plc</w:t>
      </w:r>
      <w:r w:rsidRPr="6395FD93">
        <w:rPr>
          <w:rFonts w:ascii="Arial" w:eastAsia="Arial" w:hAnsi="Arial" w:cs="Arial"/>
          <w:color w:val="000000" w:themeColor="text1"/>
          <w:sz w:val="24"/>
          <w:szCs w:val="24"/>
          <w:lang w:val="en-GB"/>
        </w:rPr>
        <w:t xml:space="preserve"> was listed on the London Stock exchange in 2011 and today </w:t>
      </w:r>
      <w:r w:rsidR="00540CD0">
        <w:rPr>
          <w:rFonts w:ascii="Arial" w:eastAsia="Arial" w:hAnsi="Arial" w:cs="Arial"/>
          <w:color w:val="000000" w:themeColor="text1"/>
          <w:sz w:val="24"/>
          <w:szCs w:val="24"/>
          <w:lang w:val="en-GB"/>
        </w:rPr>
        <w:t xml:space="preserve">the combine company </w:t>
      </w:r>
      <w:r w:rsidRPr="6395FD93">
        <w:rPr>
          <w:rFonts w:ascii="Arial" w:eastAsia="Arial" w:hAnsi="Arial" w:cs="Arial"/>
          <w:color w:val="000000" w:themeColor="text1"/>
          <w:sz w:val="24"/>
          <w:szCs w:val="24"/>
          <w:lang w:val="en-GB"/>
        </w:rPr>
        <w:t xml:space="preserve">has market capitalisation of £6,108,700,000. </w:t>
      </w:r>
    </w:p>
    <w:p w14:paraId="21313452" w14:textId="1C196DA4" w:rsidR="3C0493CB" w:rsidRDefault="6395FD93" w:rsidP="6395FD93">
      <w:pPr>
        <w:rPr>
          <w:rFonts w:ascii="Arial" w:eastAsia="Arial" w:hAnsi="Arial" w:cs="Arial"/>
          <w:color w:val="000000" w:themeColor="text1"/>
          <w:sz w:val="24"/>
          <w:szCs w:val="24"/>
          <w:lang w:val="en-GB"/>
        </w:rPr>
      </w:pPr>
      <w:r w:rsidRPr="6395FD93">
        <w:rPr>
          <w:rFonts w:ascii="Arial" w:eastAsia="Arial" w:hAnsi="Arial" w:cs="Arial"/>
          <w:color w:val="000000" w:themeColor="text1"/>
          <w:sz w:val="24"/>
          <w:szCs w:val="24"/>
          <w:lang w:val="en-GB"/>
        </w:rPr>
        <w:t xml:space="preserve">Paddy Power BetFair plc operates in the Travel and leisure sector of the FTSE 100. </w:t>
      </w:r>
    </w:p>
    <w:p w14:paraId="4FFE14F4" w14:textId="1CA3BC5C" w:rsidR="3C0493CB" w:rsidRDefault="6395FD93" w:rsidP="6395FD93">
      <w:pPr>
        <w:rPr>
          <w:rFonts w:ascii="Arial" w:eastAsia="Arial" w:hAnsi="Arial" w:cs="Arial"/>
          <w:color w:val="000000" w:themeColor="text1"/>
          <w:sz w:val="24"/>
          <w:szCs w:val="24"/>
          <w:lang w:val="en-GB"/>
        </w:rPr>
      </w:pPr>
      <w:r w:rsidRPr="6395FD93">
        <w:rPr>
          <w:rFonts w:ascii="Arial" w:eastAsia="Arial" w:hAnsi="Arial" w:cs="Arial"/>
          <w:color w:val="000000" w:themeColor="text1"/>
          <w:sz w:val="24"/>
          <w:szCs w:val="24"/>
          <w:lang w:val="en-GB"/>
        </w:rPr>
        <w:t>In terms of market capitalisation, Paddy Power BetFair plc is more than twice bigger than William Hill plc. Nevertheless, William Hill plc is regarded as the second biggest bookmaker in the United Kingdom based on the number of shops</w:t>
      </w:r>
      <w:r w:rsidR="00863963">
        <w:rPr>
          <w:rFonts w:ascii="Arial" w:eastAsia="Arial" w:hAnsi="Arial" w:cs="Arial"/>
          <w:color w:val="000000" w:themeColor="text1"/>
          <w:sz w:val="24"/>
          <w:szCs w:val="24"/>
          <w:lang w:val="en-GB"/>
        </w:rPr>
        <w:t xml:space="preserve"> called LBOs (Licensed Betting Offices)</w:t>
      </w:r>
      <w:r w:rsidRPr="6395FD93">
        <w:rPr>
          <w:rFonts w:ascii="Arial" w:eastAsia="Arial" w:hAnsi="Arial" w:cs="Arial"/>
          <w:color w:val="000000" w:themeColor="text1"/>
          <w:sz w:val="24"/>
          <w:szCs w:val="24"/>
          <w:lang w:val="en-GB"/>
        </w:rPr>
        <w:t>. William Hill plc has just over 2,300 shops compared to the just over 600 shops of Paddy Power Betfair plc.</w:t>
      </w:r>
    </w:p>
    <w:p w14:paraId="02F75934" w14:textId="6C835401" w:rsidR="3C0493CB" w:rsidRDefault="6395FD93" w:rsidP="6395FD93">
      <w:pPr>
        <w:rPr>
          <w:rFonts w:ascii="Arial" w:eastAsia="Arial" w:hAnsi="Arial" w:cs="Arial"/>
          <w:color w:val="000000" w:themeColor="text1"/>
          <w:sz w:val="24"/>
          <w:szCs w:val="24"/>
          <w:lang w:val="en-GB"/>
        </w:rPr>
      </w:pPr>
      <w:r w:rsidRPr="6395FD93">
        <w:rPr>
          <w:rFonts w:ascii="Arial" w:eastAsia="Arial" w:hAnsi="Arial" w:cs="Arial"/>
          <w:color w:val="000000" w:themeColor="text1"/>
          <w:sz w:val="24"/>
          <w:szCs w:val="24"/>
          <w:lang w:val="en-GB"/>
        </w:rPr>
        <w:t xml:space="preserve">In terms of revenue both companies have virtually the same revenue of just over £1.7 billion. </w:t>
      </w:r>
    </w:p>
    <w:p w14:paraId="2C22F7C3" w14:textId="31B276E2" w:rsidR="3C0493CB" w:rsidRDefault="6395FD93" w:rsidP="00375190">
      <w:pPr>
        <w:pStyle w:val="ListBullet"/>
        <w:numPr>
          <w:ilvl w:val="0"/>
          <w:numId w:val="0"/>
        </w:numPr>
        <w:ind w:hanging="720"/>
        <w:rPr>
          <w:rFonts w:ascii="Arial" w:eastAsia="Arial" w:hAnsi="Arial" w:cs="Arial"/>
          <w:color w:val="000000" w:themeColor="text1"/>
          <w:sz w:val="24"/>
          <w:szCs w:val="24"/>
          <w:lang w:val="en-GB"/>
        </w:rPr>
      </w:pPr>
      <w:r w:rsidRPr="6395FD93">
        <w:rPr>
          <w:color w:val="000000" w:themeColor="text1"/>
          <w:sz w:val="24"/>
          <w:szCs w:val="24"/>
          <w:lang w:val="en-GB"/>
        </w:rPr>
        <w:t xml:space="preserve">        </w:t>
      </w:r>
      <w:r w:rsidR="00375190">
        <w:rPr>
          <w:color w:val="000000" w:themeColor="text1"/>
          <w:sz w:val="24"/>
          <w:szCs w:val="24"/>
          <w:lang w:val="en-GB"/>
        </w:rPr>
        <w:t xml:space="preserve">  </w:t>
      </w:r>
      <w:r w:rsidRPr="6395FD93">
        <w:rPr>
          <w:rFonts w:ascii="Arial" w:eastAsia="Arial" w:hAnsi="Arial" w:cs="Arial"/>
          <w:color w:val="000000" w:themeColor="text1"/>
          <w:sz w:val="24"/>
          <w:szCs w:val="24"/>
          <w:lang w:val="en-GB"/>
        </w:rPr>
        <w:t xml:space="preserve">This paper aims to carry out financial analysis of the two companies </w:t>
      </w:r>
      <w:r w:rsidR="00375190">
        <w:rPr>
          <w:rFonts w:ascii="Arial" w:eastAsia="Arial" w:hAnsi="Arial" w:cs="Arial"/>
          <w:color w:val="000000" w:themeColor="text1"/>
          <w:sz w:val="24"/>
          <w:szCs w:val="24"/>
          <w:lang w:val="en-GB"/>
        </w:rPr>
        <w:t xml:space="preserve">by </w:t>
      </w:r>
      <w:r w:rsidRPr="6395FD93">
        <w:rPr>
          <w:rFonts w:ascii="Arial" w:eastAsia="Arial" w:hAnsi="Arial" w:cs="Arial"/>
          <w:color w:val="000000" w:themeColor="text1"/>
          <w:sz w:val="24"/>
          <w:szCs w:val="24"/>
          <w:lang w:val="en-GB"/>
        </w:rPr>
        <w:t xml:space="preserve">using various ratio              </w:t>
      </w:r>
      <w:r w:rsidR="00375190">
        <w:rPr>
          <w:rFonts w:ascii="Arial" w:eastAsia="Arial" w:hAnsi="Arial" w:cs="Arial"/>
          <w:color w:val="000000" w:themeColor="text1"/>
          <w:sz w:val="24"/>
          <w:szCs w:val="24"/>
          <w:lang w:val="en-GB"/>
        </w:rPr>
        <w:t xml:space="preserve">     </w:t>
      </w:r>
      <w:r w:rsidRPr="6395FD93">
        <w:rPr>
          <w:rFonts w:ascii="Arial" w:eastAsia="Arial" w:hAnsi="Arial" w:cs="Arial"/>
          <w:color w:val="000000" w:themeColor="text1"/>
          <w:sz w:val="24"/>
          <w:szCs w:val="24"/>
          <w:lang w:val="en-GB"/>
        </w:rPr>
        <w:t>calculations and recommend a course of action to Tim Farrow, a risk-averse investor who has a large portfolio of investments which is assumed to be well diversified at the moment.</w:t>
      </w:r>
    </w:p>
    <w:p w14:paraId="268782B0" w14:textId="3099E7D4" w:rsidR="001C4E4A" w:rsidRDefault="001C4E4A" w:rsidP="00375190">
      <w:pPr>
        <w:pStyle w:val="ListBullet"/>
        <w:numPr>
          <w:ilvl w:val="0"/>
          <w:numId w:val="0"/>
        </w:numPr>
        <w:ind w:hanging="720"/>
        <w:rPr>
          <w:color w:val="000000" w:themeColor="text1"/>
          <w:sz w:val="24"/>
          <w:szCs w:val="24"/>
          <w:lang w:val="en-GB"/>
        </w:rPr>
      </w:pPr>
    </w:p>
    <w:p w14:paraId="1B5F87FC" w14:textId="3B6B3D08" w:rsidR="001C4E4A" w:rsidRDefault="001C4E4A" w:rsidP="00375190">
      <w:pPr>
        <w:pStyle w:val="ListBullet"/>
        <w:numPr>
          <w:ilvl w:val="0"/>
          <w:numId w:val="0"/>
        </w:numPr>
        <w:ind w:hanging="720"/>
        <w:rPr>
          <w:color w:val="000000" w:themeColor="text1"/>
          <w:sz w:val="24"/>
          <w:szCs w:val="24"/>
          <w:lang w:val="en-GB"/>
        </w:rPr>
      </w:pPr>
    </w:p>
    <w:p w14:paraId="1C111E1C" w14:textId="3E76966F" w:rsidR="001C4E4A" w:rsidRDefault="001C4E4A" w:rsidP="00375190">
      <w:pPr>
        <w:pStyle w:val="ListBullet"/>
        <w:numPr>
          <w:ilvl w:val="0"/>
          <w:numId w:val="0"/>
        </w:numPr>
        <w:ind w:hanging="720"/>
        <w:rPr>
          <w:color w:val="000000" w:themeColor="text1"/>
          <w:sz w:val="24"/>
          <w:szCs w:val="24"/>
          <w:lang w:val="en-GB"/>
        </w:rPr>
      </w:pPr>
    </w:p>
    <w:p w14:paraId="6675EB1A" w14:textId="4F514FE6" w:rsidR="001C4E4A" w:rsidRDefault="001C4E4A" w:rsidP="00375190">
      <w:pPr>
        <w:pStyle w:val="ListBullet"/>
        <w:numPr>
          <w:ilvl w:val="0"/>
          <w:numId w:val="0"/>
        </w:numPr>
        <w:ind w:hanging="720"/>
        <w:rPr>
          <w:color w:val="000000" w:themeColor="text1"/>
          <w:sz w:val="24"/>
          <w:szCs w:val="24"/>
          <w:lang w:val="en-GB"/>
        </w:rPr>
      </w:pPr>
    </w:p>
    <w:p w14:paraId="7D7313E7" w14:textId="2DDF8151" w:rsidR="001C4E4A" w:rsidRDefault="001C4E4A" w:rsidP="00375190">
      <w:pPr>
        <w:pStyle w:val="ListBullet"/>
        <w:numPr>
          <w:ilvl w:val="0"/>
          <w:numId w:val="0"/>
        </w:numPr>
        <w:ind w:hanging="720"/>
        <w:rPr>
          <w:color w:val="000000" w:themeColor="text1"/>
          <w:sz w:val="24"/>
          <w:szCs w:val="24"/>
          <w:lang w:val="en-GB"/>
        </w:rPr>
      </w:pPr>
    </w:p>
    <w:p w14:paraId="7270D145" w14:textId="77777777" w:rsidR="001C4E4A" w:rsidRDefault="001C4E4A" w:rsidP="00375190">
      <w:pPr>
        <w:pStyle w:val="ListBullet"/>
        <w:numPr>
          <w:ilvl w:val="0"/>
          <w:numId w:val="0"/>
        </w:numPr>
        <w:ind w:hanging="720"/>
        <w:rPr>
          <w:color w:val="000000" w:themeColor="text1"/>
          <w:sz w:val="24"/>
          <w:szCs w:val="24"/>
          <w:lang w:val="en-GB"/>
        </w:rPr>
      </w:pPr>
    </w:p>
    <w:p w14:paraId="61F964CC" w14:textId="1010B2CA" w:rsidR="3C0493CB"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FINANCIAL ANALYSIS OF WILLIAM HILL PLC</w:t>
      </w:r>
      <w:r w:rsidR="0096212B">
        <w:rPr>
          <w:b/>
          <w:bCs/>
          <w:color w:val="000000" w:themeColor="text1"/>
          <w:sz w:val="24"/>
          <w:szCs w:val="24"/>
          <w:lang w:val="en-GB"/>
        </w:rPr>
        <w:t xml:space="preserve"> AND PADDY POWER BETFAIR PLC</w:t>
      </w:r>
    </w:p>
    <w:p w14:paraId="0F026280" w14:textId="62E5F7E4" w:rsidR="3C0493CB" w:rsidRDefault="3C0493CB" w:rsidP="3C0493CB">
      <w:pPr>
        <w:pStyle w:val="ListBullet"/>
        <w:numPr>
          <w:ilvl w:val="0"/>
          <w:numId w:val="0"/>
        </w:numPr>
        <w:rPr>
          <w:b/>
          <w:bCs/>
          <w:color w:val="000000" w:themeColor="text1"/>
          <w:sz w:val="24"/>
          <w:szCs w:val="24"/>
          <w:lang w:val="en-GB"/>
        </w:rPr>
      </w:pPr>
    </w:p>
    <w:p w14:paraId="02CBFBED" w14:textId="50FBDA68" w:rsidR="5C7EFC97"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1: </w:t>
      </w:r>
      <w:r w:rsidR="00A436DA" w:rsidRPr="6395FD93">
        <w:rPr>
          <w:b/>
          <w:bCs/>
          <w:color w:val="000000" w:themeColor="text1"/>
          <w:sz w:val="24"/>
          <w:szCs w:val="24"/>
          <w:lang w:val="en-GB"/>
        </w:rPr>
        <w:t xml:space="preserve">Sales, Sales growth, </w:t>
      </w:r>
      <w:r w:rsidR="00A436DA">
        <w:rPr>
          <w:b/>
          <w:bCs/>
          <w:color w:val="000000" w:themeColor="text1"/>
          <w:sz w:val="24"/>
          <w:szCs w:val="24"/>
          <w:lang w:val="en-GB"/>
        </w:rPr>
        <w:t>Cost of Sales</w:t>
      </w:r>
      <w:r w:rsidR="00A436DA" w:rsidRPr="6395FD93">
        <w:rPr>
          <w:b/>
          <w:bCs/>
          <w:color w:val="000000" w:themeColor="text1"/>
          <w:sz w:val="24"/>
          <w:szCs w:val="24"/>
          <w:lang w:val="en-GB"/>
        </w:rPr>
        <w:t>, Gross profit, Net profit</w:t>
      </w:r>
      <w:r w:rsidR="00A436DA">
        <w:rPr>
          <w:b/>
          <w:bCs/>
          <w:color w:val="000000" w:themeColor="text1"/>
          <w:sz w:val="24"/>
          <w:szCs w:val="24"/>
          <w:lang w:val="en-GB"/>
        </w:rPr>
        <w:t>, Market share, number of employees.</w:t>
      </w:r>
    </w:p>
    <w:tbl>
      <w:tblPr>
        <w:tblStyle w:val="GridTable1Light-Accent1"/>
        <w:tblW w:w="0" w:type="auto"/>
        <w:tblLayout w:type="fixed"/>
        <w:tblLook w:val="06A0" w:firstRow="1" w:lastRow="0" w:firstColumn="1" w:lastColumn="0" w:noHBand="1" w:noVBand="1"/>
      </w:tblPr>
      <w:tblGrid>
        <w:gridCol w:w="2580"/>
        <w:gridCol w:w="1215"/>
        <w:gridCol w:w="1365"/>
        <w:gridCol w:w="1365"/>
        <w:gridCol w:w="1425"/>
        <w:gridCol w:w="1410"/>
      </w:tblGrid>
      <w:tr w:rsidR="5C7EFC97" w14:paraId="0B509C0F"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80" w:type="dxa"/>
          </w:tcPr>
          <w:p w14:paraId="5A82F185" w14:textId="1F68481B" w:rsidR="5C7EFC97" w:rsidRDefault="6395FD93" w:rsidP="6395FD93">
            <w:pPr>
              <w:rPr>
                <w:color w:val="000000" w:themeColor="text1"/>
                <w:sz w:val="24"/>
                <w:szCs w:val="24"/>
                <w:lang w:val="en-GB"/>
              </w:rPr>
            </w:pPr>
            <w:r w:rsidRPr="6395FD93">
              <w:rPr>
                <w:color w:val="000000" w:themeColor="text1"/>
                <w:sz w:val="24"/>
                <w:szCs w:val="24"/>
                <w:lang w:val="en-GB"/>
              </w:rPr>
              <w:t>William Hill Plc</w:t>
            </w:r>
          </w:p>
        </w:tc>
        <w:tc>
          <w:tcPr>
            <w:tcW w:w="1215" w:type="dxa"/>
          </w:tcPr>
          <w:p w14:paraId="54E63922" w14:textId="0C893E9D" w:rsidR="5C7EFC97" w:rsidRPr="00B304C0"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2017</w:t>
            </w:r>
          </w:p>
        </w:tc>
        <w:tc>
          <w:tcPr>
            <w:tcW w:w="1365" w:type="dxa"/>
          </w:tcPr>
          <w:p w14:paraId="4985D0D7" w14:textId="17AF4225" w:rsidR="5C7EFC97" w:rsidRPr="00B304C0"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2016</w:t>
            </w:r>
          </w:p>
        </w:tc>
        <w:tc>
          <w:tcPr>
            <w:tcW w:w="1365" w:type="dxa"/>
          </w:tcPr>
          <w:p w14:paraId="0DE0322E" w14:textId="148B5AD1" w:rsidR="5C7EFC97" w:rsidRPr="00B304C0"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2015</w:t>
            </w:r>
          </w:p>
        </w:tc>
        <w:tc>
          <w:tcPr>
            <w:tcW w:w="1425" w:type="dxa"/>
          </w:tcPr>
          <w:p w14:paraId="605EAC83" w14:textId="71BB7DDF" w:rsidR="5C7EFC97" w:rsidRPr="00B304C0"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2014</w:t>
            </w:r>
          </w:p>
        </w:tc>
        <w:tc>
          <w:tcPr>
            <w:tcW w:w="1410" w:type="dxa"/>
          </w:tcPr>
          <w:p w14:paraId="23E28FF8" w14:textId="7E1B9AD5" w:rsidR="5C7EFC97" w:rsidRPr="00B304C0"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2013</w:t>
            </w:r>
          </w:p>
        </w:tc>
      </w:tr>
      <w:tr w:rsidR="5C7EFC97" w14:paraId="74F8F20D" w14:textId="77777777" w:rsidTr="6395FD93">
        <w:tc>
          <w:tcPr>
            <w:cnfStyle w:val="001000000000" w:firstRow="0" w:lastRow="0" w:firstColumn="1" w:lastColumn="0" w:oddVBand="0" w:evenVBand="0" w:oddHBand="0" w:evenHBand="0" w:firstRowFirstColumn="0" w:firstRowLastColumn="0" w:lastRowFirstColumn="0" w:lastRowLastColumn="0"/>
            <w:tcW w:w="2580" w:type="dxa"/>
          </w:tcPr>
          <w:p w14:paraId="03D1C98F" w14:textId="38C7EF50" w:rsidR="5C7EFC97" w:rsidRDefault="6395FD93" w:rsidP="6395FD93">
            <w:pPr>
              <w:rPr>
                <w:color w:val="000000" w:themeColor="text1"/>
                <w:sz w:val="24"/>
                <w:szCs w:val="24"/>
                <w:lang w:val="en-GB"/>
              </w:rPr>
            </w:pPr>
            <w:r w:rsidRPr="6395FD93">
              <w:rPr>
                <w:b w:val="0"/>
                <w:bCs w:val="0"/>
                <w:color w:val="000000" w:themeColor="text1"/>
                <w:sz w:val="24"/>
                <w:szCs w:val="24"/>
                <w:lang w:val="en-GB"/>
              </w:rPr>
              <w:t>Sales  (£M)</w:t>
            </w:r>
          </w:p>
        </w:tc>
        <w:tc>
          <w:tcPr>
            <w:tcW w:w="1215" w:type="dxa"/>
          </w:tcPr>
          <w:p w14:paraId="6C08E816" w14:textId="23EB7C57"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1711.1</w:t>
            </w:r>
          </w:p>
        </w:tc>
        <w:tc>
          <w:tcPr>
            <w:tcW w:w="1365" w:type="dxa"/>
          </w:tcPr>
          <w:p w14:paraId="6C6373CE" w14:textId="361CF392"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1603.8</w:t>
            </w:r>
          </w:p>
        </w:tc>
        <w:tc>
          <w:tcPr>
            <w:tcW w:w="1365" w:type="dxa"/>
          </w:tcPr>
          <w:p w14:paraId="76B2738D" w14:textId="68EFBCAF"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1590.9</w:t>
            </w:r>
          </w:p>
        </w:tc>
        <w:tc>
          <w:tcPr>
            <w:tcW w:w="1425" w:type="dxa"/>
          </w:tcPr>
          <w:p w14:paraId="17ED17D1" w14:textId="42CB08CA"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1609.3</w:t>
            </w:r>
          </w:p>
        </w:tc>
        <w:tc>
          <w:tcPr>
            <w:tcW w:w="1410" w:type="dxa"/>
          </w:tcPr>
          <w:p w14:paraId="317445E6" w14:textId="55786D4C"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1486.5</w:t>
            </w:r>
          </w:p>
        </w:tc>
      </w:tr>
      <w:tr w:rsidR="5C7EFC97" w14:paraId="175C6BD4" w14:textId="77777777" w:rsidTr="6395FD93">
        <w:tc>
          <w:tcPr>
            <w:cnfStyle w:val="001000000000" w:firstRow="0" w:lastRow="0" w:firstColumn="1" w:lastColumn="0" w:oddVBand="0" w:evenVBand="0" w:oddHBand="0" w:evenHBand="0" w:firstRowFirstColumn="0" w:firstRowLastColumn="0" w:lastRowFirstColumn="0" w:lastRowLastColumn="0"/>
            <w:tcW w:w="2580" w:type="dxa"/>
          </w:tcPr>
          <w:p w14:paraId="30ACDF40" w14:textId="4BB53C78" w:rsidR="5C7EFC97" w:rsidRDefault="6395FD93" w:rsidP="6395FD93">
            <w:pPr>
              <w:rPr>
                <w:color w:val="000000" w:themeColor="text1"/>
                <w:sz w:val="24"/>
                <w:szCs w:val="24"/>
                <w:lang w:val="en-GB"/>
              </w:rPr>
            </w:pPr>
            <w:r w:rsidRPr="6395FD93">
              <w:rPr>
                <w:b w:val="0"/>
                <w:bCs w:val="0"/>
                <w:color w:val="000000" w:themeColor="text1"/>
                <w:sz w:val="24"/>
                <w:szCs w:val="24"/>
                <w:lang w:val="en-GB"/>
              </w:rPr>
              <w:t>Sales Growth (%)</w:t>
            </w:r>
          </w:p>
        </w:tc>
        <w:tc>
          <w:tcPr>
            <w:tcW w:w="1215" w:type="dxa"/>
          </w:tcPr>
          <w:p w14:paraId="40621576" w14:textId="68FB0F41"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6.69%</w:t>
            </w:r>
          </w:p>
        </w:tc>
        <w:tc>
          <w:tcPr>
            <w:tcW w:w="1365" w:type="dxa"/>
          </w:tcPr>
          <w:p w14:paraId="5562AF1C" w14:textId="64CB956C"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0.81%</w:t>
            </w:r>
          </w:p>
        </w:tc>
        <w:tc>
          <w:tcPr>
            <w:tcW w:w="1365" w:type="dxa"/>
          </w:tcPr>
          <w:p w14:paraId="5AEDDD8A" w14:textId="29EEA9A1"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0823BDB">
              <w:rPr>
                <w:color w:val="FF0000"/>
                <w:sz w:val="24"/>
                <w:szCs w:val="24"/>
                <w:lang w:val="en-GB"/>
              </w:rPr>
              <w:t>-1.14%</w:t>
            </w:r>
          </w:p>
        </w:tc>
        <w:tc>
          <w:tcPr>
            <w:tcW w:w="1425" w:type="dxa"/>
          </w:tcPr>
          <w:p w14:paraId="500D3742" w14:textId="01253C78"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8.26%</w:t>
            </w:r>
          </w:p>
        </w:tc>
        <w:tc>
          <w:tcPr>
            <w:tcW w:w="1410" w:type="dxa"/>
          </w:tcPr>
          <w:p w14:paraId="2FCCD9AF" w14:textId="443C2343"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N/A</w:t>
            </w:r>
          </w:p>
        </w:tc>
      </w:tr>
      <w:tr w:rsidR="5C7EFC97" w14:paraId="4FEC088A" w14:textId="77777777" w:rsidTr="6395FD93">
        <w:tc>
          <w:tcPr>
            <w:cnfStyle w:val="001000000000" w:firstRow="0" w:lastRow="0" w:firstColumn="1" w:lastColumn="0" w:oddVBand="0" w:evenVBand="0" w:oddHBand="0" w:evenHBand="0" w:firstRowFirstColumn="0" w:firstRowLastColumn="0" w:lastRowFirstColumn="0" w:lastRowLastColumn="0"/>
            <w:tcW w:w="2580" w:type="dxa"/>
          </w:tcPr>
          <w:p w14:paraId="1B2CAA31" w14:textId="2A316B20" w:rsidR="5C7EFC97" w:rsidRDefault="6395FD93" w:rsidP="6395FD93">
            <w:pPr>
              <w:rPr>
                <w:color w:val="000000" w:themeColor="text1"/>
                <w:sz w:val="24"/>
                <w:szCs w:val="24"/>
                <w:lang w:val="en-GB"/>
              </w:rPr>
            </w:pPr>
            <w:r w:rsidRPr="6395FD93">
              <w:rPr>
                <w:b w:val="0"/>
                <w:bCs w:val="0"/>
                <w:color w:val="000000" w:themeColor="text1"/>
                <w:sz w:val="24"/>
                <w:szCs w:val="24"/>
                <w:lang w:val="en-GB"/>
              </w:rPr>
              <w:t>Cost of Sales (£M)</w:t>
            </w:r>
          </w:p>
        </w:tc>
        <w:tc>
          <w:tcPr>
            <w:tcW w:w="1215" w:type="dxa"/>
          </w:tcPr>
          <w:p w14:paraId="3C688908" w14:textId="08A8466D"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432.0</w:t>
            </w:r>
          </w:p>
        </w:tc>
        <w:tc>
          <w:tcPr>
            <w:tcW w:w="1365" w:type="dxa"/>
          </w:tcPr>
          <w:p w14:paraId="7C1C5D46" w14:textId="7259230E"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382.2</w:t>
            </w:r>
          </w:p>
        </w:tc>
        <w:tc>
          <w:tcPr>
            <w:tcW w:w="1365" w:type="dxa"/>
          </w:tcPr>
          <w:p w14:paraId="264E7282" w14:textId="73BC52D8"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377.9</w:t>
            </w:r>
          </w:p>
        </w:tc>
        <w:tc>
          <w:tcPr>
            <w:tcW w:w="1425" w:type="dxa"/>
          </w:tcPr>
          <w:p w14:paraId="2612E407" w14:textId="6B4AA603"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304.2</w:t>
            </w:r>
          </w:p>
        </w:tc>
        <w:tc>
          <w:tcPr>
            <w:tcW w:w="1410" w:type="dxa"/>
          </w:tcPr>
          <w:p w14:paraId="28750A58" w14:textId="7758A908"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272.2</w:t>
            </w:r>
          </w:p>
        </w:tc>
      </w:tr>
      <w:tr w:rsidR="5C7EFC97" w14:paraId="21B115B5" w14:textId="77777777" w:rsidTr="6395FD93">
        <w:tc>
          <w:tcPr>
            <w:cnfStyle w:val="001000000000" w:firstRow="0" w:lastRow="0" w:firstColumn="1" w:lastColumn="0" w:oddVBand="0" w:evenVBand="0" w:oddHBand="0" w:evenHBand="0" w:firstRowFirstColumn="0" w:firstRowLastColumn="0" w:lastRowFirstColumn="0" w:lastRowLastColumn="0"/>
            <w:tcW w:w="2580" w:type="dxa"/>
          </w:tcPr>
          <w:p w14:paraId="71C7C0FC" w14:textId="3429EA2D" w:rsidR="5C7EFC97" w:rsidRDefault="6395FD93" w:rsidP="6395FD93">
            <w:pPr>
              <w:rPr>
                <w:color w:val="000000" w:themeColor="text1"/>
                <w:sz w:val="24"/>
                <w:szCs w:val="24"/>
                <w:lang w:val="en-GB"/>
              </w:rPr>
            </w:pPr>
            <w:r w:rsidRPr="6395FD93">
              <w:rPr>
                <w:b w:val="0"/>
                <w:bCs w:val="0"/>
                <w:color w:val="000000" w:themeColor="text1"/>
                <w:sz w:val="24"/>
                <w:szCs w:val="24"/>
                <w:lang w:val="en-GB"/>
              </w:rPr>
              <w:lastRenderedPageBreak/>
              <w:t>Gross Profit (£M)</w:t>
            </w:r>
          </w:p>
        </w:tc>
        <w:tc>
          <w:tcPr>
            <w:tcW w:w="1215" w:type="dxa"/>
          </w:tcPr>
          <w:p w14:paraId="4BDA51EA" w14:textId="65C2B588"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1279.1</w:t>
            </w:r>
          </w:p>
        </w:tc>
        <w:tc>
          <w:tcPr>
            <w:tcW w:w="1365" w:type="dxa"/>
          </w:tcPr>
          <w:p w14:paraId="5D076195" w14:textId="5944D71F"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1221.6</w:t>
            </w:r>
          </w:p>
        </w:tc>
        <w:tc>
          <w:tcPr>
            <w:tcW w:w="1365" w:type="dxa"/>
          </w:tcPr>
          <w:p w14:paraId="76FDD065" w14:textId="5AE5CC8F"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1213.0</w:t>
            </w:r>
          </w:p>
        </w:tc>
        <w:tc>
          <w:tcPr>
            <w:tcW w:w="1425" w:type="dxa"/>
          </w:tcPr>
          <w:p w14:paraId="246752C1" w14:textId="4D794668"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1305.1</w:t>
            </w:r>
          </w:p>
        </w:tc>
        <w:tc>
          <w:tcPr>
            <w:tcW w:w="1410" w:type="dxa"/>
          </w:tcPr>
          <w:p w14:paraId="12B2C565" w14:textId="63297D55"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1104.7</w:t>
            </w:r>
          </w:p>
        </w:tc>
      </w:tr>
      <w:tr w:rsidR="002200F5" w14:paraId="765B08B1" w14:textId="77777777" w:rsidTr="6395FD93">
        <w:tc>
          <w:tcPr>
            <w:cnfStyle w:val="001000000000" w:firstRow="0" w:lastRow="0" w:firstColumn="1" w:lastColumn="0" w:oddVBand="0" w:evenVBand="0" w:oddHBand="0" w:evenHBand="0" w:firstRowFirstColumn="0" w:firstRowLastColumn="0" w:lastRowFirstColumn="0" w:lastRowLastColumn="0"/>
            <w:tcW w:w="2580" w:type="dxa"/>
          </w:tcPr>
          <w:p w14:paraId="29930A6E" w14:textId="476F624F" w:rsidR="002200F5" w:rsidRPr="6395FD93" w:rsidRDefault="002200F5" w:rsidP="6395FD93">
            <w:pPr>
              <w:rPr>
                <w:b w:val="0"/>
                <w:bCs w:val="0"/>
                <w:color w:val="000000" w:themeColor="text1"/>
                <w:sz w:val="24"/>
                <w:szCs w:val="24"/>
                <w:lang w:val="en-GB"/>
              </w:rPr>
            </w:pPr>
            <w:r>
              <w:rPr>
                <w:b w:val="0"/>
                <w:bCs w:val="0"/>
                <w:color w:val="000000" w:themeColor="text1"/>
                <w:sz w:val="24"/>
                <w:szCs w:val="24"/>
                <w:lang w:val="en-GB"/>
              </w:rPr>
              <w:t>Gross Profit Growth</w:t>
            </w:r>
          </w:p>
        </w:tc>
        <w:tc>
          <w:tcPr>
            <w:tcW w:w="1215" w:type="dxa"/>
          </w:tcPr>
          <w:p w14:paraId="0903E55F" w14:textId="066C5DBF" w:rsidR="002200F5" w:rsidRPr="6395FD93" w:rsidRDefault="00590A78"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4.71%</w:t>
            </w:r>
          </w:p>
        </w:tc>
        <w:tc>
          <w:tcPr>
            <w:tcW w:w="1365" w:type="dxa"/>
          </w:tcPr>
          <w:p w14:paraId="758324F5" w14:textId="2E55E883" w:rsidR="002200F5" w:rsidRPr="6395FD93" w:rsidRDefault="00267854"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0.71%</w:t>
            </w:r>
          </w:p>
        </w:tc>
        <w:tc>
          <w:tcPr>
            <w:tcW w:w="1365" w:type="dxa"/>
          </w:tcPr>
          <w:p w14:paraId="432DB4BA" w14:textId="3F8B5991" w:rsidR="002200F5" w:rsidRPr="6395FD93" w:rsidRDefault="008D12D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08D12D3">
              <w:rPr>
                <w:color w:val="FF0000"/>
                <w:sz w:val="24"/>
                <w:szCs w:val="24"/>
                <w:lang w:val="en-GB"/>
              </w:rPr>
              <w:t>-7.06%</w:t>
            </w:r>
          </w:p>
        </w:tc>
        <w:tc>
          <w:tcPr>
            <w:tcW w:w="1425" w:type="dxa"/>
          </w:tcPr>
          <w:p w14:paraId="4B7B28CC" w14:textId="2B3824A3" w:rsidR="002200F5" w:rsidRPr="6395FD93" w:rsidRDefault="00633D8F"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18.14%</w:t>
            </w:r>
          </w:p>
        </w:tc>
        <w:tc>
          <w:tcPr>
            <w:tcW w:w="1410" w:type="dxa"/>
          </w:tcPr>
          <w:p w14:paraId="4ED90329" w14:textId="364C0EC9" w:rsidR="002200F5" w:rsidRPr="6395FD93" w:rsidRDefault="000F038C"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N/A</w:t>
            </w:r>
          </w:p>
        </w:tc>
      </w:tr>
      <w:tr w:rsidR="5C7EFC97" w14:paraId="4FCA3E6D" w14:textId="77777777" w:rsidTr="6395FD93">
        <w:tc>
          <w:tcPr>
            <w:cnfStyle w:val="001000000000" w:firstRow="0" w:lastRow="0" w:firstColumn="1" w:lastColumn="0" w:oddVBand="0" w:evenVBand="0" w:oddHBand="0" w:evenHBand="0" w:firstRowFirstColumn="0" w:firstRowLastColumn="0" w:lastRowFirstColumn="0" w:lastRowLastColumn="0"/>
            <w:tcW w:w="2580" w:type="dxa"/>
          </w:tcPr>
          <w:p w14:paraId="7028FEC4" w14:textId="3CB46613" w:rsidR="5C7EFC97" w:rsidRDefault="6395FD93" w:rsidP="6395FD93">
            <w:pPr>
              <w:rPr>
                <w:color w:val="000000" w:themeColor="text1"/>
                <w:sz w:val="24"/>
                <w:szCs w:val="24"/>
                <w:lang w:val="en-GB"/>
              </w:rPr>
            </w:pPr>
            <w:r w:rsidRPr="6395FD93">
              <w:rPr>
                <w:b w:val="0"/>
                <w:bCs w:val="0"/>
                <w:color w:val="000000" w:themeColor="text1"/>
                <w:sz w:val="24"/>
                <w:szCs w:val="24"/>
                <w:lang w:val="en-GB"/>
              </w:rPr>
              <w:t>Net Profit  (£M)</w:t>
            </w:r>
          </w:p>
        </w:tc>
        <w:tc>
          <w:tcPr>
            <w:tcW w:w="1215" w:type="dxa"/>
          </w:tcPr>
          <w:p w14:paraId="6DC2A471" w14:textId="74F5308D"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0823BDB">
              <w:rPr>
                <w:color w:val="FF0000"/>
                <w:sz w:val="24"/>
                <w:szCs w:val="24"/>
                <w:lang w:val="en-GB"/>
              </w:rPr>
              <w:t>-83.2</w:t>
            </w:r>
          </w:p>
        </w:tc>
        <w:tc>
          <w:tcPr>
            <w:tcW w:w="1365" w:type="dxa"/>
          </w:tcPr>
          <w:p w14:paraId="1F773458" w14:textId="23DE9DAD"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164.5</w:t>
            </w:r>
          </w:p>
        </w:tc>
        <w:tc>
          <w:tcPr>
            <w:tcW w:w="1365" w:type="dxa"/>
          </w:tcPr>
          <w:p w14:paraId="736447A4" w14:textId="103BFA11"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189.9</w:t>
            </w:r>
          </w:p>
        </w:tc>
        <w:tc>
          <w:tcPr>
            <w:tcW w:w="1425" w:type="dxa"/>
          </w:tcPr>
          <w:p w14:paraId="062FB927" w14:textId="7A2DBB9E"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206.3</w:t>
            </w:r>
          </w:p>
        </w:tc>
        <w:tc>
          <w:tcPr>
            <w:tcW w:w="1410" w:type="dxa"/>
          </w:tcPr>
          <w:p w14:paraId="2E48687B" w14:textId="702F4287"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226.5</w:t>
            </w:r>
          </w:p>
        </w:tc>
      </w:tr>
      <w:tr w:rsidR="000073A5" w14:paraId="69447625" w14:textId="77777777" w:rsidTr="6395FD93">
        <w:tc>
          <w:tcPr>
            <w:cnfStyle w:val="001000000000" w:firstRow="0" w:lastRow="0" w:firstColumn="1" w:lastColumn="0" w:oddVBand="0" w:evenVBand="0" w:oddHBand="0" w:evenHBand="0" w:firstRowFirstColumn="0" w:firstRowLastColumn="0" w:lastRowFirstColumn="0" w:lastRowLastColumn="0"/>
            <w:tcW w:w="2580" w:type="dxa"/>
          </w:tcPr>
          <w:p w14:paraId="6F681F21" w14:textId="7C2FD326" w:rsidR="000073A5" w:rsidRPr="3C0493CB" w:rsidRDefault="6395FD93" w:rsidP="6395FD93">
            <w:pPr>
              <w:rPr>
                <w:color w:val="000000" w:themeColor="text1"/>
                <w:sz w:val="24"/>
                <w:szCs w:val="24"/>
                <w:lang w:val="en-GB"/>
              </w:rPr>
            </w:pPr>
            <w:r w:rsidRPr="6395FD93">
              <w:rPr>
                <w:b w:val="0"/>
                <w:bCs w:val="0"/>
                <w:color w:val="000000" w:themeColor="text1"/>
                <w:sz w:val="24"/>
                <w:szCs w:val="24"/>
                <w:lang w:val="en-GB"/>
              </w:rPr>
              <w:t>Market Share</w:t>
            </w:r>
            <w:r w:rsidR="6DA93795" w:rsidRPr="6DA93795">
              <w:rPr>
                <w:b w:val="0"/>
                <w:bCs w:val="0"/>
                <w:color w:val="000000" w:themeColor="text1"/>
                <w:sz w:val="24"/>
                <w:szCs w:val="24"/>
                <w:lang w:val="en-GB"/>
              </w:rPr>
              <w:t xml:space="preserve"> (LBOs)</w:t>
            </w:r>
          </w:p>
        </w:tc>
        <w:tc>
          <w:tcPr>
            <w:tcW w:w="1215" w:type="dxa"/>
          </w:tcPr>
          <w:p w14:paraId="087F20F7" w14:textId="2D7554BF" w:rsidR="000073A5" w:rsidRPr="749AC286" w:rsidRDefault="7BE7190D"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BE7190D">
              <w:rPr>
                <w:color w:val="000000" w:themeColor="text1"/>
                <w:sz w:val="24"/>
                <w:szCs w:val="24"/>
                <w:lang w:val="en-GB"/>
              </w:rPr>
              <w:t>28%</w:t>
            </w:r>
          </w:p>
        </w:tc>
        <w:tc>
          <w:tcPr>
            <w:tcW w:w="1365" w:type="dxa"/>
          </w:tcPr>
          <w:p w14:paraId="10204D78" w14:textId="023EA2CB" w:rsidR="000073A5" w:rsidRPr="749AC286" w:rsidRDefault="7BE7190D"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BE7190D">
              <w:rPr>
                <w:color w:val="000000" w:themeColor="text1"/>
                <w:sz w:val="24"/>
                <w:szCs w:val="24"/>
                <w:lang w:val="en-GB"/>
              </w:rPr>
              <w:t>27%</w:t>
            </w:r>
          </w:p>
        </w:tc>
        <w:tc>
          <w:tcPr>
            <w:tcW w:w="1365" w:type="dxa"/>
          </w:tcPr>
          <w:p w14:paraId="4248AEBD" w14:textId="1EF4E696" w:rsidR="000073A5" w:rsidRPr="749AC286" w:rsidRDefault="7BE7190D"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BE7190D">
              <w:rPr>
                <w:color w:val="000000" w:themeColor="text1"/>
                <w:sz w:val="24"/>
                <w:szCs w:val="24"/>
                <w:lang w:val="en-GB"/>
              </w:rPr>
              <w:t>26%</w:t>
            </w:r>
          </w:p>
        </w:tc>
        <w:tc>
          <w:tcPr>
            <w:tcW w:w="1425" w:type="dxa"/>
          </w:tcPr>
          <w:p w14:paraId="796460B3" w14:textId="707C4813" w:rsidR="000073A5" w:rsidRPr="749AC286" w:rsidRDefault="7BE7190D"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BE7190D">
              <w:rPr>
                <w:color w:val="000000" w:themeColor="text1"/>
                <w:sz w:val="24"/>
                <w:szCs w:val="24"/>
                <w:lang w:val="en-GB"/>
              </w:rPr>
              <w:t>26%</w:t>
            </w:r>
          </w:p>
        </w:tc>
        <w:tc>
          <w:tcPr>
            <w:tcW w:w="1410" w:type="dxa"/>
          </w:tcPr>
          <w:p w14:paraId="1ADE9D47" w14:textId="367BEC11" w:rsidR="000073A5" w:rsidRPr="749AC286" w:rsidRDefault="7BE7190D"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BE7190D">
              <w:rPr>
                <w:color w:val="000000" w:themeColor="text1"/>
                <w:sz w:val="24"/>
                <w:szCs w:val="24"/>
                <w:lang w:val="en-GB"/>
              </w:rPr>
              <w:t>26%</w:t>
            </w:r>
          </w:p>
        </w:tc>
      </w:tr>
      <w:tr w:rsidR="004D2E1B" w14:paraId="58718ACC" w14:textId="77777777" w:rsidTr="6395FD93">
        <w:tc>
          <w:tcPr>
            <w:cnfStyle w:val="001000000000" w:firstRow="0" w:lastRow="0" w:firstColumn="1" w:lastColumn="0" w:oddVBand="0" w:evenVBand="0" w:oddHBand="0" w:evenHBand="0" w:firstRowFirstColumn="0" w:firstRowLastColumn="0" w:lastRowFirstColumn="0" w:lastRowLastColumn="0"/>
            <w:tcW w:w="2580" w:type="dxa"/>
          </w:tcPr>
          <w:p w14:paraId="4F9FA94C" w14:textId="0A488C28" w:rsidR="004D2E1B" w:rsidRPr="6395FD93" w:rsidRDefault="00500706" w:rsidP="6395FD93">
            <w:pPr>
              <w:rPr>
                <w:b w:val="0"/>
                <w:bCs w:val="0"/>
                <w:color w:val="000000" w:themeColor="text1"/>
                <w:sz w:val="24"/>
                <w:szCs w:val="24"/>
                <w:lang w:val="en-GB"/>
              </w:rPr>
            </w:pPr>
            <w:r>
              <w:rPr>
                <w:b w:val="0"/>
                <w:bCs w:val="0"/>
                <w:color w:val="000000" w:themeColor="text1"/>
                <w:sz w:val="24"/>
                <w:szCs w:val="24"/>
                <w:lang w:val="en-GB"/>
              </w:rPr>
              <w:t>Market Share (Online)</w:t>
            </w:r>
          </w:p>
        </w:tc>
        <w:tc>
          <w:tcPr>
            <w:tcW w:w="1215" w:type="dxa"/>
          </w:tcPr>
          <w:p w14:paraId="3B2E9BC8" w14:textId="17334C72" w:rsidR="004D2E1B" w:rsidRDefault="00DB13E9"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15%</w:t>
            </w:r>
          </w:p>
        </w:tc>
        <w:tc>
          <w:tcPr>
            <w:tcW w:w="1365" w:type="dxa"/>
          </w:tcPr>
          <w:p w14:paraId="061B12F7" w14:textId="6EB22C69" w:rsidR="004D2E1B" w:rsidRDefault="00DB13E9"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15%</w:t>
            </w:r>
          </w:p>
        </w:tc>
        <w:tc>
          <w:tcPr>
            <w:tcW w:w="1365" w:type="dxa"/>
          </w:tcPr>
          <w:p w14:paraId="57B32FE6" w14:textId="5C7BB395" w:rsidR="004D2E1B" w:rsidRDefault="00DB13E9"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15%</w:t>
            </w:r>
          </w:p>
        </w:tc>
        <w:tc>
          <w:tcPr>
            <w:tcW w:w="1425" w:type="dxa"/>
          </w:tcPr>
          <w:p w14:paraId="10415DCE" w14:textId="656B5A84" w:rsidR="004D2E1B" w:rsidRPr="749AC286" w:rsidRDefault="00DB13E9"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15%</w:t>
            </w:r>
          </w:p>
        </w:tc>
        <w:tc>
          <w:tcPr>
            <w:tcW w:w="1410" w:type="dxa"/>
          </w:tcPr>
          <w:p w14:paraId="36B853BF" w14:textId="257130A7" w:rsidR="004D2E1B" w:rsidRPr="749AC286" w:rsidRDefault="00DB13E9" w:rsidP="749AC286">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15%</w:t>
            </w:r>
          </w:p>
        </w:tc>
      </w:tr>
      <w:tr w:rsidR="5C7EFC97" w14:paraId="0EEE8090" w14:textId="77777777" w:rsidTr="6395FD93">
        <w:tc>
          <w:tcPr>
            <w:cnfStyle w:val="001000000000" w:firstRow="0" w:lastRow="0" w:firstColumn="1" w:lastColumn="0" w:oddVBand="0" w:evenVBand="0" w:oddHBand="0" w:evenHBand="0" w:firstRowFirstColumn="0" w:firstRowLastColumn="0" w:lastRowFirstColumn="0" w:lastRowLastColumn="0"/>
            <w:tcW w:w="2580" w:type="dxa"/>
          </w:tcPr>
          <w:p w14:paraId="7CE4D807" w14:textId="04AF2661" w:rsidR="5C7EFC97" w:rsidRDefault="6395FD93" w:rsidP="6395FD93">
            <w:pPr>
              <w:rPr>
                <w:color w:val="000000" w:themeColor="text1"/>
                <w:sz w:val="24"/>
                <w:szCs w:val="24"/>
                <w:lang w:val="en-GB"/>
              </w:rPr>
            </w:pPr>
            <w:r w:rsidRPr="6395FD93">
              <w:rPr>
                <w:b w:val="0"/>
                <w:bCs w:val="0"/>
                <w:color w:val="000000" w:themeColor="text1"/>
                <w:sz w:val="24"/>
                <w:szCs w:val="24"/>
                <w:lang w:val="en-GB"/>
              </w:rPr>
              <w:t>Number of Employees</w:t>
            </w:r>
          </w:p>
        </w:tc>
        <w:tc>
          <w:tcPr>
            <w:tcW w:w="1215" w:type="dxa"/>
          </w:tcPr>
          <w:p w14:paraId="204F1359" w14:textId="655AFC3F" w:rsidR="5C7EFC97" w:rsidRDefault="6395FD93"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16186</w:t>
            </w:r>
          </w:p>
        </w:tc>
        <w:tc>
          <w:tcPr>
            <w:tcW w:w="1365" w:type="dxa"/>
          </w:tcPr>
          <w:p w14:paraId="470248CA" w14:textId="55094EA2" w:rsidR="5C7EFC97" w:rsidRDefault="00F6553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16000</w:t>
            </w:r>
          </w:p>
        </w:tc>
        <w:tc>
          <w:tcPr>
            <w:tcW w:w="1365" w:type="dxa"/>
          </w:tcPr>
          <w:p w14:paraId="77A9D41F" w14:textId="7567BEB0" w:rsidR="5C7EFC97" w:rsidRDefault="00F6553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16000</w:t>
            </w:r>
          </w:p>
        </w:tc>
        <w:tc>
          <w:tcPr>
            <w:tcW w:w="1425" w:type="dxa"/>
          </w:tcPr>
          <w:p w14:paraId="04D38DDF" w14:textId="5E6E42CA" w:rsidR="5C7EFC97" w:rsidRDefault="00F6553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16000</w:t>
            </w:r>
          </w:p>
        </w:tc>
        <w:tc>
          <w:tcPr>
            <w:tcW w:w="1410" w:type="dxa"/>
          </w:tcPr>
          <w:p w14:paraId="189B4E38" w14:textId="069319E2" w:rsidR="5C7EFC97" w:rsidRDefault="00F6553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17000</w:t>
            </w:r>
          </w:p>
        </w:tc>
      </w:tr>
    </w:tbl>
    <w:p w14:paraId="27AA085A" w14:textId="7182770E" w:rsidR="5C7EFC97" w:rsidRPr="00126383" w:rsidRDefault="00900E0B" w:rsidP="3C0493CB">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sidR="006951D0" w:rsidRPr="00126383">
        <w:rPr>
          <w:color w:val="000000" w:themeColor="text1"/>
          <w:sz w:val="20"/>
          <w:szCs w:val="20"/>
          <w:lang w:val="en-GB"/>
        </w:rPr>
        <w:t xml:space="preserve">Annual Financial reports of William Hill </w:t>
      </w:r>
      <w:r w:rsidR="005A20F6" w:rsidRPr="00126383">
        <w:rPr>
          <w:color w:val="000000" w:themeColor="text1"/>
          <w:sz w:val="20"/>
          <w:szCs w:val="20"/>
          <w:lang w:val="en-GB"/>
        </w:rPr>
        <w:t>plc</w:t>
      </w:r>
    </w:p>
    <w:p w14:paraId="7B970F58" w14:textId="7E1CDA86" w:rsidR="00554980" w:rsidRDefault="00554980" w:rsidP="00554980">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2</w:t>
      </w:r>
      <w:r w:rsidRPr="6395FD93">
        <w:rPr>
          <w:b/>
          <w:bCs/>
          <w:color w:val="000000" w:themeColor="text1"/>
          <w:sz w:val="24"/>
          <w:szCs w:val="24"/>
          <w:lang w:val="en-GB"/>
        </w:rPr>
        <w:t xml:space="preserve">: Sales, Sales growth, </w:t>
      </w:r>
      <w:r w:rsidR="00A436DA">
        <w:rPr>
          <w:b/>
          <w:bCs/>
          <w:color w:val="000000" w:themeColor="text1"/>
          <w:sz w:val="24"/>
          <w:szCs w:val="24"/>
          <w:lang w:val="en-GB"/>
        </w:rPr>
        <w:t>Cost of Sales</w:t>
      </w:r>
      <w:r w:rsidRPr="6395FD93">
        <w:rPr>
          <w:b/>
          <w:bCs/>
          <w:color w:val="000000" w:themeColor="text1"/>
          <w:sz w:val="24"/>
          <w:szCs w:val="24"/>
          <w:lang w:val="en-GB"/>
        </w:rPr>
        <w:t>, Gross profit, Net profit</w:t>
      </w:r>
      <w:r w:rsidR="00A436DA">
        <w:rPr>
          <w:b/>
          <w:bCs/>
          <w:color w:val="000000" w:themeColor="text1"/>
          <w:sz w:val="24"/>
          <w:szCs w:val="24"/>
          <w:lang w:val="en-GB"/>
        </w:rPr>
        <w:t>, Market share, number of employees.</w:t>
      </w:r>
    </w:p>
    <w:tbl>
      <w:tblPr>
        <w:tblStyle w:val="GridTable1Light-Accent1"/>
        <w:tblW w:w="9360" w:type="dxa"/>
        <w:tblLayout w:type="fixed"/>
        <w:tblLook w:val="06A0" w:firstRow="1" w:lastRow="0" w:firstColumn="1" w:lastColumn="0" w:noHBand="1" w:noVBand="1"/>
      </w:tblPr>
      <w:tblGrid>
        <w:gridCol w:w="2580"/>
        <w:gridCol w:w="1215"/>
        <w:gridCol w:w="1365"/>
        <w:gridCol w:w="1365"/>
        <w:gridCol w:w="1425"/>
        <w:gridCol w:w="1410"/>
      </w:tblGrid>
      <w:tr w:rsidR="00554980" w14:paraId="21144BFF" w14:textId="77777777" w:rsidTr="00A96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80" w:type="dxa"/>
          </w:tcPr>
          <w:p w14:paraId="6D34AE7C" w14:textId="77777777" w:rsidR="00554980" w:rsidRDefault="00554980" w:rsidP="00A9655B">
            <w:pPr>
              <w:rPr>
                <w:color w:val="000000" w:themeColor="text1"/>
                <w:sz w:val="24"/>
                <w:szCs w:val="24"/>
                <w:lang w:val="en-GB"/>
              </w:rPr>
            </w:pPr>
            <w:r w:rsidRPr="6395FD93">
              <w:rPr>
                <w:color w:val="000000" w:themeColor="text1"/>
                <w:sz w:val="24"/>
                <w:szCs w:val="24"/>
                <w:lang w:val="en-GB"/>
              </w:rPr>
              <w:t>Paddy Power BetFair Plc</w:t>
            </w:r>
          </w:p>
        </w:tc>
        <w:tc>
          <w:tcPr>
            <w:tcW w:w="1215" w:type="dxa"/>
          </w:tcPr>
          <w:p w14:paraId="1916AD48" w14:textId="77777777" w:rsidR="00554980" w:rsidRPr="00B304C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2017</w:t>
            </w:r>
          </w:p>
        </w:tc>
        <w:tc>
          <w:tcPr>
            <w:tcW w:w="1365" w:type="dxa"/>
          </w:tcPr>
          <w:p w14:paraId="16025BBB" w14:textId="77777777" w:rsidR="00554980" w:rsidRPr="00B304C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2016</w:t>
            </w:r>
          </w:p>
        </w:tc>
        <w:tc>
          <w:tcPr>
            <w:tcW w:w="1365" w:type="dxa"/>
          </w:tcPr>
          <w:p w14:paraId="7385CDBA" w14:textId="77777777" w:rsidR="00554980" w:rsidRPr="00B304C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2015</w:t>
            </w:r>
          </w:p>
        </w:tc>
        <w:tc>
          <w:tcPr>
            <w:tcW w:w="1425" w:type="dxa"/>
          </w:tcPr>
          <w:p w14:paraId="6F324CA2" w14:textId="77777777" w:rsidR="00554980" w:rsidRPr="00B304C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2014</w:t>
            </w:r>
          </w:p>
        </w:tc>
        <w:tc>
          <w:tcPr>
            <w:tcW w:w="1410" w:type="dxa"/>
          </w:tcPr>
          <w:p w14:paraId="77B2CAA0" w14:textId="77777777" w:rsidR="00554980" w:rsidRPr="00B304C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B304C0">
              <w:rPr>
                <w:bCs w:val="0"/>
                <w:color w:val="000000" w:themeColor="text1"/>
                <w:sz w:val="24"/>
                <w:szCs w:val="24"/>
                <w:lang w:val="en-GB"/>
              </w:rPr>
              <w:t>2013</w:t>
            </w:r>
          </w:p>
        </w:tc>
      </w:tr>
      <w:tr w:rsidR="00554980" w14:paraId="0A217B6C" w14:textId="77777777" w:rsidTr="00A9655B">
        <w:tc>
          <w:tcPr>
            <w:cnfStyle w:val="001000000000" w:firstRow="0" w:lastRow="0" w:firstColumn="1" w:lastColumn="0" w:oddVBand="0" w:evenVBand="0" w:oddHBand="0" w:evenHBand="0" w:firstRowFirstColumn="0" w:firstRowLastColumn="0" w:lastRowFirstColumn="0" w:lastRowLastColumn="0"/>
            <w:tcW w:w="2580" w:type="dxa"/>
          </w:tcPr>
          <w:p w14:paraId="22B43075"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Sales  (£M)</w:t>
            </w:r>
          </w:p>
        </w:tc>
        <w:tc>
          <w:tcPr>
            <w:tcW w:w="1215" w:type="dxa"/>
          </w:tcPr>
          <w:p w14:paraId="75B3C288"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1745.4</w:t>
            </w:r>
          </w:p>
        </w:tc>
        <w:tc>
          <w:tcPr>
            <w:tcW w:w="1365" w:type="dxa"/>
          </w:tcPr>
          <w:p w14:paraId="0C3AC6EF"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1500.8</w:t>
            </w:r>
          </w:p>
        </w:tc>
        <w:tc>
          <w:tcPr>
            <w:tcW w:w="1365" w:type="dxa"/>
          </w:tcPr>
          <w:p w14:paraId="45EE651D"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1094.0</w:t>
            </w:r>
          </w:p>
        </w:tc>
        <w:tc>
          <w:tcPr>
            <w:tcW w:w="1425" w:type="dxa"/>
          </w:tcPr>
          <w:p w14:paraId="65A9DC67"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881.6</w:t>
            </w:r>
          </w:p>
        </w:tc>
        <w:tc>
          <w:tcPr>
            <w:tcW w:w="1410" w:type="dxa"/>
          </w:tcPr>
          <w:p w14:paraId="40795793"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745.2</w:t>
            </w:r>
          </w:p>
        </w:tc>
      </w:tr>
      <w:tr w:rsidR="00554980" w14:paraId="575A1256" w14:textId="77777777" w:rsidTr="00A9655B">
        <w:tc>
          <w:tcPr>
            <w:cnfStyle w:val="001000000000" w:firstRow="0" w:lastRow="0" w:firstColumn="1" w:lastColumn="0" w:oddVBand="0" w:evenVBand="0" w:oddHBand="0" w:evenHBand="0" w:firstRowFirstColumn="0" w:firstRowLastColumn="0" w:lastRowFirstColumn="0" w:lastRowLastColumn="0"/>
            <w:tcW w:w="2580" w:type="dxa"/>
          </w:tcPr>
          <w:p w14:paraId="4188899E"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Sales Growth (%)</w:t>
            </w:r>
          </w:p>
        </w:tc>
        <w:tc>
          <w:tcPr>
            <w:tcW w:w="1215" w:type="dxa"/>
          </w:tcPr>
          <w:p w14:paraId="2E1452C2"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16.30%</w:t>
            </w:r>
          </w:p>
        </w:tc>
        <w:tc>
          <w:tcPr>
            <w:tcW w:w="1365" w:type="dxa"/>
          </w:tcPr>
          <w:p w14:paraId="5CB7A694"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37.18%</w:t>
            </w:r>
          </w:p>
        </w:tc>
        <w:tc>
          <w:tcPr>
            <w:tcW w:w="1365" w:type="dxa"/>
          </w:tcPr>
          <w:p w14:paraId="0C7E6E42"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24.09%</w:t>
            </w:r>
          </w:p>
        </w:tc>
        <w:tc>
          <w:tcPr>
            <w:tcW w:w="1425" w:type="dxa"/>
          </w:tcPr>
          <w:p w14:paraId="6958A26E"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18.30%</w:t>
            </w:r>
          </w:p>
        </w:tc>
        <w:tc>
          <w:tcPr>
            <w:tcW w:w="1410" w:type="dxa"/>
          </w:tcPr>
          <w:p w14:paraId="085C489B"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N/A</w:t>
            </w:r>
          </w:p>
        </w:tc>
      </w:tr>
      <w:tr w:rsidR="00554980" w14:paraId="69BBEB6E" w14:textId="77777777" w:rsidTr="00A9655B">
        <w:tc>
          <w:tcPr>
            <w:cnfStyle w:val="001000000000" w:firstRow="0" w:lastRow="0" w:firstColumn="1" w:lastColumn="0" w:oddVBand="0" w:evenVBand="0" w:oddHBand="0" w:evenHBand="0" w:firstRowFirstColumn="0" w:firstRowLastColumn="0" w:lastRowFirstColumn="0" w:lastRowLastColumn="0"/>
            <w:tcW w:w="2580" w:type="dxa"/>
          </w:tcPr>
          <w:p w14:paraId="357E57A4"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Cost of Sales (£M)</w:t>
            </w:r>
          </w:p>
        </w:tc>
        <w:tc>
          <w:tcPr>
            <w:tcW w:w="1215" w:type="dxa"/>
          </w:tcPr>
          <w:p w14:paraId="4AF505B8"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405.4</w:t>
            </w:r>
          </w:p>
        </w:tc>
        <w:tc>
          <w:tcPr>
            <w:tcW w:w="1365" w:type="dxa"/>
          </w:tcPr>
          <w:p w14:paraId="34E94733"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346.5</w:t>
            </w:r>
          </w:p>
        </w:tc>
        <w:tc>
          <w:tcPr>
            <w:tcW w:w="1365" w:type="dxa"/>
          </w:tcPr>
          <w:p w14:paraId="745D43D2"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276.3</w:t>
            </w:r>
          </w:p>
        </w:tc>
        <w:tc>
          <w:tcPr>
            <w:tcW w:w="1425" w:type="dxa"/>
          </w:tcPr>
          <w:p w14:paraId="38FFB664"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167.7</w:t>
            </w:r>
          </w:p>
        </w:tc>
        <w:tc>
          <w:tcPr>
            <w:tcW w:w="1410" w:type="dxa"/>
          </w:tcPr>
          <w:p w14:paraId="4504F1C5"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128.2</w:t>
            </w:r>
          </w:p>
        </w:tc>
      </w:tr>
      <w:tr w:rsidR="00554980" w14:paraId="1082E1F1" w14:textId="77777777" w:rsidTr="00A9655B">
        <w:tc>
          <w:tcPr>
            <w:cnfStyle w:val="001000000000" w:firstRow="0" w:lastRow="0" w:firstColumn="1" w:lastColumn="0" w:oddVBand="0" w:evenVBand="0" w:oddHBand="0" w:evenHBand="0" w:firstRowFirstColumn="0" w:firstRowLastColumn="0" w:lastRowFirstColumn="0" w:lastRowLastColumn="0"/>
            <w:tcW w:w="2580" w:type="dxa"/>
          </w:tcPr>
          <w:p w14:paraId="6943C522"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Gross Profit (£)</w:t>
            </w:r>
          </w:p>
        </w:tc>
        <w:tc>
          <w:tcPr>
            <w:tcW w:w="1215" w:type="dxa"/>
          </w:tcPr>
          <w:p w14:paraId="67EE91F3"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1340</w:t>
            </w:r>
          </w:p>
        </w:tc>
        <w:tc>
          <w:tcPr>
            <w:tcW w:w="1365" w:type="dxa"/>
          </w:tcPr>
          <w:p w14:paraId="466206FF"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1154.3</w:t>
            </w:r>
          </w:p>
        </w:tc>
        <w:tc>
          <w:tcPr>
            <w:tcW w:w="1365" w:type="dxa"/>
          </w:tcPr>
          <w:p w14:paraId="39B337CF"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817.7</w:t>
            </w:r>
          </w:p>
        </w:tc>
        <w:tc>
          <w:tcPr>
            <w:tcW w:w="1425" w:type="dxa"/>
          </w:tcPr>
          <w:p w14:paraId="2B70CB81"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713.9</w:t>
            </w:r>
          </w:p>
        </w:tc>
        <w:tc>
          <w:tcPr>
            <w:tcW w:w="1410" w:type="dxa"/>
          </w:tcPr>
          <w:p w14:paraId="213BDC65"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617.0</w:t>
            </w:r>
          </w:p>
        </w:tc>
      </w:tr>
      <w:tr w:rsidR="002200F5" w14:paraId="49089D62" w14:textId="77777777" w:rsidTr="00A9655B">
        <w:tc>
          <w:tcPr>
            <w:cnfStyle w:val="001000000000" w:firstRow="0" w:lastRow="0" w:firstColumn="1" w:lastColumn="0" w:oddVBand="0" w:evenVBand="0" w:oddHBand="0" w:evenHBand="0" w:firstRowFirstColumn="0" w:firstRowLastColumn="0" w:lastRowFirstColumn="0" w:lastRowLastColumn="0"/>
            <w:tcW w:w="2580" w:type="dxa"/>
          </w:tcPr>
          <w:p w14:paraId="0B57F9FF" w14:textId="68A88BD6" w:rsidR="002200F5" w:rsidRPr="6395FD93" w:rsidRDefault="000F038C" w:rsidP="00A9655B">
            <w:pPr>
              <w:rPr>
                <w:b w:val="0"/>
                <w:bCs w:val="0"/>
                <w:color w:val="000000" w:themeColor="text1"/>
                <w:sz w:val="24"/>
                <w:szCs w:val="24"/>
                <w:lang w:val="en-GB"/>
              </w:rPr>
            </w:pPr>
            <w:r>
              <w:rPr>
                <w:b w:val="0"/>
                <w:bCs w:val="0"/>
                <w:color w:val="000000" w:themeColor="text1"/>
                <w:sz w:val="24"/>
                <w:szCs w:val="24"/>
                <w:lang w:val="en-GB"/>
              </w:rPr>
              <w:t>Gross Profit Growth</w:t>
            </w:r>
          </w:p>
        </w:tc>
        <w:tc>
          <w:tcPr>
            <w:tcW w:w="1215" w:type="dxa"/>
          </w:tcPr>
          <w:p w14:paraId="491E5F7D" w14:textId="759365F7" w:rsidR="002200F5" w:rsidRPr="6395FD93" w:rsidRDefault="008C22B1"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16.09%</w:t>
            </w:r>
          </w:p>
        </w:tc>
        <w:tc>
          <w:tcPr>
            <w:tcW w:w="1365" w:type="dxa"/>
          </w:tcPr>
          <w:p w14:paraId="2D420C90" w14:textId="35691B99" w:rsidR="002200F5" w:rsidRPr="6395FD93" w:rsidRDefault="00F11E6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41.16%</w:t>
            </w:r>
          </w:p>
        </w:tc>
        <w:tc>
          <w:tcPr>
            <w:tcW w:w="1365" w:type="dxa"/>
          </w:tcPr>
          <w:p w14:paraId="59E8B518" w14:textId="2CE8535F" w:rsidR="002200F5" w:rsidRPr="6395FD93" w:rsidRDefault="00FC13EC"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14.54%</w:t>
            </w:r>
          </w:p>
        </w:tc>
        <w:tc>
          <w:tcPr>
            <w:tcW w:w="1425" w:type="dxa"/>
          </w:tcPr>
          <w:p w14:paraId="4F78502E" w14:textId="461DC71C" w:rsidR="002200F5" w:rsidRPr="6395FD93" w:rsidRDefault="006729A8"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15.71%</w:t>
            </w:r>
          </w:p>
        </w:tc>
        <w:tc>
          <w:tcPr>
            <w:tcW w:w="1410" w:type="dxa"/>
          </w:tcPr>
          <w:p w14:paraId="55A8D538" w14:textId="3FE28E36" w:rsidR="002200F5" w:rsidRPr="6395FD93" w:rsidRDefault="000F038C"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N/A</w:t>
            </w:r>
          </w:p>
        </w:tc>
      </w:tr>
      <w:tr w:rsidR="00554980" w14:paraId="590BC767" w14:textId="77777777" w:rsidTr="00A9655B">
        <w:tc>
          <w:tcPr>
            <w:cnfStyle w:val="001000000000" w:firstRow="0" w:lastRow="0" w:firstColumn="1" w:lastColumn="0" w:oddVBand="0" w:evenVBand="0" w:oddHBand="0" w:evenHBand="0" w:firstRowFirstColumn="0" w:firstRowLastColumn="0" w:lastRowFirstColumn="0" w:lastRowLastColumn="0"/>
            <w:tcW w:w="2580" w:type="dxa"/>
          </w:tcPr>
          <w:p w14:paraId="08228676"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Net Profit (£)</w:t>
            </w:r>
          </w:p>
        </w:tc>
        <w:tc>
          <w:tcPr>
            <w:tcW w:w="1215" w:type="dxa"/>
          </w:tcPr>
          <w:p w14:paraId="2F8D2147"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336</w:t>
            </w:r>
          </w:p>
        </w:tc>
        <w:tc>
          <w:tcPr>
            <w:tcW w:w="1365" w:type="dxa"/>
          </w:tcPr>
          <w:p w14:paraId="54427469"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266.6</w:t>
            </w:r>
          </w:p>
        </w:tc>
        <w:tc>
          <w:tcPr>
            <w:tcW w:w="1365" w:type="dxa"/>
          </w:tcPr>
          <w:p w14:paraId="1478D543"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152.8</w:t>
            </w:r>
          </w:p>
        </w:tc>
        <w:tc>
          <w:tcPr>
            <w:tcW w:w="1425" w:type="dxa"/>
          </w:tcPr>
          <w:p w14:paraId="7A9A1B24"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144.9</w:t>
            </w:r>
          </w:p>
        </w:tc>
        <w:tc>
          <w:tcPr>
            <w:tcW w:w="1410" w:type="dxa"/>
          </w:tcPr>
          <w:p w14:paraId="05102FF0"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123.2</w:t>
            </w:r>
          </w:p>
        </w:tc>
      </w:tr>
      <w:tr w:rsidR="00554980" w14:paraId="7464025A" w14:textId="77777777" w:rsidTr="00A9655B">
        <w:tc>
          <w:tcPr>
            <w:cnfStyle w:val="001000000000" w:firstRow="0" w:lastRow="0" w:firstColumn="1" w:lastColumn="0" w:oddVBand="0" w:evenVBand="0" w:oddHBand="0" w:evenHBand="0" w:firstRowFirstColumn="0" w:firstRowLastColumn="0" w:lastRowFirstColumn="0" w:lastRowLastColumn="0"/>
            <w:tcW w:w="2580" w:type="dxa"/>
          </w:tcPr>
          <w:p w14:paraId="33EDA39E" w14:textId="3C0F7913" w:rsidR="00554980" w:rsidRPr="3C0493CB" w:rsidRDefault="00554980" w:rsidP="00A9655B">
            <w:pPr>
              <w:rPr>
                <w:color w:val="000000" w:themeColor="text1"/>
                <w:sz w:val="24"/>
                <w:szCs w:val="24"/>
                <w:lang w:val="en-GB"/>
              </w:rPr>
            </w:pPr>
            <w:r w:rsidRPr="6395FD93">
              <w:rPr>
                <w:b w:val="0"/>
                <w:bCs w:val="0"/>
                <w:color w:val="000000" w:themeColor="text1"/>
                <w:sz w:val="24"/>
                <w:szCs w:val="24"/>
                <w:lang w:val="en-GB"/>
              </w:rPr>
              <w:t>Market Share</w:t>
            </w:r>
            <w:r w:rsidR="00254F96">
              <w:rPr>
                <w:b w:val="0"/>
                <w:bCs w:val="0"/>
                <w:color w:val="000000" w:themeColor="text1"/>
                <w:sz w:val="24"/>
                <w:szCs w:val="24"/>
                <w:lang w:val="en-GB"/>
              </w:rPr>
              <w:t xml:space="preserve"> LBOs</w:t>
            </w:r>
          </w:p>
        </w:tc>
        <w:tc>
          <w:tcPr>
            <w:tcW w:w="1215" w:type="dxa"/>
          </w:tcPr>
          <w:p w14:paraId="3EAABF23" w14:textId="606D1D01" w:rsidR="00554980" w:rsidRPr="749AC286" w:rsidRDefault="009B0ED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5%</w:t>
            </w:r>
          </w:p>
        </w:tc>
        <w:tc>
          <w:tcPr>
            <w:tcW w:w="1365" w:type="dxa"/>
          </w:tcPr>
          <w:p w14:paraId="37737A48" w14:textId="33022D04" w:rsidR="00554980" w:rsidRPr="749AC286" w:rsidRDefault="009B0ED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5%</w:t>
            </w:r>
          </w:p>
        </w:tc>
        <w:tc>
          <w:tcPr>
            <w:tcW w:w="1365" w:type="dxa"/>
          </w:tcPr>
          <w:p w14:paraId="6426EA74" w14:textId="52C348DF" w:rsidR="00554980" w:rsidRPr="749AC286" w:rsidRDefault="009B0ED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6%</w:t>
            </w:r>
          </w:p>
        </w:tc>
        <w:tc>
          <w:tcPr>
            <w:tcW w:w="1425" w:type="dxa"/>
          </w:tcPr>
          <w:p w14:paraId="43FD5D3A" w14:textId="2E0A7F6F" w:rsidR="00554980" w:rsidRPr="749AC286" w:rsidRDefault="009B0ED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6%</w:t>
            </w:r>
          </w:p>
        </w:tc>
        <w:tc>
          <w:tcPr>
            <w:tcW w:w="1410" w:type="dxa"/>
          </w:tcPr>
          <w:p w14:paraId="69EE41ED" w14:textId="28E86BD3" w:rsidR="00554980" w:rsidRPr="749AC286" w:rsidRDefault="009B0ED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6%</w:t>
            </w:r>
          </w:p>
        </w:tc>
      </w:tr>
      <w:tr w:rsidR="00A11D53" w14:paraId="16F34DE3" w14:textId="77777777" w:rsidTr="00A9655B">
        <w:tc>
          <w:tcPr>
            <w:cnfStyle w:val="001000000000" w:firstRow="0" w:lastRow="0" w:firstColumn="1" w:lastColumn="0" w:oddVBand="0" w:evenVBand="0" w:oddHBand="0" w:evenHBand="0" w:firstRowFirstColumn="0" w:firstRowLastColumn="0" w:lastRowFirstColumn="0" w:lastRowLastColumn="0"/>
            <w:tcW w:w="2580" w:type="dxa"/>
          </w:tcPr>
          <w:p w14:paraId="1C57D477" w14:textId="16709ED7" w:rsidR="00A11D53" w:rsidRPr="6395FD93" w:rsidRDefault="00A11D53" w:rsidP="00A9655B">
            <w:pPr>
              <w:rPr>
                <w:b w:val="0"/>
                <w:bCs w:val="0"/>
                <w:color w:val="000000" w:themeColor="text1"/>
                <w:sz w:val="24"/>
                <w:szCs w:val="24"/>
                <w:lang w:val="en-GB"/>
              </w:rPr>
            </w:pPr>
            <w:r>
              <w:rPr>
                <w:b w:val="0"/>
                <w:bCs w:val="0"/>
                <w:color w:val="000000" w:themeColor="text1"/>
                <w:sz w:val="24"/>
                <w:szCs w:val="24"/>
                <w:lang w:val="en-GB"/>
              </w:rPr>
              <w:t>Market share (Online)</w:t>
            </w:r>
          </w:p>
        </w:tc>
        <w:tc>
          <w:tcPr>
            <w:tcW w:w="1215" w:type="dxa"/>
          </w:tcPr>
          <w:p w14:paraId="707EAB0D" w14:textId="18A0BD78" w:rsidR="00A11D53" w:rsidRDefault="006460E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28%</w:t>
            </w:r>
          </w:p>
        </w:tc>
        <w:tc>
          <w:tcPr>
            <w:tcW w:w="1365" w:type="dxa"/>
          </w:tcPr>
          <w:p w14:paraId="4674F90C" w14:textId="3055790E" w:rsidR="00A11D53" w:rsidRDefault="006460E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27%</w:t>
            </w:r>
          </w:p>
        </w:tc>
        <w:tc>
          <w:tcPr>
            <w:tcW w:w="1365" w:type="dxa"/>
          </w:tcPr>
          <w:p w14:paraId="10832DC9" w14:textId="44BE0318" w:rsidR="00A11D53" w:rsidRDefault="006460E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28%</w:t>
            </w:r>
          </w:p>
        </w:tc>
        <w:tc>
          <w:tcPr>
            <w:tcW w:w="1425" w:type="dxa"/>
          </w:tcPr>
          <w:p w14:paraId="13802521" w14:textId="0CA21D17" w:rsidR="00A11D53" w:rsidRDefault="007E1836"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24%</w:t>
            </w:r>
          </w:p>
        </w:tc>
        <w:tc>
          <w:tcPr>
            <w:tcW w:w="1410" w:type="dxa"/>
          </w:tcPr>
          <w:p w14:paraId="361D23CD" w14:textId="1A82A402" w:rsidR="00A11D53" w:rsidRDefault="007E1836"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18%</w:t>
            </w:r>
          </w:p>
        </w:tc>
      </w:tr>
      <w:tr w:rsidR="00554980" w14:paraId="7809F562" w14:textId="77777777" w:rsidTr="00A9655B">
        <w:tc>
          <w:tcPr>
            <w:cnfStyle w:val="001000000000" w:firstRow="0" w:lastRow="0" w:firstColumn="1" w:lastColumn="0" w:oddVBand="0" w:evenVBand="0" w:oddHBand="0" w:evenHBand="0" w:firstRowFirstColumn="0" w:firstRowLastColumn="0" w:lastRowFirstColumn="0" w:lastRowLastColumn="0"/>
            <w:tcW w:w="2580" w:type="dxa"/>
          </w:tcPr>
          <w:p w14:paraId="3BBB2E0F"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Number of Employees</w:t>
            </w:r>
          </w:p>
        </w:tc>
        <w:tc>
          <w:tcPr>
            <w:tcW w:w="1215" w:type="dxa"/>
          </w:tcPr>
          <w:p w14:paraId="16E2B691"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color w:val="000000" w:themeColor="text1"/>
                <w:sz w:val="24"/>
                <w:szCs w:val="24"/>
                <w:lang w:val="en-GB"/>
              </w:rPr>
              <w:t>8000</w:t>
            </w:r>
          </w:p>
        </w:tc>
        <w:tc>
          <w:tcPr>
            <w:tcW w:w="1365" w:type="dxa"/>
          </w:tcPr>
          <w:p w14:paraId="1282863C" w14:textId="18BD9B8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p>
        </w:tc>
        <w:tc>
          <w:tcPr>
            <w:tcW w:w="1365" w:type="dxa"/>
          </w:tcPr>
          <w:p w14:paraId="3464700F"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p>
        </w:tc>
        <w:tc>
          <w:tcPr>
            <w:tcW w:w="1425" w:type="dxa"/>
          </w:tcPr>
          <w:p w14:paraId="0C2BB523"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p>
        </w:tc>
        <w:tc>
          <w:tcPr>
            <w:tcW w:w="1410" w:type="dxa"/>
          </w:tcPr>
          <w:p w14:paraId="03D0B059" w14:textId="77777777" w:rsidR="00554980" w:rsidRDefault="0055498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p>
        </w:tc>
      </w:tr>
    </w:tbl>
    <w:p w14:paraId="3117B381" w14:textId="77777777" w:rsidR="00554980" w:rsidRPr="00126383" w:rsidRDefault="00554980" w:rsidP="00554980">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Annual Financial reports of </w:t>
      </w:r>
      <w:r>
        <w:rPr>
          <w:color w:val="000000" w:themeColor="text1"/>
          <w:sz w:val="20"/>
          <w:szCs w:val="20"/>
          <w:lang w:val="en-GB"/>
        </w:rPr>
        <w:t>Paddy Power BetFair</w:t>
      </w:r>
      <w:r w:rsidRPr="00126383">
        <w:rPr>
          <w:color w:val="000000" w:themeColor="text1"/>
          <w:sz w:val="20"/>
          <w:szCs w:val="20"/>
          <w:lang w:val="en-GB"/>
        </w:rPr>
        <w:t xml:space="preserve"> plc</w:t>
      </w:r>
    </w:p>
    <w:p w14:paraId="476A9A99" w14:textId="19ADA185" w:rsidR="00554980" w:rsidRDefault="00A45081" w:rsidP="00A741FC">
      <w:pPr>
        <w:pStyle w:val="ListBullet"/>
        <w:numPr>
          <w:ilvl w:val="0"/>
          <w:numId w:val="0"/>
        </w:numPr>
        <w:rPr>
          <w:color w:val="000000" w:themeColor="text1"/>
          <w:sz w:val="24"/>
          <w:szCs w:val="24"/>
          <w:lang w:val="en-GB"/>
        </w:rPr>
      </w:pPr>
      <w:r w:rsidRPr="00B35E25">
        <w:rPr>
          <w:bCs/>
          <w:color w:val="000000" w:themeColor="text1"/>
          <w:sz w:val="24"/>
          <w:szCs w:val="24"/>
          <w:lang w:val="en-GB"/>
        </w:rPr>
        <w:t>William Hill plc sales growth has been erratic</w:t>
      </w:r>
      <w:r w:rsidR="00E64BAF">
        <w:rPr>
          <w:bCs/>
          <w:color w:val="000000" w:themeColor="text1"/>
          <w:sz w:val="24"/>
          <w:szCs w:val="24"/>
          <w:lang w:val="en-GB"/>
        </w:rPr>
        <w:t xml:space="preserve">, growing at 8.26% in 2014 and dipped </w:t>
      </w:r>
      <w:r w:rsidR="002132BC">
        <w:rPr>
          <w:bCs/>
          <w:color w:val="000000" w:themeColor="text1"/>
          <w:sz w:val="24"/>
          <w:szCs w:val="24"/>
          <w:lang w:val="en-GB"/>
        </w:rPr>
        <w:t>by nearly 10% in 2015, but seems to have a good recovery in 2017</w:t>
      </w:r>
      <w:r w:rsidR="00445E15">
        <w:rPr>
          <w:bCs/>
          <w:color w:val="000000" w:themeColor="text1"/>
          <w:sz w:val="24"/>
          <w:szCs w:val="24"/>
          <w:lang w:val="en-GB"/>
        </w:rPr>
        <w:t xml:space="preserve"> to 6.69%. </w:t>
      </w:r>
      <w:r w:rsidR="00D76C43">
        <w:rPr>
          <w:bCs/>
          <w:color w:val="000000" w:themeColor="text1"/>
          <w:sz w:val="24"/>
          <w:szCs w:val="24"/>
          <w:lang w:val="en-GB"/>
        </w:rPr>
        <w:t>W</w:t>
      </w:r>
      <w:r w:rsidR="006241D3">
        <w:rPr>
          <w:bCs/>
          <w:color w:val="000000" w:themeColor="text1"/>
          <w:sz w:val="24"/>
          <w:szCs w:val="24"/>
          <w:lang w:val="en-GB"/>
        </w:rPr>
        <w:t xml:space="preserve">hen </w:t>
      </w:r>
      <w:r w:rsidR="00D76C43">
        <w:rPr>
          <w:bCs/>
          <w:color w:val="000000" w:themeColor="text1"/>
          <w:sz w:val="24"/>
          <w:szCs w:val="24"/>
          <w:lang w:val="en-GB"/>
        </w:rPr>
        <w:t xml:space="preserve">the sales figure </w:t>
      </w:r>
      <w:r w:rsidR="00C748AF">
        <w:rPr>
          <w:bCs/>
          <w:color w:val="000000" w:themeColor="text1"/>
          <w:sz w:val="24"/>
          <w:szCs w:val="24"/>
          <w:lang w:val="en-GB"/>
        </w:rPr>
        <w:t xml:space="preserve">growth </w:t>
      </w:r>
      <w:r w:rsidR="00D76C43">
        <w:rPr>
          <w:bCs/>
          <w:color w:val="000000" w:themeColor="text1"/>
          <w:sz w:val="24"/>
          <w:szCs w:val="24"/>
          <w:lang w:val="en-GB"/>
        </w:rPr>
        <w:t>was compared to Paddy Power BetFair</w:t>
      </w:r>
      <w:r w:rsidR="00C748AF">
        <w:rPr>
          <w:bCs/>
          <w:color w:val="000000" w:themeColor="text1"/>
          <w:sz w:val="24"/>
          <w:szCs w:val="24"/>
          <w:lang w:val="en-GB"/>
        </w:rPr>
        <w:t xml:space="preserve"> plc, it showed an appaling performance on the part of William </w:t>
      </w:r>
      <w:r w:rsidR="000349CF">
        <w:rPr>
          <w:bCs/>
          <w:color w:val="000000" w:themeColor="text1"/>
          <w:sz w:val="24"/>
          <w:szCs w:val="24"/>
          <w:lang w:val="en-GB"/>
        </w:rPr>
        <w:t>H</w:t>
      </w:r>
      <w:r w:rsidR="00C748AF">
        <w:rPr>
          <w:bCs/>
          <w:color w:val="000000" w:themeColor="text1"/>
          <w:sz w:val="24"/>
          <w:szCs w:val="24"/>
          <w:lang w:val="en-GB"/>
        </w:rPr>
        <w:t>ill plc</w:t>
      </w:r>
      <w:r w:rsidR="00D76C43">
        <w:rPr>
          <w:bCs/>
          <w:color w:val="000000" w:themeColor="text1"/>
          <w:sz w:val="24"/>
          <w:szCs w:val="24"/>
          <w:lang w:val="en-GB"/>
        </w:rPr>
        <w:t xml:space="preserve">, </w:t>
      </w:r>
      <w:r w:rsidR="000349CF">
        <w:rPr>
          <w:bCs/>
          <w:color w:val="000000" w:themeColor="text1"/>
          <w:sz w:val="24"/>
          <w:szCs w:val="24"/>
          <w:lang w:val="en-GB"/>
        </w:rPr>
        <w:t>as paddy Power recorde</w:t>
      </w:r>
      <w:r w:rsidR="00B92D54">
        <w:rPr>
          <w:bCs/>
          <w:color w:val="000000" w:themeColor="text1"/>
          <w:sz w:val="24"/>
          <w:szCs w:val="24"/>
          <w:lang w:val="en-GB"/>
        </w:rPr>
        <w:t xml:space="preserve">d on average over 20%growth. </w:t>
      </w:r>
      <w:r w:rsidR="00554980" w:rsidRPr="00525E21">
        <w:rPr>
          <w:bCs/>
          <w:color w:val="auto"/>
          <w:sz w:val="24"/>
          <w:szCs w:val="24"/>
          <w:lang w:val="en-GB"/>
        </w:rPr>
        <w:t>Paddy Power</w:t>
      </w:r>
      <w:r w:rsidR="00554980" w:rsidRPr="00525E21">
        <w:rPr>
          <w:color w:val="auto"/>
          <w:sz w:val="24"/>
          <w:szCs w:val="24"/>
          <w:lang w:val="en-GB"/>
        </w:rPr>
        <w:t xml:space="preserve"> </w:t>
      </w:r>
      <w:r w:rsidR="00554980" w:rsidRPr="6395FD93">
        <w:rPr>
          <w:color w:val="000000" w:themeColor="text1"/>
          <w:sz w:val="24"/>
          <w:szCs w:val="24"/>
          <w:lang w:val="en-GB"/>
        </w:rPr>
        <w:t>Betfair plc is doing great, for example the sales has grown over the years apart from slow growth exper</w:t>
      </w:r>
      <w:r w:rsidR="00D54C7D">
        <w:rPr>
          <w:color w:val="000000" w:themeColor="text1"/>
          <w:sz w:val="24"/>
          <w:szCs w:val="24"/>
          <w:lang w:val="en-GB"/>
        </w:rPr>
        <w:t>ienced in 2017 to about 16.30%. The gross profit growth</w:t>
      </w:r>
      <w:r w:rsidR="00554980" w:rsidRPr="6395FD93">
        <w:rPr>
          <w:color w:val="000000" w:themeColor="text1"/>
          <w:sz w:val="24"/>
          <w:szCs w:val="24"/>
          <w:lang w:val="en-GB"/>
        </w:rPr>
        <w:t xml:space="preserve"> </w:t>
      </w:r>
      <w:r w:rsidR="00743391">
        <w:rPr>
          <w:color w:val="000000" w:themeColor="text1"/>
          <w:sz w:val="24"/>
          <w:szCs w:val="24"/>
          <w:lang w:val="en-GB"/>
        </w:rPr>
        <w:t xml:space="preserve">of William Hill plc </w:t>
      </w:r>
      <w:r w:rsidR="003C5CD9">
        <w:rPr>
          <w:color w:val="000000" w:themeColor="text1"/>
          <w:sz w:val="24"/>
          <w:szCs w:val="24"/>
          <w:lang w:val="en-GB"/>
        </w:rPr>
        <w:t xml:space="preserve">was in in single digit and actually dipped to negative </w:t>
      </w:r>
      <w:r w:rsidR="00D01126">
        <w:rPr>
          <w:color w:val="000000" w:themeColor="text1"/>
          <w:sz w:val="24"/>
          <w:szCs w:val="24"/>
          <w:lang w:val="en-GB"/>
        </w:rPr>
        <w:t xml:space="preserve">to 7.06% </w:t>
      </w:r>
      <w:r w:rsidR="003C5CD9">
        <w:rPr>
          <w:color w:val="000000" w:themeColor="text1"/>
          <w:sz w:val="24"/>
          <w:szCs w:val="24"/>
          <w:lang w:val="en-GB"/>
        </w:rPr>
        <w:t>in 2015</w:t>
      </w:r>
      <w:r w:rsidR="00A476DE">
        <w:rPr>
          <w:color w:val="000000" w:themeColor="text1"/>
          <w:sz w:val="24"/>
          <w:szCs w:val="24"/>
          <w:lang w:val="en-GB"/>
        </w:rPr>
        <w:t xml:space="preserve"> to</w:t>
      </w:r>
      <w:r w:rsidR="003E610E">
        <w:rPr>
          <w:color w:val="000000" w:themeColor="text1"/>
          <w:sz w:val="24"/>
          <w:szCs w:val="24"/>
          <w:lang w:val="en-GB"/>
        </w:rPr>
        <w:t xml:space="preserve"> but when compared to its competitor</w:t>
      </w:r>
      <w:r w:rsidR="008A3E5C">
        <w:rPr>
          <w:color w:val="000000" w:themeColor="text1"/>
          <w:sz w:val="24"/>
          <w:szCs w:val="24"/>
          <w:lang w:val="en-GB"/>
        </w:rPr>
        <w:t xml:space="preserve"> Paddy Power</w:t>
      </w:r>
      <w:r w:rsidR="00A476DE">
        <w:rPr>
          <w:color w:val="000000" w:themeColor="text1"/>
          <w:sz w:val="24"/>
          <w:szCs w:val="24"/>
          <w:lang w:val="en-GB"/>
        </w:rPr>
        <w:t xml:space="preserve"> plc</w:t>
      </w:r>
      <w:r w:rsidR="008A3E5C">
        <w:rPr>
          <w:color w:val="000000" w:themeColor="text1"/>
          <w:sz w:val="24"/>
          <w:szCs w:val="24"/>
          <w:lang w:val="en-GB"/>
        </w:rPr>
        <w:t xml:space="preserve"> who recorded </w:t>
      </w:r>
      <w:r w:rsidR="00EC4DE9">
        <w:rPr>
          <w:color w:val="000000" w:themeColor="text1"/>
          <w:sz w:val="24"/>
          <w:szCs w:val="24"/>
          <w:lang w:val="en-GB"/>
        </w:rPr>
        <w:t>1</w:t>
      </w:r>
      <w:r w:rsidR="008F01C2">
        <w:rPr>
          <w:color w:val="000000" w:themeColor="text1"/>
          <w:sz w:val="24"/>
          <w:szCs w:val="24"/>
          <w:lang w:val="en-GB"/>
        </w:rPr>
        <w:t xml:space="preserve">4.54%, it showed that William </w:t>
      </w:r>
      <w:r w:rsidR="00DB3D2B">
        <w:rPr>
          <w:color w:val="000000" w:themeColor="text1"/>
          <w:sz w:val="24"/>
          <w:szCs w:val="24"/>
          <w:lang w:val="en-GB"/>
        </w:rPr>
        <w:t>Hill plc performance was bad. Given the diff</w:t>
      </w:r>
      <w:r w:rsidR="00A476DE">
        <w:rPr>
          <w:color w:val="000000" w:themeColor="text1"/>
          <w:sz w:val="24"/>
          <w:szCs w:val="24"/>
          <w:lang w:val="en-GB"/>
        </w:rPr>
        <w:t>iculty in getting sector average as most of the analyst houses are for subscribers only, I have not been able to get a sector average for this paper, so we will limit ratio explanation to trend analysis and comparison with competitor.</w:t>
      </w:r>
    </w:p>
    <w:p w14:paraId="351A277C" w14:textId="43B630D0" w:rsidR="00583A5F" w:rsidRDefault="00583A5F" w:rsidP="00A741FC">
      <w:pPr>
        <w:pStyle w:val="ListBullet"/>
        <w:numPr>
          <w:ilvl w:val="0"/>
          <w:numId w:val="0"/>
        </w:numPr>
        <w:rPr>
          <w:color w:val="000000" w:themeColor="text1"/>
          <w:sz w:val="24"/>
          <w:szCs w:val="24"/>
          <w:lang w:val="en-GB"/>
        </w:rPr>
      </w:pPr>
    </w:p>
    <w:p w14:paraId="3F7B824A" w14:textId="716BF707" w:rsidR="00583A5F" w:rsidRDefault="00583A5F" w:rsidP="00A741FC">
      <w:pPr>
        <w:pStyle w:val="ListBullet"/>
        <w:numPr>
          <w:ilvl w:val="0"/>
          <w:numId w:val="0"/>
        </w:numPr>
        <w:rPr>
          <w:color w:val="000000" w:themeColor="text1"/>
          <w:sz w:val="24"/>
          <w:szCs w:val="24"/>
          <w:lang w:val="en-GB"/>
        </w:rPr>
      </w:pPr>
    </w:p>
    <w:p w14:paraId="55F0BC6E" w14:textId="54098426" w:rsidR="00583A5F" w:rsidRDefault="00583A5F" w:rsidP="00A741FC">
      <w:pPr>
        <w:pStyle w:val="ListBullet"/>
        <w:numPr>
          <w:ilvl w:val="0"/>
          <w:numId w:val="0"/>
        </w:numPr>
        <w:rPr>
          <w:color w:val="000000" w:themeColor="text1"/>
          <w:sz w:val="24"/>
          <w:szCs w:val="24"/>
          <w:lang w:val="en-GB"/>
        </w:rPr>
      </w:pPr>
    </w:p>
    <w:p w14:paraId="0C1F887D" w14:textId="327EE371" w:rsidR="00583A5F" w:rsidRDefault="00583A5F" w:rsidP="00A741FC">
      <w:pPr>
        <w:pStyle w:val="ListBullet"/>
        <w:numPr>
          <w:ilvl w:val="0"/>
          <w:numId w:val="0"/>
        </w:numPr>
        <w:rPr>
          <w:color w:val="000000" w:themeColor="text1"/>
          <w:sz w:val="24"/>
          <w:szCs w:val="24"/>
          <w:lang w:val="en-GB"/>
        </w:rPr>
      </w:pPr>
    </w:p>
    <w:p w14:paraId="48E82B6F" w14:textId="77777777" w:rsidR="00583A5F" w:rsidRDefault="00583A5F" w:rsidP="00A741FC">
      <w:pPr>
        <w:pStyle w:val="ListBullet"/>
        <w:numPr>
          <w:ilvl w:val="0"/>
          <w:numId w:val="0"/>
        </w:numPr>
        <w:rPr>
          <w:color w:val="000000" w:themeColor="text1"/>
          <w:sz w:val="24"/>
          <w:szCs w:val="24"/>
          <w:lang w:val="en-GB"/>
        </w:rPr>
      </w:pPr>
    </w:p>
    <w:p w14:paraId="2B593315" w14:textId="6862B768" w:rsidR="3ED31BD3"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lastRenderedPageBreak/>
        <w:t>PROFITABILITY RATIOS</w:t>
      </w:r>
    </w:p>
    <w:p w14:paraId="66F70725" w14:textId="77777777" w:rsidR="00A4702F" w:rsidRDefault="6395FD93" w:rsidP="00A4702F">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3</w:t>
      </w:r>
      <w:r w:rsidRPr="6395FD93">
        <w:rPr>
          <w:b/>
          <w:bCs/>
          <w:color w:val="000000" w:themeColor="text1"/>
          <w:sz w:val="24"/>
          <w:szCs w:val="24"/>
          <w:lang w:val="en-GB"/>
        </w:rPr>
        <w:t xml:space="preserve">: ROCE, </w:t>
      </w:r>
      <w:r w:rsidR="00A436DA" w:rsidRPr="6395FD93">
        <w:rPr>
          <w:b/>
          <w:bCs/>
          <w:color w:val="000000" w:themeColor="text1"/>
          <w:sz w:val="24"/>
          <w:szCs w:val="24"/>
          <w:lang w:val="en-GB"/>
        </w:rPr>
        <w:t xml:space="preserve">Operating Profit Margin, </w:t>
      </w:r>
      <w:r w:rsidRPr="6395FD93">
        <w:rPr>
          <w:b/>
          <w:bCs/>
          <w:color w:val="000000" w:themeColor="text1"/>
          <w:sz w:val="24"/>
          <w:szCs w:val="24"/>
          <w:lang w:val="en-GB"/>
        </w:rPr>
        <w:t xml:space="preserve">GP Margin, NP Margin, </w:t>
      </w:r>
      <w:r w:rsidR="00A436DA">
        <w:rPr>
          <w:b/>
          <w:bCs/>
          <w:color w:val="000000" w:themeColor="text1"/>
          <w:sz w:val="24"/>
          <w:szCs w:val="24"/>
          <w:lang w:val="en-GB"/>
        </w:rPr>
        <w:t>Cost to Sales Ratio</w:t>
      </w:r>
      <w:r w:rsidR="00A4702F" w:rsidRPr="00A4702F">
        <w:rPr>
          <w:b/>
          <w:bCs/>
          <w:color w:val="000000" w:themeColor="text1"/>
          <w:sz w:val="24"/>
          <w:szCs w:val="24"/>
          <w:lang w:val="en-GB"/>
        </w:rPr>
        <w:t xml:space="preserve"> </w:t>
      </w:r>
    </w:p>
    <w:tbl>
      <w:tblPr>
        <w:tblStyle w:val="GridTable1Light-Accent1"/>
        <w:tblW w:w="9360" w:type="dxa"/>
        <w:tblLayout w:type="fixed"/>
        <w:tblLook w:val="06A0" w:firstRow="1" w:lastRow="0" w:firstColumn="1" w:lastColumn="0" w:noHBand="1" w:noVBand="1"/>
      </w:tblPr>
      <w:tblGrid>
        <w:gridCol w:w="2730"/>
        <w:gridCol w:w="1260"/>
        <w:gridCol w:w="1335"/>
        <w:gridCol w:w="1320"/>
        <w:gridCol w:w="1410"/>
        <w:gridCol w:w="1305"/>
      </w:tblGrid>
      <w:tr w:rsidR="00A4702F" w14:paraId="72EF083E" w14:textId="77777777" w:rsidTr="00D036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28123145" w14:textId="08CDF533" w:rsidR="00A4702F" w:rsidRDefault="00294541" w:rsidP="00DB3D2B">
            <w:pPr>
              <w:rPr>
                <w:color w:val="000000" w:themeColor="text1"/>
                <w:sz w:val="24"/>
                <w:szCs w:val="24"/>
                <w:lang w:val="en-GB"/>
              </w:rPr>
            </w:pPr>
            <w:r w:rsidRPr="6395FD93">
              <w:rPr>
                <w:color w:val="000000" w:themeColor="text1"/>
                <w:sz w:val="24"/>
                <w:szCs w:val="24"/>
                <w:lang w:val="en-GB"/>
              </w:rPr>
              <w:t>William Hill Plc</w:t>
            </w:r>
          </w:p>
        </w:tc>
        <w:tc>
          <w:tcPr>
            <w:tcW w:w="1260" w:type="dxa"/>
          </w:tcPr>
          <w:p w14:paraId="5CF8EE52" w14:textId="77777777" w:rsidR="00A4702F" w:rsidRPr="00406091" w:rsidRDefault="00A4702F" w:rsidP="00DB3D2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2017</w:t>
            </w:r>
          </w:p>
        </w:tc>
        <w:tc>
          <w:tcPr>
            <w:tcW w:w="1335" w:type="dxa"/>
          </w:tcPr>
          <w:p w14:paraId="54DB99DA" w14:textId="77777777" w:rsidR="00A4702F" w:rsidRPr="00406091" w:rsidRDefault="00A4702F" w:rsidP="00DB3D2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2016</w:t>
            </w:r>
          </w:p>
        </w:tc>
        <w:tc>
          <w:tcPr>
            <w:tcW w:w="1320" w:type="dxa"/>
          </w:tcPr>
          <w:p w14:paraId="07AA26C7" w14:textId="77777777" w:rsidR="00A4702F" w:rsidRPr="00406091" w:rsidRDefault="00A4702F" w:rsidP="00DB3D2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2015</w:t>
            </w:r>
          </w:p>
        </w:tc>
        <w:tc>
          <w:tcPr>
            <w:tcW w:w="1410" w:type="dxa"/>
          </w:tcPr>
          <w:p w14:paraId="259E46F5" w14:textId="77777777" w:rsidR="00A4702F" w:rsidRPr="00406091" w:rsidRDefault="00A4702F" w:rsidP="00DB3D2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2014</w:t>
            </w:r>
          </w:p>
        </w:tc>
        <w:tc>
          <w:tcPr>
            <w:tcW w:w="1305" w:type="dxa"/>
          </w:tcPr>
          <w:p w14:paraId="4414F45A" w14:textId="77777777" w:rsidR="00A4702F" w:rsidRPr="00406091" w:rsidRDefault="00A4702F" w:rsidP="00DB3D2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2013</w:t>
            </w:r>
          </w:p>
        </w:tc>
      </w:tr>
      <w:tr w:rsidR="00A4702F" w14:paraId="2CF5E17B" w14:textId="77777777" w:rsidTr="00D036EE">
        <w:tc>
          <w:tcPr>
            <w:cnfStyle w:val="001000000000" w:firstRow="0" w:lastRow="0" w:firstColumn="1" w:lastColumn="0" w:oddVBand="0" w:evenVBand="0" w:oddHBand="0" w:evenHBand="0" w:firstRowFirstColumn="0" w:firstRowLastColumn="0" w:lastRowFirstColumn="0" w:lastRowLastColumn="0"/>
            <w:tcW w:w="2730" w:type="dxa"/>
          </w:tcPr>
          <w:p w14:paraId="571C33C6" w14:textId="77777777" w:rsidR="00A4702F" w:rsidRDefault="00A4702F" w:rsidP="00DB3D2B">
            <w:pPr>
              <w:rPr>
                <w:color w:val="000000" w:themeColor="text1"/>
                <w:sz w:val="24"/>
                <w:szCs w:val="24"/>
                <w:lang w:val="en-GB"/>
              </w:rPr>
            </w:pPr>
            <w:r w:rsidRPr="6395FD93">
              <w:rPr>
                <w:b w:val="0"/>
                <w:bCs w:val="0"/>
                <w:color w:val="000000" w:themeColor="text1"/>
                <w:sz w:val="24"/>
                <w:szCs w:val="24"/>
                <w:lang w:val="en-GB"/>
              </w:rPr>
              <w:t>ROCE</w:t>
            </w:r>
          </w:p>
        </w:tc>
        <w:tc>
          <w:tcPr>
            <w:tcW w:w="1260" w:type="dxa"/>
          </w:tcPr>
          <w:p w14:paraId="6FFB1981" w14:textId="77777777" w:rsidR="00A4702F" w:rsidRPr="00406091" w:rsidRDefault="00A4702F" w:rsidP="00DB3D2B">
            <w:pPr>
              <w:cnfStyle w:val="000000000000" w:firstRow="0" w:lastRow="0" w:firstColumn="0" w:lastColumn="0" w:oddVBand="0" w:evenVBand="0" w:oddHBand="0" w:evenHBand="0" w:firstRowFirstColumn="0" w:firstRowLastColumn="0" w:lastRowFirstColumn="0" w:lastRowLastColumn="0"/>
              <w:rPr>
                <w:color w:val="FF0000"/>
                <w:sz w:val="24"/>
                <w:szCs w:val="24"/>
                <w:lang w:val="en-GB"/>
              </w:rPr>
            </w:pPr>
            <w:r w:rsidRPr="00406091">
              <w:rPr>
                <w:color w:val="FF0000"/>
                <w:sz w:val="24"/>
                <w:szCs w:val="24"/>
                <w:lang w:val="en-GB"/>
              </w:rPr>
              <w:t>-2.3%</w:t>
            </w:r>
          </w:p>
        </w:tc>
        <w:tc>
          <w:tcPr>
            <w:tcW w:w="1335" w:type="dxa"/>
          </w:tcPr>
          <w:p w14:paraId="0F0E5D42"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0024F8A">
              <w:rPr>
                <w:color w:val="000000" w:themeColor="text1"/>
                <w:sz w:val="24"/>
                <w:szCs w:val="24"/>
                <w:lang w:val="en-GB"/>
              </w:rPr>
              <w:t>11.1%</w:t>
            </w:r>
          </w:p>
        </w:tc>
        <w:tc>
          <w:tcPr>
            <w:tcW w:w="1320" w:type="dxa"/>
          </w:tcPr>
          <w:p w14:paraId="351C55F7"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0024F8A">
              <w:rPr>
                <w:color w:val="000000" w:themeColor="text1"/>
                <w:sz w:val="24"/>
                <w:szCs w:val="24"/>
                <w:lang w:val="en-GB"/>
              </w:rPr>
              <w:t>13.3%</w:t>
            </w:r>
          </w:p>
        </w:tc>
        <w:tc>
          <w:tcPr>
            <w:tcW w:w="1410" w:type="dxa"/>
          </w:tcPr>
          <w:p w14:paraId="1B1AA5EC"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0024F8A">
              <w:rPr>
                <w:color w:val="000000" w:themeColor="text1"/>
                <w:sz w:val="24"/>
                <w:szCs w:val="24"/>
                <w:lang w:val="en-GB"/>
              </w:rPr>
              <w:t>14.0%</w:t>
            </w:r>
          </w:p>
        </w:tc>
        <w:tc>
          <w:tcPr>
            <w:tcW w:w="1305" w:type="dxa"/>
          </w:tcPr>
          <w:p w14:paraId="685C0342"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0024F8A">
              <w:rPr>
                <w:color w:val="000000" w:themeColor="text1"/>
                <w:sz w:val="24"/>
                <w:szCs w:val="24"/>
                <w:lang w:val="en-GB"/>
              </w:rPr>
              <w:t>15.5%</w:t>
            </w:r>
          </w:p>
        </w:tc>
      </w:tr>
      <w:tr w:rsidR="00A4702F" w14:paraId="62E1F84A" w14:textId="77777777" w:rsidTr="00D036EE">
        <w:tc>
          <w:tcPr>
            <w:cnfStyle w:val="001000000000" w:firstRow="0" w:lastRow="0" w:firstColumn="1" w:lastColumn="0" w:oddVBand="0" w:evenVBand="0" w:oddHBand="0" w:evenHBand="0" w:firstRowFirstColumn="0" w:firstRowLastColumn="0" w:lastRowFirstColumn="0" w:lastRowLastColumn="0"/>
            <w:tcW w:w="2730" w:type="dxa"/>
          </w:tcPr>
          <w:p w14:paraId="6FD7F1BD" w14:textId="77777777" w:rsidR="00A4702F" w:rsidRDefault="00A4702F" w:rsidP="00DB3D2B">
            <w:pPr>
              <w:rPr>
                <w:color w:val="000000" w:themeColor="text1"/>
                <w:sz w:val="24"/>
                <w:szCs w:val="24"/>
                <w:lang w:val="en-GB"/>
              </w:rPr>
            </w:pPr>
            <w:r w:rsidRPr="6395FD93">
              <w:rPr>
                <w:b w:val="0"/>
                <w:bCs w:val="0"/>
                <w:color w:val="000000" w:themeColor="text1"/>
                <w:sz w:val="24"/>
                <w:szCs w:val="24"/>
                <w:lang w:val="en-GB"/>
              </w:rPr>
              <w:t xml:space="preserve">Operating Profit Margin </w:t>
            </w:r>
          </w:p>
        </w:tc>
        <w:tc>
          <w:tcPr>
            <w:tcW w:w="1260" w:type="dxa"/>
          </w:tcPr>
          <w:p w14:paraId="4A61D97E" w14:textId="77777777" w:rsidR="00A4702F" w:rsidRPr="00406091" w:rsidRDefault="00A4702F" w:rsidP="00DB3D2B">
            <w:pPr>
              <w:cnfStyle w:val="000000000000" w:firstRow="0" w:lastRow="0" w:firstColumn="0" w:lastColumn="0" w:oddVBand="0" w:evenVBand="0" w:oddHBand="0" w:evenHBand="0" w:firstRowFirstColumn="0" w:firstRowLastColumn="0" w:lastRowFirstColumn="0" w:lastRowLastColumn="0"/>
              <w:rPr>
                <w:color w:val="FF0000"/>
                <w:sz w:val="24"/>
                <w:szCs w:val="24"/>
                <w:lang w:val="en-GB"/>
              </w:rPr>
            </w:pPr>
            <w:r w:rsidRPr="00406091">
              <w:rPr>
                <w:color w:val="FF0000"/>
                <w:sz w:val="24"/>
                <w:szCs w:val="24"/>
                <w:lang w:val="en-GB"/>
              </w:rPr>
              <w:t>-2.6%</w:t>
            </w:r>
          </w:p>
        </w:tc>
        <w:tc>
          <w:tcPr>
            <w:tcW w:w="1335" w:type="dxa"/>
          </w:tcPr>
          <w:p w14:paraId="26E19E1A"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60024F8A">
              <w:rPr>
                <w:color w:val="000000" w:themeColor="text1"/>
                <w:sz w:val="24"/>
                <w:szCs w:val="24"/>
                <w:lang w:val="en-GB"/>
              </w:rPr>
              <w:t>14.1%</w:t>
            </w:r>
          </w:p>
        </w:tc>
        <w:tc>
          <w:tcPr>
            <w:tcW w:w="1320" w:type="dxa"/>
          </w:tcPr>
          <w:p w14:paraId="387B116E"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14.1%</w:t>
            </w:r>
          </w:p>
        </w:tc>
        <w:tc>
          <w:tcPr>
            <w:tcW w:w="1410" w:type="dxa"/>
          </w:tcPr>
          <w:p w14:paraId="64587576"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17.5%</w:t>
            </w:r>
          </w:p>
        </w:tc>
        <w:tc>
          <w:tcPr>
            <w:tcW w:w="1305" w:type="dxa"/>
          </w:tcPr>
          <w:p w14:paraId="309F1B2A"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21.8%</w:t>
            </w:r>
          </w:p>
        </w:tc>
      </w:tr>
      <w:tr w:rsidR="00A4702F" w14:paraId="29BABE3A" w14:textId="77777777" w:rsidTr="00D036EE">
        <w:tc>
          <w:tcPr>
            <w:cnfStyle w:val="001000000000" w:firstRow="0" w:lastRow="0" w:firstColumn="1" w:lastColumn="0" w:oddVBand="0" w:evenVBand="0" w:oddHBand="0" w:evenHBand="0" w:firstRowFirstColumn="0" w:firstRowLastColumn="0" w:lastRowFirstColumn="0" w:lastRowLastColumn="0"/>
            <w:tcW w:w="2730" w:type="dxa"/>
          </w:tcPr>
          <w:p w14:paraId="11FF2D84" w14:textId="77777777" w:rsidR="00A4702F" w:rsidRDefault="00A4702F" w:rsidP="00DB3D2B">
            <w:pPr>
              <w:rPr>
                <w:color w:val="000000" w:themeColor="text1"/>
                <w:sz w:val="24"/>
                <w:szCs w:val="24"/>
                <w:lang w:val="en-GB"/>
              </w:rPr>
            </w:pPr>
            <w:r w:rsidRPr="6395FD93">
              <w:rPr>
                <w:b w:val="0"/>
                <w:bCs w:val="0"/>
                <w:color w:val="000000" w:themeColor="text1"/>
                <w:sz w:val="24"/>
                <w:szCs w:val="24"/>
                <w:lang w:val="en-GB"/>
              </w:rPr>
              <w:t>Gross Profit Margin</w:t>
            </w:r>
          </w:p>
        </w:tc>
        <w:tc>
          <w:tcPr>
            <w:tcW w:w="1260" w:type="dxa"/>
          </w:tcPr>
          <w:p w14:paraId="0581D362"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74.8%</w:t>
            </w:r>
          </w:p>
        </w:tc>
        <w:tc>
          <w:tcPr>
            <w:tcW w:w="1335" w:type="dxa"/>
          </w:tcPr>
          <w:p w14:paraId="60971371"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76.2%</w:t>
            </w:r>
          </w:p>
        </w:tc>
        <w:tc>
          <w:tcPr>
            <w:tcW w:w="1320" w:type="dxa"/>
          </w:tcPr>
          <w:p w14:paraId="1ED1C2C6"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76.2%</w:t>
            </w:r>
          </w:p>
        </w:tc>
        <w:tc>
          <w:tcPr>
            <w:tcW w:w="1410" w:type="dxa"/>
          </w:tcPr>
          <w:p w14:paraId="7029EEE8"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81.1%</w:t>
            </w:r>
          </w:p>
        </w:tc>
        <w:tc>
          <w:tcPr>
            <w:tcW w:w="1305" w:type="dxa"/>
          </w:tcPr>
          <w:p w14:paraId="13BF3757"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82.1%</w:t>
            </w:r>
          </w:p>
        </w:tc>
      </w:tr>
      <w:tr w:rsidR="00A4702F" w14:paraId="5E38DD10" w14:textId="77777777" w:rsidTr="00D036EE">
        <w:tc>
          <w:tcPr>
            <w:cnfStyle w:val="001000000000" w:firstRow="0" w:lastRow="0" w:firstColumn="1" w:lastColumn="0" w:oddVBand="0" w:evenVBand="0" w:oddHBand="0" w:evenHBand="0" w:firstRowFirstColumn="0" w:firstRowLastColumn="0" w:lastRowFirstColumn="0" w:lastRowLastColumn="0"/>
            <w:tcW w:w="2730" w:type="dxa"/>
          </w:tcPr>
          <w:p w14:paraId="7C2084B1" w14:textId="77777777" w:rsidR="00A4702F" w:rsidRDefault="00A4702F" w:rsidP="00DB3D2B">
            <w:pPr>
              <w:rPr>
                <w:color w:val="000000" w:themeColor="text1"/>
                <w:sz w:val="24"/>
                <w:szCs w:val="24"/>
                <w:lang w:val="en-GB"/>
              </w:rPr>
            </w:pPr>
            <w:r w:rsidRPr="6395FD93">
              <w:rPr>
                <w:b w:val="0"/>
                <w:bCs w:val="0"/>
                <w:color w:val="000000" w:themeColor="text1"/>
                <w:sz w:val="24"/>
                <w:szCs w:val="24"/>
                <w:lang w:val="en-GB"/>
              </w:rPr>
              <w:t>Net Profit Margin</w:t>
            </w:r>
          </w:p>
        </w:tc>
        <w:tc>
          <w:tcPr>
            <w:tcW w:w="1260" w:type="dxa"/>
          </w:tcPr>
          <w:p w14:paraId="068F8166"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color w:val="FF0000"/>
                <w:sz w:val="24"/>
                <w:szCs w:val="24"/>
                <w:lang w:val="en-GB"/>
              </w:rPr>
              <w:t>-4.9%</w:t>
            </w:r>
          </w:p>
        </w:tc>
        <w:tc>
          <w:tcPr>
            <w:tcW w:w="1335" w:type="dxa"/>
          </w:tcPr>
          <w:p w14:paraId="4A63ECB6"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10.3%</w:t>
            </w:r>
          </w:p>
        </w:tc>
        <w:tc>
          <w:tcPr>
            <w:tcW w:w="1320" w:type="dxa"/>
          </w:tcPr>
          <w:p w14:paraId="767CE6F8"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11.9%</w:t>
            </w:r>
          </w:p>
        </w:tc>
        <w:tc>
          <w:tcPr>
            <w:tcW w:w="1410" w:type="dxa"/>
          </w:tcPr>
          <w:p w14:paraId="30B5A4AB"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12.8%</w:t>
            </w:r>
          </w:p>
        </w:tc>
        <w:tc>
          <w:tcPr>
            <w:tcW w:w="1305" w:type="dxa"/>
          </w:tcPr>
          <w:p w14:paraId="437AEF3D"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3A4EFB7">
              <w:rPr>
                <w:color w:val="000000" w:themeColor="text1"/>
                <w:sz w:val="24"/>
                <w:szCs w:val="24"/>
                <w:lang w:val="en-GB"/>
              </w:rPr>
              <w:t>16.7%</w:t>
            </w:r>
          </w:p>
        </w:tc>
      </w:tr>
      <w:tr w:rsidR="00A4702F" w14:paraId="51F41306" w14:textId="77777777" w:rsidTr="00D036EE">
        <w:tc>
          <w:tcPr>
            <w:cnfStyle w:val="001000000000" w:firstRow="0" w:lastRow="0" w:firstColumn="1" w:lastColumn="0" w:oddVBand="0" w:evenVBand="0" w:oddHBand="0" w:evenHBand="0" w:firstRowFirstColumn="0" w:firstRowLastColumn="0" w:lastRowFirstColumn="0" w:lastRowLastColumn="0"/>
            <w:tcW w:w="2730" w:type="dxa"/>
          </w:tcPr>
          <w:p w14:paraId="468589DA" w14:textId="77777777" w:rsidR="00A4702F" w:rsidRPr="6395FD93" w:rsidRDefault="00A4702F" w:rsidP="00DB3D2B">
            <w:pPr>
              <w:rPr>
                <w:color w:val="000000" w:themeColor="text1"/>
                <w:sz w:val="24"/>
                <w:szCs w:val="24"/>
                <w:lang w:val="en-GB"/>
              </w:rPr>
            </w:pPr>
            <w:r>
              <w:rPr>
                <w:b w:val="0"/>
                <w:bCs w:val="0"/>
                <w:color w:val="000000" w:themeColor="text1"/>
                <w:sz w:val="24"/>
                <w:szCs w:val="24"/>
                <w:lang w:val="en-GB"/>
              </w:rPr>
              <w:t>Cost to Sales Ratio</w:t>
            </w:r>
          </w:p>
        </w:tc>
        <w:tc>
          <w:tcPr>
            <w:tcW w:w="1260" w:type="dxa"/>
          </w:tcPr>
          <w:p w14:paraId="0C063E46"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DC3FBCC">
              <w:rPr>
                <w:color w:val="000000" w:themeColor="text1"/>
                <w:sz w:val="24"/>
                <w:szCs w:val="24"/>
                <w:lang w:val="en-GB"/>
              </w:rPr>
              <w:t>79.2%</w:t>
            </w:r>
          </w:p>
        </w:tc>
        <w:tc>
          <w:tcPr>
            <w:tcW w:w="1335" w:type="dxa"/>
          </w:tcPr>
          <w:p w14:paraId="668FC13E"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DC3FBCC">
              <w:rPr>
                <w:color w:val="000000" w:themeColor="text1"/>
                <w:sz w:val="24"/>
                <w:szCs w:val="24"/>
                <w:lang w:val="en-GB"/>
              </w:rPr>
              <w:t>78.8%</w:t>
            </w:r>
          </w:p>
        </w:tc>
        <w:tc>
          <w:tcPr>
            <w:tcW w:w="1320" w:type="dxa"/>
          </w:tcPr>
          <w:p w14:paraId="33F5621B"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DC3FBCC">
              <w:rPr>
                <w:color w:val="000000" w:themeColor="text1"/>
                <w:sz w:val="24"/>
                <w:szCs w:val="24"/>
                <w:lang w:val="en-GB"/>
              </w:rPr>
              <w:t>77.2%</w:t>
            </w:r>
          </w:p>
        </w:tc>
        <w:tc>
          <w:tcPr>
            <w:tcW w:w="1410" w:type="dxa"/>
          </w:tcPr>
          <w:p w14:paraId="67C185F1"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DC3FBCC">
              <w:rPr>
                <w:color w:val="000000" w:themeColor="text1"/>
                <w:sz w:val="24"/>
                <w:szCs w:val="24"/>
                <w:lang w:val="en-GB"/>
              </w:rPr>
              <w:t>73.4%</w:t>
            </w:r>
          </w:p>
        </w:tc>
        <w:tc>
          <w:tcPr>
            <w:tcW w:w="1305" w:type="dxa"/>
          </w:tcPr>
          <w:p w14:paraId="063C4A1E" w14:textId="77777777" w:rsidR="00A4702F" w:rsidRDefault="00A4702F" w:rsidP="00DB3D2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DC3FBCC">
              <w:rPr>
                <w:color w:val="000000" w:themeColor="text1"/>
                <w:sz w:val="24"/>
                <w:szCs w:val="24"/>
                <w:lang w:val="en-GB"/>
              </w:rPr>
              <w:t>74.0%</w:t>
            </w:r>
          </w:p>
        </w:tc>
      </w:tr>
    </w:tbl>
    <w:p w14:paraId="1B8ABAE1" w14:textId="77777777" w:rsidR="00A4702F" w:rsidRPr="00126383" w:rsidRDefault="00A4702F" w:rsidP="00A4702F">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 xml:space="preserve">Annual Financial reports of </w:t>
      </w:r>
      <w:r>
        <w:rPr>
          <w:color w:val="000000" w:themeColor="text1"/>
          <w:sz w:val="20"/>
          <w:szCs w:val="20"/>
          <w:lang w:val="en-GB"/>
        </w:rPr>
        <w:t>Paddy Power BetFair</w:t>
      </w:r>
      <w:r w:rsidRPr="00126383">
        <w:rPr>
          <w:color w:val="000000" w:themeColor="text1"/>
          <w:sz w:val="20"/>
          <w:szCs w:val="20"/>
          <w:lang w:val="en-GB"/>
        </w:rPr>
        <w:t xml:space="preserve"> plc</w:t>
      </w:r>
    </w:p>
    <w:p w14:paraId="4053E653" w14:textId="3A557EBE" w:rsidR="00A436DA" w:rsidRDefault="00554980" w:rsidP="00A436DA">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4</w:t>
      </w:r>
      <w:r w:rsidRPr="6395FD93">
        <w:rPr>
          <w:b/>
          <w:bCs/>
          <w:color w:val="000000" w:themeColor="text1"/>
          <w:sz w:val="24"/>
          <w:szCs w:val="24"/>
          <w:lang w:val="en-GB"/>
        </w:rPr>
        <w:t xml:space="preserve">: </w:t>
      </w:r>
      <w:r w:rsidR="00A436DA" w:rsidRPr="6395FD93">
        <w:rPr>
          <w:b/>
          <w:bCs/>
          <w:color w:val="000000" w:themeColor="text1"/>
          <w:sz w:val="24"/>
          <w:szCs w:val="24"/>
          <w:lang w:val="en-GB"/>
        </w:rPr>
        <w:t xml:space="preserve">ROCE, Operating Profit Margin, GP Margin, NP Margin, </w:t>
      </w:r>
      <w:r w:rsidR="00A436DA">
        <w:rPr>
          <w:b/>
          <w:bCs/>
          <w:color w:val="000000" w:themeColor="text1"/>
          <w:sz w:val="24"/>
          <w:szCs w:val="24"/>
          <w:lang w:val="en-GB"/>
        </w:rPr>
        <w:t>Cost to Sales Ratio</w:t>
      </w:r>
    </w:p>
    <w:tbl>
      <w:tblPr>
        <w:tblStyle w:val="GridTable1Light-Accent1"/>
        <w:tblW w:w="0" w:type="auto"/>
        <w:tblLayout w:type="fixed"/>
        <w:tblLook w:val="06A0" w:firstRow="1" w:lastRow="0" w:firstColumn="1" w:lastColumn="0" w:noHBand="1" w:noVBand="1"/>
      </w:tblPr>
      <w:tblGrid>
        <w:gridCol w:w="2730"/>
        <w:gridCol w:w="1260"/>
        <w:gridCol w:w="1335"/>
        <w:gridCol w:w="1320"/>
        <w:gridCol w:w="1410"/>
        <w:gridCol w:w="1305"/>
      </w:tblGrid>
      <w:tr w:rsidR="00554980" w14:paraId="369ECFD0" w14:textId="77777777" w:rsidTr="00A96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61401ACB" w14:textId="77777777" w:rsidR="00554980" w:rsidRDefault="00554980" w:rsidP="00A9655B">
            <w:pPr>
              <w:rPr>
                <w:color w:val="000000" w:themeColor="text1"/>
                <w:sz w:val="24"/>
                <w:szCs w:val="24"/>
                <w:lang w:val="en-GB"/>
              </w:rPr>
            </w:pPr>
            <w:r w:rsidRPr="6395FD93">
              <w:rPr>
                <w:color w:val="000000" w:themeColor="text1"/>
                <w:sz w:val="24"/>
                <w:szCs w:val="24"/>
                <w:lang w:val="en-GB"/>
              </w:rPr>
              <w:t>Paddy Power BetFair Plc</w:t>
            </w:r>
          </w:p>
        </w:tc>
        <w:tc>
          <w:tcPr>
            <w:tcW w:w="1260" w:type="dxa"/>
          </w:tcPr>
          <w:p w14:paraId="7350B94E" w14:textId="77777777" w:rsidR="00554980" w:rsidRPr="00406091"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2017</w:t>
            </w:r>
          </w:p>
        </w:tc>
        <w:tc>
          <w:tcPr>
            <w:tcW w:w="1335" w:type="dxa"/>
          </w:tcPr>
          <w:p w14:paraId="7AE1E430" w14:textId="77777777" w:rsidR="00554980" w:rsidRPr="00406091"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2016</w:t>
            </w:r>
          </w:p>
        </w:tc>
        <w:tc>
          <w:tcPr>
            <w:tcW w:w="1320" w:type="dxa"/>
          </w:tcPr>
          <w:p w14:paraId="46FBF335" w14:textId="77777777" w:rsidR="00554980" w:rsidRPr="00406091"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2015</w:t>
            </w:r>
          </w:p>
        </w:tc>
        <w:tc>
          <w:tcPr>
            <w:tcW w:w="1410" w:type="dxa"/>
          </w:tcPr>
          <w:p w14:paraId="4AAE1624" w14:textId="77777777" w:rsidR="00554980" w:rsidRPr="00406091"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2014</w:t>
            </w:r>
          </w:p>
        </w:tc>
        <w:tc>
          <w:tcPr>
            <w:tcW w:w="1305" w:type="dxa"/>
          </w:tcPr>
          <w:p w14:paraId="13942D69" w14:textId="77777777" w:rsidR="00554980" w:rsidRPr="00406091"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06091">
              <w:rPr>
                <w:bCs w:val="0"/>
                <w:color w:val="000000" w:themeColor="text1"/>
                <w:sz w:val="24"/>
                <w:szCs w:val="24"/>
                <w:lang w:val="en-GB"/>
              </w:rPr>
              <w:t>2013</w:t>
            </w:r>
          </w:p>
        </w:tc>
      </w:tr>
      <w:tr w:rsidR="00554980" w14:paraId="2F86F61C" w14:textId="77777777" w:rsidTr="00A9655B">
        <w:tc>
          <w:tcPr>
            <w:cnfStyle w:val="001000000000" w:firstRow="0" w:lastRow="0" w:firstColumn="1" w:lastColumn="0" w:oddVBand="0" w:evenVBand="0" w:oddHBand="0" w:evenHBand="0" w:firstRowFirstColumn="0" w:firstRowLastColumn="0" w:lastRowFirstColumn="0" w:lastRowLastColumn="0"/>
            <w:tcW w:w="2730" w:type="dxa"/>
          </w:tcPr>
          <w:p w14:paraId="05974106"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ROCE</w:t>
            </w:r>
          </w:p>
        </w:tc>
        <w:tc>
          <w:tcPr>
            <w:tcW w:w="1260" w:type="dxa"/>
          </w:tcPr>
          <w:p w14:paraId="16A62A38" w14:textId="7E843CE4" w:rsidR="00554980" w:rsidRDefault="3E3608B5"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E3608B5">
              <w:rPr>
                <w:color w:val="000000" w:themeColor="text1"/>
                <w:sz w:val="24"/>
                <w:szCs w:val="24"/>
                <w:lang w:val="en-GB"/>
              </w:rPr>
              <w:t>8.6%</w:t>
            </w:r>
          </w:p>
        </w:tc>
        <w:tc>
          <w:tcPr>
            <w:tcW w:w="1335" w:type="dxa"/>
          </w:tcPr>
          <w:p w14:paraId="7FAE722B" w14:textId="0A2325F1" w:rsidR="00554980" w:rsidRDefault="3E3608B5"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E3608B5">
              <w:rPr>
                <w:color w:val="000000" w:themeColor="text1"/>
                <w:sz w:val="24"/>
                <w:szCs w:val="24"/>
                <w:lang w:val="en-GB"/>
              </w:rPr>
              <w:t>6.9%</w:t>
            </w:r>
          </w:p>
        </w:tc>
        <w:tc>
          <w:tcPr>
            <w:tcW w:w="1320" w:type="dxa"/>
          </w:tcPr>
          <w:p w14:paraId="625ED4EE" w14:textId="6B94854A"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65.7%</w:t>
            </w:r>
          </w:p>
        </w:tc>
        <w:tc>
          <w:tcPr>
            <w:tcW w:w="1410" w:type="dxa"/>
          </w:tcPr>
          <w:p w14:paraId="6B1B8B4B" w14:textId="41B770DF"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41.2%</w:t>
            </w:r>
          </w:p>
        </w:tc>
        <w:tc>
          <w:tcPr>
            <w:tcW w:w="1305" w:type="dxa"/>
          </w:tcPr>
          <w:p w14:paraId="1ABBBE79" w14:textId="0D822089"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41.9%</w:t>
            </w:r>
          </w:p>
        </w:tc>
      </w:tr>
      <w:tr w:rsidR="00554980" w14:paraId="3E09A6E1" w14:textId="77777777" w:rsidTr="00A9655B">
        <w:tc>
          <w:tcPr>
            <w:cnfStyle w:val="001000000000" w:firstRow="0" w:lastRow="0" w:firstColumn="1" w:lastColumn="0" w:oddVBand="0" w:evenVBand="0" w:oddHBand="0" w:evenHBand="0" w:firstRowFirstColumn="0" w:firstRowLastColumn="0" w:lastRowFirstColumn="0" w:lastRowLastColumn="0"/>
            <w:tcW w:w="2730" w:type="dxa"/>
          </w:tcPr>
          <w:p w14:paraId="679C54F4"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 xml:space="preserve">Operating Profit Margin </w:t>
            </w:r>
          </w:p>
        </w:tc>
        <w:tc>
          <w:tcPr>
            <w:tcW w:w="1260" w:type="dxa"/>
          </w:tcPr>
          <w:p w14:paraId="73740B19" w14:textId="1FFA0BB0"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22.5%</w:t>
            </w:r>
          </w:p>
        </w:tc>
        <w:tc>
          <w:tcPr>
            <w:tcW w:w="1335" w:type="dxa"/>
          </w:tcPr>
          <w:p w14:paraId="45DAC4F4" w14:textId="61271B18"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21.3%</w:t>
            </w:r>
          </w:p>
        </w:tc>
        <w:tc>
          <w:tcPr>
            <w:tcW w:w="1320" w:type="dxa"/>
          </w:tcPr>
          <w:p w14:paraId="74C29CAE" w14:textId="0F25BA2E"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16.5%</w:t>
            </w:r>
          </w:p>
        </w:tc>
        <w:tc>
          <w:tcPr>
            <w:tcW w:w="1410" w:type="dxa"/>
          </w:tcPr>
          <w:p w14:paraId="6901A975" w14:textId="506B5116"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18.6%</w:t>
            </w:r>
          </w:p>
        </w:tc>
        <w:tc>
          <w:tcPr>
            <w:tcW w:w="1305" w:type="dxa"/>
          </w:tcPr>
          <w:p w14:paraId="7FCEDD38" w14:textId="6E57302A"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18.4%</w:t>
            </w:r>
          </w:p>
        </w:tc>
      </w:tr>
      <w:tr w:rsidR="00554980" w14:paraId="7D02DFE9" w14:textId="77777777" w:rsidTr="00A9655B">
        <w:tc>
          <w:tcPr>
            <w:cnfStyle w:val="001000000000" w:firstRow="0" w:lastRow="0" w:firstColumn="1" w:lastColumn="0" w:oddVBand="0" w:evenVBand="0" w:oddHBand="0" w:evenHBand="0" w:firstRowFirstColumn="0" w:firstRowLastColumn="0" w:lastRowFirstColumn="0" w:lastRowLastColumn="0"/>
            <w:tcW w:w="2730" w:type="dxa"/>
          </w:tcPr>
          <w:p w14:paraId="1353D132"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Gross Profit Margin</w:t>
            </w:r>
          </w:p>
        </w:tc>
        <w:tc>
          <w:tcPr>
            <w:tcW w:w="1260" w:type="dxa"/>
          </w:tcPr>
          <w:p w14:paraId="118D1B45" w14:textId="17C84C14"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76.8%</w:t>
            </w:r>
          </w:p>
        </w:tc>
        <w:tc>
          <w:tcPr>
            <w:tcW w:w="1335" w:type="dxa"/>
          </w:tcPr>
          <w:p w14:paraId="6D5BF111" w14:textId="3F1E3033"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76.9%</w:t>
            </w:r>
          </w:p>
        </w:tc>
        <w:tc>
          <w:tcPr>
            <w:tcW w:w="1320" w:type="dxa"/>
          </w:tcPr>
          <w:p w14:paraId="7B3C128E" w14:textId="1D06CB9C"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74.7%</w:t>
            </w:r>
          </w:p>
        </w:tc>
        <w:tc>
          <w:tcPr>
            <w:tcW w:w="1410" w:type="dxa"/>
          </w:tcPr>
          <w:p w14:paraId="4AA0DBAE" w14:textId="5494C910"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81.0%</w:t>
            </w:r>
          </w:p>
        </w:tc>
        <w:tc>
          <w:tcPr>
            <w:tcW w:w="1305" w:type="dxa"/>
          </w:tcPr>
          <w:p w14:paraId="18187310" w14:textId="4A2FDB63" w:rsidR="00554980" w:rsidRDefault="187007BD"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87007BD">
              <w:rPr>
                <w:color w:val="000000" w:themeColor="text1"/>
                <w:sz w:val="24"/>
                <w:szCs w:val="24"/>
                <w:lang w:val="en-GB"/>
              </w:rPr>
              <w:t>82.8%</w:t>
            </w:r>
          </w:p>
        </w:tc>
      </w:tr>
      <w:tr w:rsidR="00554980" w14:paraId="551C2349" w14:textId="77777777" w:rsidTr="00A9655B">
        <w:tc>
          <w:tcPr>
            <w:cnfStyle w:val="001000000000" w:firstRow="0" w:lastRow="0" w:firstColumn="1" w:lastColumn="0" w:oddVBand="0" w:evenVBand="0" w:oddHBand="0" w:evenHBand="0" w:firstRowFirstColumn="0" w:firstRowLastColumn="0" w:lastRowFirstColumn="0" w:lastRowLastColumn="0"/>
            <w:tcW w:w="2730" w:type="dxa"/>
          </w:tcPr>
          <w:p w14:paraId="7254E933"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Net Profit Margin</w:t>
            </w:r>
          </w:p>
        </w:tc>
        <w:tc>
          <w:tcPr>
            <w:tcW w:w="1260" w:type="dxa"/>
          </w:tcPr>
          <w:p w14:paraId="3E833799" w14:textId="30566F50"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19.3%</w:t>
            </w:r>
          </w:p>
        </w:tc>
        <w:tc>
          <w:tcPr>
            <w:tcW w:w="1335" w:type="dxa"/>
          </w:tcPr>
          <w:p w14:paraId="4AF8BBFA" w14:textId="30F43D80"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17.8%</w:t>
            </w:r>
          </w:p>
        </w:tc>
        <w:tc>
          <w:tcPr>
            <w:tcW w:w="1320" w:type="dxa"/>
          </w:tcPr>
          <w:p w14:paraId="43504607" w14:textId="4ECD4E36"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14.0%</w:t>
            </w:r>
          </w:p>
        </w:tc>
        <w:tc>
          <w:tcPr>
            <w:tcW w:w="1410" w:type="dxa"/>
          </w:tcPr>
          <w:p w14:paraId="799B5D12" w14:textId="3B4D2EC2"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16.4%</w:t>
            </w:r>
          </w:p>
        </w:tc>
        <w:tc>
          <w:tcPr>
            <w:tcW w:w="1305" w:type="dxa"/>
          </w:tcPr>
          <w:p w14:paraId="584E7645" w14:textId="1CCEF97E"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16.5%</w:t>
            </w:r>
          </w:p>
        </w:tc>
      </w:tr>
      <w:tr w:rsidR="00554980" w14:paraId="5A7ED086" w14:textId="77777777" w:rsidTr="00A9655B">
        <w:tc>
          <w:tcPr>
            <w:cnfStyle w:val="001000000000" w:firstRow="0" w:lastRow="0" w:firstColumn="1" w:lastColumn="0" w:oddVBand="0" w:evenVBand="0" w:oddHBand="0" w:evenHBand="0" w:firstRowFirstColumn="0" w:firstRowLastColumn="0" w:lastRowFirstColumn="0" w:lastRowLastColumn="0"/>
            <w:tcW w:w="2730" w:type="dxa"/>
          </w:tcPr>
          <w:p w14:paraId="338288C7" w14:textId="77777777" w:rsidR="00554980" w:rsidRPr="6395FD93" w:rsidRDefault="00554980" w:rsidP="00A9655B">
            <w:pPr>
              <w:rPr>
                <w:color w:val="000000" w:themeColor="text1"/>
                <w:sz w:val="24"/>
                <w:szCs w:val="24"/>
                <w:lang w:val="en-GB"/>
              </w:rPr>
            </w:pPr>
            <w:r>
              <w:rPr>
                <w:b w:val="0"/>
                <w:bCs w:val="0"/>
                <w:color w:val="000000" w:themeColor="text1"/>
                <w:sz w:val="24"/>
                <w:szCs w:val="24"/>
                <w:lang w:val="en-GB"/>
              </w:rPr>
              <w:t>Cost to Sales Ratio</w:t>
            </w:r>
          </w:p>
        </w:tc>
        <w:tc>
          <w:tcPr>
            <w:tcW w:w="1260" w:type="dxa"/>
          </w:tcPr>
          <w:p w14:paraId="31C60B4B" w14:textId="5A2778F1"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23.2%</w:t>
            </w:r>
          </w:p>
        </w:tc>
        <w:tc>
          <w:tcPr>
            <w:tcW w:w="1335" w:type="dxa"/>
          </w:tcPr>
          <w:p w14:paraId="15ABFD49" w14:textId="3EF3CFE9"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23.1%</w:t>
            </w:r>
          </w:p>
        </w:tc>
        <w:tc>
          <w:tcPr>
            <w:tcW w:w="1320" w:type="dxa"/>
          </w:tcPr>
          <w:p w14:paraId="0220A67A" w14:textId="57ECAE10"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25.3%</w:t>
            </w:r>
          </w:p>
        </w:tc>
        <w:tc>
          <w:tcPr>
            <w:tcW w:w="1410" w:type="dxa"/>
          </w:tcPr>
          <w:p w14:paraId="399F3857" w14:textId="034369EC"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19.0%</w:t>
            </w:r>
          </w:p>
        </w:tc>
        <w:tc>
          <w:tcPr>
            <w:tcW w:w="1305" w:type="dxa"/>
          </w:tcPr>
          <w:p w14:paraId="2C4126EB" w14:textId="28AE1BC5"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17.2%</w:t>
            </w:r>
          </w:p>
        </w:tc>
      </w:tr>
    </w:tbl>
    <w:p w14:paraId="4E1285A3" w14:textId="77777777" w:rsidR="00554980" w:rsidRPr="00126383" w:rsidRDefault="00554980" w:rsidP="00554980">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 xml:space="preserve">Annual Financial reports of </w:t>
      </w:r>
      <w:r>
        <w:rPr>
          <w:color w:val="000000" w:themeColor="text1"/>
          <w:sz w:val="20"/>
          <w:szCs w:val="20"/>
          <w:lang w:val="en-GB"/>
        </w:rPr>
        <w:t>Paddy Power BetFair</w:t>
      </w:r>
      <w:r w:rsidRPr="00126383">
        <w:rPr>
          <w:color w:val="000000" w:themeColor="text1"/>
          <w:sz w:val="20"/>
          <w:szCs w:val="20"/>
          <w:lang w:val="en-GB"/>
        </w:rPr>
        <w:t xml:space="preserve"> plc</w:t>
      </w:r>
    </w:p>
    <w:p w14:paraId="1433D65A" w14:textId="667346BD" w:rsidR="00554980" w:rsidRDefault="00554980" w:rsidP="00554980">
      <w:pPr>
        <w:pStyle w:val="ListBullet"/>
        <w:numPr>
          <w:ilvl w:val="0"/>
          <w:numId w:val="0"/>
        </w:numPr>
        <w:rPr>
          <w:color w:val="000000" w:themeColor="text1"/>
          <w:sz w:val="24"/>
          <w:szCs w:val="24"/>
          <w:lang w:val="en-GB"/>
        </w:rPr>
      </w:pPr>
      <w:r w:rsidRPr="6395FD93">
        <w:rPr>
          <w:color w:val="000000" w:themeColor="text1"/>
          <w:sz w:val="24"/>
          <w:szCs w:val="24"/>
          <w:lang w:val="en-GB"/>
        </w:rPr>
        <w:t>Business organisation in a capitalist economy exists to create wealth for the owners of the business. Despite the fact that profit is not synonymous to the availability of cash, nevertheless, generation of profit is normally assumed that it will increase shareholder values because after</w:t>
      </w:r>
      <w:r w:rsidR="0082243F">
        <w:rPr>
          <w:color w:val="000000" w:themeColor="text1"/>
          <w:sz w:val="24"/>
          <w:szCs w:val="24"/>
          <w:lang w:val="en-GB"/>
        </w:rPr>
        <w:t>-</w:t>
      </w:r>
      <w:r w:rsidRPr="6395FD93">
        <w:rPr>
          <w:color w:val="000000" w:themeColor="text1"/>
          <w:sz w:val="24"/>
          <w:szCs w:val="24"/>
          <w:lang w:val="en-GB"/>
        </w:rPr>
        <w:t>all dividends is paid from profit..</w:t>
      </w:r>
    </w:p>
    <w:p w14:paraId="087803DC" w14:textId="61B282EC" w:rsidR="0B52BBBE" w:rsidRPr="0082243F" w:rsidRDefault="0082243F" w:rsidP="0082243F">
      <w:pPr>
        <w:pStyle w:val="ListBullet"/>
        <w:numPr>
          <w:ilvl w:val="0"/>
          <w:numId w:val="0"/>
        </w:numPr>
        <w:rPr>
          <w:bCs/>
          <w:color w:val="000000" w:themeColor="text1"/>
          <w:sz w:val="24"/>
          <w:szCs w:val="24"/>
          <w:lang w:val="en-GB"/>
        </w:rPr>
      </w:pPr>
      <w:r w:rsidRPr="0082243F">
        <w:rPr>
          <w:bCs/>
          <w:color w:val="000000" w:themeColor="text1"/>
          <w:sz w:val="24"/>
          <w:szCs w:val="24"/>
          <w:lang w:val="en-GB"/>
        </w:rPr>
        <w:t>Profitability is a measure of returns by the company in its trading activities</w:t>
      </w:r>
      <w:r>
        <w:rPr>
          <w:bCs/>
          <w:color w:val="000000" w:themeColor="text1"/>
          <w:sz w:val="24"/>
          <w:szCs w:val="24"/>
          <w:lang w:val="en-GB"/>
        </w:rPr>
        <w:t xml:space="preserve"> and there are several ratios that can be used to assess such as detailed in Table 3 and Table 4 above.</w:t>
      </w:r>
    </w:p>
    <w:p w14:paraId="635E42FD" w14:textId="5F2E0517" w:rsidR="0B52BBBE" w:rsidRDefault="6395FD93" w:rsidP="00B5185A">
      <w:pPr>
        <w:pStyle w:val="ListBullet"/>
        <w:numPr>
          <w:ilvl w:val="0"/>
          <w:numId w:val="0"/>
        </w:numPr>
        <w:ind w:hanging="360"/>
        <w:rPr>
          <w:color w:val="000000" w:themeColor="text1"/>
          <w:sz w:val="24"/>
          <w:szCs w:val="24"/>
          <w:lang w:val="en-GB"/>
        </w:rPr>
      </w:pPr>
      <w:r w:rsidRPr="6395FD93">
        <w:rPr>
          <w:b/>
          <w:bCs/>
          <w:color w:val="000000" w:themeColor="text1"/>
          <w:sz w:val="24"/>
          <w:szCs w:val="24"/>
          <w:lang w:val="en-GB"/>
        </w:rPr>
        <w:t xml:space="preserve">      </w:t>
      </w:r>
      <w:r w:rsidRPr="00A436DA">
        <w:rPr>
          <w:b/>
          <w:bCs/>
          <w:color w:val="000000" w:themeColor="text1"/>
          <w:sz w:val="24"/>
          <w:szCs w:val="24"/>
          <w:lang w:val="en-GB"/>
        </w:rPr>
        <w:t>Return on Capital Employed (ROCE</w:t>
      </w:r>
      <w:r w:rsidRPr="6395FD93">
        <w:rPr>
          <w:color w:val="000000" w:themeColor="text1"/>
          <w:sz w:val="24"/>
          <w:szCs w:val="24"/>
          <w:lang w:val="en-GB"/>
        </w:rPr>
        <w:t>) measures the underlying financial performance            before taking into consideration the finance cost which helps for comparison across              different tax regime.</w:t>
      </w:r>
    </w:p>
    <w:p w14:paraId="19ED2055" w14:textId="4173799C"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The benchmark for comparison is the company WACC –weighted average cost of capital. If the ROCE is greater than the cost of capital, it means that the company is doing well on the face value.</w:t>
      </w:r>
    </w:p>
    <w:p w14:paraId="046917B2" w14:textId="4D028669"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From the table 2 above, there is a decline in the ROCE figure from 2013 to 2017 and actually was negative in 2017 which further investigation needs to be carried out</w:t>
      </w:r>
      <w:r w:rsidR="0082243F">
        <w:rPr>
          <w:color w:val="000000" w:themeColor="text1"/>
          <w:sz w:val="24"/>
          <w:szCs w:val="24"/>
          <w:lang w:val="en-GB"/>
        </w:rPr>
        <w:t xml:space="preserve"> why William Hill has been given declining ROCE for the past five years.</w:t>
      </w:r>
    </w:p>
    <w:p w14:paraId="74EB4A80" w14:textId="573E4C00" w:rsidR="0082243F" w:rsidRDefault="0082243F" w:rsidP="6395FD93">
      <w:pPr>
        <w:pStyle w:val="ListBullet"/>
        <w:numPr>
          <w:ilvl w:val="0"/>
          <w:numId w:val="0"/>
        </w:numPr>
        <w:rPr>
          <w:color w:val="000000" w:themeColor="text1"/>
          <w:sz w:val="24"/>
          <w:szCs w:val="24"/>
          <w:lang w:val="en-GB"/>
        </w:rPr>
      </w:pPr>
      <w:r>
        <w:rPr>
          <w:color w:val="000000" w:themeColor="text1"/>
          <w:sz w:val="24"/>
          <w:szCs w:val="24"/>
          <w:lang w:val="en-GB"/>
        </w:rPr>
        <w:t xml:space="preserve">When compared to Paddy Power BetFair plc which has been given a good returns especially in 2013 , 2014 and 2015 when the merger took place and the company suffered over £300 million in restructuring costs. Nevertheless ROCE was still good at 6.9% in 2016 and 8.6% in 2017. Again there is no sector ROCE to compare these performances with. </w:t>
      </w:r>
    </w:p>
    <w:p w14:paraId="1A468110" w14:textId="482A5F0A" w:rsidR="3C0493CB" w:rsidRDefault="6395FD93" w:rsidP="6395FD93">
      <w:pPr>
        <w:pStyle w:val="ListBullet"/>
        <w:numPr>
          <w:ilvl w:val="0"/>
          <w:numId w:val="0"/>
        </w:numPr>
        <w:rPr>
          <w:color w:val="000000" w:themeColor="text1"/>
          <w:sz w:val="24"/>
          <w:szCs w:val="24"/>
          <w:lang w:val="en-GB"/>
        </w:rPr>
      </w:pPr>
      <w:r w:rsidRPr="00A436DA">
        <w:rPr>
          <w:b/>
          <w:bCs/>
          <w:color w:val="000000" w:themeColor="text1"/>
          <w:sz w:val="24"/>
          <w:szCs w:val="24"/>
          <w:lang w:val="en-GB"/>
        </w:rPr>
        <w:lastRenderedPageBreak/>
        <w:t>Gross Profit margin</w:t>
      </w:r>
      <w:r w:rsidRPr="6395FD93">
        <w:rPr>
          <w:color w:val="000000" w:themeColor="text1"/>
          <w:sz w:val="24"/>
          <w:szCs w:val="24"/>
          <w:lang w:val="en-GB"/>
        </w:rPr>
        <w:t xml:space="preserve"> is another measure of profitability and used to assess the financial performance of a business and is gross profit divided by sales. Thus it is the percentage of revenue left after deducting the cost of sales. William Hill plc GP margin is in the 70</w:t>
      </w:r>
      <w:r w:rsidR="00AB38D0">
        <w:rPr>
          <w:color w:val="000000" w:themeColor="text1"/>
          <w:sz w:val="24"/>
          <w:szCs w:val="24"/>
          <w:lang w:val="en-GB"/>
        </w:rPr>
        <w:t>%</w:t>
      </w:r>
      <w:r w:rsidRPr="6395FD93">
        <w:rPr>
          <w:color w:val="000000" w:themeColor="text1"/>
          <w:sz w:val="24"/>
          <w:szCs w:val="24"/>
          <w:lang w:val="en-GB"/>
        </w:rPr>
        <w:t>s</w:t>
      </w:r>
      <w:r w:rsidR="00AB38D0">
        <w:rPr>
          <w:color w:val="000000" w:themeColor="text1"/>
          <w:sz w:val="24"/>
          <w:szCs w:val="24"/>
          <w:lang w:val="en-GB"/>
        </w:rPr>
        <w:t>, ditto Paddy Power BetFair plc</w:t>
      </w:r>
      <w:r w:rsidRPr="6395FD93">
        <w:rPr>
          <w:color w:val="000000" w:themeColor="text1"/>
          <w:sz w:val="24"/>
          <w:szCs w:val="24"/>
          <w:lang w:val="en-GB"/>
        </w:rPr>
        <w:t xml:space="preserve"> but with a slight dip in 2017. Nevertheless, it is a healthy figure, but further comparison should be made to competitor and industry benchmarks before we can actually say whether this performance is good.</w:t>
      </w:r>
    </w:p>
    <w:p w14:paraId="0E5D5CE8" w14:textId="45CBFA91" w:rsidR="3C0493CB" w:rsidRDefault="6395FD93" w:rsidP="00AB38D0">
      <w:pPr>
        <w:pStyle w:val="ListBullet"/>
        <w:numPr>
          <w:ilvl w:val="0"/>
          <w:numId w:val="0"/>
        </w:numPr>
        <w:ind w:hanging="360"/>
        <w:rPr>
          <w:color w:val="000000" w:themeColor="text1"/>
          <w:sz w:val="24"/>
          <w:szCs w:val="24"/>
          <w:lang w:val="en-GB"/>
        </w:rPr>
      </w:pPr>
      <w:r w:rsidRPr="00A436DA">
        <w:rPr>
          <w:b/>
          <w:bCs/>
          <w:color w:val="000000" w:themeColor="text1"/>
          <w:sz w:val="24"/>
          <w:szCs w:val="24"/>
          <w:lang w:val="en-GB"/>
        </w:rPr>
        <w:t xml:space="preserve">     Net profit margin</w:t>
      </w:r>
      <w:r w:rsidRPr="6395FD93">
        <w:rPr>
          <w:color w:val="000000" w:themeColor="text1"/>
          <w:sz w:val="24"/>
          <w:szCs w:val="24"/>
          <w:lang w:val="en-GB"/>
        </w:rPr>
        <w:t xml:space="preserve"> is the percentage of profit left after all expenses including interest, tax       have been deducted. </w:t>
      </w:r>
      <w:r w:rsidR="00A436DA">
        <w:rPr>
          <w:color w:val="000000" w:themeColor="text1"/>
          <w:sz w:val="24"/>
          <w:szCs w:val="24"/>
          <w:lang w:val="en-GB"/>
        </w:rPr>
        <w:t>This ratio measures the ability of a company to manage downturn in its business</w:t>
      </w:r>
      <w:r w:rsidR="00AB38D0">
        <w:rPr>
          <w:color w:val="000000" w:themeColor="text1"/>
          <w:sz w:val="24"/>
          <w:szCs w:val="24"/>
          <w:lang w:val="en-GB"/>
        </w:rPr>
        <w:t>,</w:t>
      </w:r>
      <w:r w:rsidR="00A436DA">
        <w:rPr>
          <w:color w:val="000000" w:themeColor="text1"/>
          <w:sz w:val="24"/>
          <w:szCs w:val="24"/>
          <w:lang w:val="en-GB"/>
        </w:rPr>
        <w:t xml:space="preserve"> the bigger, the better.  From Table</w:t>
      </w:r>
      <w:r w:rsidR="00AB38D0">
        <w:rPr>
          <w:color w:val="000000" w:themeColor="text1"/>
          <w:sz w:val="24"/>
          <w:szCs w:val="24"/>
          <w:lang w:val="en-GB"/>
        </w:rPr>
        <w:t xml:space="preserve"> 3 and Table 4</w:t>
      </w:r>
      <w:r w:rsidR="00A436DA">
        <w:rPr>
          <w:color w:val="000000" w:themeColor="text1"/>
          <w:sz w:val="24"/>
          <w:szCs w:val="24"/>
          <w:lang w:val="en-GB"/>
        </w:rPr>
        <w:t xml:space="preserve"> </w:t>
      </w:r>
      <w:r w:rsidRPr="6395FD93">
        <w:rPr>
          <w:color w:val="000000" w:themeColor="text1"/>
          <w:sz w:val="24"/>
          <w:szCs w:val="24"/>
          <w:lang w:val="en-GB"/>
        </w:rPr>
        <w:t>William Hill plc has shown decline in its net profit margin from 201</w:t>
      </w:r>
      <w:r w:rsidR="00AB38D0">
        <w:rPr>
          <w:color w:val="000000" w:themeColor="text1"/>
          <w:sz w:val="24"/>
          <w:szCs w:val="24"/>
          <w:lang w:val="en-GB"/>
        </w:rPr>
        <w:t>3</w:t>
      </w:r>
      <w:r w:rsidRPr="6395FD93">
        <w:rPr>
          <w:color w:val="000000" w:themeColor="text1"/>
          <w:sz w:val="24"/>
          <w:szCs w:val="24"/>
          <w:lang w:val="en-GB"/>
        </w:rPr>
        <w:t xml:space="preserve"> to 2017. This needs further investigation as it actually turned negative in 2017</w:t>
      </w:r>
      <w:r w:rsidR="00AB38D0">
        <w:rPr>
          <w:color w:val="000000" w:themeColor="text1"/>
          <w:sz w:val="24"/>
          <w:szCs w:val="24"/>
          <w:lang w:val="en-GB"/>
        </w:rPr>
        <w:t xml:space="preserve"> to 4.9%</w:t>
      </w:r>
      <w:r w:rsidRPr="6395FD93">
        <w:rPr>
          <w:color w:val="000000" w:themeColor="text1"/>
          <w:sz w:val="24"/>
          <w:szCs w:val="24"/>
          <w:lang w:val="en-GB"/>
        </w:rPr>
        <w:t>. Expenses of William Hill needs to be investigated to find out what is responsible for the lack of control over costs within the business. These figures should be compared to the compe</w:t>
      </w:r>
      <w:r w:rsidR="00AB38D0">
        <w:rPr>
          <w:color w:val="000000" w:themeColor="text1"/>
          <w:sz w:val="24"/>
          <w:szCs w:val="24"/>
          <w:lang w:val="en-GB"/>
        </w:rPr>
        <w:t>titor and the sector in which William Hill plc</w:t>
      </w:r>
      <w:r w:rsidRPr="6395FD93">
        <w:rPr>
          <w:color w:val="000000" w:themeColor="text1"/>
          <w:sz w:val="24"/>
          <w:szCs w:val="24"/>
          <w:lang w:val="en-GB"/>
        </w:rPr>
        <w:t xml:space="preserve"> operates. </w:t>
      </w:r>
    </w:p>
    <w:p w14:paraId="440E3CF8" w14:textId="595F16A5" w:rsidR="3C0493CB" w:rsidRDefault="6395FD93" w:rsidP="6395FD93">
      <w:pPr>
        <w:pStyle w:val="ListBullet"/>
        <w:numPr>
          <w:ilvl w:val="0"/>
          <w:numId w:val="0"/>
        </w:numPr>
        <w:rPr>
          <w:color w:val="000000" w:themeColor="text1"/>
          <w:sz w:val="24"/>
          <w:szCs w:val="24"/>
          <w:lang w:val="en-GB"/>
        </w:rPr>
      </w:pPr>
      <w:r w:rsidRPr="00A436DA">
        <w:rPr>
          <w:b/>
          <w:bCs/>
          <w:color w:val="000000" w:themeColor="text1"/>
          <w:sz w:val="24"/>
          <w:szCs w:val="24"/>
          <w:lang w:val="en-GB"/>
        </w:rPr>
        <w:t>Operating profit margin</w:t>
      </w:r>
      <w:r w:rsidRPr="6395FD93">
        <w:rPr>
          <w:color w:val="000000" w:themeColor="text1"/>
          <w:sz w:val="24"/>
          <w:szCs w:val="24"/>
          <w:lang w:val="en-GB"/>
        </w:rPr>
        <w:t xml:space="preserve"> is another measure of profitability which tries to find out how much is left over after taking into consideration the cost of sales and operating expenses. Also, this figure has been dropping from 201</w:t>
      </w:r>
      <w:r w:rsidR="00AB38D0">
        <w:rPr>
          <w:color w:val="000000" w:themeColor="text1"/>
          <w:sz w:val="24"/>
          <w:szCs w:val="24"/>
          <w:lang w:val="en-GB"/>
        </w:rPr>
        <w:t>3</w:t>
      </w:r>
      <w:r w:rsidRPr="6395FD93">
        <w:rPr>
          <w:color w:val="000000" w:themeColor="text1"/>
          <w:sz w:val="24"/>
          <w:szCs w:val="24"/>
          <w:lang w:val="en-GB"/>
        </w:rPr>
        <w:t xml:space="preserve"> to 2017</w:t>
      </w:r>
      <w:r w:rsidR="00AB38D0">
        <w:rPr>
          <w:color w:val="000000" w:themeColor="text1"/>
          <w:sz w:val="24"/>
          <w:szCs w:val="24"/>
          <w:lang w:val="en-GB"/>
        </w:rPr>
        <w:t>for William Hill plc</w:t>
      </w:r>
      <w:r w:rsidRPr="6395FD93">
        <w:rPr>
          <w:color w:val="000000" w:themeColor="text1"/>
          <w:sz w:val="24"/>
          <w:szCs w:val="24"/>
          <w:lang w:val="en-GB"/>
        </w:rPr>
        <w:t xml:space="preserve"> and actually dipped to negative in 2017. This needs further investigation to find out the reason. Despite getting a healthy GP margin, it can only be attributed to lack of control over operating expenses. Nevertheless, this needs to be further investigated and compared to the competitors and the travel and leisure sector before we can have complete picture of situation.</w:t>
      </w:r>
    </w:p>
    <w:p w14:paraId="7886A478" w14:textId="77777777" w:rsidR="001C4E4A" w:rsidRDefault="6395FD93" w:rsidP="6395FD93">
      <w:pPr>
        <w:pStyle w:val="ListBullet"/>
        <w:numPr>
          <w:ilvl w:val="0"/>
          <w:numId w:val="0"/>
        </w:numPr>
        <w:ind w:left="-360"/>
        <w:rPr>
          <w:b/>
          <w:bCs/>
          <w:color w:val="000000" w:themeColor="text1"/>
          <w:sz w:val="24"/>
          <w:szCs w:val="24"/>
          <w:lang w:val="en-GB"/>
        </w:rPr>
      </w:pPr>
      <w:r w:rsidRPr="6395FD93">
        <w:rPr>
          <w:b/>
          <w:bCs/>
          <w:color w:val="000000" w:themeColor="text1"/>
          <w:sz w:val="24"/>
          <w:szCs w:val="24"/>
          <w:lang w:val="en-GB"/>
        </w:rPr>
        <w:t xml:space="preserve">     </w:t>
      </w:r>
    </w:p>
    <w:p w14:paraId="64551761" w14:textId="77777777" w:rsidR="001C4E4A" w:rsidRDefault="001C4E4A" w:rsidP="6395FD93">
      <w:pPr>
        <w:pStyle w:val="ListBullet"/>
        <w:numPr>
          <w:ilvl w:val="0"/>
          <w:numId w:val="0"/>
        </w:numPr>
        <w:ind w:left="-360"/>
        <w:rPr>
          <w:b/>
          <w:bCs/>
          <w:color w:val="000000" w:themeColor="text1"/>
          <w:sz w:val="24"/>
          <w:szCs w:val="24"/>
          <w:lang w:val="en-GB"/>
        </w:rPr>
      </w:pPr>
    </w:p>
    <w:p w14:paraId="5721FA98" w14:textId="77777777" w:rsidR="001C4E4A" w:rsidRDefault="001C4E4A" w:rsidP="6395FD93">
      <w:pPr>
        <w:pStyle w:val="ListBullet"/>
        <w:numPr>
          <w:ilvl w:val="0"/>
          <w:numId w:val="0"/>
        </w:numPr>
        <w:ind w:left="-360"/>
        <w:rPr>
          <w:b/>
          <w:bCs/>
          <w:color w:val="000000" w:themeColor="text1"/>
          <w:sz w:val="24"/>
          <w:szCs w:val="24"/>
          <w:lang w:val="en-GB"/>
        </w:rPr>
      </w:pPr>
    </w:p>
    <w:p w14:paraId="06C30ED6" w14:textId="77777777" w:rsidR="001C4E4A" w:rsidRDefault="001C4E4A" w:rsidP="6395FD93">
      <w:pPr>
        <w:pStyle w:val="ListBullet"/>
        <w:numPr>
          <w:ilvl w:val="0"/>
          <w:numId w:val="0"/>
        </w:numPr>
        <w:ind w:left="-360"/>
        <w:rPr>
          <w:b/>
          <w:bCs/>
          <w:color w:val="000000" w:themeColor="text1"/>
          <w:sz w:val="24"/>
          <w:szCs w:val="24"/>
          <w:lang w:val="en-GB"/>
        </w:rPr>
      </w:pPr>
    </w:p>
    <w:p w14:paraId="372A0B8C" w14:textId="77777777" w:rsidR="001C4E4A" w:rsidRDefault="001C4E4A" w:rsidP="6395FD93">
      <w:pPr>
        <w:pStyle w:val="ListBullet"/>
        <w:numPr>
          <w:ilvl w:val="0"/>
          <w:numId w:val="0"/>
        </w:numPr>
        <w:ind w:left="-360"/>
        <w:rPr>
          <w:b/>
          <w:bCs/>
          <w:color w:val="000000" w:themeColor="text1"/>
          <w:sz w:val="24"/>
          <w:szCs w:val="24"/>
          <w:lang w:val="en-GB"/>
        </w:rPr>
      </w:pPr>
    </w:p>
    <w:p w14:paraId="11FC15FA" w14:textId="386F8CA9" w:rsidR="001C4E4A" w:rsidRDefault="001C4E4A" w:rsidP="6395FD93">
      <w:pPr>
        <w:pStyle w:val="ListBullet"/>
        <w:numPr>
          <w:ilvl w:val="0"/>
          <w:numId w:val="0"/>
        </w:numPr>
        <w:ind w:left="-360"/>
        <w:rPr>
          <w:b/>
          <w:bCs/>
          <w:color w:val="000000" w:themeColor="text1"/>
          <w:sz w:val="24"/>
          <w:szCs w:val="24"/>
          <w:lang w:val="en-GB"/>
        </w:rPr>
      </w:pPr>
    </w:p>
    <w:p w14:paraId="2A73F9F3" w14:textId="22AB91CE" w:rsidR="00583A5F" w:rsidRDefault="00583A5F" w:rsidP="6395FD93">
      <w:pPr>
        <w:pStyle w:val="ListBullet"/>
        <w:numPr>
          <w:ilvl w:val="0"/>
          <w:numId w:val="0"/>
        </w:numPr>
        <w:ind w:left="-360"/>
        <w:rPr>
          <w:b/>
          <w:bCs/>
          <w:color w:val="000000" w:themeColor="text1"/>
          <w:sz w:val="24"/>
          <w:szCs w:val="24"/>
          <w:lang w:val="en-GB"/>
        </w:rPr>
      </w:pPr>
    </w:p>
    <w:p w14:paraId="2B05430F" w14:textId="03863B09" w:rsidR="00583A5F" w:rsidRDefault="00583A5F" w:rsidP="6395FD93">
      <w:pPr>
        <w:pStyle w:val="ListBullet"/>
        <w:numPr>
          <w:ilvl w:val="0"/>
          <w:numId w:val="0"/>
        </w:numPr>
        <w:ind w:left="-360"/>
        <w:rPr>
          <w:b/>
          <w:bCs/>
          <w:color w:val="000000" w:themeColor="text1"/>
          <w:sz w:val="24"/>
          <w:szCs w:val="24"/>
          <w:lang w:val="en-GB"/>
        </w:rPr>
      </w:pPr>
    </w:p>
    <w:p w14:paraId="4F937CA5" w14:textId="77777777" w:rsidR="00583A5F" w:rsidRDefault="00583A5F" w:rsidP="6395FD93">
      <w:pPr>
        <w:pStyle w:val="ListBullet"/>
        <w:numPr>
          <w:ilvl w:val="0"/>
          <w:numId w:val="0"/>
        </w:numPr>
        <w:ind w:left="-360"/>
        <w:rPr>
          <w:b/>
          <w:bCs/>
          <w:color w:val="000000" w:themeColor="text1"/>
          <w:sz w:val="24"/>
          <w:szCs w:val="24"/>
          <w:lang w:val="en-GB"/>
        </w:rPr>
      </w:pPr>
    </w:p>
    <w:p w14:paraId="43391280" w14:textId="77777777" w:rsidR="001C4E4A" w:rsidRDefault="001C4E4A" w:rsidP="6395FD93">
      <w:pPr>
        <w:pStyle w:val="ListBullet"/>
        <w:numPr>
          <w:ilvl w:val="0"/>
          <w:numId w:val="0"/>
        </w:numPr>
        <w:ind w:left="-360"/>
        <w:rPr>
          <w:b/>
          <w:bCs/>
          <w:color w:val="000000" w:themeColor="text1"/>
          <w:sz w:val="24"/>
          <w:szCs w:val="24"/>
          <w:lang w:val="en-GB"/>
        </w:rPr>
      </w:pPr>
    </w:p>
    <w:p w14:paraId="23814F35" w14:textId="77777777" w:rsidR="001C4E4A" w:rsidRDefault="001C4E4A" w:rsidP="6395FD93">
      <w:pPr>
        <w:pStyle w:val="ListBullet"/>
        <w:numPr>
          <w:ilvl w:val="0"/>
          <w:numId w:val="0"/>
        </w:numPr>
        <w:ind w:left="-360"/>
        <w:rPr>
          <w:b/>
          <w:bCs/>
          <w:color w:val="000000" w:themeColor="text1"/>
          <w:sz w:val="24"/>
          <w:szCs w:val="24"/>
          <w:lang w:val="en-GB"/>
        </w:rPr>
      </w:pPr>
    </w:p>
    <w:p w14:paraId="2F75E335" w14:textId="77777777" w:rsidR="001C4E4A" w:rsidRDefault="001C4E4A" w:rsidP="6395FD93">
      <w:pPr>
        <w:pStyle w:val="ListBullet"/>
        <w:numPr>
          <w:ilvl w:val="0"/>
          <w:numId w:val="0"/>
        </w:numPr>
        <w:ind w:left="-360"/>
        <w:rPr>
          <w:b/>
          <w:bCs/>
          <w:color w:val="000000" w:themeColor="text1"/>
          <w:sz w:val="24"/>
          <w:szCs w:val="24"/>
          <w:lang w:val="en-GB"/>
        </w:rPr>
      </w:pPr>
    </w:p>
    <w:p w14:paraId="1071FDB6" w14:textId="77777777" w:rsidR="001C4E4A" w:rsidRDefault="001C4E4A" w:rsidP="6395FD93">
      <w:pPr>
        <w:pStyle w:val="ListBullet"/>
        <w:numPr>
          <w:ilvl w:val="0"/>
          <w:numId w:val="0"/>
        </w:numPr>
        <w:ind w:left="-360"/>
        <w:rPr>
          <w:b/>
          <w:bCs/>
          <w:color w:val="000000" w:themeColor="text1"/>
          <w:sz w:val="24"/>
          <w:szCs w:val="24"/>
          <w:lang w:val="en-GB"/>
        </w:rPr>
      </w:pPr>
    </w:p>
    <w:p w14:paraId="50B0463F" w14:textId="06132E9B" w:rsidR="0B52BBBE" w:rsidRDefault="001C4E4A" w:rsidP="6395FD93">
      <w:pPr>
        <w:pStyle w:val="ListBullet"/>
        <w:numPr>
          <w:ilvl w:val="0"/>
          <w:numId w:val="0"/>
        </w:numPr>
        <w:ind w:left="-360"/>
        <w:rPr>
          <w:b/>
          <w:bCs/>
          <w:color w:val="000000" w:themeColor="text1"/>
          <w:sz w:val="24"/>
          <w:szCs w:val="24"/>
          <w:lang w:val="en-GB"/>
        </w:rPr>
      </w:pPr>
      <w:r>
        <w:rPr>
          <w:b/>
          <w:bCs/>
          <w:color w:val="000000" w:themeColor="text1"/>
          <w:sz w:val="24"/>
          <w:szCs w:val="24"/>
          <w:lang w:val="en-GB"/>
        </w:rPr>
        <w:lastRenderedPageBreak/>
        <w:t xml:space="preserve">     </w:t>
      </w:r>
      <w:r w:rsidR="6395FD93" w:rsidRPr="6395FD93">
        <w:rPr>
          <w:b/>
          <w:bCs/>
          <w:color w:val="000000" w:themeColor="text1"/>
          <w:sz w:val="24"/>
          <w:szCs w:val="24"/>
          <w:lang w:val="en-GB"/>
        </w:rPr>
        <w:t>LIQUIDITY RATIOS</w:t>
      </w:r>
    </w:p>
    <w:p w14:paraId="03E9CFA1" w14:textId="345F8352" w:rsidR="0B52BBBE"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5</w:t>
      </w:r>
      <w:r w:rsidRPr="6395FD93">
        <w:rPr>
          <w:b/>
          <w:bCs/>
          <w:color w:val="000000" w:themeColor="text1"/>
          <w:sz w:val="24"/>
          <w:szCs w:val="24"/>
          <w:lang w:val="en-GB"/>
        </w:rPr>
        <w:t>: Current Ratio, Acid Test Ratio</w:t>
      </w:r>
    </w:p>
    <w:tbl>
      <w:tblPr>
        <w:tblStyle w:val="GridTable1Light-Accent1"/>
        <w:tblW w:w="9360" w:type="dxa"/>
        <w:tblLayout w:type="fixed"/>
        <w:tblLook w:val="06A0" w:firstRow="1" w:lastRow="0" w:firstColumn="1" w:lastColumn="0" w:noHBand="1" w:noVBand="1"/>
      </w:tblPr>
      <w:tblGrid>
        <w:gridCol w:w="2325"/>
        <w:gridCol w:w="1365"/>
        <w:gridCol w:w="1410"/>
        <w:gridCol w:w="1425"/>
        <w:gridCol w:w="1425"/>
        <w:gridCol w:w="1410"/>
      </w:tblGrid>
      <w:tr w:rsidR="5C7EFC97" w14:paraId="6AC0863B" w14:textId="77777777" w:rsidTr="005F52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5" w:type="dxa"/>
          </w:tcPr>
          <w:p w14:paraId="6B2ECD5E" w14:textId="695D06E4" w:rsidR="5C7EFC97" w:rsidRDefault="6395FD93" w:rsidP="6395FD93">
            <w:pPr>
              <w:rPr>
                <w:color w:val="000000" w:themeColor="text1"/>
                <w:sz w:val="24"/>
                <w:szCs w:val="24"/>
                <w:lang w:val="en-GB"/>
              </w:rPr>
            </w:pPr>
            <w:r w:rsidRPr="6395FD93">
              <w:rPr>
                <w:color w:val="000000" w:themeColor="text1"/>
                <w:sz w:val="24"/>
                <w:szCs w:val="24"/>
                <w:lang w:val="en-GB"/>
              </w:rPr>
              <w:t>William Hill Plc</w:t>
            </w:r>
          </w:p>
        </w:tc>
        <w:tc>
          <w:tcPr>
            <w:tcW w:w="1365" w:type="dxa"/>
          </w:tcPr>
          <w:p w14:paraId="29512B3E" w14:textId="0C893E9D"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2017</w:t>
            </w:r>
          </w:p>
        </w:tc>
        <w:tc>
          <w:tcPr>
            <w:tcW w:w="1410" w:type="dxa"/>
          </w:tcPr>
          <w:p w14:paraId="44C4063F" w14:textId="17AF4225"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2016</w:t>
            </w:r>
          </w:p>
        </w:tc>
        <w:tc>
          <w:tcPr>
            <w:tcW w:w="1425" w:type="dxa"/>
          </w:tcPr>
          <w:p w14:paraId="73318BFF" w14:textId="148B5AD1"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2015</w:t>
            </w:r>
          </w:p>
        </w:tc>
        <w:tc>
          <w:tcPr>
            <w:tcW w:w="1425" w:type="dxa"/>
          </w:tcPr>
          <w:p w14:paraId="35A0835E" w14:textId="71BB7DDF"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2014</w:t>
            </w:r>
          </w:p>
        </w:tc>
        <w:tc>
          <w:tcPr>
            <w:tcW w:w="1410" w:type="dxa"/>
          </w:tcPr>
          <w:p w14:paraId="7BAF800C" w14:textId="7E1B9AD5"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2013</w:t>
            </w:r>
          </w:p>
        </w:tc>
      </w:tr>
      <w:tr w:rsidR="5C7EFC97" w14:paraId="2F512603" w14:textId="77777777" w:rsidTr="005F521D">
        <w:tc>
          <w:tcPr>
            <w:cnfStyle w:val="001000000000" w:firstRow="0" w:lastRow="0" w:firstColumn="1" w:lastColumn="0" w:oddVBand="0" w:evenVBand="0" w:oddHBand="0" w:evenHBand="0" w:firstRowFirstColumn="0" w:firstRowLastColumn="0" w:lastRowFirstColumn="0" w:lastRowLastColumn="0"/>
            <w:tcW w:w="2325" w:type="dxa"/>
          </w:tcPr>
          <w:p w14:paraId="7007D423" w14:textId="3DF41916" w:rsidR="5C7EFC97" w:rsidRDefault="6395FD93" w:rsidP="6395FD93">
            <w:pPr>
              <w:rPr>
                <w:color w:val="000000" w:themeColor="text1"/>
                <w:sz w:val="24"/>
                <w:szCs w:val="24"/>
                <w:lang w:val="en-GB"/>
              </w:rPr>
            </w:pPr>
            <w:r w:rsidRPr="6395FD93">
              <w:rPr>
                <w:b w:val="0"/>
                <w:bCs w:val="0"/>
                <w:color w:val="000000" w:themeColor="text1"/>
                <w:sz w:val="24"/>
                <w:szCs w:val="24"/>
                <w:lang w:val="en-GB"/>
              </w:rPr>
              <w:t>Current Ratio</w:t>
            </w:r>
          </w:p>
        </w:tc>
        <w:tc>
          <w:tcPr>
            <w:tcW w:w="1365" w:type="dxa"/>
          </w:tcPr>
          <w:p w14:paraId="2A558A0B" w14:textId="3092088E" w:rsidR="5C7EFC97" w:rsidRDefault="7D0B0F65"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D0B0F65">
              <w:rPr>
                <w:color w:val="000000" w:themeColor="text1"/>
                <w:sz w:val="24"/>
                <w:szCs w:val="24"/>
                <w:lang w:val="en-GB"/>
              </w:rPr>
              <w:t>0.82:1</w:t>
            </w:r>
          </w:p>
        </w:tc>
        <w:tc>
          <w:tcPr>
            <w:tcW w:w="1410" w:type="dxa"/>
          </w:tcPr>
          <w:p w14:paraId="761F43CF" w14:textId="197119D2" w:rsidR="5C7EFC97" w:rsidRDefault="7D0B0F65"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D0B0F65">
              <w:rPr>
                <w:color w:val="000000" w:themeColor="text1"/>
                <w:sz w:val="24"/>
                <w:szCs w:val="24"/>
                <w:lang w:val="en-GB"/>
              </w:rPr>
              <w:t>0.71:1</w:t>
            </w:r>
          </w:p>
        </w:tc>
        <w:tc>
          <w:tcPr>
            <w:tcW w:w="1425" w:type="dxa"/>
          </w:tcPr>
          <w:p w14:paraId="31C42230" w14:textId="2C600838" w:rsidR="5C7EFC97" w:rsidRDefault="7D0B0F65"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D0B0F65">
              <w:rPr>
                <w:color w:val="000000" w:themeColor="text1"/>
                <w:sz w:val="24"/>
                <w:szCs w:val="24"/>
                <w:lang w:val="en-GB"/>
              </w:rPr>
              <w:t>0.52:1</w:t>
            </w:r>
          </w:p>
        </w:tc>
        <w:tc>
          <w:tcPr>
            <w:tcW w:w="1425" w:type="dxa"/>
          </w:tcPr>
          <w:p w14:paraId="785724E2" w14:textId="75276DB0" w:rsidR="5C7EFC97" w:rsidRDefault="7D0B0F65"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D0B0F65">
              <w:rPr>
                <w:color w:val="000000" w:themeColor="text1"/>
                <w:sz w:val="24"/>
                <w:szCs w:val="24"/>
                <w:lang w:val="en-GB"/>
              </w:rPr>
              <w:t>0.76:1</w:t>
            </w:r>
          </w:p>
        </w:tc>
        <w:tc>
          <w:tcPr>
            <w:tcW w:w="1410" w:type="dxa"/>
          </w:tcPr>
          <w:p w14:paraId="7F984725" w14:textId="0A4014A6" w:rsidR="5C7EFC97" w:rsidRDefault="448510AD"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48510AD">
              <w:rPr>
                <w:color w:val="000000" w:themeColor="text1"/>
                <w:sz w:val="24"/>
                <w:szCs w:val="24"/>
                <w:lang w:val="en-GB"/>
              </w:rPr>
              <w:t>0.83:1</w:t>
            </w:r>
          </w:p>
        </w:tc>
      </w:tr>
      <w:tr w:rsidR="00FE01C8" w14:paraId="77C9A96A" w14:textId="77777777" w:rsidTr="005F521D">
        <w:tc>
          <w:tcPr>
            <w:cnfStyle w:val="001000000000" w:firstRow="0" w:lastRow="0" w:firstColumn="1" w:lastColumn="0" w:oddVBand="0" w:evenVBand="0" w:oddHBand="0" w:evenHBand="0" w:firstRowFirstColumn="0" w:firstRowLastColumn="0" w:lastRowFirstColumn="0" w:lastRowLastColumn="0"/>
            <w:tcW w:w="2325" w:type="dxa"/>
          </w:tcPr>
          <w:p w14:paraId="13E8F660" w14:textId="07572430" w:rsidR="00FE01C8" w:rsidRDefault="00FE01C8" w:rsidP="00FE01C8">
            <w:pPr>
              <w:spacing w:after="120" w:line="259" w:lineRule="auto"/>
              <w:rPr>
                <w:color w:val="000000" w:themeColor="text1"/>
                <w:sz w:val="24"/>
                <w:szCs w:val="24"/>
                <w:lang w:val="en-GB"/>
              </w:rPr>
            </w:pPr>
            <w:r w:rsidRPr="6395FD93">
              <w:rPr>
                <w:b w:val="0"/>
                <w:bCs w:val="0"/>
                <w:color w:val="000000" w:themeColor="text1"/>
                <w:sz w:val="24"/>
                <w:szCs w:val="24"/>
                <w:lang w:val="en-GB"/>
              </w:rPr>
              <w:t>Acid Test ratio</w:t>
            </w:r>
          </w:p>
        </w:tc>
        <w:tc>
          <w:tcPr>
            <w:tcW w:w="1365" w:type="dxa"/>
          </w:tcPr>
          <w:p w14:paraId="216E20A8" w14:textId="59E41B0B" w:rsidR="00FE01C8" w:rsidRDefault="00FE01C8"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0.82:1</w:t>
            </w:r>
          </w:p>
        </w:tc>
        <w:tc>
          <w:tcPr>
            <w:tcW w:w="1410" w:type="dxa"/>
          </w:tcPr>
          <w:p w14:paraId="63D37BC3" w14:textId="1EEE4B17" w:rsidR="00FE01C8" w:rsidRDefault="00FE01C8"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0.71:1</w:t>
            </w:r>
          </w:p>
        </w:tc>
        <w:tc>
          <w:tcPr>
            <w:tcW w:w="1425" w:type="dxa"/>
          </w:tcPr>
          <w:p w14:paraId="4B76CF3B" w14:textId="36C37FE2" w:rsidR="00FE01C8" w:rsidRDefault="00FE01C8"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0.52:1</w:t>
            </w:r>
          </w:p>
        </w:tc>
        <w:tc>
          <w:tcPr>
            <w:tcW w:w="1425" w:type="dxa"/>
          </w:tcPr>
          <w:p w14:paraId="49DE9102" w14:textId="050DC25E" w:rsidR="00FE01C8" w:rsidRDefault="00FE01C8"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0.76:1</w:t>
            </w:r>
          </w:p>
        </w:tc>
        <w:tc>
          <w:tcPr>
            <w:tcW w:w="1410" w:type="dxa"/>
          </w:tcPr>
          <w:p w14:paraId="2CE910EE" w14:textId="7BE64BA3" w:rsidR="00FE01C8" w:rsidRDefault="00FE01C8"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0.83:1</w:t>
            </w:r>
          </w:p>
        </w:tc>
      </w:tr>
      <w:tr w:rsidR="00FE01C8" w14:paraId="2C5ADABA" w14:textId="77777777" w:rsidTr="005F521D">
        <w:tc>
          <w:tcPr>
            <w:cnfStyle w:val="001000000000" w:firstRow="0" w:lastRow="0" w:firstColumn="1" w:lastColumn="0" w:oddVBand="0" w:evenVBand="0" w:oddHBand="0" w:evenHBand="0" w:firstRowFirstColumn="0" w:firstRowLastColumn="0" w:lastRowFirstColumn="0" w:lastRowLastColumn="0"/>
            <w:tcW w:w="2325" w:type="dxa"/>
          </w:tcPr>
          <w:p w14:paraId="1E2F1D22" w14:textId="4796CF43" w:rsidR="00FE01C8" w:rsidRDefault="0063712D" w:rsidP="00FE01C8">
            <w:pPr>
              <w:rPr>
                <w:b w:val="0"/>
                <w:bCs w:val="0"/>
                <w:color w:val="000000" w:themeColor="text1"/>
                <w:sz w:val="24"/>
                <w:szCs w:val="24"/>
                <w:lang w:val="en-GB"/>
              </w:rPr>
            </w:pPr>
            <w:r>
              <w:rPr>
                <w:b w:val="0"/>
                <w:bCs w:val="0"/>
                <w:color w:val="000000" w:themeColor="text1"/>
                <w:sz w:val="24"/>
                <w:szCs w:val="24"/>
                <w:lang w:val="en-GB"/>
              </w:rPr>
              <w:t>Cash Ratio</w:t>
            </w:r>
          </w:p>
        </w:tc>
        <w:tc>
          <w:tcPr>
            <w:tcW w:w="1365" w:type="dxa"/>
          </w:tcPr>
          <w:p w14:paraId="107D73B3" w14:textId="2AB11D30" w:rsidR="00FE01C8" w:rsidRDefault="164FDE3C"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0.66</w:t>
            </w:r>
          </w:p>
        </w:tc>
        <w:tc>
          <w:tcPr>
            <w:tcW w:w="1410" w:type="dxa"/>
          </w:tcPr>
          <w:p w14:paraId="37CC6568" w14:textId="08B45195" w:rsidR="00FE01C8" w:rsidRDefault="164FDE3C"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0.53</w:t>
            </w:r>
          </w:p>
        </w:tc>
        <w:tc>
          <w:tcPr>
            <w:tcW w:w="1425" w:type="dxa"/>
          </w:tcPr>
          <w:p w14:paraId="375B1648" w14:textId="5FA36CC7" w:rsidR="00FE01C8" w:rsidRDefault="164FDE3C"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0.43</w:t>
            </w:r>
          </w:p>
        </w:tc>
        <w:tc>
          <w:tcPr>
            <w:tcW w:w="1425" w:type="dxa"/>
          </w:tcPr>
          <w:p w14:paraId="3C729748" w14:textId="6BF79F2D" w:rsidR="00FE01C8" w:rsidRDefault="164FDE3C"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0.60</w:t>
            </w:r>
          </w:p>
        </w:tc>
        <w:tc>
          <w:tcPr>
            <w:tcW w:w="1410" w:type="dxa"/>
          </w:tcPr>
          <w:p w14:paraId="132277CE" w14:textId="2095C8A5" w:rsidR="00FE01C8" w:rsidRDefault="164FDE3C" w:rsidP="00FE01C8">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0.63</w:t>
            </w:r>
          </w:p>
        </w:tc>
      </w:tr>
    </w:tbl>
    <w:p w14:paraId="1AA3C88F" w14:textId="344AB328" w:rsidR="008F626B" w:rsidRPr="00126383" w:rsidRDefault="008F626B" w:rsidP="008F626B">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Annual Financial reports of William Hill plc</w:t>
      </w:r>
    </w:p>
    <w:p w14:paraId="7039BAEC" w14:textId="10DDB44C" w:rsidR="00554980" w:rsidRDefault="00554980" w:rsidP="00554980">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6</w:t>
      </w:r>
      <w:r w:rsidRPr="6395FD93">
        <w:rPr>
          <w:b/>
          <w:bCs/>
          <w:color w:val="000000" w:themeColor="text1"/>
          <w:sz w:val="24"/>
          <w:szCs w:val="24"/>
          <w:lang w:val="en-GB"/>
        </w:rPr>
        <w:t>:</w:t>
      </w:r>
      <w:r w:rsidR="00F8775B">
        <w:rPr>
          <w:b/>
          <w:bCs/>
          <w:color w:val="000000" w:themeColor="text1"/>
          <w:sz w:val="24"/>
          <w:szCs w:val="24"/>
          <w:lang w:val="en-GB"/>
        </w:rPr>
        <w:t xml:space="preserve"> Current Ratio, Acid Test Ratio</w:t>
      </w:r>
    </w:p>
    <w:tbl>
      <w:tblPr>
        <w:tblStyle w:val="GridTable1Light-Accent1"/>
        <w:tblW w:w="9360" w:type="dxa"/>
        <w:tblLayout w:type="fixed"/>
        <w:tblLook w:val="06A0" w:firstRow="1" w:lastRow="0" w:firstColumn="1" w:lastColumn="0" w:noHBand="1" w:noVBand="1"/>
      </w:tblPr>
      <w:tblGrid>
        <w:gridCol w:w="2325"/>
        <w:gridCol w:w="1365"/>
        <w:gridCol w:w="1410"/>
        <w:gridCol w:w="1425"/>
        <w:gridCol w:w="1425"/>
        <w:gridCol w:w="1410"/>
      </w:tblGrid>
      <w:tr w:rsidR="00554980" w14:paraId="0D44177A" w14:textId="77777777" w:rsidTr="00A96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5" w:type="dxa"/>
          </w:tcPr>
          <w:p w14:paraId="71C4F481" w14:textId="77777777" w:rsidR="00554980" w:rsidRDefault="00554980" w:rsidP="00A9655B">
            <w:pPr>
              <w:rPr>
                <w:color w:val="000000" w:themeColor="text1"/>
                <w:sz w:val="24"/>
                <w:szCs w:val="24"/>
                <w:lang w:val="en-GB"/>
              </w:rPr>
            </w:pPr>
            <w:r w:rsidRPr="6395FD93">
              <w:rPr>
                <w:color w:val="000000" w:themeColor="text1"/>
                <w:sz w:val="24"/>
                <w:szCs w:val="24"/>
                <w:lang w:val="en-GB"/>
              </w:rPr>
              <w:t>Paddy Power BetFair Plc</w:t>
            </w:r>
          </w:p>
        </w:tc>
        <w:tc>
          <w:tcPr>
            <w:tcW w:w="1365" w:type="dxa"/>
          </w:tcPr>
          <w:p w14:paraId="2BE4F3F9"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2017</w:t>
            </w:r>
          </w:p>
        </w:tc>
        <w:tc>
          <w:tcPr>
            <w:tcW w:w="1410" w:type="dxa"/>
          </w:tcPr>
          <w:p w14:paraId="09705BB8"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2016</w:t>
            </w:r>
          </w:p>
        </w:tc>
        <w:tc>
          <w:tcPr>
            <w:tcW w:w="1425" w:type="dxa"/>
          </w:tcPr>
          <w:p w14:paraId="367B6787"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2015</w:t>
            </w:r>
          </w:p>
        </w:tc>
        <w:tc>
          <w:tcPr>
            <w:tcW w:w="1425" w:type="dxa"/>
          </w:tcPr>
          <w:p w14:paraId="373F7D09"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2014</w:t>
            </w:r>
          </w:p>
        </w:tc>
        <w:tc>
          <w:tcPr>
            <w:tcW w:w="1410" w:type="dxa"/>
          </w:tcPr>
          <w:p w14:paraId="19AC97B1"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2013</w:t>
            </w:r>
          </w:p>
        </w:tc>
      </w:tr>
      <w:tr w:rsidR="00554980" w14:paraId="43A95BC7" w14:textId="77777777" w:rsidTr="00A9655B">
        <w:tc>
          <w:tcPr>
            <w:cnfStyle w:val="001000000000" w:firstRow="0" w:lastRow="0" w:firstColumn="1" w:lastColumn="0" w:oddVBand="0" w:evenVBand="0" w:oddHBand="0" w:evenHBand="0" w:firstRowFirstColumn="0" w:firstRowLastColumn="0" w:lastRowFirstColumn="0" w:lastRowLastColumn="0"/>
            <w:tcW w:w="2325" w:type="dxa"/>
          </w:tcPr>
          <w:p w14:paraId="08456350"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Current Ratio</w:t>
            </w:r>
          </w:p>
        </w:tc>
        <w:tc>
          <w:tcPr>
            <w:tcW w:w="1365" w:type="dxa"/>
          </w:tcPr>
          <w:p w14:paraId="68FFAC2E" w14:textId="6409E892"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1.12:1</w:t>
            </w:r>
          </w:p>
        </w:tc>
        <w:tc>
          <w:tcPr>
            <w:tcW w:w="1410" w:type="dxa"/>
          </w:tcPr>
          <w:p w14:paraId="337D62CA" w14:textId="1BC730CD"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0.99:1</w:t>
            </w:r>
          </w:p>
        </w:tc>
        <w:tc>
          <w:tcPr>
            <w:tcW w:w="1425" w:type="dxa"/>
          </w:tcPr>
          <w:p w14:paraId="6C439F72" w14:textId="176B210A"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0.82:1</w:t>
            </w:r>
          </w:p>
        </w:tc>
        <w:tc>
          <w:tcPr>
            <w:tcW w:w="1425" w:type="dxa"/>
          </w:tcPr>
          <w:p w14:paraId="7948BDDD" w14:textId="7CC910E4"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1.34:1</w:t>
            </w:r>
          </w:p>
        </w:tc>
        <w:tc>
          <w:tcPr>
            <w:tcW w:w="1410" w:type="dxa"/>
          </w:tcPr>
          <w:p w14:paraId="76A8C563" w14:textId="35655419" w:rsidR="00554980" w:rsidRDefault="39A5C819"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9A5C819">
              <w:rPr>
                <w:color w:val="000000" w:themeColor="text1"/>
                <w:sz w:val="24"/>
                <w:szCs w:val="24"/>
                <w:lang w:val="en-GB"/>
              </w:rPr>
              <w:t>1.17:1</w:t>
            </w:r>
          </w:p>
        </w:tc>
      </w:tr>
      <w:tr w:rsidR="00515763" w14:paraId="0FF1FCEE" w14:textId="77777777" w:rsidTr="00A9655B">
        <w:tc>
          <w:tcPr>
            <w:cnfStyle w:val="001000000000" w:firstRow="0" w:lastRow="0" w:firstColumn="1" w:lastColumn="0" w:oddVBand="0" w:evenVBand="0" w:oddHBand="0" w:evenHBand="0" w:firstRowFirstColumn="0" w:firstRowLastColumn="0" w:lastRowFirstColumn="0" w:lastRowLastColumn="0"/>
            <w:tcW w:w="2325" w:type="dxa"/>
          </w:tcPr>
          <w:p w14:paraId="5332C206" w14:textId="77777777" w:rsidR="00515763" w:rsidRDefault="00515763" w:rsidP="00515763">
            <w:pPr>
              <w:spacing w:after="120" w:line="259" w:lineRule="auto"/>
              <w:rPr>
                <w:color w:val="000000" w:themeColor="text1"/>
                <w:sz w:val="24"/>
                <w:szCs w:val="24"/>
                <w:lang w:val="en-GB"/>
              </w:rPr>
            </w:pPr>
            <w:r w:rsidRPr="6395FD93">
              <w:rPr>
                <w:b w:val="0"/>
                <w:bCs w:val="0"/>
                <w:color w:val="000000" w:themeColor="text1"/>
                <w:sz w:val="24"/>
                <w:szCs w:val="24"/>
                <w:lang w:val="en-GB"/>
              </w:rPr>
              <w:t xml:space="preserve">Acid Test </w:t>
            </w:r>
            <w:r w:rsidRPr="3C6284A6">
              <w:rPr>
                <w:b w:val="0"/>
                <w:bCs w:val="0"/>
                <w:color w:val="000000" w:themeColor="text1"/>
                <w:sz w:val="24"/>
                <w:szCs w:val="24"/>
                <w:lang w:val="en-GB"/>
              </w:rPr>
              <w:t>Ratio</w:t>
            </w:r>
          </w:p>
        </w:tc>
        <w:tc>
          <w:tcPr>
            <w:tcW w:w="1365" w:type="dxa"/>
          </w:tcPr>
          <w:p w14:paraId="5D4A4D20" w14:textId="7A5D8C0A" w:rsidR="00515763" w:rsidRDefault="00515763"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1.12:1</w:t>
            </w:r>
          </w:p>
        </w:tc>
        <w:tc>
          <w:tcPr>
            <w:tcW w:w="1410" w:type="dxa"/>
          </w:tcPr>
          <w:p w14:paraId="067DA284" w14:textId="71D24641" w:rsidR="00515763" w:rsidRDefault="00515763"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0.99:1</w:t>
            </w:r>
          </w:p>
        </w:tc>
        <w:tc>
          <w:tcPr>
            <w:tcW w:w="1425" w:type="dxa"/>
          </w:tcPr>
          <w:p w14:paraId="1CD045EC" w14:textId="2ADE17BD" w:rsidR="00515763" w:rsidRDefault="00515763"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0.82:1</w:t>
            </w:r>
          </w:p>
        </w:tc>
        <w:tc>
          <w:tcPr>
            <w:tcW w:w="1425" w:type="dxa"/>
          </w:tcPr>
          <w:p w14:paraId="7D172966" w14:textId="25416555" w:rsidR="00515763" w:rsidRDefault="00515763"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1.34:1</w:t>
            </w:r>
          </w:p>
        </w:tc>
        <w:tc>
          <w:tcPr>
            <w:tcW w:w="1410" w:type="dxa"/>
          </w:tcPr>
          <w:p w14:paraId="7C9C36DF" w14:textId="58D94625" w:rsidR="00515763" w:rsidRDefault="00515763"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Pr>
                <w:color w:val="000000" w:themeColor="text1"/>
                <w:sz w:val="24"/>
                <w:szCs w:val="24"/>
                <w:lang w:val="en-GB"/>
              </w:rPr>
              <w:t>1.17:1</w:t>
            </w:r>
          </w:p>
        </w:tc>
      </w:tr>
      <w:tr w:rsidR="00515763" w14:paraId="4C30C7F3" w14:textId="77777777" w:rsidTr="00A9655B">
        <w:tc>
          <w:tcPr>
            <w:cnfStyle w:val="001000000000" w:firstRow="0" w:lastRow="0" w:firstColumn="1" w:lastColumn="0" w:oddVBand="0" w:evenVBand="0" w:oddHBand="0" w:evenHBand="0" w:firstRowFirstColumn="0" w:firstRowLastColumn="0" w:lastRowFirstColumn="0" w:lastRowLastColumn="0"/>
            <w:tcW w:w="2325" w:type="dxa"/>
          </w:tcPr>
          <w:p w14:paraId="0742C2E9" w14:textId="1450ED79" w:rsidR="00515763" w:rsidRPr="6395FD93" w:rsidRDefault="00515763" w:rsidP="00515763">
            <w:pPr>
              <w:rPr>
                <w:b w:val="0"/>
                <w:bCs w:val="0"/>
                <w:color w:val="000000" w:themeColor="text1"/>
                <w:sz w:val="24"/>
                <w:szCs w:val="24"/>
                <w:lang w:val="en-GB"/>
              </w:rPr>
            </w:pPr>
            <w:r>
              <w:rPr>
                <w:b w:val="0"/>
                <w:bCs w:val="0"/>
                <w:color w:val="000000" w:themeColor="text1"/>
                <w:sz w:val="24"/>
                <w:szCs w:val="24"/>
                <w:lang w:val="en-GB"/>
              </w:rPr>
              <w:t>Cash Ratio</w:t>
            </w:r>
          </w:p>
        </w:tc>
        <w:tc>
          <w:tcPr>
            <w:tcW w:w="1365" w:type="dxa"/>
          </w:tcPr>
          <w:p w14:paraId="273C1653" w14:textId="5F04A4DD" w:rsidR="00515763" w:rsidRDefault="50800F7A"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0800F7A">
              <w:rPr>
                <w:color w:val="000000" w:themeColor="text1"/>
                <w:sz w:val="24"/>
                <w:szCs w:val="24"/>
                <w:lang w:val="en-GB"/>
              </w:rPr>
              <w:t>0.80</w:t>
            </w:r>
          </w:p>
        </w:tc>
        <w:tc>
          <w:tcPr>
            <w:tcW w:w="1410" w:type="dxa"/>
          </w:tcPr>
          <w:p w14:paraId="4731320A" w14:textId="7B1084C1" w:rsidR="00515763" w:rsidRDefault="50800F7A"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0800F7A">
              <w:rPr>
                <w:color w:val="000000" w:themeColor="text1"/>
                <w:sz w:val="24"/>
                <w:szCs w:val="24"/>
                <w:lang w:val="en-GB"/>
              </w:rPr>
              <w:t>0.67</w:t>
            </w:r>
          </w:p>
        </w:tc>
        <w:tc>
          <w:tcPr>
            <w:tcW w:w="1425" w:type="dxa"/>
          </w:tcPr>
          <w:p w14:paraId="455972D6" w14:textId="003921C5" w:rsidR="00515763" w:rsidRDefault="50800F7A"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0800F7A">
              <w:rPr>
                <w:color w:val="000000" w:themeColor="text1"/>
                <w:sz w:val="24"/>
                <w:szCs w:val="24"/>
                <w:lang w:val="en-GB"/>
              </w:rPr>
              <w:t>0.54</w:t>
            </w:r>
          </w:p>
        </w:tc>
        <w:tc>
          <w:tcPr>
            <w:tcW w:w="1425" w:type="dxa"/>
          </w:tcPr>
          <w:p w14:paraId="13976758" w14:textId="1A0A18C3" w:rsidR="00515763" w:rsidRDefault="50800F7A"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0800F7A">
              <w:rPr>
                <w:color w:val="000000" w:themeColor="text1"/>
                <w:sz w:val="24"/>
                <w:szCs w:val="24"/>
                <w:lang w:val="en-GB"/>
              </w:rPr>
              <w:t>1.04</w:t>
            </w:r>
          </w:p>
        </w:tc>
        <w:tc>
          <w:tcPr>
            <w:tcW w:w="1410" w:type="dxa"/>
          </w:tcPr>
          <w:p w14:paraId="32644827" w14:textId="76800169" w:rsidR="00515763" w:rsidRDefault="5E5CE3C4" w:rsidP="0051576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E5CE3C4">
              <w:rPr>
                <w:color w:val="000000" w:themeColor="text1"/>
                <w:sz w:val="24"/>
                <w:szCs w:val="24"/>
                <w:lang w:val="en-GB"/>
              </w:rPr>
              <w:t>0.80</w:t>
            </w:r>
          </w:p>
        </w:tc>
      </w:tr>
    </w:tbl>
    <w:p w14:paraId="37DBC4A1" w14:textId="77777777" w:rsidR="00AB38D0" w:rsidRDefault="00554980" w:rsidP="00AB38D0">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 xml:space="preserve">Annual Financial reports of </w:t>
      </w:r>
      <w:r>
        <w:rPr>
          <w:color w:val="000000" w:themeColor="text1"/>
          <w:sz w:val="20"/>
          <w:szCs w:val="20"/>
          <w:lang w:val="en-GB"/>
        </w:rPr>
        <w:t>Paddy Power BetFair</w:t>
      </w:r>
      <w:r w:rsidR="00AB38D0">
        <w:rPr>
          <w:color w:val="000000" w:themeColor="text1"/>
          <w:sz w:val="20"/>
          <w:szCs w:val="20"/>
          <w:lang w:val="en-GB"/>
        </w:rPr>
        <w:t xml:space="preserve"> plc</w:t>
      </w:r>
    </w:p>
    <w:p w14:paraId="073FA02B" w14:textId="0A0EF0F0" w:rsidR="0B52BBBE" w:rsidRPr="00AB38D0" w:rsidRDefault="45585AA9" w:rsidP="00AB38D0">
      <w:pPr>
        <w:pStyle w:val="ListBullet"/>
        <w:numPr>
          <w:ilvl w:val="0"/>
          <w:numId w:val="0"/>
        </w:numPr>
        <w:rPr>
          <w:color w:val="000000" w:themeColor="text1"/>
          <w:sz w:val="20"/>
          <w:szCs w:val="20"/>
          <w:lang w:val="en-GB"/>
        </w:rPr>
      </w:pPr>
      <w:r w:rsidRPr="00A436DA">
        <w:rPr>
          <w:b/>
          <w:bCs/>
          <w:color w:val="000000" w:themeColor="text1"/>
          <w:sz w:val="24"/>
          <w:szCs w:val="24"/>
          <w:lang w:val="en-GB"/>
        </w:rPr>
        <w:t>Liquidity rati</w:t>
      </w:r>
      <w:r w:rsidR="00A9655B" w:rsidRPr="00A436DA">
        <w:rPr>
          <w:b/>
          <w:bCs/>
          <w:color w:val="000000" w:themeColor="text1"/>
          <w:sz w:val="24"/>
          <w:szCs w:val="24"/>
          <w:lang w:val="en-GB"/>
        </w:rPr>
        <w:t>os</w:t>
      </w:r>
      <w:r w:rsidR="00A9655B">
        <w:rPr>
          <w:color w:val="000000" w:themeColor="text1"/>
          <w:sz w:val="24"/>
          <w:szCs w:val="24"/>
          <w:lang w:val="en-GB"/>
        </w:rPr>
        <w:t xml:space="preserve"> measures the ability of a company to meet its short term debt obligations as they fall due. This ratio will be dependent on how aggressive or conservative the company pursues profit. Three relevant ratios have been calculated for both companies, given the nature of the industry in which both companies operate, both have virtually zero inventories and therefore inventories period, receivables day period and payables day </w:t>
      </w:r>
      <w:r w:rsidR="00837AB7">
        <w:rPr>
          <w:color w:val="000000" w:themeColor="text1"/>
          <w:sz w:val="24"/>
          <w:szCs w:val="24"/>
          <w:lang w:val="en-GB"/>
        </w:rPr>
        <w:t xml:space="preserve">period have </w:t>
      </w:r>
      <w:r w:rsidR="00AB38D0">
        <w:rPr>
          <w:color w:val="000000" w:themeColor="text1"/>
          <w:sz w:val="24"/>
          <w:szCs w:val="24"/>
          <w:lang w:val="en-GB"/>
        </w:rPr>
        <w:t>not been calculated as they are irrelevant in this situation.</w:t>
      </w:r>
    </w:p>
    <w:p w14:paraId="08AA01ED" w14:textId="21019416" w:rsidR="00554980" w:rsidRDefault="006E49F7" w:rsidP="6395FD93">
      <w:pPr>
        <w:pStyle w:val="ListBullet"/>
        <w:numPr>
          <w:ilvl w:val="0"/>
          <w:numId w:val="0"/>
        </w:numPr>
        <w:rPr>
          <w:color w:val="000000" w:themeColor="text1"/>
          <w:sz w:val="24"/>
          <w:szCs w:val="24"/>
          <w:lang w:val="en-GB"/>
        </w:rPr>
      </w:pPr>
      <w:r w:rsidRPr="00A436DA">
        <w:rPr>
          <w:b/>
          <w:bCs/>
          <w:color w:val="000000" w:themeColor="text1"/>
          <w:sz w:val="24"/>
          <w:szCs w:val="24"/>
          <w:lang w:val="en-GB"/>
        </w:rPr>
        <w:t>Current ratio</w:t>
      </w:r>
      <w:r>
        <w:rPr>
          <w:color w:val="000000" w:themeColor="text1"/>
          <w:sz w:val="24"/>
          <w:szCs w:val="24"/>
          <w:lang w:val="en-GB"/>
        </w:rPr>
        <w:t xml:space="preserve"> </w:t>
      </w:r>
      <w:r w:rsidR="00A9655B">
        <w:rPr>
          <w:color w:val="000000" w:themeColor="text1"/>
          <w:sz w:val="24"/>
          <w:szCs w:val="24"/>
          <w:lang w:val="en-GB"/>
        </w:rPr>
        <w:t>compares current assets to current liability, in order to gauge the extent the current assets cover the current liability. The decision criteria is to ideally have 1:1 but it depends on the industry</w:t>
      </w:r>
      <w:r w:rsidR="00AB38D0">
        <w:rPr>
          <w:color w:val="000000" w:themeColor="text1"/>
          <w:sz w:val="24"/>
          <w:szCs w:val="24"/>
          <w:lang w:val="en-GB"/>
        </w:rPr>
        <w:t xml:space="preserve"> in which the business operates. Ideally a ratio of 1: 1 is desirable.</w:t>
      </w:r>
      <w:r w:rsidR="00490367">
        <w:rPr>
          <w:color w:val="000000" w:themeColor="text1"/>
          <w:sz w:val="24"/>
          <w:szCs w:val="24"/>
          <w:lang w:val="en-GB"/>
        </w:rPr>
        <w:t xml:space="preserve"> Once again, William Hill plc performance was below the norm and when compared to Paddy Power BetFair plc, it showed another appaling performance. There was no sector average to compare these figures with.</w:t>
      </w:r>
    </w:p>
    <w:p w14:paraId="362857B9" w14:textId="76F51094" w:rsidR="00840574" w:rsidRDefault="00840574" w:rsidP="6395FD93">
      <w:pPr>
        <w:pStyle w:val="ListBullet"/>
        <w:numPr>
          <w:ilvl w:val="0"/>
          <w:numId w:val="0"/>
        </w:numPr>
        <w:rPr>
          <w:b/>
          <w:bCs/>
          <w:color w:val="000000" w:themeColor="text1"/>
          <w:sz w:val="24"/>
          <w:szCs w:val="24"/>
          <w:lang w:val="en-GB"/>
        </w:rPr>
      </w:pPr>
      <w:r w:rsidRPr="00A436DA">
        <w:rPr>
          <w:b/>
          <w:bCs/>
          <w:color w:val="000000" w:themeColor="text1"/>
          <w:sz w:val="24"/>
          <w:szCs w:val="24"/>
          <w:lang w:val="en-GB"/>
        </w:rPr>
        <w:t>Acid test ratio</w:t>
      </w:r>
      <w:r>
        <w:rPr>
          <w:color w:val="000000" w:themeColor="text1"/>
          <w:sz w:val="24"/>
          <w:szCs w:val="24"/>
          <w:lang w:val="en-GB"/>
        </w:rPr>
        <w:t xml:space="preserve"> compares the current assets with current liabilities, after extracting inventories from the current assets because inventories are not easily convertible to cash</w:t>
      </w:r>
      <w:r w:rsidR="00490367">
        <w:rPr>
          <w:color w:val="000000" w:themeColor="text1"/>
          <w:sz w:val="24"/>
          <w:szCs w:val="24"/>
          <w:lang w:val="en-GB"/>
        </w:rPr>
        <w:t>. This ratio is virtually the same as current ratio due to lack of inventories in their current assets.</w:t>
      </w:r>
      <w:r>
        <w:rPr>
          <w:color w:val="000000" w:themeColor="text1"/>
          <w:sz w:val="24"/>
          <w:szCs w:val="24"/>
          <w:lang w:val="en-GB"/>
        </w:rPr>
        <w:t xml:space="preserve"> </w:t>
      </w:r>
    </w:p>
    <w:p w14:paraId="04F50B5D" w14:textId="77777777" w:rsidR="001C4E4A" w:rsidRDefault="001C4E4A" w:rsidP="6395FD93">
      <w:pPr>
        <w:pStyle w:val="ListBullet"/>
        <w:numPr>
          <w:ilvl w:val="0"/>
          <w:numId w:val="0"/>
        </w:numPr>
        <w:rPr>
          <w:b/>
          <w:bCs/>
          <w:color w:val="000000" w:themeColor="text1"/>
          <w:sz w:val="24"/>
          <w:szCs w:val="24"/>
          <w:lang w:val="en-GB"/>
        </w:rPr>
      </w:pPr>
    </w:p>
    <w:p w14:paraId="67EB908F" w14:textId="77777777" w:rsidR="001C4E4A" w:rsidRDefault="001C4E4A" w:rsidP="6395FD93">
      <w:pPr>
        <w:pStyle w:val="ListBullet"/>
        <w:numPr>
          <w:ilvl w:val="0"/>
          <w:numId w:val="0"/>
        </w:numPr>
        <w:rPr>
          <w:b/>
          <w:bCs/>
          <w:color w:val="000000" w:themeColor="text1"/>
          <w:sz w:val="24"/>
          <w:szCs w:val="24"/>
          <w:lang w:val="en-GB"/>
        </w:rPr>
      </w:pPr>
    </w:p>
    <w:p w14:paraId="296502DB" w14:textId="77777777" w:rsidR="001C4E4A" w:rsidRDefault="001C4E4A" w:rsidP="6395FD93">
      <w:pPr>
        <w:pStyle w:val="ListBullet"/>
        <w:numPr>
          <w:ilvl w:val="0"/>
          <w:numId w:val="0"/>
        </w:numPr>
        <w:rPr>
          <w:b/>
          <w:bCs/>
          <w:color w:val="000000" w:themeColor="text1"/>
          <w:sz w:val="24"/>
          <w:szCs w:val="24"/>
          <w:lang w:val="en-GB"/>
        </w:rPr>
      </w:pPr>
    </w:p>
    <w:p w14:paraId="12F0C672" w14:textId="77777777" w:rsidR="001C4E4A" w:rsidRDefault="001C4E4A" w:rsidP="6395FD93">
      <w:pPr>
        <w:pStyle w:val="ListBullet"/>
        <w:numPr>
          <w:ilvl w:val="0"/>
          <w:numId w:val="0"/>
        </w:numPr>
        <w:rPr>
          <w:b/>
          <w:bCs/>
          <w:color w:val="000000" w:themeColor="text1"/>
          <w:sz w:val="24"/>
          <w:szCs w:val="24"/>
          <w:lang w:val="en-GB"/>
        </w:rPr>
      </w:pPr>
    </w:p>
    <w:p w14:paraId="2C286B1B" w14:textId="77777777" w:rsidR="001C4E4A" w:rsidRDefault="001C4E4A" w:rsidP="6395FD93">
      <w:pPr>
        <w:pStyle w:val="ListBullet"/>
        <w:numPr>
          <w:ilvl w:val="0"/>
          <w:numId w:val="0"/>
        </w:numPr>
        <w:rPr>
          <w:b/>
          <w:bCs/>
          <w:color w:val="000000" w:themeColor="text1"/>
          <w:sz w:val="24"/>
          <w:szCs w:val="24"/>
          <w:lang w:val="en-GB"/>
        </w:rPr>
      </w:pPr>
    </w:p>
    <w:p w14:paraId="34F98FFF" w14:textId="77777777" w:rsidR="001C4E4A" w:rsidRDefault="001C4E4A" w:rsidP="6395FD93">
      <w:pPr>
        <w:pStyle w:val="ListBullet"/>
        <w:numPr>
          <w:ilvl w:val="0"/>
          <w:numId w:val="0"/>
        </w:numPr>
        <w:rPr>
          <w:b/>
          <w:bCs/>
          <w:color w:val="000000" w:themeColor="text1"/>
          <w:sz w:val="24"/>
          <w:szCs w:val="24"/>
          <w:lang w:val="en-GB"/>
        </w:rPr>
      </w:pPr>
    </w:p>
    <w:p w14:paraId="52AAE318" w14:textId="790AF8D9" w:rsidR="3ED31BD3"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lastRenderedPageBreak/>
        <w:t>EFFICIENCY  RATIOS</w:t>
      </w:r>
    </w:p>
    <w:p w14:paraId="0B53DB2B" w14:textId="515B292A" w:rsidR="5C7EFC97"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7</w:t>
      </w:r>
      <w:r w:rsidRPr="6395FD93">
        <w:rPr>
          <w:b/>
          <w:bCs/>
          <w:color w:val="000000" w:themeColor="text1"/>
          <w:sz w:val="24"/>
          <w:szCs w:val="24"/>
          <w:lang w:val="en-GB"/>
        </w:rPr>
        <w:t xml:space="preserve">: </w:t>
      </w:r>
      <w:r w:rsidR="00554980" w:rsidRPr="6395FD93">
        <w:rPr>
          <w:b/>
          <w:bCs/>
          <w:color w:val="000000" w:themeColor="text1"/>
          <w:sz w:val="24"/>
          <w:szCs w:val="24"/>
          <w:lang w:val="en-GB"/>
        </w:rPr>
        <w:t>Asset Turnover Ratio, Sales Per Employee</w:t>
      </w:r>
      <w:r w:rsidR="00554980">
        <w:rPr>
          <w:b/>
          <w:bCs/>
          <w:color w:val="000000" w:themeColor="text1"/>
          <w:sz w:val="24"/>
          <w:szCs w:val="24"/>
          <w:lang w:val="en-GB"/>
        </w:rPr>
        <w:t>, Net Income Per Employee</w:t>
      </w:r>
      <w:r w:rsidR="007C3EF8">
        <w:rPr>
          <w:b/>
          <w:bCs/>
          <w:color w:val="000000" w:themeColor="text1"/>
          <w:sz w:val="24"/>
          <w:szCs w:val="24"/>
          <w:lang w:val="en-GB"/>
        </w:rPr>
        <w:t>, Cost to Sales Ratio</w:t>
      </w:r>
    </w:p>
    <w:tbl>
      <w:tblPr>
        <w:tblStyle w:val="GridTable1Light-Accent1"/>
        <w:tblW w:w="9360" w:type="dxa"/>
        <w:tblLayout w:type="fixed"/>
        <w:tblLook w:val="06A0" w:firstRow="1" w:lastRow="0" w:firstColumn="1" w:lastColumn="0" w:noHBand="1" w:noVBand="1"/>
      </w:tblPr>
      <w:tblGrid>
        <w:gridCol w:w="2715"/>
        <w:gridCol w:w="1391"/>
        <w:gridCol w:w="1264"/>
        <w:gridCol w:w="1290"/>
        <w:gridCol w:w="1365"/>
        <w:gridCol w:w="1335"/>
      </w:tblGrid>
      <w:tr w:rsidR="5C7EFC97" w14:paraId="7228E587" w14:textId="77777777" w:rsidTr="0AC6D2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5" w:type="dxa"/>
          </w:tcPr>
          <w:p w14:paraId="5FE05710" w14:textId="2BA4A20D" w:rsidR="5C7EFC97" w:rsidRDefault="6395FD93" w:rsidP="6395FD93">
            <w:pPr>
              <w:rPr>
                <w:color w:val="000000" w:themeColor="text1"/>
                <w:sz w:val="24"/>
                <w:szCs w:val="24"/>
                <w:lang w:val="en-GB"/>
              </w:rPr>
            </w:pPr>
            <w:r w:rsidRPr="6395FD93">
              <w:rPr>
                <w:color w:val="000000" w:themeColor="text1"/>
                <w:sz w:val="24"/>
                <w:szCs w:val="24"/>
                <w:lang w:val="en-GB"/>
              </w:rPr>
              <w:t>William Hill Plc</w:t>
            </w:r>
          </w:p>
        </w:tc>
        <w:tc>
          <w:tcPr>
            <w:tcW w:w="1391" w:type="dxa"/>
          </w:tcPr>
          <w:p w14:paraId="6D3FF219" w14:textId="0C893E9D"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2017</w:t>
            </w:r>
          </w:p>
        </w:tc>
        <w:tc>
          <w:tcPr>
            <w:tcW w:w="1264" w:type="dxa"/>
          </w:tcPr>
          <w:p w14:paraId="00AA9F3C" w14:textId="17AF4225"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2016</w:t>
            </w:r>
          </w:p>
        </w:tc>
        <w:tc>
          <w:tcPr>
            <w:tcW w:w="1290" w:type="dxa"/>
          </w:tcPr>
          <w:p w14:paraId="41207E5A" w14:textId="148B5AD1"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2015</w:t>
            </w:r>
          </w:p>
        </w:tc>
        <w:tc>
          <w:tcPr>
            <w:tcW w:w="1365" w:type="dxa"/>
          </w:tcPr>
          <w:p w14:paraId="71F44CDD" w14:textId="71BB7DDF"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2014</w:t>
            </w:r>
          </w:p>
        </w:tc>
        <w:tc>
          <w:tcPr>
            <w:tcW w:w="1335" w:type="dxa"/>
          </w:tcPr>
          <w:p w14:paraId="5DF46104" w14:textId="7E1B9AD5"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2013</w:t>
            </w:r>
          </w:p>
        </w:tc>
      </w:tr>
      <w:tr w:rsidR="5C7EFC97" w14:paraId="4BD4BED9" w14:textId="77777777" w:rsidTr="0AC6D2E5">
        <w:tc>
          <w:tcPr>
            <w:cnfStyle w:val="001000000000" w:firstRow="0" w:lastRow="0" w:firstColumn="1" w:lastColumn="0" w:oddVBand="0" w:evenVBand="0" w:oddHBand="0" w:evenHBand="0" w:firstRowFirstColumn="0" w:firstRowLastColumn="0" w:lastRowFirstColumn="0" w:lastRowLastColumn="0"/>
            <w:tcW w:w="2715" w:type="dxa"/>
          </w:tcPr>
          <w:p w14:paraId="6F278205" w14:textId="6C54CBC1" w:rsidR="5C7EFC97" w:rsidRDefault="009103D9" w:rsidP="6395FD93">
            <w:pPr>
              <w:rPr>
                <w:color w:val="000000" w:themeColor="text1"/>
                <w:sz w:val="24"/>
                <w:szCs w:val="24"/>
                <w:lang w:val="en-GB"/>
              </w:rPr>
            </w:pPr>
            <w:r>
              <w:rPr>
                <w:b w:val="0"/>
                <w:bCs w:val="0"/>
                <w:color w:val="000000" w:themeColor="text1"/>
                <w:sz w:val="24"/>
                <w:szCs w:val="24"/>
                <w:lang w:val="en-GB"/>
              </w:rPr>
              <w:t>Asset Turnover Ratio</w:t>
            </w:r>
          </w:p>
        </w:tc>
        <w:tc>
          <w:tcPr>
            <w:tcW w:w="1391" w:type="dxa"/>
          </w:tcPr>
          <w:p w14:paraId="593D3065" w14:textId="660B6492" w:rsidR="5C7EFC97" w:rsidRDefault="164FDE3C"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0.91</w:t>
            </w:r>
          </w:p>
        </w:tc>
        <w:tc>
          <w:tcPr>
            <w:tcW w:w="1264" w:type="dxa"/>
          </w:tcPr>
          <w:p w14:paraId="074AC290" w14:textId="2DDF9664" w:rsidR="5C7EFC97" w:rsidRDefault="164FDE3C"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0.79</w:t>
            </w:r>
          </w:p>
        </w:tc>
        <w:tc>
          <w:tcPr>
            <w:tcW w:w="1290" w:type="dxa"/>
          </w:tcPr>
          <w:p w14:paraId="79074B36" w14:textId="384365B2" w:rsidR="5C7EFC97" w:rsidRDefault="164FDE3C"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0.94</w:t>
            </w:r>
          </w:p>
        </w:tc>
        <w:tc>
          <w:tcPr>
            <w:tcW w:w="1365" w:type="dxa"/>
          </w:tcPr>
          <w:p w14:paraId="0AF80129" w14:textId="1694373A" w:rsidR="5C7EFC97" w:rsidRDefault="164FDE3C"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0.80</w:t>
            </w:r>
          </w:p>
        </w:tc>
        <w:tc>
          <w:tcPr>
            <w:tcW w:w="1335" w:type="dxa"/>
          </w:tcPr>
          <w:p w14:paraId="3FB05D89" w14:textId="4ACB3C7C" w:rsidR="5C7EFC97" w:rsidRDefault="164FDE3C"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0.71</w:t>
            </w:r>
          </w:p>
        </w:tc>
      </w:tr>
      <w:tr w:rsidR="5C7EFC97" w14:paraId="2FFE1A30" w14:textId="77777777" w:rsidTr="0AC6D2E5">
        <w:tc>
          <w:tcPr>
            <w:cnfStyle w:val="001000000000" w:firstRow="0" w:lastRow="0" w:firstColumn="1" w:lastColumn="0" w:oddVBand="0" w:evenVBand="0" w:oddHBand="0" w:evenHBand="0" w:firstRowFirstColumn="0" w:firstRowLastColumn="0" w:lastRowFirstColumn="0" w:lastRowLastColumn="0"/>
            <w:tcW w:w="2715" w:type="dxa"/>
          </w:tcPr>
          <w:p w14:paraId="7B0A26CF" w14:textId="24156388" w:rsidR="5C7EFC97" w:rsidRDefault="009103D9" w:rsidP="6395FD93">
            <w:pPr>
              <w:rPr>
                <w:color w:val="000000" w:themeColor="text1"/>
                <w:sz w:val="24"/>
                <w:szCs w:val="24"/>
                <w:lang w:val="en-GB"/>
              </w:rPr>
            </w:pPr>
            <w:r>
              <w:rPr>
                <w:b w:val="0"/>
                <w:bCs w:val="0"/>
                <w:color w:val="000000" w:themeColor="text1"/>
                <w:sz w:val="24"/>
                <w:szCs w:val="24"/>
                <w:lang w:val="en-GB"/>
              </w:rPr>
              <w:t>Sales Per Employee</w:t>
            </w:r>
          </w:p>
        </w:tc>
        <w:tc>
          <w:tcPr>
            <w:tcW w:w="1391" w:type="dxa"/>
          </w:tcPr>
          <w:p w14:paraId="650F69F0" w14:textId="32F7213E" w:rsidR="5C7EFC97" w:rsidRDefault="164FDE3C"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64FDE3C">
              <w:rPr>
                <w:color w:val="000000" w:themeColor="text1"/>
                <w:sz w:val="24"/>
                <w:szCs w:val="24"/>
                <w:lang w:val="en-GB"/>
              </w:rPr>
              <w:t>£105,714</w:t>
            </w:r>
          </w:p>
        </w:tc>
        <w:tc>
          <w:tcPr>
            <w:tcW w:w="1264" w:type="dxa"/>
          </w:tcPr>
          <w:p w14:paraId="00B713A1" w14:textId="67A919F5" w:rsidR="5C7EFC97" w:rsidRDefault="0AC6D2E5"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C6D2E5">
              <w:rPr>
                <w:color w:val="000000" w:themeColor="text1"/>
                <w:sz w:val="24"/>
                <w:szCs w:val="24"/>
                <w:lang w:val="en-GB"/>
              </w:rPr>
              <w:t>£100,237</w:t>
            </w:r>
          </w:p>
        </w:tc>
        <w:tc>
          <w:tcPr>
            <w:tcW w:w="1290" w:type="dxa"/>
          </w:tcPr>
          <w:p w14:paraId="23AA1F07" w14:textId="2F7DA44C" w:rsidR="5C7EFC97" w:rsidRDefault="0AC6D2E5"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C6D2E5">
              <w:rPr>
                <w:color w:val="000000" w:themeColor="text1"/>
                <w:sz w:val="24"/>
                <w:szCs w:val="24"/>
                <w:lang w:val="en-GB"/>
              </w:rPr>
              <w:t>£99,431</w:t>
            </w:r>
          </w:p>
        </w:tc>
        <w:tc>
          <w:tcPr>
            <w:tcW w:w="1365" w:type="dxa"/>
          </w:tcPr>
          <w:p w14:paraId="51BA050F" w14:textId="4D589EA5" w:rsidR="5C7EFC97" w:rsidRDefault="0AC6D2E5"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C6D2E5">
              <w:rPr>
                <w:color w:val="000000" w:themeColor="text1"/>
                <w:sz w:val="24"/>
                <w:szCs w:val="24"/>
                <w:lang w:val="en-GB"/>
              </w:rPr>
              <w:t>£100,581</w:t>
            </w:r>
          </w:p>
        </w:tc>
        <w:tc>
          <w:tcPr>
            <w:tcW w:w="1335" w:type="dxa"/>
          </w:tcPr>
          <w:p w14:paraId="2A2B4F42" w14:textId="0E3551AA" w:rsidR="5C7EFC97" w:rsidRDefault="0AC6D2E5"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C6D2E5">
              <w:rPr>
                <w:color w:val="000000" w:themeColor="text1"/>
                <w:sz w:val="24"/>
                <w:szCs w:val="24"/>
                <w:lang w:val="en-GB"/>
              </w:rPr>
              <w:t>£87,441</w:t>
            </w:r>
          </w:p>
        </w:tc>
      </w:tr>
      <w:tr w:rsidR="5C7EFC97" w14:paraId="12B98836" w14:textId="77777777" w:rsidTr="0AC6D2E5">
        <w:tc>
          <w:tcPr>
            <w:cnfStyle w:val="001000000000" w:firstRow="0" w:lastRow="0" w:firstColumn="1" w:lastColumn="0" w:oddVBand="0" w:evenVBand="0" w:oddHBand="0" w:evenHBand="0" w:firstRowFirstColumn="0" w:firstRowLastColumn="0" w:lastRowFirstColumn="0" w:lastRowLastColumn="0"/>
            <w:tcW w:w="2715" w:type="dxa"/>
          </w:tcPr>
          <w:p w14:paraId="2540B34D" w14:textId="33F665AE" w:rsidR="5C7EFC97" w:rsidRDefault="009103D9" w:rsidP="6395FD93">
            <w:pPr>
              <w:rPr>
                <w:color w:val="000000" w:themeColor="text1"/>
                <w:sz w:val="24"/>
                <w:szCs w:val="24"/>
                <w:lang w:val="en-GB"/>
              </w:rPr>
            </w:pPr>
            <w:r>
              <w:rPr>
                <w:b w:val="0"/>
                <w:bCs w:val="0"/>
                <w:color w:val="000000" w:themeColor="text1"/>
                <w:sz w:val="24"/>
                <w:szCs w:val="24"/>
                <w:lang w:val="en-GB"/>
              </w:rPr>
              <w:t>Net Income</w:t>
            </w:r>
            <w:r w:rsidR="6395FD93" w:rsidRPr="6395FD93">
              <w:rPr>
                <w:b w:val="0"/>
                <w:bCs w:val="0"/>
                <w:color w:val="000000" w:themeColor="text1"/>
                <w:sz w:val="24"/>
                <w:szCs w:val="24"/>
                <w:lang w:val="en-GB"/>
              </w:rPr>
              <w:t xml:space="preserve"> Per Employee (£)</w:t>
            </w:r>
          </w:p>
        </w:tc>
        <w:tc>
          <w:tcPr>
            <w:tcW w:w="1391" w:type="dxa"/>
          </w:tcPr>
          <w:p w14:paraId="30DC589D" w14:textId="2A012EA5" w:rsidR="5C7EFC97" w:rsidRDefault="0AC6D2E5" w:rsidP="6395FD93">
            <w:pPr>
              <w:cnfStyle w:val="000000000000" w:firstRow="0" w:lastRow="0" w:firstColumn="0" w:lastColumn="0" w:oddVBand="0" w:evenVBand="0" w:oddHBand="0" w:evenHBand="0" w:firstRowFirstColumn="0" w:firstRowLastColumn="0" w:lastRowFirstColumn="0" w:lastRowLastColumn="0"/>
              <w:rPr>
                <w:color w:val="FF0000"/>
                <w:sz w:val="24"/>
                <w:szCs w:val="24"/>
                <w:lang w:val="en-GB"/>
              </w:rPr>
            </w:pPr>
            <w:r w:rsidRPr="0AC6D2E5">
              <w:rPr>
                <w:color w:val="FF0000"/>
                <w:sz w:val="24"/>
                <w:szCs w:val="24"/>
                <w:lang w:val="en-GB"/>
              </w:rPr>
              <w:t>-£5,140</w:t>
            </w:r>
          </w:p>
        </w:tc>
        <w:tc>
          <w:tcPr>
            <w:tcW w:w="1264" w:type="dxa"/>
          </w:tcPr>
          <w:p w14:paraId="44B44ACA" w14:textId="6868B854" w:rsidR="5C7EFC97" w:rsidRDefault="0AC6D2E5"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C6D2E5">
              <w:rPr>
                <w:color w:val="000000" w:themeColor="text1"/>
                <w:sz w:val="24"/>
                <w:szCs w:val="24"/>
                <w:lang w:val="en-GB"/>
              </w:rPr>
              <w:t>£10,281</w:t>
            </w:r>
          </w:p>
        </w:tc>
        <w:tc>
          <w:tcPr>
            <w:tcW w:w="1290" w:type="dxa"/>
          </w:tcPr>
          <w:p w14:paraId="72D71527" w14:textId="3BE3E14B" w:rsidR="5C7EFC97" w:rsidRDefault="0AC6D2E5"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C6D2E5">
              <w:rPr>
                <w:color w:val="000000" w:themeColor="text1"/>
                <w:sz w:val="24"/>
                <w:szCs w:val="24"/>
                <w:lang w:val="en-GB"/>
              </w:rPr>
              <w:t>£11,868</w:t>
            </w:r>
          </w:p>
        </w:tc>
        <w:tc>
          <w:tcPr>
            <w:tcW w:w="1365" w:type="dxa"/>
          </w:tcPr>
          <w:p w14:paraId="12196787" w14:textId="5B4D8CD6" w:rsidR="5C7EFC97" w:rsidRDefault="0A89817B"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89817B">
              <w:rPr>
                <w:color w:val="000000" w:themeColor="text1"/>
                <w:sz w:val="24"/>
                <w:szCs w:val="24"/>
                <w:lang w:val="en-GB"/>
              </w:rPr>
              <w:t>£12,893</w:t>
            </w:r>
          </w:p>
        </w:tc>
        <w:tc>
          <w:tcPr>
            <w:tcW w:w="1335" w:type="dxa"/>
          </w:tcPr>
          <w:p w14:paraId="2FE2D374" w14:textId="61B24D1F" w:rsidR="5C7EFC97" w:rsidRDefault="0A89817B"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89817B">
              <w:rPr>
                <w:color w:val="000000" w:themeColor="text1"/>
                <w:sz w:val="24"/>
                <w:szCs w:val="24"/>
                <w:lang w:val="en-GB"/>
              </w:rPr>
              <w:t>£14,564</w:t>
            </w:r>
          </w:p>
        </w:tc>
      </w:tr>
      <w:tr w:rsidR="00E179F0" w14:paraId="388513DA" w14:textId="77777777" w:rsidTr="0AC6D2E5">
        <w:tc>
          <w:tcPr>
            <w:cnfStyle w:val="001000000000" w:firstRow="0" w:lastRow="0" w:firstColumn="1" w:lastColumn="0" w:oddVBand="0" w:evenVBand="0" w:oddHBand="0" w:evenHBand="0" w:firstRowFirstColumn="0" w:firstRowLastColumn="0" w:lastRowFirstColumn="0" w:lastRowLastColumn="0"/>
            <w:tcW w:w="2715" w:type="dxa"/>
          </w:tcPr>
          <w:p w14:paraId="5CC3DBB1" w14:textId="307ED81D" w:rsidR="00E179F0" w:rsidRDefault="00E179F0" w:rsidP="6395FD93">
            <w:pPr>
              <w:rPr>
                <w:b w:val="0"/>
                <w:bCs w:val="0"/>
                <w:color w:val="000000" w:themeColor="text1"/>
                <w:sz w:val="24"/>
                <w:szCs w:val="24"/>
                <w:lang w:val="en-GB"/>
              </w:rPr>
            </w:pPr>
            <w:r>
              <w:rPr>
                <w:b w:val="0"/>
                <w:bCs w:val="0"/>
                <w:color w:val="000000" w:themeColor="text1"/>
                <w:sz w:val="24"/>
                <w:szCs w:val="24"/>
                <w:lang w:val="en-GB"/>
              </w:rPr>
              <w:t>Cost to Sales Ratio</w:t>
            </w:r>
          </w:p>
        </w:tc>
        <w:tc>
          <w:tcPr>
            <w:tcW w:w="1391" w:type="dxa"/>
          </w:tcPr>
          <w:p w14:paraId="60D00EC2" w14:textId="3C38EE5F" w:rsidR="00E179F0" w:rsidRDefault="0A89817B"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89817B">
              <w:rPr>
                <w:color w:val="000000" w:themeColor="text1"/>
                <w:sz w:val="24"/>
                <w:szCs w:val="24"/>
                <w:lang w:val="en-GB"/>
              </w:rPr>
              <w:t>79.2%</w:t>
            </w:r>
          </w:p>
        </w:tc>
        <w:tc>
          <w:tcPr>
            <w:tcW w:w="1264" w:type="dxa"/>
          </w:tcPr>
          <w:p w14:paraId="28D3132D" w14:textId="5917A6D5" w:rsidR="00E179F0" w:rsidRDefault="0A89817B"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89817B">
              <w:rPr>
                <w:color w:val="000000" w:themeColor="text1"/>
                <w:sz w:val="24"/>
                <w:szCs w:val="24"/>
                <w:lang w:val="en-GB"/>
              </w:rPr>
              <w:t>78.8%</w:t>
            </w:r>
          </w:p>
        </w:tc>
        <w:tc>
          <w:tcPr>
            <w:tcW w:w="1290" w:type="dxa"/>
          </w:tcPr>
          <w:p w14:paraId="44937200" w14:textId="66B6F167" w:rsidR="00E179F0" w:rsidRDefault="0A89817B"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89817B">
              <w:rPr>
                <w:color w:val="000000" w:themeColor="text1"/>
                <w:sz w:val="24"/>
                <w:szCs w:val="24"/>
                <w:lang w:val="en-GB"/>
              </w:rPr>
              <w:t>77.2%</w:t>
            </w:r>
          </w:p>
        </w:tc>
        <w:tc>
          <w:tcPr>
            <w:tcW w:w="1365" w:type="dxa"/>
          </w:tcPr>
          <w:p w14:paraId="67893CDE" w14:textId="2163CE5D" w:rsidR="00E179F0" w:rsidRDefault="0A89817B"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89817B">
              <w:rPr>
                <w:color w:val="000000" w:themeColor="text1"/>
                <w:sz w:val="24"/>
                <w:szCs w:val="24"/>
                <w:lang w:val="en-GB"/>
              </w:rPr>
              <w:t>73.4%</w:t>
            </w:r>
          </w:p>
        </w:tc>
        <w:tc>
          <w:tcPr>
            <w:tcW w:w="1335" w:type="dxa"/>
          </w:tcPr>
          <w:p w14:paraId="16F10CCF" w14:textId="1FF6DD0F" w:rsidR="00E179F0" w:rsidRDefault="0A89817B"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A89817B">
              <w:rPr>
                <w:color w:val="000000" w:themeColor="text1"/>
                <w:sz w:val="24"/>
                <w:szCs w:val="24"/>
                <w:lang w:val="en-GB"/>
              </w:rPr>
              <w:t>74.</w:t>
            </w:r>
            <w:r w:rsidR="45692C60" w:rsidRPr="45692C60">
              <w:rPr>
                <w:color w:val="000000" w:themeColor="text1"/>
                <w:sz w:val="24"/>
                <w:szCs w:val="24"/>
                <w:lang w:val="en-GB"/>
              </w:rPr>
              <w:t>0%</w:t>
            </w:r>
          </w:p>
        </w:tc>
      </w:tr>
    </w:tbl>
    <w:p w14:paraId="00BCF129" w14:textId="77777777" w:rsidR="00D82606" w:rsidRPr="00126383" w:rsidRDefault="00D82606" w:rsidP="00D82606">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Annual Financial reports of William Hill plc</w:t>
      </w:r>
    </w:p>
    <w:p w14:paraId="314B7713" w14:textId="368B1BD4" w:rsidR="00554980" w:rsidRDefault="00554980" w:rsidP="00554980">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8</w:t>
      </w:r>
      <w:r w:rsidRPr="6395FD93">
        <w:rPr>
          <w:b/>
          <w:bCs/>
          <w:color w:val="000000" w:themeColor="text1"/>
          <w:sz w:val="24"/>
          <w:szCs w:val="24"/>
          <w:lang w:val="en-GB"/>
        </w:rPr>
        <w:t>: Asset Turnover Ratio, Sales Per Employee</w:t>
      </w:r>
      <w:r>
        <w:rPr>
          <w:b/>
          <w:bCs/>
          <w:color w:val="000000" w:themeColor="text1"/>
          <w:sz w:val="24"/>
          <w:szCs w:val="24"/>
          <w:lang w:val="en-GB"/>
        </w:rPr>
        <w:t>, Net Income Per Employee</w:t>
      </w:r>
      <w:r w:rsidR="007C3EF8">
        <w:rPr>
          <w:b/>
          <w:bCs/>
          <w:color w:val="000000" w:themeColor="text1"/>
          <w:sz w:val="24"/>
          <w:szCs w:val="24"/>
          <w:lang w:val="en-GB"/>
        </w:rPr>
        <w:t>, Cost to Sales Ratio</w:t>
      </w:r>
    </w:p>
    <w:tbl>
      <w:tblPr>
        <w:tblStyle w:val="GridTable1Light-Accent1"/>
        <w:tblW w:w="9507" w:type="dxa"/>
        <w:tblInd w:w="-147" w:type="dxa"/>
        <w:tblLayout w:type="fixed"/>
        <w:tblLook w:val="06A0" w:firstRow="1" w:lastRow="0" w:firstColumn="1" w:lastColumn="0" w:noHBand="1" w:noVBand="1"/>
      </w:tblPr>
      <w:tblGrid>
        <w:gridCol w:w="2802"/>
        <w:gridCol w:w="1395"/>
        <w:gridCol w:w="1320"/>
        <w:gridCol w:w="1290"/>
        <w:gridCol w:w="1365"/>
        <w:gridCol w:w="1335"/>
      </w:tblGrid>
      <w:tr w:rsidR="00554980" w14:paraId="72BA55BE" w14:textId="77777777" w:rsidTr="00A96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3723E101" w14:textId="77777777" w:rsidR="00554980" w:rsidRDefault="00554980" w:rsidP="00A9655B">
            <w:pPr>
              <w:rPr>
                <w:color w:val="000000" w:themeColor="text1"/>
                <w:sz w:val="24"/>
                <w:szCs w:val="24"/>
                <w:lang w:val="en-GB"/>
              </w:rPr>
            </w:pPr>
            <w:r w:rsidRPr="6395FD93">
              <w:rPr>
                <w:color w:val="000000" w:themeColor="text1"/>
                <w:sz w:val="24"/>
                <w:szCs w:val="24"/>
                <w:lang w:val="en-GB"/>
              </w:rPr>
              <w:t>Paddy Power BetFair Plc</w:t>
            </w:r>
          </w:p>
        </w:tc>
        <w:tc>
          <w:tcPr>
            <w:tcW w:w="1395" w:type="dxa"/>
          </w:tcPr>
          <w:p w14:paraId="767BB9AD"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2017</w:t>
            </w:r>
          </w:p>
        </w:tc>
        <w:tc>
          <w:tcPr>
            <w:tcW w:w="1320" w:type="dxa"/>
          </w:tcPr>
          <w:p w14:paraId="038F2BA5"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2016</w:t>
            </w:r>
          </w:p>
        </w:tc>
        <w:tc>
          <w:tcPr>
            <w:tcW w:w="1290" w:type="dxa"/>
          </w:tcPr>
          <w:p w14:paraId="268A0DEB"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2015</w:t>
            </w:r>
          </w:p>
        </w:tc>
        <w:tc>
          <w:tcPr>
            <w:tcW w:w="1365" w:type="dxa"/>
          </w:tcPr>
          <w:p w14:paraId="1944B3F6"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2014</w:t>
            </w:r>
          </w:p>
        </w:tc>
        <w:tc>
          <w:tcPr>
            <w:tcW w:w="1335" w:type="dxa"/>
          </w:tcPr>
          <w:p w14:paraId="7BB891B2" w14:textId="77777777" w:rsidR="00554980" w:rsidRPr="00490367"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490367">
              <w:rPr>
                <w:bCs w:val="0"/>
                <w:color w:val="000000" w:themeColor="text1"/>
                <w:sz w:val="24"/>
                <w:szCs w:val="24"/>
                <w:lang w:val="en-GB"/>
              </w:rPr>
              <w:t>2013</w:t>
            </w:r>
          </w:p>
        </w:tc>
      </w:tr>
      <w:tr w:rsidR="00554980" w14:paraId="4D2AD5E7" w14:textId="77777777" w:rsidTr="00A9655B">
        <w:tc>
          <w:tcPr>
            <w:cnfStyle w:val="001000000000" w:firstRow="0" w:lastRow="0" w:firstColumn="1" w:lastColumn="0" w:oddVBand="0" w:evenVBand="0" w:oddHBand="0" w:evenHBand="0" w:firstRowFirstColumn="0" w:firstRowLastColumn="0" w:lastRowFirstColumn="0" w:lastRowLastColumn="0"/>
            <w:tcW w:w="2802" w:type="dxa"/>
          </w:tcPr>
          <w:p w14:paraId="7178526E"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Asset Turnover Ratio</w:t>
            </w:r>
          </w:p>
        </w:tc>
        <w:tc>
          <w:tcPr>
            <w:tcW w:w="1395" w:type="dxa"/>
          </w:tcPr>
          <w:p w14:paraId="2FFF4245" w14:textId="1AE7124C" w:rsidR="00554980" w:rsidRDefault="5E5CE3C4"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E5CE3C4">
              <w:rPr>
                <w:color w:val="000000" w:themeColor="text1"/>
                <w:sz w:val="24"/>
                <w:szCs w:val="24"/>
                <w:lang w:val="en-GB"/>
              </w:rPr>
              <w:t>0.38</w:t>
            </w:r>
          </w:p>
        </w:tc>
        <w:tc>
          <w:tcPr>
            <w:tcW w:w="1320" w:type="dxa"/>
          </w:tcPr>
          <w:p w14:paraId="6E9E11BA" w14:textId="1C8B6E1B"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0.32</w:t>
            </w:r>
          </w:p>
        </w:tc>
        <w:tc>
          <w:tcPr>
            <w:tcW w:w="1290" w:type="dxa"/>
          </w:tcPr>
          <w:p w14:paraId="411B0368" w14:textId="15E14CA8"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3.98</w:t>
            </w:r>
          </w:p>
        </w:tc>
        <w:tc>
          <w:tcPr>
            <w:tcW w:w="1365" w:type="dxa"/>
          </w:tcPr>
          <w:p w14:paraId="445E89EB" w14:textId="22FC18A4"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2.22</w:t>
            </w:r>
          </w:p>
        </w:tc>
        <w:tc>
          <w:tcPr>
            <w:tcW w:w="1335" w:type="dxa"/>
          </w:tcPr>
          <w:p w14:paraId="79DDCDBD" w14:textId="6CEBA991"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2.27</w:t>
            </w:r>
          </w:p>
        </w:tc>
      </w:tr>
      <w:tr w:rsidR="00554980" w14:paraId="7C283D41" w14:textId="77777777" w:rsidTr="00A9655B">
        <w:tc>
          <w:tcPr>
            <w:cnfStyle w:val="001000000000" w:firstRow="0" w:lastRow="0" w:firstColumn="1" w:lastColumn="0" w:oddVBand="0" w:evenVBand="0" w:oddHBand="0" w:evenHBand="0" w:firstRowFirstColumn="0" w:firstRowLastColumn="0" w:lastRowFirstColumn="0" w:lastRowLastColumn="0"/>
            <w:tcW w:w="2802" w:type="dxa"/>
          </w:tcPr>
          <w:p w14:paraId="7F5CDDB3"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Sales Per Employee (£)</w:t>
            </w:r>
          </w:p>
        </w:tc>
        <w:tc>
          <w:tcPr>
            <w:tcW w:w="1395" w:type="dxa"/>
          </w:tcPr>
          <w:p w14:paraId="28B2139D" w14:textId="77814FC0"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£228,455</w:t>
            </w:r>
          </w:p>
        </w:tc>
        <w:tc>
          <w:tcPr>
            <w:tcW w:w="1320" w:type="dxa"/>
          </w:tcPr>
          <w:p w14:paraId="52A743FA" w14:textId="7CE1F8C0"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£198,597</w:t>
            </w:r>
          </w:p>
        </w:tc>
        <w:tc>
          <w:tcPr>
            <w:tcW w:w="1290" w:type="dxa"/>
          </w:tcPr>
          <w:p w14:paraId="75E7B4C5" w14:textId="7D3FAEF1"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£215,812</w:t>
            </w:r>
          </w:p>
        </w:tc>
        <w:tc>
          <w:tcPr>
            <w:tcW w:w="1365" w:type="dxa"/>
          </w:tcPr>
          <w:p w14:paraId="550ED96F" w14:textId="15FD35AA"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£181,557</w:t>
            </w:r>
          </w:p>
        </w:tc>
        <w:tc>
          <w:tcPr>
            <w:tcW w:w="1335" w:type="dxa"/>
          </w:tcPr>
          <w:p w14:paraId="35B85882" w14:textId="6A9EF8ED"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£179,306</w:t>
            </w:r>
          </w:p>
        </w:tc>
      </w:tr>
      <w:tr w:rsidR="00554980" w14:paraId="6375574F" w14:textId="77777777" w:rsidTr="00A9655B">
        <w:tc>
          <w:tcPr>
            <w:cnfStyle w:val="001000000000" w:firstRow="0" w:lastRow="0" w:firstColumn="1" w:lastColumn="0" w:oddVBand="0" w:evenVBand="0" w:oddHBand="0" w:evenHBand="0" w:firstRowFirstColumn="0" w:firstRowLastColumn="0" w:lastRowFirstColumn="0" w:lastRowLastColumn="0"/>
            <w:tcW w:w="2802" w:type="dxa"/>
          </w:tcPr>
          <w:p w14:paraId="2EC2D223" w14:textId="77777777" w:rsidR="00554980" w:rsidRPr="6395FD93" w:rsidRDefault="00554980" w:rsidP="00A9655B">
            <w:pPr>
              <w:rPr>
                <w:color w:val="000000" w:themeColor="text1"/>
                <w:sz w:val="24"/>
                <w:szCs w:val="24"/>
                <w:lang w:val="en-GB"/>
              </w:rPr>
            </w:pPr>
            <w:r>
              <w:rPr>
                <w:b w:val="0"/>
                <w:bCs w:val="0"/>
                <w:color w:val="000000" w:themeColor="text1"/>
                <w:sz w:val="24"/>
                <w:szCs w:val="24"/>
                <w:lang w:val="en-GB"/>
              </w:rPr>
              <w:t>Net Income Per Employee</w:t>
            </w:r>
          </w:p>
        </w:tc>
        <w:tc>
          <w:tcPr>
            <w:tcW w:w="1395" w:type="dxa"/>
          </w:tcPr>
          <w:p w14:paraId="0304555F" w14:textId="5C5B5709"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£43,979</w:t>
            </w:r>
          </w:p>
        </w:tc>
        <w:tc>
          <w:tcPr>
            <w:tcW w:w="1320" w:type="dxa"/>
          </w:tcPr>
          <w:p w14:paraId="584BCA05" w14:textId="0BCD799A" w:rsidR="00554980" w:rsidRDefault="2DD703F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2DD703FB">
              <w:rPr>
                <w:color w:val="000000" w:themeColor="text1"/>
                <w:sz w:val="24"/>
                <w:szCs w:val="24"/>
                <w:lang w:val="en-GB"/>
              </w:rPr>
              <w:t>£35,279</w:t>
            </w:r>
          </w:p>
        </w:tc>
        <w:tc>
          <w:tcPr>
            <w:tcW w:w="1290" w:type="dxa"/>
          </w:tcPr>
          <w:p w14:paraId="6E91F79C" w14:textId="7D31627C" w:rsidR="00554980" w:rsidRDefault="32205987"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2205987">
              <w:rPr>
                <w:color w:val="000000" w:themeColor="text1"/>
                <w:sz w:val="24"/>
                <w:szCs w:val="24"/>
                <w:lang w:val="en-GB"/>
              </w:rPr>
              <w:t>£30,136</w:t>
            </w:r>
          </w:p>
        </w:tc>
        <w:tc>
          <w:tcPr>
            <w:tcW w:w="1365" w:type="dxa"/>
          </w:tcPr>
          <w:p w14:paraId="70D50BB0" w14:textId="36944A1C" w:rsidR="00554980" w:rsidRDefault="32205987"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2205987">
              <w:rPr>
                <w:color w:val="000000" w:themeColor="text1"/>
                <w:sz w:val="24"/>
                <w:szCs w:val="24"/>
                <w:lang w:val="en-GB"/>
              </w:rPr>
              <w:t>£29,841</w:t>
            </w:r>
          </w:p>
        </w:tc>
        <w:tc>
          <w:tcPr>
            <w:tcW w:w="1335" w:type="dxa"/>
          </w:tcPr>
          <w:p w14:paraId="382E4E0F" w14:textId="78EF7250" w:rsidR="00554980" w:rsidRDefault="32205987"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2205987">
              <w:rPr>
                <w:color w:val="000000" w:themeColor="text1"/>
                <w:sz w:val="24"/>
                <w:szCs w:val="24"/>
                <w:lang w:val="en-GB"/>
              </w:rPr>
              <w:t>£29,640</w:t>
            </w:r>
          </w:p>
        </w:tc>
      </w:tr>
      <w:tr w:rsidR="00E179F0" w14:paraId="389F87A8" w14:textId="77777777" w:rsidTr="00A9655B">
        <w:tc>
          <w:tcPr>
            <w:cnfStyle w:val="001000000000" w:firstRow="0" w:lastRow="0" w:firstColumn="1" w:lastColumn="0" w:oddVBand="0" w:evenVBand="0" w:oddHBand="0" w:evenHBand="0" w:firstRowFirstColumn="0" w:firstRowLastColumn="0" w:lastRowFirstColumn="0" w:lastRowLastColumn="0"/>
            <w:tcW w:w="2802" w:type="dxa"/>
          </w:tcPr>
          <w:p w14:paraId="1FFE8D87" w14:textId="431ECF8E" w:rsidR="00E179F0" w:rsidRDefault="00E179F0" w:rsidP="00A9655B">
            <w:pPr>
              <w:rPr>
                <w:b w:val="0"/>
                <w:bCs w:val="0"/>
                <w:color w:val="000000" w:themeColor="text1"/>
                <w:sz w:val="24"/>
                <w:szCs w:val="24"/>
                <w:lang w:val="en-GB"/>
              </w:rPr>
            </w:pPr>
            <w:r>
              <w:rPr>
                <w:b w:val="0"/>
                <w:bCs w:val="0"/>
                <w:color w:val="000000" w:themeColor="text1"/>
                <w:sz w:val="24"/>
                <w:szCs w:val="24"/>
                <w:lang w:val="en-GB"/>
              </w:rPr>
              <w:t>Cost to Sales Ratio</w:t>
            </w:r>
          </w:p>
        </w:tc>
        <w:tc>
          <w:tcPr>
            <w:tcW w:w="1395" w:type="dxa"/>
          </w:tcPr>
          <w:p w14:paraId="038843FF" w14:textId="42C8A28A" w:rsidR="00E179F0" w:rsidRDefault="32205987"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2205987">
              <w:rPr>
                <w:color w:val="000000" w:themeColor="text1"/>
                <w:sz w:val="24"/>
                <w:szCs w:val="24"/>
                <w:lang w:val="en-GB"/>
              </w:rPr>
              <w:t>23.2%</w:t>
            </w:r>
          </w:p>
        </w:tc>
        <w:tc>
          <w:tcPr>
            <w:tcW w:w="1320" w:type="dxa"/>
          </w:tcPr>
          <w:p w14:paraId="1DA539D9" w14:textId="1E206646" w:rsidR="00E179F0" w:rsidRDefault="32205987"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2205987">
              <w:rPr>
                <w:color w:val="000000" w:themeColor="text1"/>
                <w:sz w:val="24"/>
                <w:szCs w:val="24"/>
                <w:lang w:val="en-GB"/>
              </w:rPr>
              <w:t>23.1%</w:t>
            </w:r>
          </w:p>
        </w:tc>
        <w:tc>
          <w:tcPr>
            <w:tcW w:w="1290" w:type="dxa"/>
          </w:tcPr>
          <w:p w14:paraId="66A8F3C0" w14:textId="2CB2CE44" w:rsidR="00E179F0" w:rsidRDefault="32205987"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2205987">
              <w:rPr>
                <w:color w:val="000000" w:themeColor="text1"/>
                <w:sz w:val="24"/>
                <w:szCs w:val="24"/>
                <w:lang w:val="en-GB"/>
              </w:rPr>
              <w:t>25.3%</w:t>
            </w:r>
          </w:p>
        </w:tc>
        <w:tc>
          <w:tcPr>
            <w:tcW w:w="1365" w:type="dxa"/>
          </w:tcPr>
          <w:p w14:paraId="7A9BF63F" w14:textId="62A5FB5C" w:rsidR="00E179F0" w:rsidRDefault="32205987"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2205987">
              <w:rPr>
                <w:color w:val="000000" w:themeColor="text1"/>
                <w:sz w:val="24"/>
                <w:szCs w:val="24"/>
                <w:lang w:val="en-GB"/>
              </w:rPr>
              <w:t>19.0%</w:t>
            </w:r>
          </w:p>
        </w:tc>
        <w:tc>
          <w:tcPr>
            <w:tcW w:w="1335" w:type="dxa"/>
          </w:tcPr>
          <w:p w14:paraId="4C42C57F" w14:textId="18DD66FC" w:rsidR="00E179F0" w:rsidRDefault="32205987"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2205987">
              <w:rPr>
                <w:color w:val="000000" w:themeColor="text1"/>
                <w:sz w:val="24"/>
                <w:szCs w:val="24"/>
                <w:lang w:val="en-GB"/>
              </w:rPr>
              <w:t>17.2%</w:t>
            </w:r>
          </w:p>
        </w:tc>
      </w:tr>
    </w:tbl>
    <w:p w14:paraId="27A364F1" w14:textId="77777777" w:rsidR="00554980" w:rsidRPr="00126383" w:rsidRDefault="00554980" w:rsidP="00554980">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 xml:space="preserve">Annual Financial reports of </w:t>
      </w:r>
      <w:r>
        <w:rPr>
          <w:color w:val="000000" w:themeColor="text1"/>
          <w:sz w:val="20"/>
          <w:szCs w:val="20"/>
          <w:lang w:val="en-GB"/>
        </w:rPr>
        <w:t>Paddy Power BetFair</w:t>
      </w:r>
      <w:r w:rsidRPr="00126383">
        <w:rPr>
          <w:color w:val="000000" w:themeColor="text1"/>
          <w:sz w:val="20"/>
          <w:szCs w:val="20"/>
          <w:lang w:val="en-GB"/>
        </w:rPr>
        <w:t xml:space="preserve"> plc</w:t>
      </w:r>
    </w:p>
    <w:p w14:paraId="04DB31DC" w14:textId="37FDF8A1" w:rsidR="00837AB7" w:rsidRDefault="00837AB7" w:rsidP="00554980">
      <w:pPr>
        <w:pStyle w:val="ListBullet"/>
        <w:numPr>
          <w:ilvl w:val="0"/>
          <w:numId w:val="0"/>
        </w:numPr>
        <w:rPr>
          <w:color w:val="000000" w:themeColor="text1"/>
          <w:sz w:val="24"/>
          <w:szCs w:val="24"/>
          <w:lang w:val="en-GB"/>
        </w:rPr>
      </w:pPr>
      <w:r w:rsidRPr="000D5A46">
        <w:rPr>
          <w:b/>
          <w:bCs/>
          <w:color w:val="000000" w:themeColor="text1"/>
          <w:sz w:val="24"/>
          <w:szCs w:val="24"/>
          <w:lang w:val="en-GB"/>
        </w:rPr>
        <w:t>Efficiency ratios</w:t>
      </w:r>
      <w:r>
        <w:rPr>
          <w:color w:val="000000" w:themeColor="text1"/>
          <w:sz w:val="24"/>
          <w:szCs w:val="24"/>
          <w:lang w:val="en-GB"/>
        </w:rPr>
        <w:t xml:space="preserve"> measures how a company’s ability to utilise its assets and control it efficiently. It can point out if the company is overtrading, by pursuing aggressive policy of seeking for profits while undermining its working capital management or undertrading by </w:t>
      </w:r>
      <w:r w:rsidR="00840574">
        <w:rPr>
          <w:color w:val="000000" w:themeColor="text1"/>
          <w:sz w:val="24"/>
          <w:szCs w:val="24"/>
          <w:lang w:val="en-GB"/>
        </w:rPr>
        <w:t>pursuing a conservative approach by keeping lots of inventories and pursuing profit in a gentler manner.</w:t>
      </w:r>
    </w:p>
    <w:p w14:paraId="426432F7" w14:textId="4414B258" w:rsidR="00554980" w:rsidRDefault="00554980" w:rsidP="00554980">
      <w:pPr>
        <w:pStyle w:val="ListBullet"/>
        <w:numPr>
          <w:ilvl w:val="0"/>
          <w:numId w:val="0"/>
        </w:numPr>
        <w:rPr>
          <w:color w:val="000000" w:themeColor="text1"/>
          <w:sz w:val="24"/>
          <w:szCs w:val="24"/>
          <w:lang w:val="en-GB"/>
        </w:rPr>
      </w:pPr>
      <w:r w:rsidRPr="00476588">
        <w:rPr>
          <w:b/>
          <w:bCs/>
          <w:color w:val="000000" w:themeColor="text1"/>
          <w:sz w:val="24"/>
          <w:szCs w:val="24"/>
          <w:lang w:val="en-GB"/>
        </w:rPr>
        <w:t>Asset turnover ratio</w:t>
      </w:r>
      <w:r>
        <w:rPr>
          <w:color w:val="000000" w:themeColor="text1"/>
          <w:sz w:val="24"/>
          <w:szCs w:val="24"/>
          <w:lang w:val="en-GB"/>
        </w:rPr>
        <w:t xml:space="preserve"> is a measure of efficiency as to how a company uses its underlying assets to generate sales. The higher the better</w:t>
      </w:r>
      <w:r w:rsidR="00FC172B">
        <w:rPr>
          <w:color w:val="000000" w:themeColor="text1"/>
          <w:sz w:val="24"/>
          <w:szCs w:val="24"/>
          <w:lang w:val="en-GB"/>
        </w:rPr>
        <w:t>, which means company is using its assets effi</w:t>
      </w:r>
      <w:r w:rsidR="0002652E">
        <w:rPr>
          <w:color w:val="000000" w:themeColor="text1"/>
          <w:sz w:val="24"/>
          <w:szCs w:val="24"/>
          <w:lang w:val="en-GB"/>
        </w:rPr>
        <w:t>ciently</w:t>
      </w:r>
      <w:r>
        <w:rPr>
          <w:color w:val="000000" w:themeColor="text1"/>
          <w:sz w:val="24"/>
          <w:szCs w:val="24"/>
          <w:lang w:val="en-GB"/>
        </w:rPr>
        <w:t>.</w:t>
      </w:r>
      <w:r w:rsidR="00490367">
        <w:rPr>
          <w:color w:val="000000" w:themeColor="text1"/>
          <w:sz w:val="24"/>
          <w:szCs w:val="24"/>
          <w:lang w:val="en-GB"/>
        </w:rPr>
        <w:t xml:space="preserve"> The figures for both companies was not promising as Paddy Power plc figure dipped in 2016 and 2017 which can be explained by investment that was incurred during the merger of Paddy Power and BetFair plc. Once again there was no industrial sector average to compare with.</w:t>
      </w:r>
    </w:p>
    <w:p w14:paraId="1B20B3A0" w14:textId="1F3850B0" w:rsidR="00554980" w:rsidRDefault="00C41BD3" w:rsidP="6395FD93">
      <w:pPr>
        <w:pStyle w:val="ListBullet"/>
        <w:numPr>
          <w:ilvl w:val="0"/>
          <w:numId w:val="0"/>
        </w:numPr>
        <w:rPr>
          <w:b/>
          <w:bCs/>
          <w:color w:val="000000" w:themeColor="text1"/>
          <w:sz w:val="24"/>
          <w:szCs w:val="24"/>
          <w:lang w:val="en-GB"/>
        </w:rPr>
      </w:pPr>
      <w:r>
        <w:rPr>
          <w:b/>
          <w:bCs/>
          <w:color w:val="000000" w:themeColor="text1"/>
          <w:sz w:val="24"/>
          <w:szCs w:val="24"/>
          <w:lang w:val="en-GB"/>
        </w:rPr>
        <w:t>Cash</w:t>
      </w:r>
      <w:r w:rsidRPr="00F25C75">
        <w:rPr>
          <w:b/>
          <w:bCs/>
          <w:color w:val="000000" w:themeColor="text1"/>
          <w:sz w:val="24"/>
          <w:szCs w:val="24"/>
          <w:lang w:val="en-GB"/>
        </w:rPr>
        <w:t xml:space="preserve"> ratio</w:t>
      </w:r>
      <w:r w:rsidRPr="0012003F">
        <w:rPr>
          <w:color w:val="000000" w:themeColor="text1"/>
          <w:sz w:val="24"/>
          <w:szCs w:val="24"/>
          <w:lang w:val="en-GB"/>
        </w:rPr>
        <w:t xml:space="preserve"> is the measure of the company’s capacity to pay current liabilities due from its cash and cash equivalents</w:t>
      </w:r>
      <w:r>
        <w:rPr>
          <w:color w:val="000000" w:themeColor="text1"/>
          <w:sz w:val="24"/>
          <w:szCs w:val="24"/>
          <w:lang w:val="en-GB"/>
        </w:rPr>
        <w:t>.</w:t>
      </w:r>
      <w:r w:rsidR="00490367">
        <w:rPr>
          <w:color w:val="000000" w:themeColor="text1"/>
          <w:sz w:val="24"/>
          <w:szCs w:val="24"/>
          <w:lang w:val="en-GB"/>
        </w:rPr>
        <w:t xml:space="preserve"> The figures for both companies looked similar but again there is no sector average to compare with.</w:t>
      </w:r>
      <w:r w:rsidR="009103D9">
        <w:rPr>
          <w:color w:val="000000" w:themeColor="text1"/>
          <w:sz w:val="24"/>
          <w:szCs w:val="24"/>
          <w:lang w:val="en-GB"/>
        </w:rPr>
        <w:t>……..</w:t>
      </w:r>
    </w:p>
    <w:p w14:paraId="09D1E6D9" w14:textId="77777777" w:rsidR="001C4E4A" w:rsidRDefault="001C4E4A" w:rsidP="6395FD93">
      <w:pPr>
        <w:pStyle w:val="ListBullet"/>
        <w:numPr>
          <w:ilvl w:val="0"/>
          <w:numId w:val="0"/>
        </w:numPr>
        <w:rPr>
          <w:b/>
          <w:bCs/>
          <w:color w:val="000000" w:themeColor="text1"/>
          <w:sz w:val="24"/>
          <w:szCs w:val="24"/>
          <w:lang w:val="en-GB"/>
        </w:rPr>
      </w:pPr>
    </w:p>
    <w:p w14:paraId="59D28063" w14:textId="77777777" w:rsidR="001C4E4A" w:rsidRDefault="001C4E4A" w:rsidP="6395FD93">
      <w:pPr>
        <w:pStyle w:val="ListBullet"/>
        <w:numPr>
          <w:ilvl w:val="0"/>
          <w:numId w:val="0"/>
        </w:numPr>
        <w:rPr>
          <w:b/>
          <w:bCs/>
          <w:color w:val="000000" w:themeColor="text1"/>
          <w:sz w:val="24"/>
          <w:szCs w:val="24"/>
          <w:lang w:val="en-GB"/>
        </w:rPr>
      </w:pPr>
    </w:p>
    <w:p w14:paraId="5B56934A" w14:textId="77777777" w:rsidR="001C4E4A" w:rsidRDefault="001C4E4A" w:rsidP="6395FD93">
      <w:pPr>
        <w:pStyle w:val="ListBullet"/>
        <w:numPr>
          <w:ilvl w:val="0"/>
          <w:numId w:val="0"/>
        </w:numPr>
        <w:rPr>
          <w:b/>
          <w:bCs/>
          <w:color w:val="000000" w:themeColor="text1"/>
          <w:sz w:val="24"/>
          <w:szCs w:val="24"/>
          <w:lang w:val="en-GB"/>
        </w:rPr>
      </w:pPr>
    </w:p>
    <w:p w14:paraId="257B7996" w14:textId="77777777" w:rsidR="001C4E4A" w:rsidRDefault="001C4E4A" w:rsidP="6395FD93">
      <w:pPr>
        <w:pStyle w:val="ListBullet"/>
        <w:numPr>
          <w:ilvl w:val="0"/>
          <w:numId w:val="0"/>
        </w:numPr>
        <w:rPr>
          <w:b/>
          <w:bCs/>
          <w:color w:val="000000" w:themeColor="text1"/>
          <w:sz w:val="24"/>
          <w:szCs w:val="24"/>
          <w:lang w:val="en-GB"/>
        </w:rPr>
      </w:pPr>
    </w:p>
    <w:p w14:paraId="2F3D3A3A" w14:textId="2E058992" w:rsidR="3ED31BD3"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lastRenderedPageBreak/>
        <w:t>GEARING RATIOS</w:t>
      </w:r>
    </w:p>
    <w:p w14:paraId="38FF758D" w14:textId="082C9996" w:rsidR="3ED31BD3"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9</w:t>
      </w:r>
      <w:r w:rsidRPr="6395FD93">
        <w:rPr>
          <w:b/>
          <w:bCs/>
          <w:color w:val="000000" w:themeColor="text1"/>
          <w:sz w:val="24"/>
          <w:szCs w:val="24"/>
          <w:lang w:val="en-GB"/>
        </w:rPr>
        <w:t>: Debt to equity, Debt to Capital, Interest Cover</w:t>
      </w:r>
    </w:p>
    <w:tbl>
      <w:tblPr>
        <w:tblStyle w:val="GridTable1Light-Accent1"/>
        <w:tblW w:w="9360" w:type="dxa"/>
        <w:tblLayout w:type="fixed"/>
        <w:tblLook w:val="06A0" w:firstRow="1" w:lastRow="0" w:firstColumn="1" w:lastColumn="0" w:noHBand="1" w:noVBand="1"/>
      </w:tblPr>
      <w:tblGrid>
        <w:gridCol w:w="2325"/>
        <w:gridCol w:w="1425"/>
        <w:gridCol w:w="1350"/>
        <w:gridCol w:w="1425"/>
        <w:gridCol w:w="1425"/>
        <w:gridCol w:w="1410"/>
      </w:tblGrid>
      <w:tr w:rsidR="5C7EFC97" w14:paraId="2D31A34C"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5" w:type="dxa"/>
          </w:tcPr>
          <w:p w14:paraId="74CC2090" w14:textId="65EEC9D0" w:rsidR="5C7EFC97" w:rsidRDefault="6395FD93" w:rsidP="6395FD93">
            <w:pPr>
              <w:rPr>
                <w:color w:val="000000" w:themeColor="text1"/>
                <w:sz w:val="24"/>
                <w:szCs w:val="24"/>
                <w:lang w:val="en-GB"/>
              </w:rPr>
            </w:pPr>
            <w:r w:rsidRPr="6395FD93">
              <w:rPr>
                <w:color w:val="000000" w:themeColor="text1"/>
                <w:sz w:val="24"/>
                <w:szCs w:val="24"/>
                <w:lang w:val="en-GB"/>
              </w:rPr>
              <w:t>William Hill Plc</w:t>
            </w:r>
          </w:p>
        </w:tc>
        <w:tc>
          <w:tcPr>
            <w:tcW w:w="1425" w:type="dxa"/>
          </w:tcPr>
          <w:p w14:paraId="29A73564" w14:textId="0C893E9D"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2017</w:t>
            </w:r>
          </w:p>
        </w:tc>
        <w:tc>
          <w:tcPr>
            <w:tcW w:w="1350" w:type="dxa"/>
          </w:tcPr>
          <w:p w14:paraId="7A15B496" w14:textId="17AF4225"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2016</w:t>
            </w:r>
          </w:p>
        </w:tc>
        <w:tc>
          <w:tcPr>
            <w:tcW w:w="1425" w:type="dxa"/>
          </w:tcPr>
          <w:p w14:paraId="2651460F" w14:textId="148B5AD1"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2015</w:t>
            </w:r>
          </w:p>
        </w:tc>
        <w:tc>
          <w:tcPr>
            <w:tcW w:w="1425" w:type="dxa"/>
          </w:tcPr>
          <w:p w14:paraId="1C2B8F69" w14:textId="71BB7DDF"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2014</w:t>
            </w:r>
          </w:p>
        </w:tc>
        <w:tc>
          <w:tcPr>
            <w:tcW w:w="1410" w:type="dxa"/>
          </w:tcPr>
          <w:p w14:paraId="6A9035CC" w14:textId="7E1B9AD5" w:rsidR="5C7EFC97" w:rsidRDefault="6395FD93" w:rsidP="6395FD93">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GB"/>
              </w:rPr>
            </w:pPr>
            <w:r w:rsidRPr="6395FD93">
              <w:rPr>
                <w:color w:val="000000" w:themeColor="text1"/>
                <w:sz w:val="24"/>
                <w:szCs w:val="24"/>
                <w:lang w:val="en-GB"/>
              </w:rPr>
              <w:t>2013</w:t>
            </w:r>
          </w:p>
        </w:tc>
      </w:tr>
      <w:tr w:rsidR="5C7EFC97" w14:paraId="5E8470AA" w14:textId="77777777" w:rsidTr="6395FD93">
        <w:tc>
          <w:tcPr>
            <w:cnfStyle w:val="001000000000" w:firstRow="0" w:lastRow="0" w:firstColumn="1" w:lastColumn="0" w:oddVBand="0" w:evenVBand="0" w:oddHBand="0" w:evenHBand="0" w:firstRowFirstColumn="0" w:firstRowLastColumn="0" w:lastRowFirstColumn="0" w:lastRowLastColumn="0"/>
            <w:tcW w:w="2325" w:type="dxa"/>
          </w:tcPr>
          <w:p w14:paraId="44D3BEF6" w14:textId="7B59BDBE" w:rsidR="5C7EFC97" w:rsidRDefault="6395FD93" w:rsidP="6395FD93">
            <w:pPr>
              <w:spacing w:after="120" w:line="259" w:lineRule="auto"/>
              <w:rPr>
                <w:color w:val="000000" w:themeColor="text1"/>
                <w:sz w:val="24"/>
                <w:szCs w:val="24"/>
                <w:lang w:val="en-GB"/>
              </w:rPr>
            </w:pPr>
            <w:r w:rsidRPr="6395FD93">
              <w:rPr>
                <w:b w:val="0"/>
                <w:bCs w:val="0"/>
                <w:color w:val="000000" w:themeColor="text1"/>
                <w:sz w:val="24"/>
                <w:szCs w:val="24"/>
                <w:lang w:val="en-GB"/>
              </w:rPr>
              <w:t>Debt To Equity</w:t>
            </w:r>
          </w:p>
        </w:tc>
        <w:tc>
          <w:tcPr>
            <w:tcW w:w="1425" w:type="dxa"/>
          </w:tcPr>
          <w:p w14:paraId="4ADFF9CD" w14:textId="1B9539F8" w:rsidR="5C7EFC97" w:rsidRDefault="45692C60"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5692C60">
              <w:rPr>
                <w:color w:val="000000" w:themeColor="text1"/>
                <w:sz w:val="24"/>
                <w:szCs w:val="24"/>
                <w:lang w:val="en-GB"/>
              </w:rPr>
              <w:t>77.3%</w:t>
            </w:r>
          </w:p>
        </w:tc>
        <w:tc>
          <w:tcPr>
            <w:tcW w:w="1350" w:type="dxa"/>
          </w:tcPr>
          <w:p w14:paraId="28F665E0" w14:textId="3D2DB1B2"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65.9%</w:t>
            </w:r>
          </w:p>
        </w:tc>
        <w:tc>
          <w:tcPr>
            <w:tcW w:w="1425" w:type="dxa"/>
          </w:tcPr>
          <w:p w14:paraId="6F06DBFA" w14:textId="173C50A9"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38.5%</w:t>
            </w:r>
          </w:p>
        </w:tc>
        <w:tc>
          <w:tcPr>
            <w:tcW w:w="1425" w:type="dxa"/>
          </w:tcPr>
          <w:p w14:paraId="5B74A8E8" w14:textId="1DE27CF1"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73.3%</w:t>
            </w:r>
          </w:p>
        </w:tc>
        <w:tc>
          <w:tcPr>
            <w:tcW w:w="1410" w:type="dxa"/>
          </w:tcPr>
          <w:p w14:paraId="7B9B1352" w14:textId="3F273347"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103.8%</w:t>
            </w:r>
          </w:p>
        </w:tc>
      </w:tr>
      <w:tr w:rsidR="5C7EFC97" w14:paraId="37F9699D" w14:textId="77777777" w:rsidTr="6395FD93">
        <w:tc>
          <w:tcPr>
            <w:cnfStyle w:val="001000000000" w:firstRow="0" w:lastRow="0" w:firstColumn="1" w:lastColumn="0" w:oddVBand="0" w:evenVBand="0" w:oddHBand="0" w:evenHBand="0" w:firstRowFirstColumn="0" w:firstRowLastColumn="0" w:lastRowFirstColumn="0" w:lastRowLastColumn="0"/>
            <w:tcW w:w="2325" w:type="dxa"/>
          </w:tcPr>
          <w:p w14:paraId="60B92C69" w14:textId="02CFBA0D" w:rsidR="5C7EFC97" w:rsidRDefault="6395FD93" w:rsidP="6395FD93">
            <w:pPr>
              <w:rPr>
                <w:color w:val="000000" w:themeColor="text1"/>
                <w:sz w:val="24"/>
                <w:szCs w:val="24"/>
                <w:lang w:val="en-GB"/>
              </w:rPr>
            </w:pPr>
            <w:r w:rsidRPr="6395FD93">
              <w:rPr>
                <w:b w:val="0"/>
                <w:bCs w:val="0"/>
                <w:color w:val="000000" w:themeColor="text1"/>
                <w:sz w:val="24"/>
                <w:szCs w:val="24"/>
                <w:lang w:val="en-GB"/>
              </w:rPr>
              <w:t>Debt To Capital</w:t>
            </w:r>
          </w:p>
        </w:tc>
        <w:tc>
          <w:tcPr>
            <w:tcW w:w="1425" w:type="dxa"/>
          </w:tcPr>
          <w:p w14:paraId="1F6DA9DB" w14:textId="4A4D32DE"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43.6%</w:t>
            </w:r>
          </w:p>
        </w:tc>
        <w:tc>
          <w:tcPr>
            <w:tcW w:w="1350" w:type="dxa"/>
          </w:tcPr>
          <w:p w14:paraId="42871988" w14:textId="72E7B3CA"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39.7%</w:t>
            </w:r>
          </w:p>
        </w:tc>
        <w:tc>
          <w:tcPr>
            <w:tcW w:w="1425" w:type="dxa"/>
          </w:tcPr>
          <w:p w14:paraId="4EE667FE" w14:textId="0E600B78"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27.8%</w:t>
            </w:r>
          </w:p>
        </w:tc>
        <w:tc>
          <w:tcPr>
            <w:tcW w:w="1425" w:type="dxa"/>
          </w:tcPr>
          <w:p w14:paraId="0F9547AF" w14:textId="4C107225"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42.3%</w:t>
            </w:r>
          </w:p>
        </w:tc>
        <w:tc>
          <w:tcPr>
            <w:tcW w:w="1410" w:type="dxa"/>
          </w:tcPr>
          <w:p w14:paraId="59E28793" w14:textId="6E9A58AD"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50.9%</w:t>
            </w:r>
          </w:p>
        </w:tc>
      </w:tr>
      <w:tr w:rsidR="5C7EFC97" w14:paraId="54E6A9CD" w14:textId="77777777" w:rsidTr="6395FD93">
        <w:tc>
          <w:tcPr>
            <w:cnfStyle w:val="001000000000" w:firstRow="0" w:lastRow="0" w:firstColumn="1" w:lastColumn="0" w:oddVBand="0" w:evenVBand="0" w:oddHBand="0" w:evenHBand="0" w:firstRowFirstColumn="0" w:firstRowLastColumn="0" w:lastRowFirstColumn="0" w:lastRowLastColumn="0"/>
            <w:tcW w:w="2325" w:type="dxa"/>
          </w:tcPr>
          <w:p w14:paraId="69361E92" w14:textId="5E6D9CD7" w:rsidR="5C7EFC97" w:rsidRDefault="6395FD93" w:rsidP="6395FD93">
            <w:pPr>
              <w:rPr>
                <w:color w:val="000000" w:themeColor="text1"/>
                <w:sz w:val="24"/>
                <w:szCs w:val="24"/>
                <w:lang w:val="en-GB"/>
              </w:rPr>
            </w:pPr>
            <w:r w:rsidRPr="6395FD93">
              <w:rPr>
                <w:b w:val="0"/>
                <w:bCs w:val="0"/>
                <w:color w:val="000000" w:themeColor="text1"/>
                <w:sz w:val="24"/>
                <w:szCs w:val="24"/>
                <w:lang w:val="en-GB"/>
              </w:rPr>
              <w:t>Interest Cover</w:t>
            </w:r>
          </w:p>
        </w:tc>
        <w:tc>
          <w:tcPr>
            <w:tcW w:w="1425" w:type="dxa"/>
          </w:tcPr>
          <w:p w14:paraId="42E20BC3" w14:textId="3F16A9E9" w:rsidR="5C7EFC97" w:rsidRDefault="19C22B82" w:rsidP="6395FD93">
            <w:pPr>
              <w:cnfStyle w:val="000000000000" w:firstRow="0" w:lastRow="0" w:firstColumn="0" w:lastColumn="0" w:oddVBand="0" w:evenVBand="0" w:oddHBand="0" w:evenHBand="0" w:firstRowFirstColumn="0" w:firstRowLastColumn="0" w:lastRowFirstColumn="0" w:lastRowLastColumn="0"/>
              <w:rPr>
                <w:color w:val="FF0000"/>
                <w:sz w:val="24"/>
                <w:szCs w:val="24"/>
                <w:lang w:val="en-GB"/>
              </w:rPr>
            </w:pPr>
            <w:r w:rsidRPr="19C22B82">
              <w:rPr>
                <w:color w:val="FF0000"/>
                <w:sz w:val="24"/>
                <w:szCs w:val="24"/>
                <w:lang w:val="en-GB"/>
              </w:rPr>
              <w:t>-1.17</w:t>
            </w:r>
          </w:p>
        </w:tc>
        <w:tc>
          <w:tcPr>
            <w:tcW w:w="1350" w:type="dxa"/>
          </w:tcPr>
          <w:p w14:paraId="105F6170" w14:textId="0DFFAD1F"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4.59</w:t>
            </w:r>
          </w:p>
        </w:tc>
        <w:tc>
          <w:tcPr>
            <w:tcW w:w="1425" w:type="dxa"/>
          </w:tcPr>
          <w:p w14:paraId="31893C26" w14:textId="4CA21671"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5.47</w:t>
            </w:r>
          </w:p>
        </w:tc>
        <w:tc>
          <w:tcPr>
            <w:tcW w:w="1425" w:type="dxa"/>
          </w:tcPr>
          <w:p w14:paraId="11675680" w14:textId="1A4BCB8B"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5.76</w:t>
            </w:r>
          </w:p>
        </w:tc>
        <w:tc>
          <w:tcPr>
            <w:tcW w:w="1410" w:type="dxa"/>
          </w:tcPr>
          <w:p w14:paraId="213C2CDE" w14:textId="635C60BA" w:rsidR="5C7EFC97"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7.14</w:t>
            </w:r>
          </w:p>
        </w:tc>
      </w:tr>
      <w:tr w:rsidR="009103D9" w14:paraId="53C0F6E2" w14:textId="77777777" w:rsidTr="6395FD93">
        <w:tc>
          <w:tcPr>
            <w:cnfStyle w:val="001000000000" w:firstRow="0" w:lastRow="0" w:firstColumn="1" w:lastColumn="0" w:oddVBand="0" w:evenVBand="0" w:oddHBand="0" w:evenHBand="0" w:firstRowFirstColumn="0" w:firstRowLastColumn="0" w:lastRowFirstColumn="0" w:lastRowLastColumn="0"/>
            <w:tcW w:w="2325" w:type="dxa"/>
          </w:tcPr>
          <w:p w14:paraId="5E3A49B9" w14:textId="0B499696" w:rsidR="009103D9" w:rsidRPr="6395FD93" w:rsidRDefault="009103D9" w:rsidP="6395FD93">
            <w:pPr>
              <w:rPr>
                <w:color w:val="000000" w:themeColor="text1"/>
                <w:sz w:val="24"/>
                <w:szCs w:val="24"/>
                <w:lang w:val="en-GB"/>
              </w:rPr>
            </w:pPr>
            <w:r>
              <w:rPr>
                <w:b w:val="0"/>
                <w:bCs w:val="0"/>
                <w:color w:val="000000" w:themeColor="text1"/>
                <w:sz w:val="24"/>
                <w:szCs w:val="24"/>
                <w:lang w:val="en-GB"/>
              </w:rPr>
              <w:t>Equity Ratio</w:t>
            </w:r>
          </w:p>
        </w:tc>
        <w:tc>
          <w:tcPr>
            <w:tcW w:w="1425" w:type="dxa"/>
          </w:tcPr>
          <w:p w14:paraId="7D2B3291" w14:textId="682CE2B1" w:rsidR="009103D9"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56.4%</w:t>
            </w:r>
          </w:p>
        </w:tc>
        <w:tc>
          <w:tcPr>
            <w:tcW w:w="1350" w:type="dxa"/>
          </w:tcPr>
          <w:p w14:paraId="7D3FE83F" w14:textId="4E97520A" w:rsidR="009103D9"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60.3%</w:t>
            </w:r>
          </w:p>
        </w:tc>
        <w:tc>
          <w:tcPr>
            <w:tcW w:w="1425" w:type="dxa"/>
          </w:tcPr>
          <w:p w14:paraId="17BDB798" w14:textId="77F782CF" w:rsidR="009103D9"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72.2%</w:t>
            </w:r>
          </w:p>
        </w:tc>
        <w:tc>
          <w:tcPr>
            <w:tcW w:w="1425" w:type="dxa"/>
          </w:tcPr>
          <w:p w14:paraId="6438FBB0" w14:textId="52EAAE64" w:rsidR="009103D9"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57.7%</w:t>
            </w:r>
          </w:p>
        </w:tc>
        <w:tc>
          <w:tcPr>
            <w:tcW w:w="1410" w:type="dxa"/>
          </w:tcPr>
          <w:p w14:paraId="791C74FD" w14:textId="3A3AAAEC" w:rsidR="009103D9"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49.1%</w:t>
            </w:r>
          </w:p>
        </w:tc>
      </w:tr>
      <w:tr w:rsidR="009103D9" w14:paraId="614C1414" w14:textId="77777777" w:rsidTr="6395FD93">
        <w:tc>
          <w:tcPr>
            <w:cnfStyle w:val="001000000000" w:firstRow="0" w:lastRow="0" w:firstColumn="1" w:lastColumn="0" w:oddVBand="0" w:evenVBand="0" w:oddHBand="0" w:evenHBand="0" w:firstRowFirstColumn="0" w:firstRowLastColumn="0" w:lastRowFirstColumn="0" w:lastRowLastColumn="0"/>
            <w:tcW w:w="2325" w:type="dxa"/>
          </w:tcPr>
          <w:p w14:paraId="4BA2C69B" w14:textId="335659F1" w:rsidR="009103D9" w:rsidRPr="6395FD93" w:rsidRDefault="009103D9" w:rsidP="6395FD93">
            <w:pPr>
              <w:rPr>
                <w:color w:val="000000" w:themeColor="text1"/>
                <w:sz w:val="24"/>
                <w:szCs w:val="24"/>
                <w:lang w:val="en-GB"/>
              </w:rPr>
            </w:pPr>
            <w:r>
              <w:rPr>
                <w:b w:val="0"/>
                <w:bCs w:val="0"/>
                <w:color w:val="000000" w:themeColor="text1"/>
                <w:sz w:val="24"/>
                <w:szCs w:val="24"/>
                <w:lang w:val="en-GB"/>
              </w:rPr>
              <w:t>Solvency Ratio</w:t>
            </w:r>
          </w:p>
        </w:tc>
        <w:tc>
          <w:tcPr>
            <w:tcW w:w="1425" w:type="dxa"/>
          </w:tcPr>
          <w:p w14:paraId="3EAA0A3E" w14:textId="7812737F" w:rsidR="009103D9" w:rsidRDefault="19C22B82" w:rsidP="6395FD93">
            <w:pPr>
              <w:cnfStyle w:val="000000000000" w:firstRow="0" w:lastRow="0" w:firstColumn="0" w:lastColumn="0" w:oddVBand="0" w:evenVBand="0" w:oddHBand="0" w:evenHBand="0" w:firstRowFirstColumn="0" w:firstRowLastColumn="0" w:lastRowFirstColumn="0" w:lastRowLastColumn="0"/>
              <w:rPr>
                <w:color w:val="FF0000"/>
                <w:sz w:val="24"/>
                <w:szCs w:val="24"/>
                <w:lang w:val="en-GB"/>
              </w:rPr>
            </w:pPr>
            <w:r w:rsidRPr="19C22B82">
              <w:rPr>
                <w:color w:val="FF0000"/>
                <w:sz w:val="24"/>
                <w:szCs w:val="24"/>
                <w:lang w:val="en-GB"/>
              </w:rPr>
              <w:t>-4.1%</w:t>
            </w:r>
          </w:p>
        </w:tc>
        <w:tc>
          <w:tcPr>
            <w:tcW w:w="1350" w:type="dxa"/>
          </w:tcPr>
          <w:p w14:paraId="1C57AF83" w14:textId="3A113EF4" w:rsidR="009103D9"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16.1%</w:t>
            </w:r>
          </w:p>
        </w:tc>
        <w:tc>
          <w:tcPr>
            <w:tcW w:w="1425" w:type="dxa"/>
          </w:tcPr>
          <w:p w14:paraId="6AF4F6E6" w14:textId="08D9ECAB" w:rsidR="009103D9"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19.6%</w:t>
            </w:r>
          </w:p>
        </w:tc>
        <w:tc>
          <w:tcPr>
            <w:tcW w:w="1425" w:type="dxa"/>
          </w:tcPr>
          <w:p w14:paraId="52B0CC3E" w14:textId="5985B22C" w:rsidR="009103D9"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19.7%</w:t>
            </w:r>
          </w:p>
        </w:tc>
        <w:tc>
          <w:tcPr>
            <w:tcW w:w="1410" w:type="dxa"/>
          </w:tcPr>
          <w:p w14:paraId="63983592" w14:textId="6DFA282B" w:rsidR="009103D9" w:rsidRDefault="19C22B82"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19C22B82">
              <w:rPr>
                <w:color w:val="000000" w:themeColor="text1"/>
                <w:sz w:val="24"/>
                <w:szCs w:val="24"/>
                <w:lang w:val="en-GB"/>
              </w:rPr>
              <w:t>20.3%</w:t>
            </w:r>
          </w:p>
        </w:tc>
      </w:tr>
    </w:tbl>
    <w:p w14:paraId="6233F8FB" w14:textId="75D2FC7D" w:rsidR="00DB524A" w:rsidRPr="00126383" w:rsidRDefault="00DB524A" w:rsidP="00DB524A">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Annual Financial reports of William Hill plc</w:t>
      </w:r>
    </w:p>
    <w:p w14:paraId="733B9BCB" w14:textId="1F267DA7" w:rsidR="00554980" w:rsidRDefault="00554980" w:rsidP="00554980">
      <w:pPr>
        <w:pStyle w:val="ListBullet"/>
        <w:numPr>
          <w:ilvl w:val="0"/>
          <w:numId w:val="0"/>
        </w:numPr>
        <w:rPr>
          <w:b/>
          <w:bCs/>
          <w:color w:val="000000" w:themeColor="text1"/>
          <w:sz w:val="24"/>
          <w:szCs w:val="24"/>
          <w:lang w:val="en-GB"/>
        </w:rPr>
      </w:pPr>
      <w:r w:rsidRPr="6395FD93">
        <w:rPr>
          <w:b/>
          <w:bCs/>
          <w:color w:val="000000" w:themeColor="text1"/>
          <w:sz w:val="24"/>
          <w:szCs w:val="24"/>
          <w:lang w:val="en-GB"/>
        </w:rPr>
        <w:t>GEARING RATIOS</w:t>
      </w:r>
    </w:p>
    <w:p w14:paraId="50D4A990" w14:textId="23C3B7CC" w:rsidR="00554980" w:rsidRDefault="00554980" w:rsidP="00554980">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10</w:t>
      </w:r>
      <w:r w:rsidRPr="6395FD93">
        <w:rPr>
          <w:b/>
          <w:bCs/>
          <w:color w:val="000000" w:themeColor="text1"/>
          <w:sz w:val="24"/>
          <w:szCs w:val="24"/>
          <w:lang w:val="en-GB"/>
        </w:rPr>
        <w:t>: Debt to equity, Debt to Capital, Interest Cover</w:t>
      </w:r>
    </w:p>
    <w:tbl>
      <w:tblPr>
        <w:tblStyle w:val="GridTable1Light-Accent1"/>
        <w:tblW w:w="9360" w:type="dxa"/>
        <w:tblLayout w:type="fixed"/>
        <w:tblLook w:val="06A0" w:firstRow="1" w:lastRow="0" w:firstColumn="1" w:lastColumn="0" w:noHBand="1" w:noVBand="1"/>
      </w:tblPr>
      <w:tblGrid>
        <w:gridCol w:w="2325"/>
        <w:gridCol w:w="1230"/>
        <w:gridCol w:w="1455"/>
        <w:gridCol w:w="1515"/>
        <w:gridCol w:w="1425"/>
        <w:gridCol w:w="1410"/>
      </w:tblGrid>
      <w:tr w:rsidR="00554980" w14:paraId="7A748A55" w14:textId="77777777" w:rsidTr="00A96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5" w:type="dxa"/>
          </w:tcPr>
          <w:p w14:paraId="0979EC08" w14:textId="77777777" w:rsidR="00554980" w:rsidRDefault="00554980" w:rsidP="00A9655B">
            <w:pPr>
              <w:rPr>
                <w:color w:val="000000" w:themeColor="text1"/>
                <w:sz w:val="24"/>
                <w:szCs w:val="24"/>
                <w:lang w:val="en-GB"/>
              </w:rPr>
            </w:pPr>
            <w:r w:rsidRPr="6395FD93">
              <w:rPr>
                <w:color w:val="000000" w:themeColor="text1"/>
                <w:sz w:val="24"/>
                <w:szCs w:val="24"/>
                <w:lang w:val="en-GB"/>
              </w:rPr>
              <w:t>Paddy Power BetFair Plc</w:t>
            </w:r>
          </w:p>
        </w:tc>
        <w:tc>
          <w:tcPr>
            <w:tcW w:w="1230" w:type="dxa"/>
          </w:tcPr>
          <w:p w14:paraId="2560A5E8" w14:textId="77777777" w:rsidR="0055498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2017</w:t>
            </w:r>
          </w:p>
        </w:tc>
        <w:tc>
          <w:tcPr>
            <w:tcW w:w="1455" w:type="dxa"/>
          </w:tcPr>
          <w:p w14:paraId="07C97533" w14:textId="77777777" w:rsidR="0055498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2016</w:t>
            </w:r>
          </w:p>
        </w:tc>
        <w:tc>
          <w:tcPr>
            <w:tcW w:w="1515" w:type="dxa"/>
          </w:tcPr>
          <w:p w14:paraId="56A1D6AE" w14:textId="77777777" w:rsidR="0055498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2015</w:t>
            </w:r>
          </w:p>
        </w:tc>
        <w:tc>
          <w:tcPr>
            <w:tcW w:w="1425" w:type="dxa"/>
          </w:tcPr>
          <w:p w14:paraId="19B5B10C" w14:textId="77777777" w:rsidR="0055498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2014</w:t>
            </w:r>
          </w:p>
        </w:tc>
        <w:tc>
          <w:tcPr>
            <w:tcW w:w="1410" w:type="dxa"/>
          </w:tcPr>
          <w:p w14:paraId="6A55D90C" w14:textId="77777777" w:rsidR="00554980"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2013</w:t>
            </w:r>
          </w:p>
        </w:tc>
      </w:tr>
      <w:tr w:rsidR="00554980" w14:paraId="5661780E" w14:textId="77777777" w:rsidTr="00A9655B">
        <w:tc>
          <w:tcPr>
            <w:cnfStyle w:val="001000000000" w:firstRow="0" w:lastRow="0" w:firstColumn="1" w:lastColumn="0" w:oddVBand="0" w:evenVBand="0" w:oddHBand="0" w:evenHBand="0" w:firstRowFirstColumn="0" w:firstRowLastColumn="0" w:lastRowFirstColumn="0" w:lastRowLastColumn="0"/>
            <w:tcW w:w="2325" w:type="dxa"/>
          </w:tcPr>
          <w:p w14:paraId="63EBCB13" w14:textId="77777777" w:rsidR="00554980" w:rsidRDefault="00554980" w:rsidP="00A9655B">
            <w:pPr>
              <w:spacing w:after="120" w:line="259" w:lineRule="auto"/>
              <w:rPr>
                <w:color w:val="000000" w:themeColor="text1"/>
                <w:sz w:val="24"/>
                <w:szCs w:val="24"/>
                <w:lang w:val="en-GB"/>
              </w:rPr>
            </w:pPr>
            <w:r w:rsidRPr="6395FD93">
              <w:rPr>
                <w:b w:val="0"/>
                <w:bCs w:val="0"/>
                <w:color w:val="000000" w:themeColor="text1"/>
                <w:sz w:val="24"/>
                <w:szCs w:val="24"/>
                <w:lang w:val="en-GB"/>
              </w:rPr>
              <w:t>Debt To Equity</w:t>
            </w:r>
          </w:p>
        </w:tc>
        <w:tc>
          <w:tcPr>
            <w:tcW w:w="1230" w:type="dxa"/>
          </w:tcPr>
          <w:p w14:paraId="67DA7CD4" w14:textId="23F2ADE7" w:rsidR="00554980" w:rsidRDefault="35BFD625"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5BFD625">
              <w:rPr>
                <w:color w:val="000000" w:themeColor="text1"/>
                <w:sz w:val="24"/>
                <w:szCs w:val="24"/>
                <w:lang w:val="en-GB"/>
              </w:rPr>
              <w:t>3.40%</w:t>
            </w:r>
          </w:p>
        </w:tc>
        <w:tc>
          <w:tcPr>
            <w:tcW w:w="1455" w:type="dxa"/>
          </w:tcPr>
          <w:p w14:paraId="43F3C48E" w14:textId="474554AD" w:rsidR="00554980" w:rsidRDefault="35BFD625"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5BFD625">
              <w:rPr>
                <w:color w:val="000000" w:themeColor="text1"/>
                <w:sz w:val="24"/>
                <w:szCs w:val="24"/>
                <w:lang w:val="en-GB"/>
              </w:rPr>
              <w:t>7.01%</w:t>
            </w:r>
          </w:p>
        </w:tc>
        <w:tc>
          <w:tcPr>
            <w:tcW w:w="1515" w:type="dxa"/>
          </w:tcPr>
          <w:p w14:paraId="79C858DE" w14:textId="599CCB87" w:rsidR="00554980" w:rsidRDefault="35BFD625"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5BFD625">
              <w:rPr>
                <w:color w:val="000000" w:themeColor="text1"/>
                <w:sz w:val="24"/>
                <w:szCs w:val="24"/>
                <w:lang w:val="en-GB"/>
              </w:rPr>
              <w:t>296.28%</w:t>
            </w:r>
          </w:p>
        </w:tc>
        <w:tc>
          <w:tcPr>
            <w:tcW w:w="1425" w:type="dxa"/>
          </w:tcPr>
          <w:p w14:paraId="16064253" w14:textId="213F8AF9" w:rsidR="00554980" w:rsidRDefault="35BFD625"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5BFD625">
              <w:rPr>
                <w:color w:val="000000" w:themeColor="text1"/>
                <w:sz w:val="24"/>
                <w:szCs w:val="24"/>
                <w:lang w:val="en-GB"/>
              </w:rPr>
              <w:t>2.66%</w:t>
            </w:r>
          </w:p>
        </w:tc>
        <w:tc>
          <w:tcPr>
            <w:tcW w:w="1410" w:type="dxa"/>
          </w:tcPr>
          <w:p w14:paraId="092B1F6E" w14:textId="5DDF8F9D" w:rsidR="00554980" w:rsidRDefault="35BFD625"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5BFD625">
              <w:rPr>
                <w:color w:val="000000" w:themeColor="text1"/>
                <w:sz w:val="24"/>
                <w:szCs w:val="24"/>
                <w:lang w:val="en-GB"/>
              </w:rPr>
              <w:t>5.46%</w:t>
            </w:r>
          </w:p>
        </w:tc>
      </w:tr>
      <w:tr w:rsidR="00554980" w14:paraId="2B231A08" w14:textId="77777777" w:rsidTr="00A9655B">
        <w:tc>
          <w:tcPr>
            <w:cnfStyle w:val="001000000000" w:firstRow="0" w:lastRow="0" w:firstColumn="1" w:lastColumn="0" w:oddVBand="0" w:evenVBand="0" w:oddHBand="0" w:evenHBand="0" w:firstRowFirstColumn="0" w:firstRowLastColumn="0" w:lastRowFirstColumn="0" w:lastRowLastColumn="0"/>
            <w:tcW w:w="2325" w:type="dxa"/>
          </w:tcPr>
          <w:p w14:paraId="74479AA8"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Debt To Capital</w:t>
            </w:r>
          </w:p>
        </w:tc>
        <w:tc>
          <w:tcPr>
            <w:tcW w:w="1230" w:type="dxa"/>
          </w:tcPr>
          <w:p w14:paraId="7A051C9C" w14:textId="5ACC8EAA" w:rsidR="00554980" w:rsidRDefault="35BFD625"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5BFD625">
              <w:rPr>
                <w:color w:val="000000" w:themeColor="text1"/>
                <w:sz w:val="24"/>
                <w:szCs w:val="24"/>
                <w:lang w:val="en-GB"/>
              </w:rPr>
              <w:t>3.29%</w:t>
            </w:r>
          </w:p>
        </w:tc>
        <w:tc>
          <w:tcPr>
            <w:tcW w:w="1455" w:type="dxa"/>
          </w:tcPr>
          <w:p w14:paraId="312776FF" w14:textId="4F2B9AF4"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6.55%</w:t>
            </w:r>
          </w:p>
        </w:tc>
        <w:tc>
          <w:tcPr>
            <w:tcW w:w="1515" w:type="dxa"/>
          </w:tcPr>
          <w:p w14:paraId="520CE4E2" w14:textId="35567C4E"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74.77%</w:t>
            </w:r>
          </w:p>
        </w:tc>
        <w:tc>
          <w:tcPr>
            <w:tcW w:w="1425" w:type="dxa"/>
          </w:tcPr>
          <w:p w14:paraId="53B5A08C" w14:textId="70971C27"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2.59%</w:t>
            </w:r>
          </w:p>
        </w:tc>
        <w:tc>
          <w:tcPr>
            <w:tcW w:w="1410" w:type="dxa"/>
          </w:tcPr>
          <w:p w14:paraId="79DCEAA8" w14:textId="0DC10ACF"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5.17%</w:t>
            </w:r>
          </w:p>
        </w:tc>
      </w:tr>
      <w:tr w:rsidR="00554980" w14:paraId="0C5416D5" w14:textId="77777777" w:rsidTr="00A9655B">
        <w:tc>
          <w:tcPr>
            <w:cnfStyle w:val="001000000000" w:firstRow="0" w:lastRow="0" w:firstColumn="1" w:lastColumn="0" w:oddVBand="0" w:evenVBand="0" w:oddHBand="0" w:evenHBand="0" w:firstRowFirstColumn="0" w:firstRowLastColumn="0" w:lastRowFirstColumn="0" w:lastRowLastColumn="0"/>
            <w:tcW w:w="2325" w:type="dxa"/>
          </w:tcPr>
          <w:p w14:paraId="7CAA6711" w14:textId="2DA16668" w:rsidR="00554980" w:rsidRDefault="00554980" w:rsidP="00A9655B">
            <w:pPr>
              <w:rPr>
                <w:color w:val="000000" w:themeColor="text1"/>
                <w:sz w:val="24"/>
                <w:szCs w:val="24"/>
                <w:lang w:val="en-GB"/>
              </w:rPr>
            </w:pPr>
            <w:r w:rsidRPr="6395FD93">
              <w:rPr>
                <w:b w:val="0"/>
                <w:bCs w:val="0"/>
                <w:color w:val="000000" w:themeColor="text1"/>
                <w:sz w:val="24"/>
                <w:szCs w:val="24"/>
                <w:lang w:val="en-GB"/>
              </w:rPr>
              <w:t>Interest Cover</w:t>
            </w:r>
            <w:r w:rsidR="70002A70" w:rsidRPr="70002A70">
              <w:rPr>
                <w:b w:val="0"/>
                <w:bCs w:val="0"/>
                <w:color w:val="000000" w:themeColor="text1"/>
                <w:sz w:val="24"/>
                <w:szCs w:val="24"/>
                <w:lang w:val="en-GB"/>
              </w:rPr>
              <w:t xml:space="preserve"> (times)</w:t>
            </w:r>
          </w:p>
        </w:tc>
        <w:tc>
          <w:tcPr>
            <w:tcW w:w="1230" w:type="dxa"/>
          </w:tcPr>
          <w:p w14:paraId="3040DFED" w14:textId="4B4D8AED"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77</w:t>
            </w:r>
          </w:p>
        </w:tc>
        <w:tc>
          <w:tcPr>
            <w:tcW w:w="1455" w:type="dxa"/>
          </w:tcPr>
          <w:p w14:paraId="43DB5E8A" w14:textId="500413BF"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64</w:t>
            </w:r>
          </w:p>
        </w:tc>
        <w:tc>
          <w:tcPr>
            <w:tcW w:w="1515" w:type="dxa"/>
          </w:tcPr>
          <w:p w14:paraId="51C6ACFF" w14:textId="61A4153B"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70</w:t>
            </w:r>
          </w:p>
        </w:tc>
        <w:tc>
          <w:tcPr>
            <w:tcW w:w="1425" w:type="dxa"/>
          </w:tcPr>
          <w:p w14:paraId="4DE79CCF" w14:textId="5B8F8B41"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987</w:t>
            </w:r>
          </w:p>
        </w:tc>
        <w:tc>
          <w:tcPr>
            <w:tcW w:w="1410" w:type="dxa"/>
          </w:tcPr>
          <w:p w14:paraId="497799CD" w14:textId="4AA254CE"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759</w:t>
            </w:r>
          </w:p>
        </w:tc>
      </w:tr>
      <w:tr w:rsidR="00554980" w14:paraId="4B863BA0" w14:textId="77777777" w:rsidTr="00A9655B">
        <w:tc>
          <w:tcPr>
            <w:cnfStyle w:val="001000000000" w:firstRow="0" w:lastRow="0" w:firstColumn="1" w:lastColumn="0" w:oddVBand="0" w:evenVBand="0" w:oddHBand="0" w:evenHBand="0" w:firstRowFirstColumn="0" w:firstRowLastColumn="0" w:lastRowFirstColumn="0" w:lastRowLastColumn="0"/>
            <w:tcW w:w="2325" w:type="dxa"/>
          </w:tcPr>
          <w:p w14:paraId="10FC9630" w14:textId="77777777" w:rsidR="00554980" w:rsidRPr="6395FD93" w:rsidRDefault="00554980" w:rsidP="00A9655B">
            <w:pPr>
              <w:rPr>
                <w:color w:val="000000" w:themeColor="text1"/>
                <w:sz w:val="24"/>
                <w:szCs w:val="24"/>
                <w:lang w:val="en-GB"/>
              </w:rPr>
            </w:pPr>
            <w:r>
              <w:rPr>
                <w:b w:val="0"/>
                <w:bCs w:val="0"/>
                <w:color w:val="000000" w:themeColor="text1"/>
                <w:sz w:val="24"/>
                <w:szCs w:val="24"/>
                <w:lang w:val="en-GB"/>
              </w:rPr>
              <w:t>Equity Ratio</w:t>
            </w:r>
          </w:p>
        </w:tc>
        <w:tc>
          <w:tcPr>
            <w:tcW w:w="1230" w:type="dxa"/>
          </w:tcPr>
          <w:p w14:paraId="451A7ABE" w14:textId="621267E6"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96.7%</w:t>
            </w:r>
          </w:p>
        </w:tc>
        <w:tc>
          <w:tcPr>
            <w:tcW w:w="1455" w:type="dxa"/>
          </w:tcPr>
          <w:p w14:paraId="23E3938E" w14:textId="4CC0E639"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93.4%</w:t>
            </w:r>
          </w:p>
        </w:tc>
        <w:tc>
          <w:tcPr>
            <w:tcW w:w="1515" w:type="dxa"/>
          </w:tcPr>
          <w:p w14:paraId="6CA081D4" w14:textId="7372F5A4"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25.2%</w:t>
            </w:r>
          </w:p>
        </w:tc>
        <w:tc>
          <w:tcPr>
            <w:tcW w:w="1425" w:type="dxa"/>
          </w:tcPr>
          <w:p w14:paraId="64A19AA6" w14:textId="1CE0E3C9"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97.4%</w:t>
            </w:r>
          </w:p>
        </w:tc>
        <w:tc>
          <w:tcPr>
            <w:tcW w:w="1410" w:type="dxa"/>
          </w:tcPr>
          <w:p w14:paraId="26B6BD3B" w14:textId="632F2146"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94.8%</w:t>
            </w:r>
          </w:p>
        </w:tc>
      </w:tr>
      <w:tr w:rsidR="00554980" w14:paraId="6EC5E999" w14:textId="77777777" w:rsidTr="00A9655B">
        <w:tc>
          <w:tcPr>
            <w:cnfStyle w:val="001000000000" w:firstRow="0" w:lastRow="0" w:firstColumn="1" w:lastColumn="0" w:oddVBand="0" w:evenVBand="0" w:oddHBand="0" w:evenHBand="0" w:firstRowFirstColumn="0" w:firstRowLastColumn="0" w:lastRowFirstColumn="0" w:lastRowLastColumn="0"/>
            <w:tcW w:w="2325" w:type="dxa"/>
          </w:tcPr>
          <w:p w14:paraId="77AA55FE" w14:textId="77777777" w:rsidR="00554980" w:rsidRDefault="00554980" w:rsidP="00A9655B">
            <w:pPr>
              <w:rPr>
                <w:color w:val="000000" w:themeColor="text1"/>
                <w:sz w:val="24"/>
                <w:szCs w:val="24"/>
                <w:lang w:val="en-GB"/>
              </w:rPr>
            </w:pPr>
            <w:r>
              <w:rPr>
                <w:b w:val="0"/>
                <w:bCs w:val="0"/>
                <w:color w:val="000000" w:themeColor="text1"/>
                <w:sz w:val="24"/>
                <w:szCs w:val="24"/>
                <w:lang w:val="en-GB"/>
              </w:rPr>
              <w:t>Solvency Ratio</w:t>
            </w:r>
          </w:p>
        </w:tc>
        <w:tc>
          <w:tcPr>
            <w:tcW w:w="1230" w:type="dxa"/>
          </w:tcPr>
          <w:p w14:paraId="5CB1EE8D" w14:textId="089CB498"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68.7%</w:t>
            </w:r>
          </w:p>
        </w:tc>
        <w:tc>
          <w:tcPr>
            <w:tcW w:w="1455" w:type="dxa"/>
          </w:tcPr>
          <w:p w14:paraId="31198C09" w14:textId="27A9651B" w:rsidR="00554980" w:rsidRDefault="70002A70"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0002A70">
              <w:rPr>
                <w:color w:val="000000" w:themeColor="text1"/>
                <w:sz w:val="24"/>
                <w:szCs w:val="24"/>
                <w:lang w:val="en-GB"/>
              </w:rPr>
              <w:t>44.2</w:t>
            </w:r>
            <w:r w:rsidR="4A6AFBCB" w:rsidRPr="4A6AFBCB">
              <w:rPr>
                <w:color w:val="000000" w:themeColor="text1"/>
                <w:sz w:val="24"/>
                <w:szCs w:val="24"/>
                <w:lang w:val="en-GB"/>
              </w:rPr>
              <w:t>%</w:t>
            </w:r>
          </w:p>
        </w:tc>
        <w:tc>
          <w:tcPr>
            <w:tcW w:w="1515" w:type="dxa"/>
          </w:tcPr>
          <w:p w14:paraId="3C1E15ED" w14:textId="5CD5616C"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37.8%</w:t>
            </w:r>
          </w:p>
        </w:tc>
        <w:tc>
          <w:tcPr>
            <w:tcW w:w="1425" w:type="dxa"/>
          </w:tcPr>
          <w:p w14:paraId="693C0B13" w14:textId="6AB6D52F"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72.4%</w:t>
            </w:r>
          </w:p>
        </w:tc>
        <w:tc>
          <w:tcPr>
            <w:tcW w:w="1410" w:type="dxa"/>
          </w:tcPr>
          <w:p w14:paraId="3F81B9E9" w14:textId="35284E96"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66.7%</w:t>
            </w:r>
          </w:p>
        </w:tc>
      </w:tr>
    </w:tbl>
    <w:p w14:paraId="399F7723" w14:textId="77777777" w:rsidR="00554980" w:rsidRPr="00126383" w:rsidRDefault="00554980" w:rsidP="00554980">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 xml:space="preserve">Annual Financial reports of </w:t>
      </w:r>
      <w:r>
        <w:rPr>
          <w:color w:val="000000" w:themeColor="text1"/>
          <w:sz w:val="20"/>
          <w:szCs w:val="20"/>
          <w:lang w:val="en-GB"/>
        </w:rPr>
        <w:t>Paddy Power BetFair</w:t>
      </w:r>
      <w:r w:rsidRPr="00126383">
        <w:rPr>
          <w:color w:val="000000" w:themeColor="text1"/>
          <w:sz w:val="20"/>
          <w:szCs w:val="20"/>
          <w:lang w:val="en-GB"/>
        </w:rPr>
        <w:t xml:space="preserve"> plc</w:t>
      </w:r>
    </w:p>
    <w:p w14:paraId="102B64A7" w14:textId="77777777" w:rsidR="00554980" w:rsidRDefault="00554980" w:rsidP="3C0493CB">
      <w:pPr>
        <w:pStyle w:val="ListBullet"/>
        <w:numPr>
          <w:ilvl w:val="0"/>
          <w:numId w:val="0"/>
        </w:numPr>
        <w:ind w:left="-360"/>
        <w:rPr>
          <w:b/>
          <w:bCs/>
          <w:color w:val="000000" w:themeColor="text1"/>
          <w:sz w:val="24"/>
          <w:szCs w:val="24"/>
          <w:lang w:val="en-GB"/>
        </w:rPr>
      </w:pPr>
    </w:p>
    <w:p w14:paraId="2011221D" w14:textId="1B452C05" w:rsidR="7BD40906" w:rsidRPr="009103D9" w:rsidRDefault="00554980" w:rsidP="001C4E4A">
      <w:pPr>
        <w:pStyle w:val="ListBullet"/>
        <w:numPr>
          <w:ilvl w:val="0"/>
          <w:numId w:val="0"/>
        </w:numPr>
        <w:ind w:hanging="360"/>
        <w:rPr>
          <w:color w:val="000000" w:themeColor="text1"/>
          <w:sz w:val="24"/>
          <w:szCs w:val="24"/>
          <w:lang w:val="en-GB"/>
        </w:rPr>
      </w:pPr>
      <w:r>
        <w:rPr>
          <w:b/>
          <w:bCs/>
          <w:color w:val="000000" w:themeColor="text1"/>
          <w:sz w:val="24"/>
          <w:szCs w:val="24"/>
          <w:lang w:val="en-GB"/>
        </w:rPr>
        <w:t xml:space="preserve">      </w:t>
      </w:r>
      <w:r w:rsidR="009103D9" w:rsidRPr="009103D9">
        <w:rPr>
          <w:color w:val="000000" w:themeColor="text1"/>
          <w:sz w:val="24"/>
          <w:szCs w:val="24"/>
          <w:lang w:val="en-GB"/>
        </w:rPr>
        <w:t xml:space="preserve">Gearing ratio </w:t>
      </w:r>
      <w:r w:rsidR="00245718">
        <w:rPr>
          <w:color w:val="000000" w:themeColor="text1"/>
          <w:sz w:val="24"/>
          <w:szCs w:val="24"/>
          <w:lang w:val="en-GB"/>
        </w:rPr>
        <w:t>is used to access the financial risk exposure of the company</w:t>
      </w:r>
      <w:r w:rsidR="00837AB7">
        <w:rPr>
          <w:color w:val="000000" w:themeColor="text1"/>
          <w:sz w:val="24"/>
          <w:szCs w:val="24"/>
          <w:lang w:val="en-GB"/>
        </w:rPr>
        <w:t xml:space="preserve"> while the solvency ratio measures how sound financially a company is able to meet up its short term and long term debt obligation.</w:t>
      </w:r>
    </w:p>
    <w:p w14:paraId="3A718062" w14:textId="77777777" w:rsidR="00554980" w:rsidRDefault="6395FD93" w:rsidP="6395FD93">
      <w:pPr>
        <w:pStyle w:val="ListBullet"/>
        <w:numPr>
          <w:ilvl w:val="0"/>
          <w:numId w:val="0"/>
        </w:numPr>
        <w:ind w:left="-360"/>
        <w:rPr>
          <w:b/>
          <w:bCs/>
          <w:color w:val="000000" w:themeColor="text1"/>
          <w:sz w:val="24"/>
          <w:szCs w:val="24"/>
          <w:lang w:val="en-GB"/>
        </w:rPr>
      </w:pPr>
      <w:r w:rsidRPr="6395FD93">
        <w:rPr>
          <w:b/>
          <w:bCs/>
          <w:color w:val="000000" w:themeColor="text1"/>
          <w:sz w:val="24"/>
          <w:szCs w:val="24"/>
          <w:lang w:val="en-GB"/>
        </w:rPr>
        <w:t xml:space="preserve">      </w:t>
      </w:r>
    </w:p>
    <w:p w14:paraId="1CBE7E33" w14:textId="7E4339CE" w:rsidR="00554980" w:rsidRDefault="00554980" w:rsidP="6395FD93">
      <w:pPr>
        <w:pStyle w:val="ListBullet"/>
        <w:numPr>
          <w:ilvl w:val="0"/>
          <w:numId w:val="0"/>
        </w:numPr>
        <w:ind w:left="-360"/>
        <w:rPr>
          <w:b/>
          <w:bCs/>
          <w:color w:val="000000" w:themeColor="text1"/>
          <w:sz w:val="24"/>
          <w:szCs w:val="24"/>
          <w:lang w:val="en-GB"/>
        </w:rPr>
      </w:pPr>
    </w:p>
    <w:p w14:paraId="740D8B45" w14:textId="0F48B6FF" w:rsidR="001C4E4A" w:rsidRDefault="001C4E4A" w:rsidP="6395FD93">
      <w:pPr>
        <w:pStyle w:val="ListBullet"/>
        <w:numPr>
          <w:ilvl w:val="0"/>
          <w:numId w:val="0"/>
        </w:numPr>
        <w:ind w:left="-360"/>
        <w:rPr>
          <w:b/>
          <w:bCs/>
          <w:color w:val="000000" w:themeColor="text1"/>
          <w:sz w:val="24"/>
          <w:szCs w:val="24"/>
          <w:lang w:val="en-GB"/>
        </w:rPr>
      </w:pPr>
    </w:p>
    <w:p w14:paraId="73A11D04" w14:textId="43873D64" w:rsidR="001C4E4A" w:rsidRDefault="001C4E4A" w:rsidP="6395FD93">
      <w:pPr>
        <w:pStyle w:val="ListBullet"/>
        <w:numPr>
          <w:ilvl w:val="0"/>
          <w:numId w:val="0"/>
        </w:numPr>
        <w:ind w:left="-360"/>
        <w:rPr>
          <w:b/>
          <w:bCs/>
          <w:color w:val="000000" w:themeColor="text1"/>
          <w:sz w:val="24"/>
          <w:szCs w:val="24"/>
          <w:lang w:val="en-GB"/>
        </w:rPr>
      </w:pPr>
    </w:p>
    <w:p w14:paraId="364B0FE1" w14:textId="123B0DAE" w:rsidR="001C4E4A" w:rsidRDefault="001C4E4A" w:rsidP="6395FD93">
      <w:pPr>
        <w:pStyle w:val="ListBullet"/>
        <w:numPr>
          <w:ilvl w:val="0"/>
          <w:numId w:val="0"/>
        </w:numPr>
        <w:ind w:left="-360"/>
        <w:rPr>
          <w:b/>
          <w:bCs/>
          <w:color w:val="000000" w:themeColor="text1"/>
          <w:sz w:val="24"/>
          <w:szCs w:val="24"/>
          <w:lang w:val="en-GB"/>
        </w:rPr>
      </w:pPr>
    </w:p>
    <w:p w14:paraId="7E888767" w14:textId="285684A9" w:rsidR="001C4E4A" w:rsidRDefault="001C4E4A" w:rsidP="6395FD93">
      <w:pPr>
        <w:pStyle w:val="ListBullet"/>
        <w:numPr>
          <w:ilvl w:val="0"/>
          <w:numId w:val="0"/>
        </w:numPr>
        <w:ind w:left="-360"/>
        <w:rPr>
          <w:b/>
          <w:bCs/>
          <w:color w:val="000000" w:themeColor="text1"/>
          <w:sz w:val="24"/>
          <w:szCs w:val="24"/>
          <w:lang w:val="en-GB"/>
        </w:rPr>
      </w:pPr>
    </w:p>
    <w:p w14:paraId="1A2C0F67" w14:textId="1C5D63DA" w:rsidR="001C4E4A" w:rsidRDefault="001C4E4A" w:rsidP="6395FD93">
      <w:pPr>
        <w:pStyle w:val="ListBullet"/>
        <w:numPr>
          <w:ilvl w:val="0"/>
          <w:numId w:val="0"/>
        </w:numPr>
        <w:ind w:left="-360"/>
        <w:rPr>
          <w:b/>
          <w:bCs/>
          <w:color w:val="000000" w:themeColor="text1"/>
          <w:sz w:val="24"/>
          <w:szCs w:val="24"/>
          <w:lang w:val="en-GB"/>
        </w:rPr>
      </w:pPr>
    </w:p>
    <w:p w14:paraId="45CC6E06" w14:textId="47AE5537" w:rsidR="001C4E4A" w:rsidRDefault="001C4E4A" w:rsidP="6395FD93">
      <w:pPr>
        <w:pStyle w:val="ListBullet"/>
        <w:numPr>
          <w:ilvl w:val="0"/>
          <w:numId w:val="0"/>
        </w:numPr>
        <w:ind w:left="-360"/>
        <w:rPr>
          <w:b/>
          <w:bCs/>
          <w:color w:val="000000" w:themeColor="text1"/>
          <w:sz w:val="24"/>
          <w:szCs w:val="24"/>
          <w:lang w:val="en-GB"/>
        </w:rPr>
      </w:pPr>
    </w:p>
    <w:p w14:paraId="0607EB09" w14:textId="17AC1308" w:rsidR="001C4E4A" w:rsidRDefault="001C4E4A" w:rsidP="6395FD93">
      <w:pPr>
        <w:pStyle w:val="ListBullet"/>
        <w:numPr>
          <w:ilvl w:val="0"/>
          <w:numId w:val="0"/>
        </w:numPr>
        <w:ind w:left="-360"/>
        <w:rPr>
          <w:b/>
          <w:bCs/>
          <w:color w:val="000000" w:themeColor="text1"/>
          <w:sz w:val="24"/>
          <w:szCs w:val="24"/>
          <w:lang w:val="en-GB"/>
        </w:rPr>
      </w:pPr>
    </w:p>
    <w:p w14:paraId="3F62E296" w14:textId="77777777" w:rsidR="001C4E4A" w:rsidRDefault="001C4E4A" w:rsidP="6395FD93">
      <w:pPr>
        <w:pStyle w:val="ListBullet"/>
        <w:numPr>
          <w:ilvl w:val="0"/>
          <w:numId w:val="0"/>
        </w:numPr>
        <w:ind w:left="-360"/>
        <w:rPr>
          <w:b/>
          <w:bCs/>
          <w:color w:val="000000" w:themeColor="text1"/>
          <w:sz w:val="24"/>
          <w:szCs w:val="24"/>
          <w:lang w:val="en-GB"/>
        </w:rPr>
      </w:pPr>
    </w:p>
    <w:p w14:paraId="00CBAB75" w14:textId="33C1614C" w:rsidR="7BD40906" w:rsidRPr="00D17F19" w:rsidRDefault="6395FD93" w:rsidP="00010BB2">
      <w:pPr>
        <w:pStyle w:val="ListBullet"/>
        <w:numPr>
          <w:ilvl w:val="0"/>
          <w:numId w:val="0"/>
        </w:numPr>
        <w:rPr>
          <w:b/>
          <w:bCs/>
          <w:color w:val="FF0000"/>
          <w:sz w:val="24"/>
          <w:szCs w:val="24"/>
          <w:lang w:val="en-GB"/>
        </w:rPr>
      </w:pPr>
      <w:r w:rsidRPr="00D17F19">
        <w:rPr>
          <w:b/>
          <w:bCs/>
          <w:color w:val="FF0000"/>
          <w:sz w:val="24"/>
          <w:szCs w:val="24"/>
          <w:lang w:val="en-GB"/>
        </w:rPr>
        <w:lastRenderedPageBreak/>
        <w:t>INVESTMENT RATIOS</w:t>
      </w:r>
    </w:p>
    <w:p w14:paraId="483B7480" w14:textId="77777777" w:rsidR="003E41F5" w:rsidRDefault="6395FD93" w:rsidP="003E41F5">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A436DA">
        <w:rPr>
          <w:b/>
          <w:bCs/>
          <w:color w:val="000000" w:themeColor="text1"/>
          <w:sz w:val="24"/>
          <w:szCs w:val="24"/>
          <w:lang w:val="en-GB"/>
        </w:rPr>
        <w:t>11</w:t>
      </w:r>
      <w:r w:rsidRPr="6395FD93">
        <w:rPr>
          <w:b/>
          <w:bCs/>
          <w:color w:val="000000" w:themeColor="text1"/>
          <w:sz w:val="24"/>
          <w:szCs w:val="24"/>
          <w:lang w:val="en-GB"/>
        </w:rPr>
        <w:t xml:space="preserve">: </w:t>
      </w:r>
      <w:r w:rsidR="003E41F5" w:rsidRPr="6395FD93">
        <w:rPr>
          <w:b/>
          <w:bCs/>
          <w:color w:val="000000" w:themeColor="text1"/>
          <w:sz w:val="24"/>
          <w:szCs w:val="24"/>
          <w:lang w:val="en-GB"/>
        </w:rPr>
        <w:t xml:space="preserve">EPS, </w:t>
      </w:r>
      <w:r w:rsidR="003E41F5">
        <w:rPr>
          <w:b/>
          <w:bCs/>
          <w:color w:val="000000" w:themeColor="text1"/>
          <w:sz w:val="24"/>
          <w:szCs w:val="24"/>
          <w:lang w:val="en-GB"/>
        </w:rPr>
        <w:t xml:space="preserve">return on Equity, </w:t>
      </w:r>
      <w:r w:rsidR="003E41F5" w:rsidRPr="6395FD93">
        <w:rPr>
          <w:b/>
          <w:bCs/>
          <w:color w:val="000000" w:themeColor="text1"/>
          <w:sz w:val="24"/>
          <w:szCs w:val="24"/>
          <w:lang w:val="en-GB"/>
        </w:rPr>
        <w:t xml:space="preserve">P/E Ratio, </w:t>
      </w:r>
      <w:r w:rsidR="003E41F5">
        <w:rPr>
          <w:b/>
          <w:bCs/>
          <w:color w:val="000000" w:themeColor="text1"/>
          <w:sz w:val="24"/>
          <w:szCs w:val="24"/>
          <w:lang w:val="en-GB"/>
        </w:rPr>
        <w:t>price to Sales Ratio</w:t>
      </w:r>
    </w:p>
    <w:tbl>
      <w:tblPr>
        <w:tblStyle w:val="GridTable1Light-Accent1"/>
        <w:tblW w:w="9360" w:type="dxa"/>
        <w:tblLayout w:type="fixed"/>
        <w:tblLook w:val="06A0" w:firstRow="1" w:lastRow="0" w:firstColumn="1" w:lastColumn="0" w:noHBand="1" w:noVBand="1"/>
      </w:tblPr>
      <w:tblGrid>
        <w:gridCol w:w="2415"/>
        <w:gridCol w:w="1455"/>
        <w:gridCol w:w="1365"/>
        <w:gridCol w:w="1485"/>
        <w:gridCol w:w="1350"/>
        <w:gridCol w:w="1290"/>
      </w:tblGrid>
      <w:tr w:rsidR="5C7EFC97" w14:paraId="08CBC9B3" w14:textId="77777777" w:rsidTr="004867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5" w:type="dxa"/>
          </w:tcPr>
          <w:p w14:paraId="2912F718" w14:textId="3A7763C5" w:rsidR="5C7EFC97" w:rsidRDefault="6395FD93" w:rsidP="6395FD93">
            <w:pPr>
              <w:rPr>
                <w:color w:val="000000" w:themeColor="text1"/>
                <w:sz w:val="24"/>
                <w:szCs w:val="24"/>
                <w:lang w:val="en-GB"/>
              </w:rPr>
            </w:pPr>
            <w:r w:rsidRPr="6395FD93">
              <w:rPr>
                <w:color w:val="000000" w:themeColor="text1"/>
                <w:sz w:val="24"/>
                <w:szCs w:val="24"/>
                <w:lang w:val="en-GB"/>
              </w:rPr>
              <w:t>William Hill Plc</w:t>
            </w:r>
          </w:p>
        </w:tc>
        <w:tc>
          <w:tcPr>
            <w:tcW w:w="1455" w:type="dxa"/>
          </w:tcPr>
          <w:p w14:paraId="26D30A93" w14:textId="0C893E9D" w:rsidR="5C7EFC97"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2017</w:t>
            </w:r>
          </w:p>
        </w:tc>
        <w:tc>
          <w:tcPr>
            <w:tcW w:w="1365" w:type="dxa"/>
          </w:tcPr>
          <w:p w14:paraId="5752200B" w14:textId="17AF4225" w:rsidR="5C7EFC97"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2016</w:t>
            </w:r>
          </w:p>
        </w:tc>
        <w:tc>
          <w:tcPr>
            <w:tcW w:w="1485" w:type="dxa"/>
          </w:tcPr>
          <w:p w14:paraId="4A4F0059" w14:textId="148B5AD1" w:rsidR="5C7EFC97"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2015</w:t>
            </w:r>
          </w:p>
        </w:tc>
        <w:tc>
          <w:tcPr>
            <w:tcW w:w="1350" w:type="dxa"/>
          </w:tcPr>
          <w:p w14:paraId="16BDB2BA" w14:textId="71BB7DDF" w:rsidR="5C7EFC97"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2014</w:t>
            </w:r>
          </w:p>
        </w:tc>
        <w:tc>
          <w:tcPr>
            <w:tcW w:w="1290" w:type="dxa"/>
          </w:tcPr>
          <w:p w14:paraId="3871EF86" w14:textId="7E1B9AD5" w:rsidR="5C7EFC97" w:rsidRDefault="6395FD93" w:rsidP="6395FD93">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6395FD93">
              <w:rPr>
                <w:b w:val="0"/>
                <w:bCs w:val="0"/>
                <w:color w:val="000000" w:themeColor="text1"/>
                <w:sz w:val="24"/>
                <w:szCs w:val="24"/>
                <w:lang w:val="en-GB"/>
              </w:rPr>
              <w:t>2013</w:t>
            </w:r>
          </w:p>
        </w:tc>
      </w:tr>
      <w:tr w:rsidR="5C7EFC97" w14:paraId="0A009A57" w14:textId="77777777" w:rsidTr="0048679C">
        <w:tc>
          <w:tcPr>
            <w:cnfStyle w:val="001000000000" w:firstRow="0" w:lastRow="0" w:firstColumn="1" w:lastColumn="0" w:oddVBand="0" w:evenVBand="0" w:oddHBand="0" w:evenHBand="0" w:firstRowFirstColumn="0" w:firstRowLastColumn="0" w:lastRowFirstColumn="0" w:lastRowLastColumn="0"/>
            <w:tcW w:w="2415" w:type="dxa"/>
          </w:tcPr>
          <w:p w14:paraId="74E7786E" w14:textId="174C2DA9" w:rsidR="5C7EFC97" w:rsidRDefault="6395FD93" w:rsidP="6395FD93">
            <w:pPr>
              <w:rPr>
                <w:color w:val="000000" w:themeColor="text1"/>
                <w:sz w:val="24"/>
                <w:szCs w:val="24"/>
                <w:lang w:val="en-GB"/>
              </w:rPr>
            </w:pPr>
            <w:r w:rsidRPr="6395FD93">
              <w:rPr>
                <w:b w:val="0"/>
                <w:bCs w:val="0"/>
                <w:color w:val="000000" w:themeColor="text1"/>
                <w:sz w:val="24"/>
                <w:szCs w:val="24"/>
                <w:lang w:val="en-GB"/>
              </w:rPr>
              <w:t>Earnings Per Share (p)</w:t>
            </w:r>
          </w:p>
        </w:tc>
        <w:tc>
          <w:tcPr>
            <w:tcW w:w="1455" w:type="dxa"/>
          </w:tcPr>
          <w:p w14:paraId="48AD70B8" w14:textId="5275340E" w:rsidR="5C7EFC97" w:rsidRPr="00C77D27" w:rsidRDefault="53592927" w:rsidP="6395FD93">
            <w:pPr>
              <w:cnfStyle w:val="000000000000" w:firstRow="0" w:lastRow="0" w:firstColumn="0" w:lastColumn="0" w:oddVBand="0" w:evenVBand="0" w:oddHBand="0" w:evenHBand="0" w:firstRowFirstColumn="0" w:firstRowLastColumn="0" w:lastRowFirstColumn="0" w:lastRowLastColumn="0"/>
              <w:rPr>
                <w:color w:val="FF0000"/>
                <w:sz w:val="24"/>
                <w:szCs w:val="24"/>
                <w:lang w:val="en-GB"/>
              </w:rPr>
            </w:pPr>
            <w:r w:rsidRPr="00C77D27">
              <w:rPr>
                <w:color w:val="FF0000"/>
                <w:sz w:val="24"/>
                <w:szCs w:val="24"/>
                <w:lang w:val="en-GB"/>
              </w:rPr>
              <w:t>-0.10</w:t>
            </w:r>
          </w:p>
        </w:tc>
        <w:tc>
          <w:tcPr>
            <w:tcW w:w="1365" w:type="dxa"/>
          </w:tcPr>
          <w:p w14:paraId="4AF67E01" w14:textId="2A43FB02" w:rsidR="5C7EFC97" w:rsidRDefault="53592927"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0.19</w:t>
            </w:r>
          </w:p>
        </w:tc>
        <w:tc>
          <w:tcPr>
            <w:tcW w:w="1485" w:type="dxa"/>
          </w:tcPr>
          <w:p w14:paraId="18EC3926" w14:textId="6421900F" w:rsidR="5C7EFC97" w:rsidRDefault="53592927"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0.22</w:t>
            </w:r>
          </w:p>
        </w:tc>
        <w:tc>
          <w:tcPr>
            <w:tcW w:w="1350" w:type="dxa"/>
          </w:tcPr>
          <w:p w14:paraId="0EC01BE7" w14:textId="21F61969" w:rsidR="5C7EFC97" w:rsidRDefault="53592927"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0.24</w:t>
            </w:r>
          </w:p>
        </w:tc>
        <w:tc>
          <w:tcPr>
            <w:tcW w:w="1290" w:type="dxa"/>
          </w:tcPr>
          <w:p w14:paraId="37180B5D" w14:textId="67A027F9" w:rsidR="5C7EFC97" w:rsidRDefault="53592927" w:rsidP="6395FD93">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0.30</w:t>
            </w:r>
          </w:p>
        </w:tc>
      </w:tr>
      <w:tr w:rsidR="5C7EFC97" w14:paraId="6C888DDB" w14:textId="77777777" w:rsidTr="0048679C">
        <w:tc>
          <w:tcPr>
            <w:cnfStyle w:val="001000000000" w:firstRow="0" w:lastRow="0" w:firstColumn="1" w:lastColumn="0" w:oddVBand="0" w:evenVBand="0" w:oddHBand="0" w:evenHBand="0" w:firstRowFirstColumn="0" w:firstRowLastColumn="0" w:lastRowFirstColumn="0" w:lastRowLastColumn="0"/>
            <w:tcW w:w="2415" w:type="dxa"/>
          </w:tcPr>
          <w:p w14:paraId="6D9583D3" w14:textId="061F6930" w:rsidR="5C7EFC97" w:rsidRDefault="00245718" w:rsidP="6395FD93">
            <w:pPr>
              <w:rPr>
                <w:color w:val="000000" w:themeColor="text1"/>
                <w:sz w:val="24"/>
                <w:szCs w:val="24"/>
                <w:lang w:val="en-GB"/>
              </w:rPr>
            </w:pPr>
            <w:r>
              <w:rPr>
                <w:b w:val="0"/>
                <w:bCs w:val="0"/>
                <w:color w:val="000000" w:themeColor="text1"/>
                <w:sz w:val="24"/>
                <w:szCs w:val="24"/>
                <w:lang w:val="en-GB"/>
              </w:rPr>
              <w:t>Return on Equity</w:t>
            </w:r>
          </w:p>
        </w:tc>
        <w:tc>
          <w:tcPr>
            <w:tcW w:w="1455" w:type="dxa"/>
          </w:tcPr>
          <w:p w14:paraId="5253AA8E" w14:textId="03520926" w:rsidR="5C7EFC97" w:rsidRPr="00C77D27" w:rsidRDefault="53592927" w:rsidP="3C0493CB">
            <w:pPr>
              <w:cnfStyle w:val="000000000000" w:firstRow="0" w:lastRow="0" w:firstColumn="0" w:lastColumn="0" w:oddVBand="0" w:evenVBand="0" w:oddHBand="0" w:evenHBand="0" w:firstRowFirstColumn="0" w:firstRowLastColumn="0" w:lastRowFirstColumn="0" w:lastRowLastColumn="0"/>
              <w:rPr>
                <w:color w:val="FF0000"/>
                <w:sz w:val="24"/>
                <w:szCs w:val="24"/>
                <w:lang w:val="en-GB"/>
              </w:rPr>
            </w:pPr>
            <w:r w:rsidRPr="00C77D27">
              <w:rPr>
                <w:color w:val="FF0000"/>
                <w:sz w:val="24"/>
                <w:szCs w:val="24"/>
                <w:lang w:val="en-GB"/>
              </w:rPr>
              <w:t>-7.8%</w:t>
            </w:r>
          </w:p>
        </w:tc>
        <w:tc>
          <w:tcPr>
            <w:tcW w:w="1365" w:type="dxa"/>
          </w:tcPr>
          <w:p w14:paraId="12003029" w14:textId="1CAD6AC0" w:rsidR="5C7EFC97"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13.4%</w:t>
            </w:r>
          </w:p>
        </w:tc>
        <w:tc>
          <w:tcPr>
            <w:tcW w:w="1485" w:type="dxa"/>
          </w:tcPr>
          <w:p w14:paraId="19901814" w14:textId="3ECAB2D3" w:rsidR="5C7EFC97"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15.6%</w:t>
            </w:r>
          </w:p>
        </w:tc>
        <w:tc>
          <w:tcPr>
            <w:tcW w:w="1350" w:type="dxa"/>
          </w:tcPr>
          <w:p w14:paraId="7E3F637A" w14:textId="7879456A" w:rsidR="5C7EFC97"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17.8%</w:t>
            </w:r>
          </w:p>
        </w:tc>
        <w:tc>
          <w:tcPr>
            <w:tcW w:w="1290" w:type="dxa"/>
          </w:tcPr>
          <w:p w14:paraId="5B2655C9" w14:textId="3BB29362" w:rsidR="5C7EFC97"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24.2%</w:t>
            </w:r>
          </w:p>
        </w:tc>
      </w:tr>
      <w:tr w:rsidR="00245718" w14:paraId="40E146C2" w14:textId="77777777" w:rsidTr="0048679C">
        <w:tc>
          <w:tcPr>
            <w:cnfStyle w:val="001000000000" w:firstRow="0" w:lastRow="0" w:firstColumn="1" w:lastColumn="0" w:oddVBand="0" w:evenVBand="0" w:oddHBand="0" w:evenHBand="0" w:firstRowFirstColumn="0" w:firstRowLastColumn="0" w:lastRowFirstColumn="0" w:lastRowLastColumn="0"/>
            <w:tcW w:w="2415" w:type="dxa"/>
          </w:tcPr>
          <w:p w14:paraId="6772BDCC" w14:textId="6E9D293A" w:rsidR="00245718" w:rsidRPr="6395FD93" w:rsidRDefault="53592927" w:rsidP="53592927">
            <w:pPr>
              <w:spacing w:after="120" w:line="259" w:lineRule="auto"/>
              <w:rPr>
                <w:color w:val="000000" w:themeColor="text1"/>
                <w:sz w:val="24"/>
                <w:szCs w:val="24"/>
                <w:lang w:val="en-GB"/>
              </w:rPr>
            </w:pPr>
            <w:r w:rsidRPr="53592927">
              <w:rPr>
                <w:b w:val="0"/>
                <w:bCs w:val="0"/>
                <w:color w:val="000000" w:themeColor="text1"/>
                <w:sz w:val="24"/>
                <w:szCs w:val="24"/>
                <w:lang w:val="en-GB"/>
              </w:rPr>
              <w:t>PE ratio</w:t>
            </w:r>
          </w:p>
        </w:tc>
        <w:tc>
          <w:tcPr>
            <w:tcW w:w="1455" w:type="dxa"/>
          </w:tcPr>
          <w:p w14:paraId="37E83C5D" w14:textId="43F85582" w:rsidR="00245718" w:rsidRPr="00C77D27" w:rsidRDefault="53592927" w:rsidP="3C0493CB">
            <w:pPr>
              <w:cnfStyle w:val="000000000000" w:firstRow="0" w:lastRow="0" w:firstColumn="0" w:lastColumn="0" w:oddVBand="0" w:evenVBand="0" w:oddHBand="0" w:evenHBand="0" w:firstRowFirstColumn="0" w:firstRowLastColumn="0" w:lastRowFirstColumn="0" w:lastRowLastColumn="0"/>
              <w:rPr>
                <w:color w:val="FF0000"/>
                <w:sz w:val="24"/>
                <w:szCs w:val="24"/>
                <w:lang w:val="en-GB"/>
              </w:rPr>
            </w:pPr>
            <w:r w:rsidRPr="00C77D27">
              <w:rPr>
                <w:color w:val="FF0000"/>
                <w:sz w:val="24"/>
                <w:szCs w:val="24"/>
                <w:lang w:val="en-GB"/>
              </w:rPr>
              <w:t>-26.2</w:t>
            </w:r>
          </w:p>
        </w:tc>
        <w:tc>
          <w:tcPr>
            <w:tcW w:w="1365" w:type="dxa"/>
          </w:tcPr>
          <w:p w14:paraId="63607BEC" w14:textId="32999461" w:rsidR="00245718"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13.4</w:t>
            </w:r>
          </w:p>
        </w:tc>
        <w:tc>
          <w:tcPr>
            <w:tcW w:w="1485" w:type="dxa"/>
          </w:tcPr>
          <w:p w14:paraId="077EF929" w14:textId="531D406B" w:rsidR="00245718"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18.0</w:t>
            </w:r>
          </w:p>
        </w:tc>
        <w:tc>
          <w:tcPr>
            <w:tcW w:w="1350" w:type="dxa"/>
          </w:tcPr>
          <w:p w14:paraId="2D294701" w14:textId="4339F43E" w:rsidR="00245718"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14.1</w:t>
            </w:r>
          </w:p>
        </w:tc>
        <w:tc>
          <w:tcPr>
            <w:tcW w:w="1290" w:type="dxa"/>
          </w:tcPr>
          <w:p w14:paraId="2395B22E" w14:textId="12F22E58" w:rsidR="00245718"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15.7</w:t>
            </w:r>
          </w:p>
        </w:tc>
      </w:tr>
      <w:tr w:rsidR="00245718" w14:paraId="3B2623FD" w14:textId="77777777" w:rsidTr="0048679C">
        <w:tc>
          <w:tcPr>
            <w:cnfStyle w:val="001000000000" w:firstRow="0" w:lastRow="0" w:firstColumn="1" w:lastColumn="0" w:oddVBand="0" w:evenVBand="0" w:oddHBand="0" w:evenHBand="0" w:firstRowFirstColumn="0" w:firstRowLastColumn="0" w:lastRowFirstColumn="0" w:lastRowLastColumn="0"/>
            <w:tcW w:w="2415" w:type="dxa"/>
          </w:tcPr>
          <w:p w14:paraId="6A17A295" w14:textId="6EF80E0A" w:rsidR="00245718" w:rsidRPr="6395FD93" w:rsidRDefault="00245718" w:rsidP="6395FD93">
            <w:pPr>
              <w:rPr>
                <w:color w:val="000000" w:themeColor="text1"/>
                <w:sz w:val="24"/>
                <w:szCs w:val="24"/>
                <w:lang w:val="en-GB"/>
              </w:rPr>
            </w:pPr>
            <w:r w:rsidRPr="6395FD93">
              <w:rPr>
                <w:b w:val="0"/>
                <w:bCs w:val="0"/>
                <w:color w:val="000000" w:themeColor="text1"/>
                <w:sz w:val="24"/>
                <w:szCs w:val="24"/>
                <w:lang w:val="en-GB"/>
              </w:rPr>
              <w:t xml:space="preserve">Price </w:t>
            </w:r>
            <w:r w:rsidR="53592927" w:rsidRPr="53592927">
              <w:rPr>
                <w:b w:val="0"/>
                <w:bCs w:val="0"/>
                <w:color w:val="000000" w:themeColor="text1"/>
                <w:sz w:val="24"/>
                <w:szCs w:val="24"/>
                <w:lang w:val="en-GB"/>
              </w:rPr>
              <w:t>to Sales</w:t>
            </w:r>
            <w:r w:rsidRPr="6395FD93">
              <w:rPr>
                <w:b w:val="0"/>
                <w:bCs w:val="0"/>
                <w:color w:val="000000" w:themeColor="text1"/>
                <w:sz w:val="24"/>
                <w:szCs w:val="24"/>
                <w:lang w:val="en-GB"/>
              </w:rPr>
              <w:t xml:space="preserve"> Ratio</w:t>
            </w:r>
          </w:p>
        </w:tc>
        <w:tc>
          <w:tcPr>
            <w:tcW w:w="1455" w:type="dxa"/>
          </w:tcPr>
          <w:p w14:paraId="27C50C77" w14:textId="5A141E2C" w:rsidR="00245718"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1.3</w:t>
            </w:r>
          </w:p>
        </w:tc>
        <w:tc>
          <w:tcPr>
            <w:tcW w:w="1365" w:type="dxa"/>
          </w:tcPr>
          <w:p w14:paraId="4D7BFF01" w14:textId="479F31D5" w:rsidR="00245718"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1.4</w:t>
            </w:r>
          </w:p>
        </w:tc>
        <w:tc>
          <w:tcPr>
            <w:tcW w:w="1485" w:type="dxa"/>
          </w:tcPr>
          <w:p w14:paraId="28F2B809" w14:textId="4508C345" w:rsidR="00245718"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2.1</w:t>
            </w:r>
          </w:p>
        </w:tc>
        <w:tc>
          <w:tcPr>
            <w:tcW w:w="1350" w:type="dxa"/>
          </w:tcPr>
          <w:p w14:paraId="028AEF9D" w14:textId="0E7E6B26" w:rsidR="00245718"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1.8</w:t>
            </w:r>
          </w:p>
        </w:tc>
        <w:tc>
          <w:tcPr>
            <w:tcW w:w="1290" w:type="dxa"/>
          </w:tcPr>
          <w:p w14:paraId="2717124F" w14:textId="60050A69" w:rsidR="00245718" w:rsidRDefault="53592927" w:rsidP="3C0493C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2.6</w:t>
            </w:r>
          </w:p>
        </w:tc>
      </w:tr>
    </w:tbl>
    <w:p w14:paraId="176E55DA" w14:textId="4B2EF67B" w:rsidR="00245718" w:rsidRDefault="0048679C" w:rsidP="00245718">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Annual Financial reports of William Hill plc</w:t>
      </w:r>
    </w:p>
    <w:p w14:paraId="5F60B603" w14:textId="77777777" w:rsidR="00554980" w:rsidRDefault="00554980" w:rsidP="00554980">
      <w:pPr>
        <w:pStyle w:val="ListBullet"/>
        <w:numPr>
          <w:ilvl w:val="0"/>
          <w:numId w:val="0"/>
        </w:numPr>
        <w:ind w:left="-360"/>
        <w:rPr>
          <w:b/>
          <w:bCs/>
          <w:color w:val="000000" w:themeColor="text1"/>
          <w:sz w:val="24"/>
          <w:szCs w:val="24"/>
          <w:lang w:val="en-GB"/>
        </w:rPr>
      </w:pPr>
      <w:r w:rsidRPr="6395FD93">
        <w:rPr>
          <w:b/>
          <w:bCs/>
          <w:color w:val="000000" w:themeColor="text1"/>
          <w:sz w:val="24"/>
          <w:szCs w:val="24"/>
          <w:lang w:val="en-GB"/>
        </w:rPr>
        <w:t xml:space="preserve">      </w:t>
      </w:r>
      <w:r w:rsidRPr="00D17F19">
        <w:rPr>
          <w:b/>
          <w:bCs/>
          <w:color w:val="FF0000"/>
          <w:sz w:val="24"/>
          <w:szCs w:val="24"/>
          <w:lang w:val="en-GB"/>
        </w:rPr>
        <w:t>INVESTMENT RATIOS</w:t>
      </w:r>
    </w:p>
    <w:p w14:paraId="1C337F9D" w14:textId="2A19C70D" w:rsidR="00554980" w:rsidRDefault="00554980" w:rsidP="00554980">
      <w:pPr>
        <w:pStyle w:val="ListBullet"/>
        <w:numPr>
          <w:ilvl w:val="0"/>
          <w:numId w:val="0"/>
        </w:numPr>
        <w:rPr>
          <w:b/>
          <w:bCs/>
          <w:color w:val="000000" w:themeColor="text1"/>
          <w:sz w:val="24"/>
          <w:szCs w:val="24"/>
          <w:lang w:val="en-GB"/>
        </w:rPr>
      </w:pPr>
      <w:r w:rsidRPr="6395FD93">
        <w:rPr>
          <w:b/>
          <w:bCs/>
          <w:color w:val="000000" w:themeColor="text1"/>
          <w:sz w:val="24"/>
          <w:szCs w:val="24"/>
          <w:lang w:val="en-GB"/>
        </w:rPr>
        <w:t xml:space="preserve">Table </w:t>
      </w:r>
      <w:r w:rsidR="007A15BD">
        <w:rPr>
          <w:b/>
          <w:bCs/>
          <w:color w:val="000000" w:themeColor="text1"/>
          <w:sz w:val="24"/>
          <w:szCs w:val="24"/>
          <w:lang w:val="en-GB"/>
        </w:rPr>
        <w:t>12</w:t>
      </w:r>
      <w:r w:rsidRPr="6395FD93">
        <w:rPr>
          <w:b/>
          <w:bCs/>
          <w:color w:val="000000" w:themeColor="text1"/>
          <w:sz w:val="24"/>
          <w:szCs w:val="24"/>
          <w:lang w:val="en-GB"/>
        </w:rPr>
        <w:t xml:space="preserve">: EPS, </w:t>
      </w:r>
      <w:r w:rsidR="003E41F5">
        <w:rPr>
          <w:b/>
          <w:bCs/>
          <w:color w:val="000000" w:themeColor="text1"/>
          <w:sz w:val="24"/>
          <w:szCs w:val="24"/>
          <w:lang w:val="en-GB"/>
        </w:rPr>
        <w:t xml:space="preserve">return on Equity, </w:t>
      </w:r>
      <w:r w:rsidRPr="6395FD93">
        <w:rPr>
          <w:b/>
          <w:bCs/>
          <w:color w:val="000000" w:themeColor="text1"/>
          <w:sz w:val="24"/>
          <w:szCs w:val="24"/>
          <w:lang w:val="en-GB"/>
        </w:rPr>
        <w:t xml:space="preserve">P/E Ratio, </w:t>
      </w:r>
      <w:r w:rsidR="003E41F5">
        <w:rPr>
          <w:b/>
          <w:bCs/>
          <w:color w:val="000000" w:themeColor="text1"/>
          <w:sz w:val="24"/>
          <w:szCs w:val="24"/>
          <w:lang w:val="en-GB"/>
        </w:rPr>
        <w:t>price to Sales Ratio</w:t>
      </w:r>
    </w:p>
    <w:tbl>
      <w:tblPr>
        <w:tblStyle w:val="GridTable1Light-Accent1"/>
        <w:tblW w:w="9360" w:type="dxa"/>
        <w:tblLayout w:type="fixed"/>
        <w:tblLook w:val="06A0" w:firstRow="1" w:lastRow="0" w:firstColumn="1" w:lastColumn="0" w:noHBand="1" w:noVBand="1"/>
      </w:tblPr>
      <w:tblGrid>
        <w:gridCol w:w="2415"/>
        <w:gridCol w:w="1455"/>
        <w:gridCol w:w="1365"/>
        <w:gridCol w:w="1485"/>
        <w:gridCol w:w="1350"/>
        <w:gridCol w:w="1290"/>
      </w:tblGrid>
      <w:tr w:rsidR="00554980" w14:paraId="10AEAB14" w14:textId="77777777" w:rsidTr="00A96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5" w:type="dxa"/>
          </w:tcPr>
          <w:p w14:paraId="7EB35A6F" w14:textId="77777777" w:rsidR="00554980" w:rsidRDefault="00554980" w:rsidP="00A9655B">
            <w:pPr>
              <w:rPr>
                <w:color w:val="000000" w:themeColor="text1"/>
                <w:sz w:val="24"/>
                <w:szCs w:val="24"/>
                <w:lang w:val="en-GB"/>
              </w:rPr>
            </w:pPr>
            <w:r w:rsidRPr="6395FD93">
              <w:rPr>
                <w:color w:val="000000" w:themeColor="text1"/>
                <w:sz w:val="24"/>
                <w:szCs w:val="24"/>
                <w:lang w:val="en-GB"/>
              </w:rPr>
              <w:t>Paddy Power BetFair Plc</w:t>
            </w:r>
          </w:p>
        </w:tc>
        <w:tc>
          <w:tcPr>
            <w:tcW w:w="1455" w:type="dxa"/>
          </w:tcPr>
          <w:p w14:paraId="41A16190" w14:textId="77777777" w:rsidR="00554980" w:rsidRPr="003E41F5"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2017</w:t>
            </w:r>
          </w:p>
        </w:tc>
        <w:tc>
          <w:tcPr>
            <w:tcW w:w="1365" w:type="dxa"/>
          </w:tcPr>
          <w:p w14:paraId="6728BA49" w14:textId="77777777" w:rsidR="00554980" w:rsidRPr="003E41F5"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2016</w:t>
            </w:r>
          </w:p>
        </w:tc>
        <w:tc>
          <w:tcPr>
            <w:tcW w:w="1485" w:type="dxa"/>
          </w:tcPr>
          <w:p w14:paraId="207F6EB8" w14:textId="77777777" w:rsidR="00554980" w:rsidRPr="003E41F5"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2015</w:t>
            </w:r>
          </w:p>
        </w:tc>
        <w:tc>
          <w:tcPr>
            <w:tcW w:w="1350" w:type="dxa"/>
          </w:tcPr>
          <w:p w14:paraId="53C74768" w14:textId="77777777" w:rsidR="00554980" w:rsidRPr="003E41F5"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2014</w:t>
            </w:r>
          </w:p>
        </w:tc>
        <w:tc>
          <w:tcPr>
            <w:tcW w:w="1290" w:type="dxa"/>
          </w:tcPr>
          <w:p w14:paraId="1F0B5453" w14:textId="77777777" w:rsidR="00554980" w:rsidRPr="003E41F5" w:rsidRDefault="00554980" w:rsidP="00A9655B">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2013</w:t>
            </w:r>
          </w:p>
        </w:tc>
      </w:tr>
      <w:tr w:rsidR="00554980" w14:paraId="344FAF14" w14:textId="77777777" w:rsidTr="00A9655B">
        <w:tc>
          <w:tcPr>
            <w:cnfStyle w:val="001000000000" w:firstRow="0" w:lastRow="0" w:firstColumn="1" w:lastColumn="0" w:oddVBand="0" w:evenVBand="0" w:oddHBand="0" w:evenHBand="0" w:firstRowFirstColumn="0" w:firstRowLastColumn="0" w:lastRowFirstColumn="0" w:lastRowLastColumn="0"/>
            <w:tcW w:w="2415" w:type="dxa"/>
          </w:tcPr>
          <w:p w14:paraId="17E5D737" w14:textId="77777777" w:rsidR="00554980" w:rsidRDefault="00554980" w:rsidP="00A9655B">
            <w:pPr>
              <w:rPr>
                <w:color w:val="000000" w:themeColor="text1"/>
                <w:sz w:val="24"/>
                <w:szCs w:val="24"/>
                <w:lang w:val="en-GB"/>
              </w:rPr>
            </w:pPr>
            <w:r w:rsidRPr="6395FD93">
              <w:rPr>
                <w:b w:val="0"/>
                <w:bCs w:val="0"/>
                <w:color w:val="000000" w:themeColor="text1"/>
                <w:sz w:val="24"/>
                <w:szCs w:val="24"/>
                <w:lang w:val="en-GB"/>
              </w:rPr>
              <w:t>Earnings Per Share</w:t>
            </w:r>
          </w:p>
        </w:tc>
        <w:tc>
          <w:tcPr>
            <w:tcW w:w="1455" w:type="dxa"/>
          </w:tcPr>
          <w:p w14:paraId="677E0E41" w14:textId="33DE7AE0"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3.98</w:t>
            </w:r>
          </w:p>
        </w:tc>
        <w:tc>
          <w:tcPr>
            <w:tcW w:w="1365" w:type="dxa"/>
          </w:tcPr>
          <w:p w14:paraId="69F5B312" w14:textId="1C8D0B0C"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3.33</w:t>
            </w:r>
          </w:p>
        </w:tc>
        <w:tc>
          <w:tcPr>
            <w:tcW w:w="1485" w:type="dxa"/>
          </w:tcPr>
          <w:p w14:paraId="11E3A31E" w14:textId="33367713"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3.39</w:t>
            </w:r>
          </w:p>
        </w:tc>
        <w:tc>
          <w:tcPr>
            <w:tcW w:w="1350" w:type="dxa"/>
          </w:tcPr>
          <w:p w14:paraId="64F566C0" w14:textId="05519595"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3.01</w:t>
            </w:r>
          </w:p>
        </w:tc>
        <w:tc>
          <w:tcPr>
            <w:tcW w:w="1290" w:type="dxa"/>
          </w:tcPr>
          <w:p w14:paraId="3573BE13" w14:textId="7115E78C"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2.57</w:t>
            </w:r>
          </w:p>
        </w:tc>
      </w:tr>
      <w:tr w:rsidR="00554980" w14:paraId="3896D3EA" w14:textId="77777777" w:rsidTr="00A9655B">
        <w:tc>
          <w:tcPr>
            <w:cnfStyle w:val="001000000000" w:firstRow="0" w:lastRow="0" w:firstColumn="1" w:lastColumn="0" w:oddVBand="0" w:evenVBand="0" w:oddHBand="0" w:evenHBand="0" w:firstRowFirstColumn="0" w:firstRowLastColumn="0" w:lastRowFirstColumn="0" w:lastRowLastColumn="0"/>
            <w:tcW w:w="2415" w:type="dxa"/>
          </w:tcPr>
          <w:p w14:paraId="6FFC5360" w14:textId="77777777" w:rsidR="00554980" w:rsidRDefault="00554980" w:rsidP="00A9655B">
            <w:pPr>
              <w:rPr>
                <w:color w:val="000000" w:themeColor="text1"/>
                <w:sz w:val="24"/>
                <w:szCs w:val="24"/>
                <w:lang w:val="en-GB"/>
              </w:rPr>
            </w:pPr>
            <w:r>
              <w:rPr>
                <w:b w:val="0"/>
                <w:bCs w:val="0"/>
                <w:color w:val="000000" w:themeColor="text1"/>
                <w:sz w:val="24"/>
                <w:szCs w:val="24"/>
                <w:lang w:val="en-GB"/>
              </w:rPr>
              <w:t>Return On Equity</w:t>
            </w:r>
          </w:p>
        </w:tc>
        <w:tc>
          <w:tcPr>
            <w:tcW w:w="1455" w:type="dxa"/>
          </w:tcPr>
          <w:p w14:paraId="3E178429" w14:textId="4553A748"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7.6%</w:t>
            </w:r>
          </w:p>
        </w:tc>
        <w:tc>
          <w:tcPr>
            <w:tcW w:w="1365" w:type="dxa"/>
          </w:tcPr>
          <w:p w14:paraId="2735DD28" w14:textId="4BFFC82A"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6.2%</w:t>
            </w:r>
          </w:p>
        </w:tc>
        <w:tc>
          <w:tcPr>
            <w:tcW w:w="1485" w:type="dxa"/>
          </w:tcPr>
          <w:p w14:paraId="58720D37" w14:textId="256B894D"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220.5%</w:t>
            </w:r>
          </w:p>
        </w:tc>
        <w:tc>
          <w:tcPr>
            <w:tcW w:w="1350" w:type="dxa"/>
          </w:tcPr>
          <w:p w14:paraId="2A71CDF9" w14:textId="6DE9E372"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37.4%</w:t>
            </w:r>
          </w:p>
        </w:tc>
        <w:tc>
          <w:tcPr>
            <w:tcW w:w="1290" w:type="dxa"/>
          </w:tcPr>
          <w:p w14:paraId="6AF79EDF" w14:textId="2D56763F" w:rsidR="00554980" w:rsidRDefault="4A6AFBCB"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A6AFBCB">
              <w:rPr>
                <w:color w:val="000000" w:themeColor="text1"/>
                <w:sz w:val="24"/>
                <w:szCs w:val="24"/>
                <w:lang w:val="en-GB"/>
              </w:rPr>
              <w:t>39.6%</w:t>
            </w:r>
          </w:p>
        </w:tc>
      </w:tr>
      <w:tr w:rsidR="00554980" w14:paraId="7CA8614D" w14:textId="77777777" w:rsidTr="00A9655B">
        <w:tc>
          <w:tcPr>
            <w:cnfStyle w:val="001000000000" w:firstRow="0" w:lastRow="0" w:firstColumn="1" w:lastColumn="0" w:oddVBand="0" w:evenVBand="0" w:oddHBand="0" w:evenHBand="0" w:firstRowFirstColumn="0" w:firstRowLastColumn="0" w:lastRowFirstColumn="0" w:lastRowLastColumn="0"/>
            <w:tcW w:w="2415" w:type="dxa"/>
          </w:tcPr>
          <w:p w14:paraId="0D4C7813" w14:textId="38CE55EE" w:rsidR="00554980" w:rsidRPr="6395FD93" w:rsidRDefault="006C6188" w:rsidP="00A9655B">
            <w:pPr>
              <w:rPr>
                <w:color w:val="000000" w:themeColor="text1"/>
                <w:sz w:val="24"/>
                <w:szCs w:val="24"/>
                <w:lang w:val="en-GB"/>
              </w:rPr>
            </w:pPr>
            <w:r w:rsidRPr="6395FD93">
              <w:rPr>
                <w:b w:val="0"/>
                <w:bCs w:val="0"/>
                <w:color w:val="000000" w:themeColor="text1"/>
                <w:sz w:val="24"/>
                <w:szCs w:val="24"/>
                <w:lang w:val="en-GB"/>
              </w:rPr>
              <w:t>Price Earnings Ratio</w:t>
            </w:r>
          </w:p>
        </w:tc>
        <w:tc>
          <w:tcPr>
            <w:tcW w:w="1455" w:type="dxa"/>
          </w:tcPr>
          <w:p w14:paraId="49A72FFE" w14:textId="70A07344" w:rsidR="00554980" w:rsidRDefault="74F76352"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4F76352">
              <w:rPr>
                <w:color w:val="000000" w:themeColor="text1"/>
                <w:sz w:val="24"/>
                <w:szCs w:val="24"/>
                <w:lang w:val="en-GB"/>
              </w:rPr>
              <w:t>20.3</w:t>
            </w:r>
          </w:p>
        </w:tc>
        <w:tc>
          <w:tcPr>
            <w:tcW w:w="1365" w:type="dxa"/>
          </w:tcPr>
          <w:p w14:paraId="2DE8FADE" w14:textId="6CF31802" w:rsidR="00554980" w:rsidRDefault="74F76352"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74F76352">
              <w:rPr>
                <w:color w:val="000000" w:themeColor="text1"/>
                <w:sz w:val="24"/>
                <w:szCs w:val="24"/>
                <w:lang w:val="en-GB"/>
              </w:rPr>
              <w:t>24.1</w:t>
            </w:r>
          </w:p>
        </w:tc>
        <w:tc>
          <w:tcPr>
            <w:tcW w:w="1485" w:type="dxa"/>
          </w:tcPr>
          <w:p w14:paraId="5DECD716" w14:textId="6E0613C8" w:rsidR="00554980" w:rsidRDefault="4495B924"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495B924">
              <w:rPr>
                <w:color w:val="000000" w:themeColor="text1"/>
                <w:sz w:val="24"/>
                <w:szCs w:val="24"/>
                <w:lang w:val="en-GB"/>
              </w:rPr>
              <w:t>17.1</w:t>
            </w:r>
          </w:p>
        </w:tc>
        <w:tc>
          <w:tcPr>
            <w:tcW w:w="1350" w:type="dxa"/>
          </w:tcPr>
          <w:p w14:paraId="620448EC" w14:textId="6A6782B9" w:rsidR="00554980" w:rsidRDefault="4495B924"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495B924">
              <w:rPr>
                <w:color w:val="000000" w:themeColor="text1"/>
                <w:sz w:val="24"/>
                <w:szCs w:val="24"/>
                <w:lang w:val="en-GB"/>
              </w:rPr>
              <w:t>12.2</w:t>
            </w:r>
          </w:p>
        </w:tc>
        <w:tc>
          <w:tcPr>
            <w:tcW w:w="1290" w:type="dxa"/>
          </w:tcPr>
          <w:p w14:paraId="596E6F15" w14:textId="3507D7B5" w:rsidR="00554980" w:rsidRDefault="4495B924"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495B924">
              <w:rPr>
                <w:color w:val="000000" w:themeColor="text1"/>
                <w:sz w:val="24"/>
                <w:szCs w:val="24"/>
                <w:lang w:val="en-GB"/>
              </w:rPr>
              <w:t>19.3</w:t>
            </w:r>
          </w:p>
        </w:tc>
      </w:tr>
      <w:tr w:rsidR="00554980" w14:paraId="759821E9" w14:textId="77777777" w:rsidTr="00A9655B">
        <w:tc>
          <w:tcPr>
            <w:cnfStyle w:val="001000000000" w:firstRow="0" w:lastRow="0" w:firstColumn="1" w:lastColumn="0" w:oddVBand="0" w:evenVBand="0" w:oddHBand="0" w:evenHBand="0" w:firstRowFirstColumn="0" w:firstRowLastColumn="0" w:lastRowFirstColumn="0" w:lastRowLastColumn="0"/>
            <w:tcW w:w="2415" w:type="dxa"/>
          </w:tcPr>
          <w:p w14:paraId="62A9BDA8" w14:textId="6ED1A7BC" w:rsidR="00554980" w:rsidRPr="00321D8E" w:rsidRDefault="006C6188" w:rsidP="00A9655B">
            <w:pPr>
              <w:rPr>
                <w:b w:val="0"/>
                <w:color w:val="000000" w:themeColor="text1"/>
                <w:sz w:val="24"/>
                <w:szCs w:val="24"/>
                <w:lang w:val="en-GB"/>
              </w:rPr>
            </w:pPr>
            <w:r w:rsidRPr="00321D8E">
              <w:rPr>
                <w:b w:val="0"/>
                <w:color w:val="000000" w:themeColor="text1"/>
                <w:sz w:val="24"/>
                <w:szCs w:val="24"/>
                <w:lang w:val="en-GB"/>
              </w:rPr>
              <w:t>Price to Sales Ratio</w:t>
            </w:r>
          </w:p>
        </w:tc>
        <w:tc>
          <w:tcPr>
            <w:tcW w:w="1455" w:type="dxa"/>
          </w:tcPr>
          <w:p w14:paraId="24DDCB72" w14:textId="21F29E4A" w:rsidR="00554980" w:rsidRDefault="4495B924"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495B924">
              <w:rPr>
                <w:color w:val="000000" w:themeColor="text1"/>
                <w:sz w:val="24"/>
                <w:szCs w:val="24"/>
                <w:lang w:val="en-GB"/>
              </w:rPr>
              <w:t>3.9</w:t>
            </w:r>
          </w:p>
        </w:tc>
        <w:tc>
          <w:tcPr>
            <w:tcW w:w="1365" w:type="dxa"/>
          </w:tcPr>
          <w:p w14:paraId="6BD2A017" w14:textId="6C391F5E" w:rsidR="00554980" w:rsidRDefault="4495B924"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495B924">
              <w:rPr>
                <w:color w:val="000000" w:themeColor="text1"/>
                <w:sz w:val="24"/>
                <w:szCs w:val="24"/>
                <w:lang w:val="en-GB"/>
              </w:rPr>
              <w:t>4.3</w:t>
            </w:r>
          </w:p>
        </w:tc>
        <w:tc>
          <w:tcPr>
            <w:tcW w:w="1485" w:type="dxa"/>
          </w:tcPr>
          <w:p w14:paraId="0A547DBB" w14:textId="68B7B0DC" w:rsidR="00554980" w:rsidRDefault="4495B924"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495B924">
              <w:rPr>
                <w:color w:val="000000" w:themeColor="text1"/>
                <w:sz w:val="24"/>
                <w:szCs w:val="24"/>
                <w:lang w:val="en-GB"/>
              </w:rPr>
              <w:t>2.4</w:t>
            </w:r>
          </w:p>
        </w:tc>
        <w:tc>
          <w:tcPr>
            <w:tcW w:w="1350" w:type="dxa"/>
          </w:tcPr>
          <w:p w14:paraId="66682DA6" w14:textId="41446722" w:rsidR="00554980" w:rsidRDefault="4495B924"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495B924">
              <w:rPr>
                <w:color w:val="000000" w:themeColor="text1"/>
                <w:sz w:val="24"/>
                <w:szCs w:val="24"/>
                <w:lang w:val="en-GB"/>
              </w:rPr>
              <w:t>2.0</w:t>
            </w:r>
          </w:p>
        </w:tc>
        <w:tc>
          <w:tcPr>
            <w:tcW w:w="1290" w:type="dxa"/>
          </w:tcPr>
          <w:p w14:paraId="45AC146B" w14:textId="163A3A51" w:rsidR="00554980" w:rsidRDefault="4495B924" w:rsidP="00A9655B">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495B924">
              <w:rPr>
                <w:color w:val="000000" w:themeColor="text1"/>
                <w:sz w:val="24"/>
                <w:szCs w:val="24"/>
                <w:lang w:val="en-GB"/>
              </w:rPr>
              <w:t>3.2</w:t>
            </w:r>
          </w:p>
        </w:tc>
      </w:tr>
    </w:tbl>
    <w:p w14:paraId="6859EE10" w14:textId="77777777" w:rsidR="00554980" w:rsidRPr="00126383" w:rsidRDefault="00554980" w:rsidP="00554980">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 xml:space="preserve">Annual Financial reports of </w:t>
      </w:r>
      <w:r>
        <w:rPr>
          <w:color w:val="000000" w:themeColor="text1"/>
          <w:sz w:val="20"/>
          <w:szCs w:val="20"/>
          <w:lang w:val="en-GB"/>
        </w:rPr>
        <w:t>Paddy Power BetFair</w:t>
      </w:r>
      <w:r w:rsidRPr="00126383">
        <w:rPr>
          <w:color w:val="000000" w:themeColor="text1"/>
          <w:sz w:val="20"/>
          <w:szCs w:val="20"/>
          <w:lang w:val="en-GB"/>
        </w:rPr>
        <w:t xml:space="preserve"> plc</w:t>
      </w:r>
    </w:p>
    <w:p w14:paraId="487717F7" w14:textId="4B2EF67B" w:rsidR="00245718" w:rsidRDefault="00245718" w:rsidP="00245718">
      <w:pPr>
        <w:pStyle w:val="ListBullet"/>
        <w:numPr>
          <w:ilvl w:val="0"/>
          <w:numId w:val="0"/>
        </w:numPr>
        <w:rPr>
          <w:color w:val="000000" w:themeColor="text1"/>
          <w:sz w:val="20"/>
          <w:szCs w:val="20"/>
          <w:lang w:val="en-GB"/>
        </w:rPr>
      </w:pPr>
    </w:p>
    <w:p w14:paraId="5400E506" w14:textId="0EE8514F" w:rsidR="00245718" w:rsidRDefault="00010BB2" w:rsidP="00010BB2">
      <w:pPr>
        <w:pStyle w:val="ListBullet"/>
        <w:numPr>
          <w:ilvl w:val="0"/>
          <w:numId w:val="0"/>
        </w:numPr>
        <w:rPr>
          <w:color w:val="000000" w:themeColor="text1"/>
          <w:sz w:val="24"/>
          <w:szCs w:val="24"/>
          <w:lang w:val="en-GB"/>
        </w:rPr>
      </w:pPr>
      <w:r>
        <w:rPr>
          <w:color w:val="000000" w:themeColor="text1"/>
          <w:sz w:val="24"/>
          <w:szCs w:val="24"/>
          <w:lang w:val="en-GB"/>
        </w:rPr>
        <w:t>I</w:t>
      </w:r>
      <w:r w:rsidR="00245718" w:rsidRPr="00245718">
        <w:rPr>
          <w:color w:val="000000" w:themeColor="text1"/>
          <w:sz w:val="24"/>
          <w:szCs w:val="24"/>
          <w:lang w:val="en-GB"/>
        </w:rPr>
        <w:t xml:space="preserve">nvestment ratios </w:t>
      </w:r>
      <w:r>
        <w:rPr>
          <w:color w:val="000000" w:themeColor="text1"/>
          <w:sz w:val="24"/>
          <w:szCs w:val="24"/>
          <w:lang w:val="en-GB"/>
        </w:rPr>
        <w:t>and valuation ratios are two branches of ratios that investors pay attention to when trying to make share buying decision.</w:t>
      </w:r>
    </w:p>
    <w:p w14:paraId="0183F8E7" w14:textId="66392CDE" w:rsidR="00010BB2" w:rsidRPr="00245718" w:rsidRDefault="00010BB2" w:rsidP="00010BB2">
      <w:pPr>
        <w:pStyle w:val="ListBullet"/>
        <w:numPr>
          <w:ilvl w:val="0"/>
          <w:numId w:val="0"/>
        </w:numPr>
        <w:rPr>
          <w:color w:val="000000" w:themeColor="text1"/>
          <w:sz w:val="24"/>
          <w:szCs w:val="24"/>
          <w:lang w:val="en-GB"/>
        </w:rPr>
      </w:pPr>
      <w:r>
        <w:rPr>
          <w:color w:val="000000" w:themeColor="text1"/>
          <w:sz w:val="24"/>
          <w:szCs w:val="24"/>
          <w:lang w:val="en-GB"/>
        </w:rPr>
        <w:t>Again William Hill plc performed woefully and recorded negative results for 2017 in earning per share, return on equity and price earnings ratio. When trend analysis is done, it could be seen that the company has been trending downward, and when compared to its competitor, it could be seen that Paddy Power results have been impressive, but a note of caution that we have not got a sector benchmark to compare with.</w:t>
      </w:r>
    </w:p>
    <w:p w14:paraId="7735BCA7" w14:textId="77777777" w:rsidR="001C4E4A" w:rsidRDefault="001C4E4A" w:rsidP="00245718">
      <w:pPr>
        <w:pStyle w:val="ListBullet"/>
        <w:numPr>
          <w:ilvl w:val="0"/>
          <w:numId w:val="0"/>
        </w:numPr>
        <w:rPr>
          <w:b/>
          <w:bCs/>
          <w:color w:val="FF0000"/>
          <w:sz w:val="24"/>
          <w:szCs w:val="24"/>
          <w:lang w:val="en-GB"/>
        </w:rPr>
      </w:pPr>
    </w:p>
    <w:p w14:paraId="43A161ED" w14:textId="77777777" w:rsidR="001C4E4A" w:rsidRDefault="001C4E4A" w:rsidP="00245718">
      <w:pPr>
        <w:pStyle w:val="ListBullet"/>
        <w:numPr>
          <w:ilvl w:val="0"/>
          <w:numId w:val="0"/>
        </w:numPr>
        <w:rPr>
          <w:b/>
          <w:bCs/>
          <w:color w:val="FF0000"/>
          <w:sz w:val="24"/>
          <w:szCs w:val="24"/>
          <w:lang w:val="en-GB"/>
        </w:rPr>
      </w:pPr>
    </w:p>
    <w:p w14:paraId="0149DDDF" w14:textId="77777777" w:rsidR="001C4E4A" w:rsidRDefault="001C4E4A" w:rsidP="00245718">
      <w:pPr>
        <w:pStyle w:val="ListBullet"/>
        <w:numPr>
          <w:ilvl w:val="0"/>
          <w:numId w:val="0"/>
        </w:numPr>
        <w:rPr>
          <w:b/>
          <w:bCs/>
          <w:color w:val="FF0000"/>
          <w:sz w:val="24"/>
          <w:szCs w:val="24"/>
          <w:lang w:val="en-GB"/>
        </w:rPr>
      </w:pPr>
    </w:p>
    <w:p w14:paraId="232DC497" w14:textId="77777777" w:rsidR="001C4E4A" w:rsidRDefault="001C4E4A" w:rsidP="00245718">
      <w:pPr>
        <w:pStyle w:val="ListBullet"/>
        <w:numPr>
          <w:ilvl w:val="0"/>
          <w:numId w:val="0"/>
        </w:numPr>
        <w:rPr>
          <w:b/>
          <w:bCs/>
          <w:color w:val="FF0000"/>
          <w:sz w:val="24"/>
          <w:szCs w:val="24"/>
          <w:lang w:val="en-GB"/>
        </w:rPr>
      </w:pPr>
    </w:p>
    <w:p w14:paraId="061E7917" w14:textId="77777777" w:rsidR="001C4E4A" w:rsidRDefault="001C4E4A" w:rsidP="00245718">
      <w:pPr>
        <w:pStyle w:val="ListBullet"/>
        <w:numPr>
          <w:ilvl w:val="0"/>
          <w:numId w:val="0"/>
        </w:numPr>
        <w:rPr>
          <w:b/>
          <w:bCs/>
          <w:color w:val="FF0000"/>
          <w:sz w:val="24"/>
          <w:szCs w:val="24"/>
          <w:lang w:val="en-GB"/>
        </w:rPr>
      </w:pPr>
    </w:p>
    <w:p w14:paraId="5BA18722" w14:textId="77777777" w:rsidR="001C4E4A" w:rsidRDefault="001C4E4A" w:rsidP="00245718">
      <w:pPr>
        <w:pStyle w:val="ListBullet"/>
        <w:numPr>
          <w:ilvl w:val="0"/>
          <w:numId w:val="0"/>
        </w:numPr>
        <w:rPr>
          <w:b/>
          <w:bCs/>
          <w:color w:val="FF0000"/>
          <w:sz w:val="24"/>
          <w:szCs w:val="24"/>
          <w:lang w:val="en-GB"/>
        </w:rPr>
      </w:pPr>
    </w:p>
    <w:p w14:paraId="2E79C2FC" w14:textId="77777777" w:rsidR="001C4E4A" w:rsidRDefault="001C4E4A" w:rsidP="00245718">
      <w:pPr>
        <w:pStyle w:val="ListBullet"/>
        <w:numPr>
          <w:ilvl w:val="0"/>
          <w:numId w:val="0"/>
        </w:numPr>
        <w:rPr>
          <w:b/>
          <w:bCs/>
          <w:color w:val="FF0000"/>
          <w:sz w:val="24"/>
          <w:szCs w:val="24"/>
          <w:lang w:val="en-GB"/>
        </w:rPr>
      </w:pPr>
    </w:p>
    <w:p w14:paraId="6C0F95A9" w14:textId="77777777" w:rsidR="001C4E4A" w:rsidRDefault="001C4E4A" w:rsidP="00245718">
      <w:pPr>
        <w:pStyle w:val="ListBullet"/>
        <w:numPr>
          <w:ilvl w:val="0"/>
          <w:numId w:val="0"/>
        </w:numPr>
        <w:rPr>
          <w:b/>
          <w:bCs/>
          <w:color w:val="FF0000"/>
          <w:sz w:val="24"/>
          <w:szCs w:val="24"/>
          <w:lang w:val="en-GB"/>
        </w:rPr>
      </w:pPr>
    </w:p>
    <w:p w14:paraId="5CA21C88" w14:textId="77777777" w:rsidR="001C4E4A" w:rsidRDefault="001C4E4A" w:rsidP="00245718">
      <w:pPr>
        <w:pStyle w:val="ListBullet"/>
        <w:numPr>
          <w:ilvl w:val="0"/>
          <w:numId w:val="0"/>
        </w:numPr>
        <w:rPr>
          <w:b/>
          <w:bCs/>
          <w:color w:val="FF0000"/>
          <w:sz w:val="24"/>
          <w:szCs w:val="24"/>
          <w:lang w:val="en-GB"/>
        </w:rPr>
      </w:pPr>
    </w:p>
    <w:p w14:paraId="22F66DAD" w14:textId="6A8DCA98" w:rsidR="00245718" w:rsidRPr="00D17F19" w:rsidRDefault="00245718" w:rsidP="00245718">
      <w:pPr>
        <w:pStyle w:val="ListBullet"/>
        <w:numPr>
          <w:ilvl w:val="0"/>
          <w:numId w:val="0"/>
        </w:numPr>
        <w:rPr>
          <w:b/>
          <w:bCs/>
          <w:color w:val="FF0000"/>
          <w:sz w:val="24"/>
          <w:szCs w:val="24"/>
          <w:lang w:val="en-GB"/>
        </w:rPr>
      </w:pPr>
      <w:r w:rsidRPr="00D17F19">
        <w:rPr>
          <w:b/>
          <w:bCs/>
          <w:color w:val="FF0000"/>
          <w:sz w:val="24"/>
          <w:szCs w:val="24"/>
          <w:lang w:val="en-GB"/>
        </w:rPr>
        <w:lastRenderedPageBreak/>
        <w:t>VALUATION RATIOS</w:t>
      </w:r>
    </w:p>
    <w:p w14:paraId="1824DFD4" w14:textId="40AB95CD" w:rsidR="00FB4B22" w:rsidRDefault="00FB4B22" w:rsidP="00FB4B22">
      <w:pPr>
        <w:pStyle w:val="ListBullet"/>
        <w:numPr>
          <w:ilvl w:val="0"/>
          <w:numId w:val="0"/>
        </w:numPr>
        <w:rPr>
          <w:b/>
          <w:bCs/>
          <w:color w:val="000000" w:themeColor="text1"/>
          <w:sz w:val="24"/>
          <w:szCs w:val="24"/>
          <w:lang w:val="en-GB"/>
        </w:rPr>
      </w:pPr>
      <w:r w:rsidRPr="6395FD93">
        <w:rPr>
          <w:b/>
          <w:bCs/>
          <w:color w:val="000000" w:themeColor="text1"/>
          <w:sz w:val="24"/>
          <w:szCs w:val="24"/>
          <w:lang w:val="en-GB"/>
        </w:rPr>
        <w:t>Table 1</w:t>
      </w:r>
      <w:r>
        <w:rPr>
          <w:b/>
          <w:bCs/>
          <w:color w:val="000000" w:themeColor="text1"/>
          <w:sz w:val="24"/>
          <w:szCs w:val="24"/>
          <w:lang w:val="en-GB"/>
        </w:rPr>
        <w:t>3</w:t>
      </w:r>
      <w:r w:rsidRPr="6395FD93">
        <w:rPr>
          <w:b/>
          <w:bCs/>
          <w:color w:val="000000" w:themeColor="text1"/>
          <w:sz w:val="24"/>
          <w:szCs w:val="24"/>
          <w:lang w:val="en-GB"/>
        </w:rPr>
        <w:t xml:space="preserve">: </w:t>
      </w:r>
      <w:r>
        <w:rPr>
          <w:b/>
          <w:bCs/>
          <w:color w:val="000000" w:themeColor="text1"/>
          <w:sz w:val="24"/>
          <w:szCs w:val="24"/>
          <w:lang w:val="en-GB"/>
        </w:rPr>
        <w:t>Enterprise Value to Sales, Enterprise Value to PBIT,</w:t>
      </w:r>
      <w:r w:rsidRPr="00FB4B22">
        <w:rPr>
          <w:b/>
          <w:bCs/>
          <w:color w:val="000000" w:themeColor="text1"/>
          <w:sz w:val="24"/>
          <w:szCs w:val="24"/>
          <w:lang w:val="en-GB"/>
        </w:rPr>
        <w:t xml:space="preserve"> </w:t>
      </w:r>
      <w:r>
        <w:rPr>
          <w:b/>
          <w:bCs/>
          <w:color w:val="000000" w:themeColor="text1"/>
          <w:sz w:val="24"/>
          <w:szCs w:val="24"/>
          <w:lang w:val="en-GB"/>
        </w:rPr>
        <w:t>Enterprise Value to EBITDA</w:t>
      </w:r>
    </w:p>
    <w:tbl>
      <w:tblPr>
        <w:tblStyle w:val="GridTable1Light-Accent1"/>
        <w:tblW w:w="9649" w:type="dxa"/>
        <w:tblInd w:w="-5" w:type="dxa"/>
        <w:tblLayout w:type="fixed"/>
        <w:tblLook w:val="06A0" w:firstRow="1" w:lastRow="0" w:firstColumn="1" w:lastColumn="0" w:noHBand="1" w:noVBand="1"/>
      </w:tblPr>
      <w:tblGrid>
        <w:gridCol w:w="2704"/>
        <w:gridCol w:w="1455"/>
        <w:gridCol w:w="1365"/>
        <w:gridCol w:w="1485"/>
        <w:gridCol w:w="1350"/>
        <w:gridCol w:w="1290"/>
      </w:tblGrid>
      <w:tr w:rsidR="00245718" w14:paraId="7104E384" w14:textId="77777777" w:rsidTr="00010B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4" w:type="dxa"/>
          </w:tcPr>
          <w:p w14:paraId="2DAD654E" w14:textId="77777777" w:rsidR="00245718" w:rsidRDefault="00245718" w:rsidP="00010BB2">
            <w:pPr>
              <w:ind w:left="180" w:hanging="180"/>
              <w:rPr>
                <w:color w:val="000000" w:themeColor="text1"/>
                <w:sz w:val="24"/>
                <w:szCs w:val="24"/>
                <w:lang w:val="en-GB"/>
              </w:rPr>
            </w:pPr>
            <w:r w:rsidRPr="6395FD93">
              <w:rPr>
                <w:color w:val="000000" w:themeColor="text1"/>
                <w:sz w:val="24"/>
                <w:szCs w:val="24"/>
                <w:lang w:val="en-GB"/>
              </w:rPr>
              <w:t>William Hill Plc</w:t>
            </w:r>
          </w:p>
        </w:tc>
        <w:tc>
          <w:tcPr>
            <w:tcW w:w="1455" w:type="dxa"/>
          </w:tcPr>
          <w:p w14:paraId="70142106"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2017</w:t>
            </w:r>
          </w:p>
        </w:tc>
        <w:tc>
          <w:tcPr>
            <w:tcW w:w="1365" w:type="dxa"/>
          </w:tcPr>
          <w:p w14:paraId="4F43CC27"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2016</w:t>
            </w:r>
          </w:p>
        </w:tc>
        <w:tc>
          <w:tcPr>
            <w:tcW w:w="1485" w:type="dxa"/>
          </w:tcPr>
          <w:p w14:paraId="76FBE070"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2015</w:t>
            </w:r>
          </w:p>
        </w:tc>
        <w:tc>
          <w:tcPr>
            <w:tcW w:w="1350" w:type="dxa"/>
          </w:tcPr>
          <w:p w14:paraId="37DE1496"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2014</w:t>
            </w:r>
          </w:p>
        </w:tc>
        <w:tc>
          <w:tcPr>
            <w:tcW w:w="1290" w:type="dxa"/>
          </w:tcPr>
          <w:p w14:paraId="5DC8878C"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3E41F5">
              <w:rPr>
                <w:bCs w:val="0"/>
                <w:color w:val="000000" w:themeColor="text1"/>
                <w:sz w:val="24"/>
                <w:szCs w:val="24"/>
                <w:lang w:val="en-GB"/>
              </w:rPr>
              <w:t>2013</w:t>
            </w:r>
          </w:p>
        </w:tc>
      </w:tr>
      <w:tr w:rsidR="00245718" w14:paraId="61647A13" w14:textId="77777777" w:rsidTr="00010BB2">
        <w:tc>
          <w:tcPr>
            <w:cnfStyle w:val="001000000000" w:firstRow="0" w:lastRow="0" w:firstColumn="1" w:lastColumn="0" w:oddVBand="0" w:evenVBand="0" w:oddHBand="0" w:evenHBand="0" w:firstRowFirstColumn="0" w:firstRowLastColumn="0" w:lastRowFirstColumn="0" w:lastRowLastColumn="0"/>
            <w:tcW w:w="2704" w:type="dxa"/>
          </w:tcPr>
          <w:p w14:paraId="6399411A" w14:textId="248CBDD4" w:rsidR="00245718" w:rsidRDefault="00245718" w:rsidP="00B879FC">
            <w:pPr>
              <w:rPr>
                <w:color w:val="000000" w:themeColor="text1"/>
                <w:sz w:val="24"/>
                <w:szCs w:val="24"/>
                <w:lang w:val="en-GB"/>
              </w:rPr>
            </w:pPr>
            <w:r>
              <w:rPr>
                <w:b w:val="0"/>
                <w:bCs w:val="0"/>
                <w:color w:val="000000" w:themeColor="text1"/>
                <w:sz w:val="24"/>
                <w:szCs w:val="24"/>
                <w:lang w:val="en-GB"/>
              </w:rPr>
              <w:t>Enterprise Value</w:t>
            </w:r>
            <w:r w:rsidR="48D1F889" w:rsidRPr="48D1F889">
              <w:rPr>
                <w:b w:val="0"/>
                <w:bCs w:val="0"/>
                <w:color w:val="000000" w:themeColor="text1"/>
                <w:sz w:val="24"/>
                <w:szCs w:val="24"/>
                <w:lang w:val="en-GB"/>
              </w:rPr>
              <w:t xml:space="preserve"> to Sales Ratio</w:t>
            </w:r>
          </w:p>
        </w:tc>
        <w:tc>
          <w:tcPr>
            <w:tcW w:w="1455" w:type="dxa"/>
          </w:tcPr>
          <w:p w14:paraId="09636FEB" w14:textId="5B43E68B" w:rsidR="00245718" w:rsidRDefault="53592927"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1.8</w:t>
            </w:r>
          </w:p>
        </w:tc>
        <w:tc>
          <w:tcPr>
            <w:tcW w:w="1365" w:type="dxa"/>
          </w:tcPr>
          <w:p w14:paraId="46C94C4F" w14:textId="6B744DA1" w:rsidR="00245718" w:rsidRDefault="53592927"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2.0</w:t>
            </w:r>
          </w:p>
        </w:tc>
        <w:tc>
          <w:tcPr>
            <w:tcW w:w="1485" w:type="dxa"/>
          </w:tcPr>
          <w:p w14:paraId="3381468C" w14:textId="235DA933" w:rsidR="00245718" w:rsidRDefault="53592927"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2.7</w:t>
            </w:r>
          </w:p>
        </w:tc>
        <w:tc>
          <w:tcPr>
            <w:tcW w:w="1350" w:type="dxa"/>
          </w:tcPr>
          <w:p w14:paraId="017C2628" w14:textId="29274CB5" w:rsidR="00245718" w:rsidRDefault="53592927"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2.4</w:t>
            </w:r>
          </w:p>
        </w:tc>
        <w:tc>
          <w:tcPr>
            <w:tcW w:w="1290" w:type="dxa"/>
          </w:tcPr>
          <w:p w14:paraId="12D06FFA" w14:textId="69A60B02" w:rsidR="00245718" w:rsidRDefault="53592927"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53592927">
              <w:rPr>
                <w:color w:val="000000" w:themeColor="text1"/>
                <w:sz w:val="24"/>
                <w:szCs w:val="24"/>
                <w:lang w:val="en-GB"/>
              </w:rPr>
              <w:t>3.4</w:t>
            </w:r>
          </w:p>
        </w:tc>
      </w:tr>
      <w:tr w:rsidR="00245718" w14:paraId="04A78651" w14:textId="77777777" w:rsidTr="00010BB2">
        <w:tc>
          <w:tcPr>
            <w:cnfStyle w:val="001000000000" w:firstRow="0" w:lastRow="0" w:firstColumn="1" w:lastColumn="0" w:oddVBand="0" w:evenVBand="0" w:oddHBand="0" w:evenHBand="0" w:firstRowFirstColumn="0" w:firstRowLastColumn="0" w:lastRowFirstColumn="0" w:lastRowLastColumn="0"/>
            <w:tcW w:w="2704" w:type="dxa"/>
          </w:tcPr>
          <w:p w14:paraId="66AC0F57" w14:textId="77AD2F93" w:rsidR="00245718" w:rsidRDefault="00245718" w:rsidP="00B879FC">
            <w:pPr>
              <w:rPr>
                <w:color w:val="000000" w:themeColor="text1"/>
                <w:sz w:val="24"/>
                <w:szCs w:val="24"/>
                <w:lang w:val="en-GB"/>
              </w:rPr>
            </w:pPr>
            <w:r>
              <w:rPr>
                <w:b w:val="0"/>
                <w:bCs w:val="0"/>
                <w:color w:val="000000" w:themeColor="text1"/>
                <w:sz w:val="24"/>
                <w:szCs w:val="24"/>
                <w:lang w:val="en-GB"/>
              </w:rPr>
              <w:t>Enterprise Value</w:t>
            </w:r>
            <w:r w:rsidR="48D1F889" w:rsidRPr="48D1F889">
              <w:rPr>
                <w:b w:val="0"/>
                <w:bCs w:val="0"/>
                <w:color w:val="000000" w:themeColor="text1"/>
                <w:sz w:val="24"/>
                <w:szCs w:val="24"/>
                <w:lang w:val="en-GB"/>
              </w:rPr>
              <w:t xml:space="preserve"> to PBIT Ratio</w:t>
            </w:r>
          </w:p>
        </w:tc>
        <w:tc>
          <w:tcPr>
            <w:tcW w:w="1455" w:type="dxa"/>
          </w:tcPr>
          <w:p w14:paraId="71D57C6E" w14:textId="3C1AD671"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00C77D27">
              <w:rPr>
                <w:color w:val="FF0000"/>
                <w:sz w:val="24"/>
                <w:szCs w:val="24"/>
                <w:lang w:val="en-GB"/>
              </w:rPr>
              <w:t>-72.4</w:t>
            </w:r>
          </w:p>
        </w:tc>
        <w:tc>
          <w:tcPr>
            <w:tcW w:w="1365" w:type="dxa"/>
          </w:tcPr>
          <w:p w14:paraId="26138385" w14:textId="69CD12D4"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8D1F889">
              <w:rPr>
                <w:color w:val="000000" w:themeColor="text1"/>
                <w:sz w:val="24"/>
                <w:szCs w:val="24"/>
                <w:lang w:val="en-GB"/>
              </w:rPr>
              <w:t>14.2</w:t>
            </w:r>
          </w:p>
        </w:tc>
        <w:tc>
          <w:tcPr>
            <w:tcW w:w="1485" w:type="dxa"/>
          </w:tcPr>
          <w:p w14:paraId="55A94D06" w14:textId="578E9848"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8D1F889">
              <w:rPr>
                <w:color w:val="000000" w:themeColor="text1"/>
                <w:sz w:val="24"/>
                <w:szCs w:val="24"/>
                <w:lang w:val="en-GB"/>
              </w:rPr>
              <w:t>19.0</w:t>
            </w:r>
          </w:p>
        </w:tc>
        <w:tc>
          <w:tcPr>
            <w:tcW w:w="1350" w:type="dxa"/>
          </w:tcPr>
          <w:p w14:paraId="5AFCB280" w14:textId="630164DB"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8D1F889">
              <w:rPr>
                <w:color w:val="000000" w:themeColor="text1"/>
                <w:sz w:val="24"/>
                <w:szCs w:val="24"/>
                <w:lang w:val="en-GB"/>
              </w:rPr>
              <w:t>13.9</w:t>
            </w:r>
          </w:p>
        </w:tc>
        <w:tc>
          <w:tcPr>
            <w:tcW w:w="1290" w:type="dxa"/>
          </w:tcPr>
          <w:p w14:paraId="2B58B1BE" w14:textId="38AC0BC4"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8D1F889">
              <w:rPr>
                <w:color w:val="000000" w:themeColor="text1"/>
                <w:sz w:val="24"/>
                <w:szCs w:val="24"/>
                <w:lang w:val="en-GB"/>
              </w:rPr>
              <w:t>15.7</w:t>
            </w:r>
          </w:p>
        </w:tc>
      </w:tr>
      <w:tr w:rsidR="00245718" w14:paraId="50F076F5" w14:textId="77777777" w:rsidTr="00010BB2">
        <w:tc>
          <w:tcPr>
            <w:cnfStyle w:val="001000000000" w:firstRow="0" w:lastRow="0" w:firstColumn="1" w:lastColumn="0" w:oddVBand="0" w:evenVBand="0" w:oddHBand="0" w:evenHBand="0" w:firstRowFirstColumn="0" w:firstRowLastColumn="0" w:lastRowFirstColumn="0" w:lastRowLastColumn="0"/>
            <w:tcW w:w="2704" w:type="dxa"/>
          </w:tcPr>
          <w:p w14:paraId="29D87F0F" w14:textId="31D2BA85" w:rsidR="00245718" w:rsidRPr="6395FD93" w:rsidRDefault="00245718" w:rsidP="00B879FC">
            <w:pPr>
              <w:rPr>
                <w:color w:val="000000" w:themeColor="text1"/>
                <w:sz w:val="24"/>
                <w:szCs w:val="24"/>
                <w:lang w:val="en-GB"/>
              </w:rPr>
            </w:pPr>
            <w:r>
              <w:rPr>
                <w:b w:val="0"/>
                <w:bCs w:val="0"/>
                <w:color w:val="000000" w:themeColor="text1"/>
                <w:sz w:val="24"/>
                <w:szCs w:val="24"/>
                <w:lang w:val="en-GB"/>
              </w:rPr>
              <w:t>Enterprise Value</w:t>
            </w:r>
            <w:r w:rsidR="48D1F889" w:rsidRPr="48D1F889">
              <w:rPr>
                <w:b w:val="0"/>
                <w:bCs w:val="0"/>
                <w:color w:val="000000" w:themeColor="text1"/>
                <w:sz w:val="24"/>
                <w:szCs w:val="24"/>
                <w:lang w:val="en-GB"/>
              </w:rPr>
              <w:t xml:space="preserve"> to EBITDA Ratio</w:t>
            </w:r>
          </w:p>
        </w:tc>
        <w:tc>
          <w:tcPr>
            <w:tcW w:w="1455" w:type="dxa"/>
          </w:tcPr>
          <w:p w14:paraId="718F2DAD" w14:textId="2885BDBF"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8D1F889">
              <w:rPr>
                <w:color w:val="000000" w:themeColor="text1"/>
                <w:sz w:val="24"/>
                <w:szCs w:val="24"/>
                <w:lang w:val="en-GB"/>
              </w:rPr>
              <w:t>72.0</w:t>
            </w:r>
          </w:p>
        </w:tc>
        <w:tc>
          <w:tcPr>
            <w:tcW w:w="1365" w:type="dxa"/>
          </w:tcPr>
          <w:p w14:paraId="1CD82DC7" w14:textId="67D3F36E"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8D1F889">
              <w:rPr>
                <w:color w:val="000000" w:themeColor="text1"/>
                <w:sz w:val="24"/>
                <w:szCs w:val="24"/>
                <w:lang w:val="en-GB"/>
              </w:rPr>
              <w:t>10.3</w:t>
            </w:r>
          </w:p>
        </w:tc>
        <w:tc>
          <w:tcPr>
            <w:tcW w:w="1485" w:type="dxa"/>
          </w:tcPr>
          <w:p w14:paraId="2C60DC5F" w14:textId="409F0685"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8D1F889">
              <w:rPr>
                <w:color w:val="000000" w:themeColor="text1"/>
                <w:sz w:val="24"/>
                <w:szCs w:val="24"/>
                <w:lang w:val="en-GB"/>
              </w:rPr>
              <w:t>14.3</w:t>
            </w:r>
          </w:p>
        </w:tc>
        <w:tc>
          <w:tcPr>
            <w:tcW w:w="1350" w:type="dxa"/>
          </w:tcPr>
          <w:p w14:paraId="1AF30161" w14:textId="79E59C15"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8D1F889">
              <w:rPr>
                <w:color w:val="000000" w:themeColor="text1"/>
                <w:sz w:val="24"/>
                <w:szCs w:val="24"/>
                <w:lang w:val="en-GB"/>
              </w:rPr>
              <w:t>11.3</w:t>
            </w:r>
          </w:p>
        </w:tc>
        <w:tc>
          <w:tcPr>
            <w:tcW w:w="1290" w:type="dxa"/>
          </w:tcPr>
          <w:p w14:paraId="7788AA0C" w14:textId="65BF57FF" w:rsidR="00245718" w:rsidRDefault="48D1F889"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48D1F889">
              <w:rPr>
                <w:color w:val="000000" w:themeColor="text1"/>
                <w:sz w:val="24"/>
                <w:szCs w:val="24"/>
                <w:lang w:val="en-GB"/>
              </w:rPr>
              <w:t>13.4</w:t>
            </w:r>
          </w:p>
        </w:tc>
      </w:tr>
    </w:tbl>
    <w:p w14:paraId="12F3A077" w14:textId="6D365BEC" w:rsidR="00245718" w:rsidRPr="00554980" w:rsidRDefault="00245718" w:rsidP="00554980">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Annual Financial reports of William Hill plc</w:t>
      </w:r>
      <w:r w:rsidRPr="6395FD93">
        <w:rPr>
          <w:b/>
          <w:bCs/>
          <w:color w:val="000000" w:themeColor="text1"/>
          <w:sz w:val="24"/>
          <w:szCs w:val="24"/>
          <w:lang w:val="en-GB"/>
        </w:rPr>
        <w:t xml:space="preserve">     </w:t>
      </w:r>
    </w:p>
    <w:p w14:paraId="3B7CE464" w14:textId="4B2EF67B" w:rsidR="00245718" w:rsidRDefault="00245718" w:rsidP="00245718">
      <w:pPr>
        <w:pStyle w:val="ListBullet"/>
        <w:numPr>
          <w:ilvl w:val="0"/>
          <w:numId w:val="0"/>
        </w:numPr>
        <w:ind w:left="-360"/>
        <w:rPr>
          <w:b/>
          <w:bCs/>
          <w:color w:val="000000" w:themeColor="text1"/>
          <w:sz w:val="24"/>
          <w:szCs w:val="24"/>
          <w:lang w:val="en-GB"/>
        </w:rPr>
      </w:pPr>
      <w:r>
        <w:rPr>
          <w:b/>
          <w:bCs/>
          <w:color w:val="000000" w:themeColor="text1"/>
          <w:sz w:val="24"/>
          <w:szCs w:val="24"/>
          <w:lang w:val="en-GB"/>
        </w:rPr>
        <w:t xml:space="preserve">     </w:t>
      </w:r>
      <w:r w:rsidRPr="00D17F19">
        <w:rPr>
          <w:b/>
          <w:bCs/>
          <w:color w:val="FF0000"/>
          <w:sz w:val="24"/>
          <w:szCs w:val="24"/>
          <w:lang w:val="en-GB"/>
        </w:rPr>
        <w:t>VALUATION RATIOS</w:t>
      </w:r>
    </w:p>
    <w:p w14:paraId="4152AD64" w14:textId="3329DDDB" w:rsidR="00245718" w:rsidRDefault="00245718" w:rsidP="00245718">
      <w:pPr>
        <w:pStyle w:val="ListBullet"/>
        <w:numPr>
          <w:ilvl w:val="0"/>
          <w:numId w:val="0"/>
        </w:numPr>
        <w:rPr>
          <w:b/>
          <w:bCs/>
          <w:color w:val="000000" w:themeColor="text1"/>
          <w:sz w:val="24"/>
          <w:szCs w:val="24"/>
          <w:lang w:val="en-GB"/>
        </w:rPr>
      </w:pPr>
      <w:r w:rsidRPr="6395FD93">
        <w:rPr>
          <w:b/>
          <w:bCs/>
          <w:color w:val="000000" w:themeColor="text1"/>
          <w:sz w:val="24"/>
          <w:szCs w:val="24"/>
          <w:lang w:val="en-GB"/>
        </w:rPr>
        <w:t>Table 1</w:t>
      </w:r>
      <w:r>
        <w:rPr>
          <w:b/>
          <w:bCs/>
          <w:color w:val="000000" w:themeColor="text1"/>
          <w:sz w:val="24"/>
          <w:szCs w:val="24"/>
          <w:lang w:val="en-GB"/>
        </w:rPr>
        <w:t>4</w:t>
      </w:r>
      <w:r w:rsidRPr="6395FD93">
        <w:rPr>
          <w:b/>
          <w:bCs/>
          <w:color w:val="000000" w:themeColor="text1"/>
          <w:sz w:val="24"/>
          <w:szCs w:val="24"/>
          <w:lang w:val="en-GB"/>
        </w:rPr>
        <w:t xml:space="preserve">: </w:t>
      </w:r>
      <w:r w:rsidR="005E054A">
        <w:rPr>
          <w:b/>
          <w:bCs/>
          <w:color w:val="000000" w:themeColor="text1"/>
          <w:sz w:val="24"/>
          <w:szCs w:val="24"/>
          <w:lang w:val="en-GB"/>
        </w:rPr>
        <w:t xml:space="preserve">Enterprise Value to Sales, </w:t>
      </w:r>
      <w:r w:rsidR="00FB4B22">
        <w:rPr>
          <w:b/>
          <w:bCs/>
          <w:color w:val="000000" w:themeColor="text1"/>
          <w:sz w:val="24"/>
          <w:szCs w:val="24"/>
          <w:lang w:val="en-GB"/>
        </w:rPr>
        <w:t>Enterprise Value to PBIT,</w:t>
      </w:r>
      <w:r w:rsidR="00FB4B22" w:rsidRPr="00FB4B22">
        <w:rPr>
          <w:b/>
          <w:bCs/>
          <w:color w:val="000000" w:themeColor="text1"/>
          <w:sz w:val="24"/>
          <w:szCs w:val="24"/>
          <w:lang w:val="en-GB"/>
        </w:rPr>
        <w:t xml:space="preserve"> </w:t>
      </w:r>
      <w:r w:rsidR="00FB4B22">
        <w:rPr>
          <w:b/>
          <w:bCs/>
          <w:color w:val="000000" w:themeColor="text1"/>
          <w:sz w:val="24"/>
          <w:szCs w:val="24"/>
          <w:lang w:val="en-GB"/>
        </w:rPr>
        <w:t>Enterprise Value to EBITDA</w:t>
      </w:r>
    </w:p>
    <w:tbl>
      <w:tblPr>
        <w:tblStyle w:val="GridTable1Light-Accent1"/>
        <w:tblW w:w="9649" w:type="dxa"/>
        <w:tblInd w:w="-5" w:type="dxa"/>
        <w:tblLayout w:type="fixed"/>
        <w:tblLook w:val="06A0" w:firstRow="1" w:lastRow="0" w:firstColumn="1" w:lastColumn="0" w:noHBand="1" w:noVBand="1"/>
      </w:tblPr>
      <w:tblGrid>
        <w:gridCol w:w="2704"/>
        <w:gridCol w:w="1455"/>
        <w:gridCol w:w="1365"/>
        <w:gridCol w:w="1485"/>
        <w:gridCol w:w="1350"/>
        <w:gridCol w:w="1290"/>
      </w:tblGrid>
      <w:tr w:rsidR="00245718" w14:paraId="4FA9C3D4" w14:textId="77777777" w:rsidTr="005E05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4" w:type="dxa"/>
          </w:tcPr>
          <w:p w14:paraId="1BD29FBC" w14:textId="77777777" w:rsidR="00245718" w:rsidRDefault="00245718" w:rsidP="005E054A">
            <w:pPr>
              <w:ind w:left="180" w:hanging="180"/>
              <w:rPr>
                <w:color w:val="000000" w:themeColor="text1"/>
                <w:sz w:val="24"/>
                <w:szCs w:val="24"/>
                <w:lang w:val="en-GB"/>
              </w:rPr>
            </w:pPr>
            <w:r w:rsidRPr="6395FD93">
              <w:rPr>
                <w:color w:val="000000" w:themeColor="text1"/>
                <w:sz w:val="24"/>
                <w:szCs w:val="24"/>
                <w:lang w:val="en-GB"/>
              </w:rPr>
              <w:t>Paddy Power BetFair Plc</w:t>
            </w:r>
          </w:p>
        </w:tc>
        <w:tc>
          <w:tcPr>
            <w:tcW w:w="1455" w:type="dxa"/>
          </w:tcPr>
          <w:p w14:paraId="7A46B0EE"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auto"/>
                <w:sz w:val="24"/>
                <w:szCs w:val="24"/>
                <w:lang w:val="en-GB"/>
              </w:rPr>
            </w:pPr>
            <w:r w:rsidRPr="003E41F5">
              <w:rPr>
                <w:bCs w:val="0"/>
                <w:color w:val="auto"/>
                <w:sz w:val="24"/>
                <w:szCs w:val="24"/>
                <w:lang w:val="en-GB"/>
              </w:rPr>
              <w:t>2017</w:t>
            </w:r>
          </w:p>
        </w:tc>
        <w:tc>
          <w:tcPr>
            <w:tcW w:w="1365" w:type="dxa"/>
          </w:tcPr>
          <w:p w14:paraId="04FE9F2A"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auto"/>
                <w:sz w:val="24"/>
                <w:szCs w:val="24"/>
                <w:lang w:val="en-GB"/>
              </w:rPr>
            </w:pPr>
            <w:r w:rsidRPr="003E41F5">
              <w:rPr>
                <w:bCs w:val="0"/>
                <w:color w:val="auto"/>
                <w:sz w:val="24"/>
                <w:szCs w:val="24"/>
                <w:lang w:val="en-GB"/>
              </w:rPr>
              <w:t>2016</w:t>
            </w:r>
          </w:p>
        </w:tc>
        <w:tc>
          <w:tcPr>
            <w:tcW w:w="1485" w:type="dxa"/>
          </w:tcPr>
          <w:p w14:paraId="372CB5BF"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auto"/>
                <w:sz w:val="24"/>
                <w:szCs w:val="24"/>
                <w:lang w:val="en-GB"/>
              </w:rPr>
            </w:pPr>
            <w:r w:rsidRPr="003E41F5">
              <w:rPr>
                <w:bCs w:val="0"/>
                <w:color w:val="auto"/>
                <w:sz w:val="24"/>
                <w:szCs w:val="24"/>
                <w:lang w:val="en-GB"/>
              </w:rPr>
              <w:t>2015</w:t>
            </w:r>
          </w:p>
        </w:tc>
        <w:tc>
          <w:tcPr>
            <w:tcW w:w="1350" w:type="dxa"/>
          </w:tcPr>
          <w:p w14:paraId="49452FA9"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auto"/>
                <w:sz w:val="24"/>
                <w:szCs w:val="24"/>
                <w:lang w:val="en-GB"/>
              </w:rPr>
            </w:pPr>
            <w:r w:rsidRPr="003E41F5">
              <w:rPr>
                <w:bCs w:val="0"/>
                <w:color w:val="auto"/>
                <w:sz w:val="24"/>
                <w:szCs w:val="24"/>
                <w:lang w:val="en-GB"/>
              </w:rPr>
              <w:t>2014</w:t>
            </w:r>
          </w:p>
        </w:tc>
        <w:tc>
          <w:tcPr>
            <w:tcW w:w="1290" w:type="dxa"/>
          </w:tcPr>
          <w:p w14:paraId="7E4246F9" w14:textId="77777777" w:rsidR="00245718" w:rsidRPr="003E41F5" w:rsidRDefault="00245718" w:rsidP="00B879FC">
            <w:pPr>
              <w:cnfStyle w:val="100000000000" w:firstRow="1" w:lastRow="0" w:firstColumn="0" w:lastColumn="0" w:oddVBand="0" w:evenVBand="0" w:oddHBand="0" w:evenHBand="0" w:firstRowFirstColumn="0" w:firstRowLastColumn="0" w:lastRowFirstColumn="0" w:lastRowLastColumn="0"/>
              <w:rPr>
                <w:color w:val="auto"/>
                <w:sz w:val="24"/>
                <w:szCs w:val="24"/>
                <w:lang w:val="en-GB"/>
              </w:rPr>
            </w:pPr>
            <w:r w:rsidRPr="003E41F5">
              <w:rPr>
                <w:bCs w:val="0"/>
                <w:color w:val="auto"/>
                <w:sz w:val="24"/>
                <w:szCs w:val="24"/>
                <w:lang w:val="en-GB"/>
              </w:rPr>
              <w:t>2013</w:t>
            </w:r>
          </w:p>
        </w:tc>
      </w:tr>
      <w:tr w:rsidR="00245718" w14:paraId="56FF4E0E" w14:textId="77777777" w:rsidTr="005E054A">
        <w:tc>
          <w:tcPr>
            <w:cnfStyle w:val="001000000000" w:firstRow="0" w:lastRow="0" w:firstColumn="1" w:lastColumn="0" w:oddVBand="0" w:evenVBand="0" w:oddHBand="0" w:evenHBand="0" w:firstRowFirstColumn="0" w:firstRowLastColumn="0" w:lastRowFirstColumn="0" w:lastRowLastColumn="0"/>
            <w:tcW w:w="2704" w:type="dxa"/>
          </w:tcPr>
          <w:p w14:paraId="3ECA8225" w14:textId="02243FAB" w:rsidR="00245718" w:rsidRDefault="00C702E5" w:rsidP="00B879FC">
            <w:pPr>
              <w:rPr>
                <w:color w:val="000000" w:themeColor="text1"/>
                <w:sz w:val="24"/>
                <w:szCs w:val="24"/>
                <w:lang w:val="en-GB"/>
              </w:rPr>
            </w:pPr>
            <w:r>
              <w:rPr>
                <w:b w:val="0"/>
                <w:bCs w:val="0"/>
                <w:color w:val="000000" w:themeColor="text1"/>
                <w:sz w:val="24"/>
                <w:szCs w:val="24"/>
                <w:lang w:val="en-GB"/>
              </w:rPr>
              <w:t>Enterprise Value to Sales Ratio</w:t>
            </w:r>
          </w:p>
        </w:tc>
        <w:tc>
          <w:tcPr>
            <w:tcW w:w="1455" w:type="dxa"/>
          </w:tcPr>
          <w:p w14:paraId="79EF8F05" w14:textId="62191D6F"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18.0</w:t>
            </w:r>
          </w:p>
        </w:tc>
        <w:tc>
          <w:tcPr>
            <w:tcW w:w="1365" w:type="dxa"/>
          </w:tcPr>
          <w:p w14:paraId="764E9AE4" w14:textId="02B1792C"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21.5</w:t>
            </w:r>
          </w:p>
        </w:tc>
        <w:tc>
          <w:tcPr>
            <w:tcW w:w="1485" w:type="dxa"/>
          </w:tcPr>
          <w:p w14:paraId="40990235" w14:textId="50BEC51E"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16.3</w:t>
            </w:r>
          </w:p>
        </w:tc>
        <w:tc>
          <w:tcPr>
            <w:tcW w:w="1350" w:type="dxa"/>
          </w:tcPr>
          <w:p w14:paraId="48F67BF4" w14:textId="03348F0E"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10.8</w:t>
            </w:r>
          </w:p>
        </w:tc>
        <w:tc>
          <w:tcPr>
            <w:tcW w:w="1290" w:type="dxa"/>
          </w:tcPr>
          <w:p w14:paraId="32FE0B2B" w14:textId="4AC7A1B6"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17.7</w:t>
            </w:r>
          </w:p>
        </w:tc>
      </w:tr>
      <w:tr w:rsidR="00245718" w14:paraId="7A83EB9B" w14:textId="77777777" w:rsidTr="005E054A">
        <w:tc>
          <w:tcPr>
            <w:cnfStyle w:val="001000000000" w:firstRow="0" w:lastRow="0" w:firstColumn="1" w:lastColumn="0" w:oddVBand="0" w:evenVBand="0" w:oddHBand="0" w:evenHBand="0" w:firstRowFirstColumn="0" w:firstRowLastColumn="0" w:lastRowFirstColumn="0" w:lastRowLastColumn="0"/>
            <w:tcW w:w="2704" w:type="dxa"/>
          </w:tcPr>
          <w:p w14:paraId="1B625C55" w14:textId="6DFD5A8A" w:rsidR="00245718" w:rsidRDefault="00C702E5" w:rsidP="00B879FC">
            <w:pPr>
              <w:rPr>
                <w:color w:val="000000" w:themeColor="text1"/>
                <w:sz w:val="24"/>
                <w:szCs w:val="24"/>
                <w:lang w:val="en-GB"/>
              </w:rPr>
            </w:pPr>
            <w:r>
              <w:rPr>
                <w:b w:val="0"/>
                <w:bCs w:val="0"/>
                <w:color w:val="000000" w:themeColor="text1"/>
                <w:sz w:val="24"/>
                <w:szCs w:val="24"/>
                <w:lang w:val="en-GB"/>
              </w:rPr>
              <w:t>Enterprise Value to PBIT Ratio</w:t>
            </w:r>
          </w:p>
        </w:tc>
        <w:tc>
          <w:tcPr>
            <w:tcW w:w="1455" w:type="dxa"/>
          </w:tcPr>
          <w:p w14:paraId="277CFC47" w14:textId="4BA1BABA"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14.9</w:t>
            </w:r>
          </w:p>
        </w:tc>
        <w:tc>
          <w:tcPr>
            <w:tcW w:w="1365" w:type="dxa"/>
          </w:tcPr>
          <w:p w14:paraId="00E6E9A4" w14:textId="3A16ABDE"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17.7</w:t>
            </w:r>
          </w:p>
        </w:tc>
        <w:tc>
          <w:tcPr>
            <w:tcW w:w="1485" w:type="dxa"/>
          </w:tcPr>
          <w:p w14:paraId="359DF4BF" w14:textId="75B6F099"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12.6</w:t>
            </w:r>
          </w:p>
        </w:tc>
        <w:tc>
          <w:tcPr>
            <w:tcW w:w="1350" w:type="dxa"/>
          </w:tcPr>
          <w:p w14:paraId="07C317C3" w14:textId="204B999C"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8.4</w:t>
            </w:r>
          </w:p>
        </w:tc>
        <w:tc>
          <w:tcPr>
            <w:tcW w:w="1290" w:type="dxa"/>
          </w:tcPr>
          <w:p w14:paraId="627340A5" w14:textId="2C3287AD"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13.8</w:t>
            </w:r>
          </w:p>
        </w:tc>
      </w:tr>
      <w:tr w:rsidR="00245718" w14:paraId="3E94125C" w14:textId="77777777" w:rsidTr="005E054A">
        <w:tc>
          <w:tcPr>
            <w:cnfStyle w:val="001000000000" w:firstRow="0" w:lastRow="0" w:firstColumn="1" w:lastColumn="0" w:oddVBand="0" w:evenVBand="0" w:oddHBand="0" w:evenHBand="0" w:firstRowFirstColumn="0" w:firstRowLastColumn="0" w:lastRowFirstColumn="0" w:lastRowLastColumn="0"/>
            <w:tcW w:w="2704" w:type="dxa"/>
          </w:tcPr>
          <w:p w14:paraId="31F28834" w14:textId="0650A32B" w:rsidR="00245718" w:rsidRPr="6395FD93" w:rsidRDefault="00C702E5" w:rsidP="00B879FC">
            <w:pPr>
              <w:rPr>
                <w:color w:val="000000" w:themeColor="text1"/>
                <w:sz w:val="24"/>
                <w:szCs w:val="24"/>
                <w:lang w:val="en-GB"/>
              </w:rPr>
            </w:pPr>
            <w:r>
              <w:rPr>
                <w:b w:val="0"/>
                <w:bCs w:val="0"/>
                <w:color w:val="000000" w:themeColor="text1"/>
                <w:sz w:val="24"/>
                <w:szCs w:val="24"/>
                <w:lang w:val="en-GB"/>
              </w:rPr>
              <w:t>Enterprise Value to EBITDA Ratio</w:t>
            </w:r>
          </w:p>
        </w:tc>
        <w:tc>
          <w:tcPr>
            <w:tcW w:w="1455" w:type="dxa"/>
          </w:tcPr>
          <w:p w14:paraId="40600623" w14:textId="07011E2B"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4.0</w:t>
            </w:r>
          </w:p>
        </w:tc>
        <w:tc>
          <w:tcPr>
            <w:tcW w:w="1365" w:type="dxa"/>
          </w:tcPr>
          <w:p w14:paraId="3ED83EFD" w14:textId="3F0CFF0D"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4.6</w:t>
            </w:r>
          </w:p>
        </w:tc>
        <w:tc>
          <w:tcPr>
            <w:tcW w:w="1485" w:type="dxa"/>
          </w:tcPr>
          <w:p w14:paraId="08F53453" w14:textId="41ED150B"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2.7</w:t>
            </w:r>
          </w:p>
        </w:tc>
        <w:tc>
          <w:tcPr>
            <w:tcW w:w="1350" w:type="dxa"/>
          </w:tcPr>
          <w:p w14:paraId="41E50169" w14:textId="5259F152"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2.0</w:t>
            </w:r>
          </w:p>
        </w:tc>
        <w:tc>
          <w:tcPr>
            <w:tcW w:w="1290" w:type="dxa"/>
          </w:tcPr>
          <w:p w14:paraId="0973E7E6" w14:textId="2739829E" w:rsidR="00245718" w:rsidRDefault="3A76FF33" w:rsidP="00B879FC">
            <w:pPr>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rPr>
            </w:pPr>
            <w:r w:rsidRPr="3A76FF33">
              <w:rPr>
                <w:color w:val="000000" w:themeColor="text1"/>
                <w:sz w:val="24"/>
                <w:szCs w:val="24"/>
                <w:lang w:val="en-GB"/>
              </w:rPr>
              <w:t>3.3</w:t>
            </w:r>
          </w:p>
        </w:tc>
      </w:tr>
    </w:tbl>
    <w:p w14:paraId="32C3635D" w14:textId="4B2EF67B" w:rsidR="00245718" w:rsidRPr="00126383" w:rsidRDefault="00245718" w:rsidP="00245718">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Pr="00126383">
        <w:rPr>
          <w:color w:val="000000" w:themeColor="text1"/>
          <w:sz w:val="20"/>
          <w:szCs w:val="20"/>
          <w:lang w:val="en-GB"/>
        </w:rPr>
        <w:t xml:space="preserve">Annual Financial reports of </w:t>
      </w:r>
      <w:r>
        <w:rPr>
          <w:color w:val="000000" w:themeColor="text1"/>
          <w:sz w:val="20"/>
          <w:szCs w:val="20"/>
          <w:lang w:val="en-GB"/>
        </w:rPr>
        <w:t>Paddy Power BetFair</w:t>
      </w:r>
      <w:r w:rsidRPr="00126383">
        <w:rPr>
          <w:color w:val="000000" w:themeColor="text1"/>
          <w:sz w:val="20"/>
          <w:szCs w:val="20"/>
          <w:lang w:val="en-GB"/>
        </w:rPr>
        <w:t xml:space="preserve"> plc</w:t>
      </w:r>
    </w:p>
    <w:p w14:paraId="7779423D" w14:textId="588C3FEA" w:rsidR="5C7EFC97" w:rsidRPr="00010BB2" w:rsidRDefault="00010BB2" w:rsidP="3C0493CB">
      <w:pPr>
        <w:pStyle w:val="ListBullet"/>
        <w:numPr>
          <w:ilvl w:val="0"/>
          <w:numId w:val="0"/>
        </w:numPr>
        <w:rPr>
          <w:color w:val="000000" w:themeColor="text1"/>
          <w:sz w:val="24"/>
          <w:szCs w:val="24"/>
          <w:lang w:val="en-GB"/>
        </w:rPr>
      </w:pPr>
      <w:r w:rsidRPr="00010BB2">
        <w:rPr>
          <w:color w:val="000000" w:themeColor="text1"/>
          <w:sz w:val="24"/>
          <w:szCs w:val="24"/>
          <w:lang w:val="en-GB"/>
        </w:rPr>
        <w:t xml:space="preserve">Most savvy investors prefer </w:t>
      </w:r>
      <w:r w:rsidR="003E41F5">
        <w:rPr>
          <w:color w:val="000000" w:themeColor="text1"/>
          <w:sz w:val="24"/>
          <w:szCs w:val="24"/>
          <w:lang w:val="en-GB"/>
        </w:rPr>
        <w:t>the valuations ratios abovein Table 13 and Table 14</w:t>
      </w:r>
      <w:r>
        <w:rPr>
          <w:color w:val="000000" w:themeColor="text1"/>
          <w:sz w:val="24"/>
          <w:szCs w:val="24"/>
          <w:lang w:val="en-GB"/>
        </w:rPr>
        <w:t xml:space="preserve"> namely; Enterprise</w:t>
      </w:r>
      <w:r w:rsidR="003E41F5">
        <w:rPr>
          <w:color w:val="000000" w:themeColor="text1"/>
          <w:sz w:val="24"/>
          <w:szCs w:val="24"/>
          <w:lang w:val="en-GB"/>
        </w:rPr>
        <w:t xml:space="preserve"> Value</w:t>
      </w:r>
      <w:r>
        <w:rPr>
          <w:color w:val="000000" w:themeColor="text1"/>
          <w:sz w:val="24"/>
          <w:szCs w:val="24"/>
          <w:lang w:val="en-GB"/>
        </w:rPr>
        <w:t xml:space="preserve"> to Sales Ratio, Enterprise</w:t>
      </w:r>
      <w:r w:rsidR="003E41F5">
        <w:rPr>
          <w:color w:val="000000" w:themeColor="text1"/>
          <w:sz w:val="24"/>
          <w:szCs w:val="24"/>
          <w:lang w:val="en-GB"/>
        </w:rPr>
        <w:t xml:space="preserve"> Value</w:t>
      </w:r>
      <w:r>
        <w:rPr>
          <w:color w:val="000000" w:themeColor="text1"/>
          <w:sz w:val="24"/>
          <w:szCs w:val="24"/>
          <w:lang w:val="en-GB"/>
        </w:rPr>
        <w:t xml:space="preserve"> to PBIT ratios and Enterprise</w:t>
      </w:r>
      <w:r w:rsidR="003E41F5">
        <w:rPr>
          <w:color w:val="000000" w:themeColor="text1"/>
          <w:sz w:val="24"/>
          <w:szCs w:val="24"/>
          <w:lang w:val="en-GB"/>
        </w:rPr>
        <w:t xml:space="preserve"> Value</w:t>
      </w:r>
      <w:r w:rsidR="005E054A">
        <w:rPr>
          <w:color w:val="000000" w:themeColor="text1"/>
          <w:sz w:val="24"/>
          <w:szCs w:val="24"/>
          <w:lang w:val="en-GB"/>
        </w:rPr>
        <w:t xml:space="preserve"> to EBITDA ratio because the </w:t>
      </w:r>
      <w:r w:rsidR="003E41F5">
        <w:rPr>
          <w:color w:val="000000" w:themeColor="text1"/>
          <w:sz w:val="24"/>
          <w:szCs w:val="24"/>
          <w:lang w:val="en-GB"/>
        </w:rPr>
        <w:t>e</w:t>
      </w:r>
      <w:r w:rsidR="005E054A">
        <w:rPr>
          <w:color w:val="000000" w:themeColor="text1"/>
          <w:sz w:val="24"/>
          <w:szCs w:val="24"/>
          <w:lang w:val="en-GB"/>
        </w:rPr>
        <w:t>nterprise value gives a better position of the company than Market capitalisation figure which only looks at the valuation based on equity alone. The same goes with the denominators used that is sales, PBIT and EBITDA which is virtually difficult to manipulate</w:t>
      </w:r>
      <w:r w:rsidR="003E41F5">
        <w:rPr>
          <w:color w:val="000000" w:themeColor="text1"/>
          <w:sz w:val="24"/>
          <w:szCs w:val="24"/>
          <w:lang w:val="en-GB"/>
        </w:rPr>
        <w:t xml:space="preserve"> compared to earnings figure used in PE ratio which is distorted by accounting policies. These </w:t>
      </w:r>
      <w:r w:rsidR="00D8158B">
        <w:rPr>
          <w:color w:val="000000" w:themeColor="text1"/>
          <w:sz w:val="24"/>
          <w:szCs w:val="24"/>
          <w:lang w:val="en-GB"/>
        </w:rPr>
        <w:t xml:space="preserve">ratios show things are not that bad for William Hill plc which has got a healthy EV to EBITDA in 2017 of 72. Given the underlying supporting ratios, a risk –seeking investor will fancy investing in William Hill as the potential for growth is </w:t>
      </w:r>
      <w:r w:rsidR="00B20BCF">
        <w:rPr>
          <w:color w:val="000000" w:themeColor="text1"/>
          <w:sz w:val="24"/>
          <w:szCs w:val="24"/>
          <w:lang w:val="en-GB"/>
        </w:rPr>
        <w:t>enormous</w:t>
      </w:r>
    </w:p>
    <w:p w14:paraId="1E8D3575" w14:textId="1BC45E64" w:rsidR="7BD40906" w:rsidRDefault="7BD40906" w:rsidP="6395FD93">
      <w:pPr>
        <w:pStyle w:val="ListBullet"/>
        <w:numPr>
          <w:ilvl w:val="0"/>
          <w:numId w:val="0"/>
        </w:numPr>
        <w:rPr>
          <w:color w:val="000000" w:themeColor="text1"/>
          <w:sz w:val="24"/>
          <w:szCs w:val="24"/>
          <w:lang w:val="en-GB"/>
        </w:rPr>
      </w:pPr>
    </w:p>
    <w:p w14:paraId="3FD3DEC9" w14:textId="68266FF6" w:rsidR="00D13941" w:rsidRDefault="00D13941" w:rsidP="3C0493CB">
      <w:pPr>
        <w:pStyle w:val="ListBullet"/>
        <w:numPr>
          <w:ilvl w:val="0"/>
          <w:numId w:val="0"/>
        </w:numPr>
        <w:rPr>
          <w:color w:val="FF0000"/>
          <w:sz w:val="27"/>
          <w:szCs w:val="27"/>
          <w:shd w:val="clear" w:color="auto" w:fill="FFFFFF"/>
        </w:rPr>
      </w:pPr>
    </w:p>
    <w:p w14:paraId="25A21812" w14:textId="77777777" w:rsidR="00D13941" w:rsidRPr="00BD4344" w:rsidRDefault="00D13941" w:rsidP="3C0493CB">
      <w:pPr>
        <w:pStyle w:val="ListBullet"/>
        <w:numPr>
          <w:ilvl w:val="0"/>
          <w:numId w:val="0"/>
        </w:numPr>
        <w:rPr>
          <w:color w:val="FF0000"/>
          <w:sz w:val="24"/>
          <w:szCs w:val="24"/>
          <w:lang w:val="en-GB"/>
        </w:rPr>
      </w:pPr>
    </w:p>
    <w:p w14:paraId="43B4EBEF" w14:textId="0D649EF6" w:rsidR="3ED31BD3" w:rsidRDefault="6395FD93" w:rsidP="6395FD93">
      <w:pPr>
        <w:pStyle w:val="ListBullet"/>
        <w:numPr>
          <w:ilvl w:val="0"/>
          <w:numId w:val="0"/>
        </w:numPr>
        <w:jc w:val="center"/>
        <w:rPr>
          <w:b/>
          <w:bCs/>
          <w:color w:val="000000" w:themeColor="text1"/>
          <w:sz w:val="24"/>
          <w:szCs w:val="24"/>
          <w:lang w:val="en-GB"/>
        </w:rPr>
      </w:pPr>
      <w:r w:rsidRPr="6395FD93">
        <w:rPr>
          <w:b/>
          <w:bCs/>
          <w:color w:val="000000" w:themeColor="text1"/>
          <w:sz w:val="24"/>
          <w:szCs w:val="24"/>
          <w:lang w:val="en-GB"/>
        </w:rPr>
        <w:t>LIMITATIONS OF RATIOS</w:t>
      </w:r>
    </w:p>
    <w:p w14:paraId="443C2C41" w14:textId="6A6FC240" w:rsidR="5C7EFC97" w:rsidRDefault="6395FD93" w:rsidP="001C4E4A">
      <w:pPr>
        <w:pStyle w:val="ListBullet"/>
        <w:numPr>
          <w:ilvl w:val="0"/>
          <w:numId w:val="0"/>
        </w:numPr>
        <w:ind w:hanging="360"/>
        <w:rPr>
          <w:color w:val="000000" w:themeColor="text1"/>
          <w:sz w:val="24"/>
          <w:szCs w:val="24"/>
          <w:lang w:val="en-GB"/>
        </w:rPr>
      </w:pPr>
      <w:r w:rsidRPr="6395FD93">
        <w:rPr>
          <w:color w:val="000000" w:themeColor="text1"/>
          <w:sz w:val="24"/>
          <w:szCs w:val="24"/>
          <w:lang w:val="en-GB"/>
        </w:rPr>
        <w:lastRenderedPageBreak/>
        <w:t xml:space="preserve">     Ratios </w:t>
      </w:r>
      <w:r w:rsidR="00554980">
        <w:rPr>
          <w:color w:val="000000" w:themeColor="text1"/>
          <w:sz w:val="24"/>
          <w:szCs w:val="24"/>
          <w:lang w:val="en-GB"/>
        </w:rPr>
        <w:t xml:space="preserve">only </w:t>
      </w:r>
      <w:r w:rsidRPr="6395FD93">
        <w:rPr>
          <w:color w:val="000000" w:themeColor="text1"/>
          <w:sz w:val="24"/>
          <w:szCs w:val="24"/>
          <w:lang w:val="en-GB"/>
        </w:rPr>
        <w:t>compares two figures against the other and try to explain the relationship                  and trend. Atrill 2014 says "ratios help us to i</w:t>
      </w:r>
      <w:r w:rsidR="001C4E4A">
        <w:rPr>
          <w:color w:val="000000" w:themeColor="text1"/>
          <w:sz w:val="24"/>
          <w:szCs w:val="24"/>
          <w:lang w:val="en-GB"/>
        </w:rPr>
        <w:t xml:space="preserve">dentify which questions to ask </w:t>
      </w:r>
      <w:r w:rsidRPr="6395FD93">
        <w:rPr>
          <w:color w:val="000000" w:themeColor="text1"/>
          <w:sz w:val="24"/>
          <w:szCs w:val="24"/>
          <w:lang w:val="en-GB"/>
        </w:rPr>
        <w:t xml:space="preserve">rather                than provide the answers. They help to highlight the financial strengths and weaknesses of a business but cannot explain why those strengths   and weaknesses exist or why certain changes have occurred." This mean </w:t>
      </w:r>
      <w:r w:rsidR="00C206DB">
        <w:rPr>
          <w:color w:val="000000" w:themeColor="text1"/>
          <w:sz w:val="24"/>
          <w:szCs w:val="24"/>
          <w:lang w:val="en-GB"/>
        </w:rPr>
        <w:t>ratio analysis</w:t>
      </w:r>
      <w:r w:rsidRPr="6395FD93">
        <w:rPr>
          <w:color w:val="000000" w:themeColor="text1"/>
          <w:sz w:val="24"/>
          <w:szCs w:val="24"/>
          <w:lang w:val="en-GB"/>
        </w:rPr>
        <w:t xml:space="preserve"> only show the roadmap but not the destination.</w:t>
      </w:r>
    </w:p>
    <w:p w14:paraId="43D55CF7" w14:textId="78E63B04"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Ratios calculation is based on historic accounting information that itself is prepared on accrual basis which means there is </w:t>
      </w:r>
      <w:r w:rsidRPr="00E347AD">
        <w:rPr>
          <w:b/>
          <w:bCs/>
          <w:color w:val="000000" w:themeColor="text1"/>
          <w:sz w:val="24"/>
          <w:szCs w:val="24"/>
          <w:lang w:val="en-GB"/>
        </w:rPr>
        <w:t>possibility of manipulation</w:t>
      </w:r>
      <w:r w:rsidR="00E347AD">
        <w:rPr>
          <w:b/>
          <w:bCs/>
          <w:color w:val="000000" w:themeColor="text1"/>
          <w:sz w:val="24"/>
          <w:szCs w:val="24"/>
          <w:lang w:val="en-GB"/>
        </w:rPr>
        <w:t xml:space="preserve"> of results</w:t>
      </w:r>
      <w:r w:rsidRPr="6395FD93">
        <w:rPr>
          <w:color w:val="000000" w:themeColor="text1"/>
          <w:sz w:val="24"/>
          <w:szCs w:val="24"/>
          <w:lang w:val="en-GB"/>
        </w:rPr>
        <w:t xml:space="preserve"> due to the fact that the preparers of the account are allowed to use judgements in the areas of depreciations, bad debt allowances</w:t>
      </w:r>
      <w:r w:rsidR="00070422">
        <w:rPr>
          <w:color w:val="000000" w:themeColor="text1"/>
          <w:sz w:val="24"/>
          <w:szCs w:val="24"/>
          <w:lang w:val="en-GB"/>
        </w:rPr>
        <w:t xml:space="preserve"> and accounting policies</w:t>
      </w:r>
      <w:r w:rsidR="002A50A1">
        <w:rPr>
          <w:color w:val="000000" w:themeColor="text1"/>
          <w:sz w:val="24"/>
          <w:szCs w:val="24"/>
          <w:lang w:val="en-GB"/>
        </w:rPr>
        <w:t xml:space="preserve"> in general.</w:t>
      </w:r>
    </w:p>
    <w:p w14:paraId="3076C865" w14:textId="3C75944A" w:rsidR="007A15BD" w:rsidRDefault="007A15BD" w:rsidP="6395FD93">
      <w:pPr>
        <w:pStyle w:val="ListBullet"/>
        <w:numPr>
          <w:ilvl w:val="0"/>
          <w:numId w:val="0"/>
        </w:numPr>
        <w:rPr>
          <w:color w:val="000000" w:themeColor="text1"/>
          <w:sz w:val="24"/>
          <w:szCs w:val="24"/>
          <w:lang w:val="en-GB"/>
        </w:rPr>
      </w:pPr>
      <w:r>
        <w:rPr>
          <w:color w:val="000000" w:themeColor="text1"/>
          <w:sz w:val="24"/>
          <w:szCs w:val="24"/>
          <w:lang w:val="en-GB"/>
        </w:rPr>
        <w:t xml:space="preserve">The nature of ratio calculations means that it is </w:t>
      </w:r>
      <w:r w:rsidRPr="00E347AD">
        <w:rPr>
          <w:b/>
          <w:bCs/>
          <w:color w:val="000000" w:themeColor="text1"/>
          <w:sz w:val="24"/>
          <w:szCs w:val="24"/>
          <w:lang w:val="en-GB"/>
        </w:rPr>
        <w:t>backward-looking</w:t>
      </w:r>
      <w:r>
        <w:rPr>
          <w:color w:val="000000" w:themeColor="text1"/>
          <w:sz w:val="24"/>
          <w:szCs w:val="24"/>
          <w:lang w:val="en-GB"/>
        </w:rPr>
        <w:t xml:space="preserve"> as past performance is not necessaril</w:t>
      </w:r>
      <w:r w:rsidR="00356D20">
        <w:rPr>
          <w:color w:val="000000" w:themeColor="text1"/>
          <w:sz w:val="24"/>
          <w:szCs w:val="24"/>
          <w:lang w:val="en-GB"/>
        </w:rPr>
        <w:t xml:space="preserve">y a guide to future performance and emphasis should not be placed on </w:t>
      </w:r>
      <w:r w:rsidR="00B75DDE">
        <w:rPr>
          <w:color w:val="000000" w:themeColor="text1"/>
          <w:sz w:val="24"/>
          <w:szCs w:val="24"/>
          <w:lang w:val="en-GB"/>
        </w:rPr>
        <w:t xml:space="preserve">financial metrics </w:t>
      </w:r>
      <w:r w:rsidR="007E5B5D">
        <w:rPr>
          <w:color w:val="000000" w:themeColor="text1"/>
          <w:sz w:val="24"/>
          <w:szCs w:val="24"/>
          <w:lang w:val="en-GB"/>
        </w:rPr>
        <w:t>as key perfo</w:t>
      </w:r>
      <w:r w:rsidR="00B75DDE">
        <w:rPr>
          <w:color w:val="000000" w:themeColor="text1"/>
          <w:sz w:val="24"/>
          <w:szCs w:val="24"/>
          <w:lang w:val="en-GB"/>
        </w:rPr>
        <w:t>rmance indicators</w:t>
      </w:r>
      <w:r w:rsidR="007E5B5D">
        <w:rPr>
          <w:color w:val="000000" w:themeColor="text1"/>
          <w:sz w:val="24"/>
          <w:szCs w:val="24"/>
          <w:lang w:val="en-GB"/>
        </w:rPr>
        <w:t xml:space="preserve"> as this is focused on shareholders</w:t>
      </w:r>
      <w:r w:rsidR="00DA517D">
        <w:rPr>
          <w:color w:val="000000" w:themeColor="text1"/>
          <w:sz w:val="24"/>
          <w:szCs w:val="24"/>
          <w:lang w:val="en-GB"/>
        </w:rPr>
        <w:t xml:space="preserve"> needs only.</w:t>
      </w:r>
    </w:p>
    <w:p w14:paraId="57D9E37E" w14:textId="76196B46" w:rsidR="007A15BD" w:rsidRDefault="007A15BD" w:rsidP="6395FD93">
      <w:pPr>
        <w:pStyle w:val="ListBullet"/>
        <w:numPr>
          <w:ilvl w:val="0"/>
          <w:numId w:val="0"/>
        </w:numPr>
        <w:rPr>
          <w:color w:val="000000" w:themeColor="text1"/>
          <w:sz w:val="24"/>
          <w:szCs w:val="24"/>
          <w:lang w:val="en-GB"/>
        </w:rPr>
      </w:pPr>
      <w:r>
        <w:rPr>
          <w:color w:val="000000" w:themeColor="text1"/>
          <w:sz w:val="24"/>
          <w:szCs w:val="24"/>
          <w:lang w:val="en-GB"/>
        </w:rPr>
        <w:t xml:space="preserve">Ratio calculation </w:t>
      </w:r>
      <w:r w:rsidRPr="00E347AD">
        <w:rPr>
          <w:b/>
          <w:bCs/>
          <w:color w:val="000000" w:themeColor="text1"/>
          <w:sz w:val="24"/>
          <w:szCs w:val="24"/>
          <w:lang w:val="en-GB"/>
        </w:rPr>
        <w:t>focuses internally</w:t>
      </w:r>
      <w:r>
        <w:rPr>
          <w:color w:val="000000" w:themeColor="text1"/>
          <w:sz w:val="24"/>
          <w:szCs w:val="24"/>
          <w:lang w:val="en-GB"/>
        </w:rPr>
        <w:t xml:space="preserve"> on the financial metrics to the detriment of qualitative factors that mostly dictate t</w:t>
      </w:r>
      <w:r w:rsidR="00C21FF9">
        <w:rPr>
          <w:color w:val="000000" w:themeColor="text1"/>
          <w:sz w:val="24"/>
          <w:szCs w:val="24"/>
          <w:lang w:val="en-GB"/>
        </w:rPr>
        <w:t>he trajectory a company pursues.</w:t>
      </w:r>
    </w:p>
    <w:p w14:paraId="5ECAE112" w14:textId="292D62AC" w:rsidR="00E347AD" w:rsidRDefault="00E960EE" w:rsidP="001C4E4A">
      <w:pPr>
        <w:pStyle w:val="ListBullet"/>
        <w:numPr>
          <w:ilvl w:val="0"/>
          <w:numId w:val="0"/>
        </w:numPr>
        <w:ind w:hanging="360"/>
        <w:rPr>
          <w:color w:val="000000" w:themeColor="text1"/>
          <w:sz w:val="24"/>
          <w:szCs w:val="24"/>
          <w:lang w:val="en-GB"/>
        </w:rPr>
      </w:pPr>
      <w:r>
        <w:rPr>
          <w:color w:val="000000" w:themeColor="text1"/>
          <w:sz w:val="24"/>
          <w:szCs w:val="24"/>
          <w:lang w:val="en-GB"/>
        </w:rPr>
        <w:t xml:space="preserve">     </w:t>
      </w:r>
      <w:r w:rsidR="00E347AD">
        <w:rPr>
          <w:color w:val="000000" w:themeColor="text1"/>
          <w:sz w:val="24"/>
          <w:szCs w:val="24"/>
          <w:lang w:val="en-GB"/>
        </w:rPr>
        <w:t xml:space="preserve">This focus on the ratio makes the management to adopt a </w:t>
      </w:r>
      <w:r w:rsidR="00E347AD" w:rsidRPr="00E347AD">
        <w:rPr>
          <w:b/>
          <w:bCs/>
          <w:color w:val="000000" w:themeColor="text1"/>
          <w:sz w:val="24"/>
          <w:szCs w:val="24"/>
          <w:lang w:val="en-GB"/>
        </w:rPr>
        <w:t>short-term</w:t>
      </w:r>
      <w:r w:rsidR="00E347AD">
        <w:rPr>
          <w:color w:val="000000" w:themeColor="text1"/>
          <w:sz w:val="24"/>
          <w:szCs w:val="24"/>
          <w:lang w:val="en-GB"/>
        </w:rPr>
        <w:t xml:space="preserve"> approach in order to make figures look good</w:t>
      </w:r>
      <w:r w:rsidR="0010782C">
        <w:rPr>
          <w:color w:val="000000" w:themeColor="text1"/>
          <w:sz w:val="24"/>
          <w:szCs w:val="24"/>
          <w:lang w:val="en-GB"/>
        </w:rPr>
        <w:t xml:space="preserve"> for the press and financial analysts</w:t>
      </w:r>
      <w:r w:rsidR="00E347AD">
        <w:rPr>
          <w:color w:val="000000" w:themeColor="text1"/>
          <w:sz w:val="24"/>
          <w:szCs w:val="24"/>
          <w:lang w:val="en-GB"/>
        </w:rPr>
        <w:t>.</w:t>
      </w:r>
      <w:r w:rsidR="6395FD93" w:rsidRPr="6395FD93">
        <w:rPr>
          <w:color w:val="000000" w:themeColor="text1"/>
          <w:sz w:val="24"/>
          <w:szCs w:val="24"/>
          <w:lang w:val="en-GB"/>
        </w:rPr>
        <w:t xml:space="preserve">  </w:t>
      </w:r>
    </w:p>
    <w:p w14:paraId="34FD1239" w14:textId="77777777" w:rsidR="007F5A9B" w:rsidRDefault="00E347AD" w:rsidP="007F5A9B">
      <w:pPr>
        <w:pStyle w:val="ListBullet"/>
        <w:numPr>
          <w:ilvl w:val="0"/>
          <w:numId w:val="0"/>
        </w:numPr>
        <w:rPr>
          <w:color w:val="000000" w:themeColor="text1"/>
          <w:sz w:val="24"/>
          <w:szCs w:val="24"/>
          <w:lang w:val="en-GB"/>
        </w:rPr>
      </w:pPr>
      <w:r>
        <w:rPr>
          <w:color w:val="000000" w:themeColor="text1"/>
          <w:sz w:val="24"/>
          <w:szCs w:val="24"/>
          <w:lang w:val="en-GB"/>
        </w:rPr>
        <w:t>Thus focusing solely on financial performance only conveys partial performance of the company which means other non-financial areas of the business are neglected to the detriment of the business.</w:t>
      </w:r>
      <w:r w:rsidR="6395FD93" w:rsidRPr="6395FD93">
        <w:rPr>
          <w:color w:val="000000" w:themeColor="text1"/>
          <w:sz w:val="24"/>
          <w:szCs w:val="24"/>
          <w:lang w:val="en-GB"/>
        </w:rPr>
        <w:t xml:space="preserve">   </w:t>
      </w:r>
    </w:p>
    <w:p w14:paraId="5ECDAAAC" w14:textId="452581D5" w:rsidR="007F5A9B" w:rsidRDefault="002627EC" w:rsidP="007F5A9B">
      <w:pPr>
        <w:pStyle w:val="ListBullet"/>
        <w:numPr>
          <w:ilvl w:val="0"/>
          <w:numId w:val="0"/>
        </w:numPr>
        <w:rPr>
          <w:color w:val="000000" w:themeColor="text1"/>
          <w:sz w:val="24"/>
          <w:szCs w:val="24"/>
          <w:lang w:val="en-GB"/>
        </w:rPr>
      </w:pPr>
      <w:r>
        <w:rPr>
          <w:color w:val="000000" w:themeColor="text1"/>
          <w:sz w:val="24"/>
          <w:szCs w:val="24"/>
          <w:lang w:val="en-GB"/>
        </w:rPr>
        <w:t>Also, g</w:t>
      </w:r>
      <w:r w:rsidR="007F5A9B">
        <w:rPr>
          <w:color w:val="000000" w:themeColor="text1"/>
          <w:sz w:val="24"/>
          <w:szCs w:val="24"/>
          <w:lang w:val="en-GB"/>
        </w:rPr>
        <w:t>ood comparison in this case was hampered by the fact that Paddy Power BetFair 2013, 2014 and 2015 accounts were reported in Euro currency</w:t>
      </w:r>
      <w:r w:rsidR="00111166">
        <w:rPr>
          <w:color w:val="000000" w:themeColor="text1"/>
          <w:sz w:val="24"/>
          <w:szCs w:val="24"/>
          <w:lang w:val="en-GB"/>
        </w:rPr>
        <w:t xml:space="preserve"> until it listed its stocks on the FTSE 100 index</w:t>
      </w:r>
      <w:r w:rsidR="007F5A9B">
        <w:rPr>
          <w:color w:val="000000" w:themeColor="text1"/>
          <w:sz w:val="24"/>
          <w:szCs w:val="24"/>
          <w:lang w:val="en-GB"/>
        </w:rPr>
        <w:t>.</w:t>
      </w:r>
    </w:p>
    <w:p w14:paraId="4B1095FC" w14:textId="55CD9CC7" w:rsidR="00843095" w:rsidRDefault="0076347B" w:rsidP="001C4E4A">
      <w:pPr>
        <w:pStyle w:val="ListBullet"/>
        <w:numPr>
          <w:ilvl w:val="0"/>
          <w:numId w:val="0"/>
        </w:numPr>
        <w:ind w:hanging="360"/>
        <w:rPr>
          <w:color w:val="000000" w:themeColor="text1"/>
          <w:sz w:val="24"/>
          <w:szCs w:val="24"/>
          <w:lang w:val="en-GB"/>
        </w:rPr>
      </w:pPr>
      <w:r>
        <w:rPr>
          <w:color w:val="000000" w:themeColor="text1"/>
          <w:sz w:val="24"/>
          <w:szCs w:val="24"/>
          <w:lang w:val="en-GB"/>
        </w:rPr>
        <w:t xml:space="preserve">    As described earlier on that only financial metrics are concentrated upon as the key performance indicators</w:t>
      </w:r>
      <w:r w:rsidR="00F27348">
        <w:rPr>
          <w:color w:val="000000" w:themeColor="text1"/>
          <w:sz w:val="24"/>
          <w:szCs w:val="24"/>
          <w:lang w:val="en-GB"/>
        </w:rPr>
        <w:t xml:space="preserve"> but various authorities have </w:t>
      </w:r>
      <w:r w:rsidR="00DA230F">
        <w:rPr>
          <w:color w:val="000000" w:themeColor="text1"/>
          <w:sz w:val="24"/>
          <w:szCs w:val="24"/>
          <w:lang w:val="en-GB"/>
        </w:rPr>
        <w:t>ment</w:t>
      </w:r>
      <w:r w:rsidR="007E76BD">
        <w:rPr>
          <w:color w:val="000000" w:themeColor="text1"/>
          <w:sz w:val="24"/>
          <w:szCs w:val="24"/>
          <w:lang w:val="en-GB"/>
        </w:rPr>
        <w:t>io</w:t>
      </w:r>
      <w:r w:rsidR="00C21FF9">
        <w:rPr>
          <w:color w:val="000000" w:themeColor="text1"/>
          <w:sz w:val="24"/>
          <w:szCs w:val="24"/>
          <w:lang w:val="en-GB"/>
        </w:rPr>
        <w:t>ned the importance of using non-</w:t>
      </w:r>
      <w:r w:rsidR="007E76BD">
        <w:rPr>
          <w:color w:val="000000" w:themeColor="text1"/>
          <w:sz w:val="24"/>
          <w:szCs w:val="24"/>
          <w:lang w:val="en-GB"/>
        </w:rPr>
        <w:t xml:space="preserve">financial performance indicators as another means of appraising the </w:t>
      </w:r>
      <w:r w:rsidR="00843095">
        <w:rPr>
          <w:color w:val="000000" w:themeColor="text1"/>
          <w:sz w:val="24"/>
          <w:szCs w:val="24"/>
          <w:lang w:val="en-GB"/>
        </w:rPr>
        <w:t>quality of a company shares.</w:t>
      </w:r>
      <w:r w:rsidR="00843095" w:rsidRPr="00843095">
        <w:rPr>
          <w:color w:val="000000" w:themeColor="text1"/>
          <w:sz w:val="24"/>
          <w:szCs w:val="24"/>
          <w:lang w:val="en-GB"/>
        </w:rPr>
        <w:t xml:space="preserve"> </w:t>
      </w:r>
      <w:r w:rsidR="00843095">
        <w:rPr>
          <w:color w:val="000000" w:themeColor="text1"/>
          <w:sz w:val="24"/>
          <w:szCs w:val="24"/>
          <w:lang w:val="en-GB"/>
        </w:rPr>
        <w:t xml:space="preserve">Given that the shareholders are not the only </w:t>
      </w:r>
      <w:r w:rsidR="00620F0A">
        <w:rPr>
          <w:color w:val="000000" w:themeColor="text1"/>
          <w:sz w:val="24"/>
          <w:szCs w:val="24"/>
          <w:lang w:val="en-GB"/>
        </w:rPr>
        <w:t>important stakeholders in a company, there are the customers, the workforce and the products</w:t>
      </w:r>
      <w:r w:rsidR="001B3E57">
        <w:rPr>
          <w:color w:val="000000" w:themeColor="text1"/>
          <w:sz w:val="24"/>
          <w:szCs w:val="24"/>
          <w:lang w:val="en-GB"/>
        </w:rPr>
        <w:t xml:space="preserve"> or services</w:t>
      </w:r>
      <w:r w:rsidR="00620F0A">
        <w:rPr>
          <w:color w:val="000000" w:themeColor="text1"/>
          <w:sz w:val="24"/>
          <w:szCs w:val="24"/>
          <w:lang w:val="en-GB"/>
        </w:rPr>
        <w:t xml:space="preserve"> </w:t>
      </w:r>
      <w:r w:rsidR="001B3E57">
        <w:rPr>
          <w:color w:val="000000" w:themeColor="text1"/>
          <w:sz w:val="24"/>
          <w:szCs w:val="24"/>
          <w:lang w:val="en-GB"/>
        </w:rPr>
        <w:t>itself.</w:t>
      </w:r>
      <w:r w:rsidR="00040B9E">
        <w:rPr>
          <w:color w:val="000000" w:themeColor="text1"/>
          <w:sz w:val="24"/>
          <w:szCs w:val="24"/>
          <w:lang w:val="en-GB"/>
        </w:rPr>
        <w:t xml:space="preserve"> Thus it has been suggested that </w:t>
      </w:r>
      <w:r w:rsidR="00915862">
        <w:rPr>
          <w:color w:val="000000" w:themeColor="text1"/>
          <w:sz w:val="24"/>
          <w:szCs w:val="24"/>
          <w:lang w:val="en-GB"/>
        </w:rPr>
        <w:t>metrics should be designed that target these important stakeholders.</w:t>
      </w:r>
    </w:p>
    <w:p w14:paraId="1A7B5932" w14:textId="2756408D" w:rsidR="00915862" w:rsidRDefault="00D8158B" w:rsidP="001C4E4A">
      <w:pPr>
        <w:pStyle w:val="ListBullet"/>
        <w:numPr>
          <w:ilvl w:val="0"/>
          <w:numId w:val="0"/>
        </w:numPr>
        <w:ind w:left="-180"/>
        <w:rPr>
          <w:color w:val="000000" w:themeColor="text1"/>
          <w:sz w:val="24"/>
          <w:szCs w:val="24"/>
          <w:lang w:val="en-GB"/>
        </w:rPr>
      </w:pPr>
      <w:r>
        <w:rPr>
          <w:color w:val="000000" w:themeColor="text1"/>
          <w:sz w:val="24"/>
          <w:szCs w:val="24"/>
          <w:lang w:val="en-GB"/>
        </w:rPr>
        <w:t xml:space="preserve">  </w:t>
      </w:r>
      <w:r w:rsidR="00915862">
        <w:rPr>
          <w:color w:val="000000" w:themeColor="text1"/>
          <w:sz w:val="24"/>
          <w:szCs w:val="24"/>
          <w:lang w:val="en-GB"/>
        </w:rPr>
        <w:t xml:space="preserve">One of the model that captures these </w:t>
      </w:r>
      <w:r w:rsidR="00441828">
        <w:rPr>
          <w:color w:val="000000" w:themeColor="text1"/>
          <w:sz w:val="24"/>
          <w:szCs w:val="24"/>
          <w:lang w:val="en-GB"/>
        </w:rPr>
        <w:t xml:space="preserve">important </w:t>
      </w:r>
      <w:r w:rsidR="00915862">
        <w:rPr>
          <w:color w:val="000000" w:themeColor="text1"/>
          <w:sz w:val="24"/>
          <w:szCs w:val="24"/>
          <w:lang w:val="en-GB"/>
        </w:rPr>
        <w:t>missing areas</w:t>
      </w:r>
      <w:r w:rsidR="00441828">
        <w:rPr>
          <w:color w:val="000000" w:themeColor="text1"/>
          <w:sz w:val="24"/>
          <w:szCs w:val="24"/>
          <w:lang w:val="en-GB"/>
        </w:rPr>
        <w:t xml:space="preserve"> is Balanced Score </w:t>
      </w:r>
      <w:r w:rsidR="00A759AB">
        <w:rPr>
          <w:color w:val="000000" w:themeColor="text1"/>
          <w:sz w:val="24"/>
          <w:szCs w:val="24"/>
          <w:lang w:val="en-GB"/>
        </w:rPr>
        <w:t>C</w:t>
      </w:r>
      <w:r w:rsidR="00441828">
        <w:rPr>
          <w:color w:val="000000" w:themeColor="text1"/>
          <w:sz w:val="24"/>
          <w:szCs w:val="24"/>
          <w:lang w:val="en-GB"/>
        </w:rPr>
        <w:t>ard</w:t>
      </w:r>
      <w:r w:rsidR="00A759AB">
        <w:rPr>
          <w:color w:val="000000" w:themeColor="text1"/>
          <w:sz w:val="24"/>
          <w:szCs w:val="24"/>
          <w:lang w:val="en-GB"/>
        </w:rPr>
        <w:t xml:space="preserve"> </w:t>
      </w:r>
      <w:r>
        <w:rPr>
          <w:color w:val="000000" w:themeColor="text1"/>
          <w:sz w:val="24"/>
          <w:szCs w:val="24"/>
          <w:lang w:val="en-GB"/>
        </w:rPr>
        <w:t xml:space="preserve">   </w:t>
      </w:r>
      <w:r w:rsidR="00A759AB">
        <w:rPr>
          <w:color w:val="000000" w:themeColor="text1"/>
          <w:sz w:val="24"/>
          <w:szCs w:val="24"/>
          <w:lang w:val="en-GB"/>
        </w:rPr>
        <w:t xml:space="preserve">(BSC) </w:t>
      </w:r>
      <w:r>
        <w:rPr>
          <w:color w:val="000000" w:themeColor="text1"/>
          <w:sz w:val="24"/>
          <w:szCs w:val="24"/>
          <w:lang w:val="en-GB"/>
        </w:rPr>
        <w:t xml:space="preserve">by Robert Kaplan, </w:t>
      </w:r>
      <w:r w:rsidR="00A759AB">
        <w:rPr>
          <w:color w:val="000000" w:themeColor="text1"/>
          <w:sz w:val="24"/>
          <w:szCs w:val="24"/>
          <w:lang w:val="en-GB"/>
        </w:rPr>
        <w:t>that looks at per</w:t>
      </w:r>
      <w:r w:rsidR="00077A31">
        <w:rPr>
          <w:color w:val="000000" w:themeColor="text1"/>
          <w:sz w:val="24"/>
          <w:szCs w:val="24"/>
          <w:lang w:val="en-GB"/>
        </w:rPr>
        <w:t xml:space="preserve">formance holistically from four perspectives namely; </w:t>
      </w:r>
    </w:p>
    <w:p w14:paraId="13B9072F" w14:textId="73D64DE6" w:rsidR="00077A31" w:rsidRDefault="00077A31" w:rsidP="00077A31">
      <w:pPr>
        <w:pStyle w:val="ListBullet"/>
        <w:numPr>
          <w:ilvl w:val="0"/>
          <w:numId w:val="9"/>
        </w:numPr>
        <w:rPr>
          <w:color w:val="000000" w:themeColor="text1"/>
          <w:sz w:val="24"/>
          <w:szCs w:val="24"/>
          <w:lang w:val="en-GB"/>
        </w:rPr>
      </w:pPr>
      <w:r>
        <w:rPr>
          <w:color w:val="000000" w:themeColor="text1"/>
          <w:sz w:val="24"/>
          <w:szCs w:val="24"/>
          <w:lang w:val="en-GB"/>
        </w:rPr>
        <w:t>Financial perspective</w:t>
      </w:r>
    </w:p>
    <w:p w14:paraId="459BACF5" w14:textId="0B6716E9" w:rsidR="00077A31" w:rsidRDefault="00186E67" w:rsidP="00077A31">
      <w:pPr>
        <w:pStyle w:val="ListBullet"/>
        <w:numPr>
          <w:ilvl w:val="0"/>
          <w:numId w:val="9"/>
        </w:numPr>
        <w:rPr>
          <w:color w:val="000000" w:themeColor="text1"/>
          <w:sz w:val="24"/>
          <w:szCs w:val="24"/>
          <w:lang w:val="en-GB"/>
        </w:rPr>
      </w:pPr>
      <w:r>
        <w:rPr>
          <w:color w:val="000000" w:themeColor="text1"/>
          <w:sz w:val="24"/>
          <w:szCs w:val="24"/>
          <w:lang w:val="en-GB"/>
        </w:rPr>
        <w:t>Customer perspective</w:t>
      </w:r>
    </w:p>
    <w:p w14:paraId="7E8E1056" w14:textId="0B6716E9" w:rsidR="00186E67" w:rsidRDefault="00186E67" w:rsidP="00077A31">
      <w:pPr>
        <w:pStyle w:val="ListBullet"/>
        <w:numPr>
          <w:ilvl w:val="0"/>
          <w:numId w:val="9"/>
        </w:numPr>
        <w:rPr>
          <w:color w:val="000000" w:themeColor="text1"/>
          <w:sz w:val="24"/>
          <w:szCs w:val="24"/>
          <w:lang w:val="en-GB"/>
        </w:rPr>
      </w:pPr>
      <w:r>
        <w:rPr>
          <w:color w:val="000000" w:themeColor="text1"/>
          <w:sz w:val="24"/>
          <w:szCs w:val="24"/>
          <w:lang w:val="en-GB"/>
        </w:rPr>
        <w:t>Internal business process perspective</w:t>
      </w:r>
    </w:p>
    <w:p w14:paraId="6BD054C8" w14:textId="7D33119C" w:rsidR="0057133E" w:rsidRDefault="0057133E" w:rsidP="0057133E">
      <w:pPr>
        <w:pStyle w:val="ListBullet"/>
        <w:numPr>
          <w:ilvl w:val="0"/>
          <w:numId w:val="9"/>
        </w:numPr>
        <w:rPr>
          <w:color w:val="000000" w:themeColor="text1"/>
          <w:sz w:val="24"/>
          <w:szCs w:val="24"/>
          <w:lang w:val="en-GB"/>
        </w:rPr>
      </w:pPr>
      <w:r>
        <w:rPr>
          <w:color w:val="000000" w:themeColor="text1"/>
          <w:sz w:val="24"/>
          <w:szCs w:val="24"/>
          <w:lang w:val="en-GB"/>
        </w:rPr>
        <w:lastRenderedPageBreak/>
        <w:t>Knowledge, learning and innovation perspective</w:t>
      </w:r>
    </w:p>
    <w:p w14:paraId="5839EDDA" w14:textId="30AB9B07" w:rsidR="0057133E" w:rsidRDefault="0024580F" w:rsidP="0024580F">
      <w:pPr>
        <w:pStyle w:val="ListBullet"/>
        <w:numPr>
          <w:ilvl w:val="0"/>
          <w:numId w:val="0"/>
        </w:numPr>
        <w:rPr>
          <w:color w:val="000000" w:themeColor="text1"/>
          <w:sz w:val="24"/>
          <w:szCs w:val="24"/>
          <w:lang w:val="en-GB"/>
        </w:rPr>
      </w:pPr>
      <w:r>
        <w:rPr>
          <w:color w:val="000000" w:themeColor="text1"/>
          <w:sz w:val="24"/>
          <w:szCs w:val="24"/>
          <w:lang w:val="en-GB"/>
        </w:rPr>
        <w:t xml:space="preserve">The financial perspective captures the needs of the company and the shareholders, while the customer perspective </w:t>
      </w:r>
      <w:r w:rsidR="00C14685">
        <w:rPr>
          <w:color w:val="000000" w:themeColor="text1"/>
          <w:sz w:val="24"/>
          <w:szCs w:val="24"/>
          <w:lang w:val="en-GB"/>
        </w:rPr>
        <w:t xml:space="preserve">deals with what matters to the customers like quality and speed of delivery. Internal business process perspective </w:t>
      </w:r>
      <w:r w:rsidR="00F76388">
        <w:rPr>
          <w:color w:val="000000" w:themeColor="text1"/>
          <w:sz w:val="24"/>
          <w:szCs w:val="24"/>
          <w:lang w:val="en-GB"/>
        </w:rPr>
        <w:t xml:space="preserve">concentrates on how efficiency and effectivenesss can be improved in the </w:t>
      </w:r>
      <w:r w:rsidR="009C0F52">
        <w:rPr>
          <w:color w:val="000000" w:themeColor="text1"/>
          <w:sz w:val="24"/>
          <w:szCs w:val="24"/>
          <w:lang w:val="en-GB"/>
        </w:rPr>
        <w:t>manufacturing process or improve customer satisfaction in case of services.</w:t>
      </w:r>
      <w:r w:rsidR="002B32BA">
        <w:rPr>
          <w:color w:val="000000" w:themeColor="text1"/>
          <w:sz w:val="24"/>
          <w:szCs w:val="24"/>
          <w:lang w:val="en-GB"/>
        </w:rPr>
        <w:t xml:space="preserve"> The knowledge, learning and innovation perspective</w:t>
      </w:r>
      <w:r w:rsidR="004B17AF">
        <w:rPr>
          <w:color w:val="000000" w:themeColor="text1"/>
          <w:sz w:val="24"/>
          <w:szCs w:val="24"/>
          <w:lang w:val="en-GB"/>
        </w:rPr>
        <w:t xml:space="preserve"> concentrates on the employees and products by enhancing their skills and improving product quality.</w:t>
      </w:r>
      <w:r w:rsidR="005C5EE5">
        <w:rPr>
          <w:color w:val="000000" w:themeColor="text1"/>
          <w:sz w:val="24"/>
          <w:szCs w:val="24"/>
          <w:lang w:val="en-GB"/>
        </w:rPr>
        <w:t xml:space="preserve"> </w:t>
      </w:r>
      <w:r w:rsidR="00596719">
        <w:rPr>
          <w:color w:val="000000" w:themeColor="text1"/>
          <w:sz w:val="24"/>
          <w:szCs w:val="24"/>
          <w:lang w:val="en-GB"/>
        </w:rPr>
        <w:t>By doing these will lead to employee and customer satisfaction which will feed its way to the financial objective</w:t>
      </w:r>
      <w:r w:rsidR="00774E66">
        <w:rPr>
          <w:color w:val="000000" w:themeColor="text1"/>
          <w:sz w:val="24"/>
          <w:szCs w:val="24"/>
          <w:lang w:val="en-GB"/>
        </w:rPr>
        <w:t xml:space="preserve"> thus meeting the primary goal of the business.</w:t>
      </w:r>
      <w:r w:rsidR="002B32BA">
        <w:rPr>
          <w:color w:val="000000" w:themeColor="text1"/>
          <w:sz w:val="24"/>
          <w:szCs w:val="24"/>
          <w:lang w:val="en-GB"/>
        </w:rPr>
        <w:t xml:space="preserve"> </w:t>
      </w:r>
      <w:r w:rsidR="00C21FF9">
        <w:rPr>
          <w:color w:val="000000" w:themeColor="text1"/>
          <w:sz w:val="24"/>
          <w:szCs w:val="24"/>
          <w:lang w:val="en-GB"/>
        </w:rPr>
        <w:t xml:space="preserve"> </w:t>
      </w:r>
    </w:p>
    <w:p w14:paraId="42671CA8" w14:textId="54DC2E87" w:rsidR="00C21FF9" w:rsidRPr="0057133E" w:rsidRDefault="00C21FF9" w:rsidP="0024580F">
      <w:pPr>
        <w:pStyle w:val="ListBullet"/>
        <w:numPr>
          <w:ilvl w:val="0"/>
          <w:numId w:val="0"/>
        </w:numPr>
        <w:rPr>
          <w:color w:val="000000" w:themeColor="text1"/>
          <w:sz w:val="24"/>
          <w:szCs w:val="24"/>
          <w:lang w:val="en-GB"/>
        </w:rPr>
      </w:pPr>
      <w:r>
        <w:rPr>
          <w:color w:val="000000" w:themeColor="text1"/>
          <w:sz w:val="24"/>
          <w:szCs w:val="24"/>
          <w:lang w:val="en-GB"/>
        </w:rPr>
        <w:t>Other models that could be used judge performance from no-finacial perspective is Fitgerald &amp; Moon building block model and Performance Pyramid model by Lynch &amp; Cross.</w:t>
      </w:r>
    </w:p>
    <w:p w14:paraId="0F2322C7" w14:textId="77777777" w:rsidR="00FB4B22" w:rsidRDefault="6395FD93" w:rsidP="00FB4B22">
      <w:pPr>
        <w:pStyle w:val="ListBullet"/>
        <w:numPr>
          <w:ilvl w:val="0"/>
          <w:numId w:val="0"/>
        </w:numPr>
        <w:jc w:val="center"/>
        <w:rPr>
          <w:b/>
          <w:bCs/>
          <w:color w:val="000000" w:themeColor="text1"/>
          <w:sz w:val="24"/>
          <w:szCs w:val="24"/>
          <w:lang w:val="en-GB"/>
        </w:rPr>
      </w:pPr>
      <w:r w:rsidRPr="6395FD93">
        <w:rPr>
          <w:b/>
          <w:bCs/>
          <w:color w:val="000000" w:themeColor="text1"/>
          <w:sz w:val="24"/>
          <w:szCs w:val="24"/>
          <w:lang w:val="en-GB"/>
        </w:rPr>
        <w:t>CONCLUSION</w:t>
      </w:r>
    </w:p>
    <w:p w14:paraId="1B9FA370" w14:textId="77777777" w:rsidR="00FB4B22" w:rsidRPr="00FB4B22" w:rsidRDefault="00FB4B22" w:rsidP="00FB4B22">
      <w:pPr>
        <w:pStyle w:val="ListBullet"/>
        <w:numPr>
          <w:ilvl w:val="0"/>
          <w:numId w:val="0"/>
        </w:numPr>
        <w:rPr>
          <w:bCs/>
          <w:color w:val="000000" w:themeColor="text1"/>
          <w:sz w:val="24"/>
          <w:szCs w:val="24"/>
          <w:lang w:val="en-GB"/>
        </w:rPr>
      </w:pPr>
      <w:r w:rsidRPr="00FB4B22">
        <w:rPr>
          <w:bCs/>
          <w:color w:val="000000" w:themeColor="text1"/>
          <w:sz w:val="24"/>
          <w:szCs w:val="24"/>
          <w:lang w:val="en-GB"/>
        </w:rPr>
        <w:t xml:space="preserve">It has been a difficult year for the bookmakers, especially those who have got LBOs on the high streets like William Hill. The diificulty arose from the political environment because the government is bringing a law that will limit the amount that could be staked in the fixed odds betting machine to £2. This has depressed market enthusiasm for William Hill plc shares. </w:t>
      </w:r>
    </w:p>
    <w:p w14:paraId="7B53D019" w14:textId="56DE246D" w:rsidR="00FB4B22" w:rsidRPr="00FB4B22" w:rsidRDefault="00FB4B22" w:rsidP="00FB4B22">
      <w:pPr>
        <w:pStyle w:val="ListBullet"/>
        <w:numPr>
          <w:ilvl w:val="0"/>
          <w:numId w:val="0"/>
        </w:numPr>
        <w:rPr>
          <w:color w:val="FF0000"/>
          <w:sz w:val="27"/>
          <w:szCs w:val="27"/>
        </w:rPr>
      </w:pPr>
      <w:r w:rsidRPr="00FB4B22">
        <w:rPr>
          <w:bCs/>
          <w:color w:val="000000" w:themeColor="text1"/>
          <w:sz w:val="24"/>
          <w:szCs w:val="24"/>
          <w:lang w:val="en-GB"/>
        </w:rPr>
        <w:t xml:space="preserve">The bookmaking business will continue its upward trend towards online bettin which paddy Power has capitalised upon by having the highest proportion of online presence when compared to the two biggest bookies namely’ Ladbrokes Coral Gala group and the William Hill plc. </w:t>
      </w:r>
      <w:r w:rsidR="3C0493CB" w:rsidRPr="00FB4B22">
        <w:br/>
      </w:r>
    </w:p>
    <w:p w14:paraId="53BF3B14" w14:textId="0A9B1A7C" w:rsidR="3ED31BD3" w:rsidRDefault="3ED31BD3" w:rsidP="00FB4B22">
      <w:pPr>
        <w:pStyle w:val="ListBullet"/>
        <w:numPr>
          <w:ilvl w:val="0"/>
          <w:numId w:val="0"/>
        </w:numPr>
        <w:jc w:val="center"/>
        <w:rPr>
          <w:color w:val="000000" w:themeColor="text1"/>
          <w:sz w:val="24"/>
          <w:szCs w:val="24"/>
          <w:lang w:val="en-GB"/>
        </w:rPr>
      </w:pPr>
    </w:p>
    <w:p w14:paraId="36AA0552" w14:textId="2BEC8E1F" w:rsidR="3ED31BD3" w:rsidRDefault="6395FD93" w:rsidP="6395FD93">
      <w:pPr>
        <w:pStyle w:val="ListBullet"/>
        <w:numPr>
          <w:ilvl w:val="0"/>
          <w:numId w:val="0"/>
        </w:numPr>
        <w:jc w:val="center"/>
        <w:rPr>
          <w:b/>
          <w:bCs/>
          <w:color w:val="000000" w:themeColor="text1"/>
          <w:sz w:val="24"/>
          <w:szCs w:val="24"/>
          <w:lang w:val="en-GB"/>
        </w:rPr>
      </w:pPr>
      <w:r w:rsidRPr="6395FD93">
        <w:rPr>
          <w:b/>
          <w:bCs/>
          <w:color w:val="000000" w:themeColor="text1"/>
          <w:sz w:val="24"/>
          <w:szCs w:val="24"/>
          <w:lang w:val="en-GB"/>
        </w:rPr>
        <w:t>RECOMMENDATION</w:t>
      </w:r>
    </w:p>
    <w:p w14:paraId="7659A36D" w14:textId="76E10D95" w:rsidR="001C4E4A" w:rsidRDefault="6395FD93" w:rsidP="001C4E4A">
      <w:pPr>
        <w:pStyle w:val="ListBullet"/>
        <w:numPr>
          <w:ilvl w:val="0"/>
          <w:numId w:val="0"/>
        </w:numPr>
        <w:rPr>
          <w:color w:val="000000" w:themeColor="text1"/>
          <w:sz w:val="24"/>
          <w:szCs w:val="24"/>
          <w:lang w:val="en-GB"/>
        </w:rPr>
      </w:pPr>
      <w:r w:rsidRPr="6395FD93">
        <w:rPr>
          <w:color w:val="000000" w:themeColor="text1"/>
          <w:sz w:val="24"/>
          <w:szCs w:val="24"/>
          <w:lang w:val="en-GB"/>
        </w:rPr>
        <w:t>It is recommended that Tim Farrow should invest in Paddy Power BetFair plc because the stocks are promising and the calculated financial ratios support this. The gearing level is extremely low and the interest cover is very high. The sales per employee figure is more than twice of William HIll. It shows that Paddy Power BetFair plc have total control of their expenses</w:t>
      </w:r>
      <w:r w:rsidR="001C4E4A">
        <w:rPr>
          <w:color w:val="000000" w:themeColor="text1"/>
          <w:sz w:val="24"/>
          <w:szCs w:val="24"/>
          <w:lang w:val="en-GB"/>
        </w:rPr>
        <w:t xml:space="preserve">. This does not make William Hill a bad buy, but given the fact that Mr Tim Farrow is risk-averse investor </w:t>
      </w:r>
      <w:r w:rsidR="001C4E4A" w:rsidRPr="6395FD93">
        <w:rPr>
          <w:color w:val="000000" w:themeColor="text1"/>
          <w:sz w:val="24"/>
          <w:szCs w:val="24"/>
          <w:lang w:val="en-GB"/>
        </w:rPr>
        <w:t>is a risk-averse investor with a large portfolio which means he is well diversified, but Mr Tim Farrow intends to further broaden his portfolio of shares by investing in a "travel and leisure sector" of the market.</w:t>
      </w:r>
    </w:p>
    <w:p w14:paraId="0D2AA71F" w14:textId="67DF7F29" w:rsidR="31B59334" w:rsidRDefault="001C4E4A" w:rsidP="001C4E4A">
      <w:pPr>
        <w:pStyle w:val="ListBullet"/>
        <w:numPr>
          <w:ilvl w:val="0"/>
          <w:numId w:val="0"/>
        </w:numPr>
        <w:rPr>
          <w:color w:val="000000" w:themeColor="text1"/>
          <w:sz w:val="24"/>
          <w:szCs w:val="24"/>
          <w:lang w:val="en-GB"/>
        </w:rPr>
      </w:pPr>
      <w:r w:rsidRPr="6395FD93">
        <w:rPr>
          <w:color w:val="000000" w:themeColor="text1"/>
          <w:sz w:val="24"/>
          <w:szCs w:val="24"/>
          <w:lang w:val="en-GB"/>
        </w:rPr>
        <w:t>Despite that all the major calculations has been calculated in order to have a holistic view of the two businesses, Mr Tim Farrow, being an investor, particularly will be interested in the profitability ratios, gearing ratios and investment ratios</w:t>
      </w:r>
    </w:p>
    <w:p w14:paraId="4E626A73" w14:textId="74150D8E" w:rsidR="7BD40906" w:rsidRDefault="7BD40906" w:rsidP="3C0493CB">
      <w:pPr>
        <w:pStyle w:val="ListBullet"/>
        <w:numPr>
          <w:ilvl w:val="0"/>
          <w:numId w:val="0"/>
        </w:numPr>
        <w:rPr>
          <w:color w:val="000000" w:themeColor="text1"/>
          <w:sz w:val="24"/>
          <w:szCs w:val="24"/>
          <w:lang w:val="en-GB"/>
        </w:rPr>
      </w:pPr>
    </w:p>
    <w:p w14:paraId="51892AB7" w14:textId="6685AE52" w:rsidR="7BD40906" w:rsidRDefault="3C0493CB" w:rsidP="3C0493CB">
      <w:pPr>
        <w:pStyle w:val="ListBullet"/>
        <w:numPr>
          <w:ilvl w:val="0"/>
          <w:numId w:val="0"/>
        </w:numPr>
        <w:ind w:left="-360"/>
        <w:rPr>
          <w:b/>
          <w:bCs/>
          <w:color w:val="000000" w:themeColor="text1"/>
          <w:sz w:val="24"/>
          <w:szCs w:val="24"/>
          <w:lang w:val="en-GB"/>
        </w:rPr>
      </w:pPr>
      <w:r w:rsidRPr="3C0493CB">
        <w:rPr>
          <w:b/>
          <w:bCs/>
          <w:color w:val="000000" w:themeColor="text1"/>
          <w:sz w:val="24"/>
          <w:szCs w:val="24"/>
          <w:lang w:val="en-GB"/>
        </w:rPr>
        <w:lastRenderedPageBreak/>
        <w:t xml:space="preserve">  </w:t>
      </w:r>
    </w:p>
    <w:p w14:paraId="1200671B" w14:textId="43763A12" w:rsidR="5C7EFC97"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w:t>
      </w:r>
    </w:p>
    <w:p w14:paraId="7FE5A074" w14:textId="498A8C94" w:rsidR="5C1F239B" w:rsidRDefault="00415895" w:rsidP="6395FD93">
      <w:pPr>
        <w:pStyle w:val="ListBullet"/>
        <w:numPr>
          <w:ilvl w:val="0"/>
          <w:numId w:val="0"/>
        </w:numPr>
        <w:rPr>
          <w:b/>
          <w:bCs/>
          <w:color w:val="000000" w:themeColor="text1"/>
          <w:sz w:val="24"/>
          <w:szCs w:val="24"/>
          <w:lang w:val="en-GB"/>
        </w:rPr>
      </w:pPr>
      <w:r>
        <w:rPr>
          <w:b/>
          <w:bCs/>
          <w:color w:val="000000" w:themeColor="text1"/>
          <w:sz w:val="24"/>
          <w:szCs w:val="24"/>
          <w:lang w:val="en-GB"/>
        </w:rPr>
        <w:t>S</w:t>
      </w:r>
      <w:r w:rsidR="6395FD93" w:rsidRPr="6395FD93">
        <w:rPr>
          <w:b/>
          <w:bCs/>
          <w:color w:val="000000" w:themeColor="text1"/>
          <w:sz w:val="24"/>
          <w:szCs w:val="24"/>
          <w:lang w:val="en-GB"/>
        </w:rPr>
        <w:t>ection B</w:t>
      </w:r>
    </w:p>
    <w:p w14:paraId="6308A394" w14:textId="63C7ACD4" w:rsidR="5C1F239B"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Patel Mintro Company</w:t>
      </w:r>
    </w:p>
    <w:p w14:paraId="223B345E" w14:textId="74115D86" w:rsidR="3591496F" w:rsidRDefault="6395FD93" w:rsidP="6395FD93">
      <w:pPr>
        <w:pStyle w:val="ListBullet"/>
        <w:numPr>
          <w:ilvl w:val="0"/>
          <w:numId w:val="0"/>
        </w:numPr>
        <w:jc w:val="center"/>
        <w:rPr>
          <w:b/>
          <w:bCs/>
          <w:color w:val="000000" w:themeColor="text1"/>
          <w:sz w:val="24"/>
          <w:szCs w:val="24"/>
          <w:lang w:val="en-GB"/>
        </w:rPr>
      </w:pPr>
      <w:r w:rsidRPr="6395FD93">
        <w:rPr>
          <w:b/>
          <w:bCs/>
          <w:color w:val="000000" w:themeColor="text1"/>
          <w:sz w:val="24"/>
          <w:szCs w:val="24"/>
          <w:lang w:val="en-GB"/>
        </w:rPr>
        <w:t>(a) The Payback Period and the Net Present Values of the two proposals are below.</w:t>
      </w:r>
    </w:p>
    <w:p w14:paraId="7E5BC362" w14:textId="7A6DB29C" w:rsidR="3591496F"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Table 1</w:t>
      </w:r>
      <w:r w:rsidR="00436652">
        <w:rPr>
          <w:b/>
          <w:bCs/>
          <w:color w:val="000000" w:themeColor="text1"/>
          <w:sz w:val="24"/>
          <w:szCs w:val="24"/>
          <w:lang w:val="en-GB"/>
        </w:rPr>
        <w:t>5</w:t>
      </w:r>
      <w:r w:rsidRPr="6395FD93">
        <w:rPr>
          <w:b/>
          <w:bCs/>
          <w:color w:val="000000" w:themeColor="text1"/>
          <w:sz w:val="24"/>
          <w:szCs w:val="24"/>
          <w:lang w:val="en-GB"/>
        </w:rPr>
        <w:t>: Payback and N</w:t>
      </w:r>
      <w:r w:rsidR="00B63832">
        <w:rPr>
          <w:b/>
          <w:bCs/>
          <w:color w:val="000000" w:themeColor="text1"/>
          <w:sz w:val="24"/>
          <w:szCs w:val="24"/>
          <w:lang w:val="en-GB"/>
        </w:rPr>
        <w:t xml:space="preserve">et </w:t>
      </w:r>
      <w:r w:rsidRPr="6395FD93">
        <w:rPr>
          <w:b/>
          <w:bCs/>
          <w:color w:val="000000" w:themeColor="text1"/>
          <w:sz w:val="24"/>
          <w:szCs w:val="24"/>
          <w:lang w:val="en-GB"/>
        </w:rPr>
        <w:t>P</w:t>
      </w:r>
      <w:r w:rsidR="00B63832">
        <w:rPr>
          <w:b/>
          <w:bCs/>
          <w:color w:val="000000" w:themeColor="text1"/>
          <w:sz w:val="24"/>
          <w:szCs w:val="24"/>
          <w:lang w:val="en-GB"/>
        </w:rPr>
        <w:t xml:space="preserve">resent </w:t>
      </w:r>
      <w:r w:rsidRPr="6395FD93">
        <w:rPr>
          <w:b/>
          <w:bCs/>
          <w:color w:val="000000" w:themeColor="text1"/>
          <w:sz w:val="24"/>
          <w:szCs w:val="24"/>
          <w:lang w:val="en-GB"/>
        </w:rPr>
        <w:t>V</w:t>
      </w:r>
      <w:r w:rsidR="00B63832">
        <w:rPr>
          <w:b/>
          <w:bCs/>
          <w:color w:val="000000" w:themeColor="text1"/>
          <w:sz w:val="24"/>
          <w:szCs w:val="24"/>
          <w:lang w:val="en-GB"/>
        </w:rPr>
        <w:t>alue</w:t>
      </w:r>
    </w:p>
    <w:tbl>
      <w:tblPr>
        <w:tblStyle w:val="GridTable1Light-Accent1"/>
        <w:tblW w:w="9360" w:type="dxa"/>
        <w:tblLayout w:type="fixed"/>
        <w:tblLook w:val="06A0" w:firstRow="1" w:lastRow="0" w:firstColumn="1" w:lastColumn="0" w:noHBand="1" w:noVBand="1"/>
      </w:tblPr>
      <w:tblGrid>
        <w:gridCol w:w="4335"/>
        <w:gridCol w:w="2400"/>
        <w:gridCol w:w="2625"/>
      </w:tblGrid>
      <w:tr w:rsidR="5C7EFC97" w14:paraId="5686462F" w14:textId="77777777" w:rsidTr="00136F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5" w:type="dxa"/>
          </w:tcPr>
          <w:p w14:paraId="68EFFE57" w14:textId="4BC4DD67" w:rsidR="5C7EFC97" w:rsidRDefault="001B1993" w:rsidP="3C0493CB">
            <w:pPr>
              <w:rPr>
                <w:rFonts w:eastAsiaTheme="minorEastAsia"/>
                <w:color w:val="000000" w:themeColor="text1"/>
                <w:sz w:val="24"/>
                <w:szCs w:val="24"/>
                <w:lang w:val="en-GB"/>
              </w:rPr>
            </w:pPr>
            <w:r>
              <w:rPr>
                <w:rFonts w:eastAsiaTheme="minorEastAsia"/>
                <w:color w:val="000000" w:themeColor="text1"/>
                <w:sz w:val="24"/>
                <w:szCs w:val="24"/>
                <w:lang w:val="en-GB"/>
              </w:rPr>
              <w:t>Patel Mintro Company</w:t>
            </w:r>
          </w:p>
        </w:tc>
        <w:tc>
          <w:tcPr>
            <w:tcW w:w="2400" w:type="dxa"/>
          </w:tcPr>
          <w:p w14:paraId="079FC477" w14:textId="5D01512F" w:rsidR="5C7EFC97" w:rsidRDefault="6395FD93" w:rsidP="6395FD93">
            <w:pPr>
              <w:cnfStyle w:val="100000000000" w:firstRow="1"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Project A</w:t>
            </w:r>
          </w:p>
        </w:tc>
        <w:tc>
          <w:tcPr>
            <w:tcW w:w="2625" w:type="dxa"/>
          </w:tcPr>
          <w:p w14:paraId="46D8BB65" w14:textId="7F4F8B91" w:rsidR="5C7EFC97" w:rsidRDefault="6395FD93" w:rsidP="6395FD93">
            <w:pPr>
              <w:cnfStyle w:val="100000000000" w:firstRow="1"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Project B</w:t>
            </w:r>
          </w:p>
        </w:tc>
      </w:tr>
      <w:tr w:rsidR="5C7EFC97" w14:paraId="3E31E4E5" w14:textId="77777777" w:rsidTr="00136FB1">
        <w:tc>
          <w:tcPr>
            <w:cnfStyle w:val="001000000000" w:firstRow="0" w:lastRow="0" w:firstColumn="1" w:lastColumn="0" w:oddVBand="0" w:evenVBand="0" w:oddHBand="0" w:evenHBand="0" w:firstRowFirstColumn="0" w:firstRowLastColumn="0" w:lastRowFirstColumn="0" w:lastRowLastColumn="0"/>
            <w:tcW w:w="4335" w:type="dxa"/>
          </w:tcPr>
          <w:p w14:paraId="315DA9AC" w14:textId="3ADA0045" w:rsidR="5C7EFC97" w:rsidRPr="0002278B" w:rsidRDefault="6395FD93" w:rsidP="6395FD93">
            <w:pPr>
              <w:rPr>
                <w:rFonts w:eastAsiaTheme="minorEastAsia"/>
                <w:b w:val="0"/>
                <w:bCs w:val="0"/>
                <w:color w:val="000000" w:themeColor="text1"/>
                <w:sz w:val="24"/>
                <w:szCs w:val="24"/>
                <w:lang w:val="en-GB"/>
              </w:rPr>
            </w:pPr>
            <w:r w:rsidRPr="0002278B">
              <w:rPr>
                <w:rFonts w:eastAsiaTheme="minorEastAsia"/>
                <w:b w:val="0"/>
                <w:bCs w:val="0"/>
                <w:color w:val="000000" w:themeColor="text1"/>
                <w:sz w:val="24"/>
                <w:szCs w:val="24"/>
                <w:lang w:val="en-GB"/>
              </w:rPr>
              <w:t>Payback Method</w:t>
            </w:r>
          </w:p>
        </w:tc>
        <w:tc>
          <w:tcPr>
            <w:tcW w:w="2400" w:type="dxa"/>
          </w:tcPr>
          <w:p w14:paraId="0088EBD9" w14:textId="4C84B57E"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3 years 7 months</w:t>
            </w:r>
          </w:p>
        </w:tc>
        <w:tc>
          <w:tcPr>
            <w:tcW w:w="2625" w:type="dxa"/>
          </w:tcPr>
          <w:p w14:paraId="0B233373" w14:textId="633BAE90"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3 years 8 months</w:t>
            </w:r>
          </w:p>
        </w:tc>
      </w:tr>
      <w:tr w:rsidR="5C7EFC97" w14:paraId="078AC062" w14:textId="77777777" w:rsidTr="00136FB1">
        <w:tc>
          <w:tcPr>
            <w:cnfStyle w:val="001000000000" w:firstRow="0" w:lastRow="0" w:firstColumn="1" w:lastColumn="0" w:oddVBand="0" w:evenVBand="0" w:oddHBand="0" w:evenHBand="0" w:firstRowFirstColumn="0" w:firstRowLastColumn="0" w:lastRowFirstColumn="0" w:lastRowLastColumn="0"/>
            <w:tcW w:w="4335" w:type="dxa"/>
          </w:tcPr>
          <w:p w14:paraId="4D15EFBF" w14:textId="09FA3F88" w:rsidR="5C7EFC97" w:rsidRPr="0002278B" w:rsidRDefault="6395FD93" w:rsidP="6395FD93">
            <w:pPr>
              <w:rPr>
                <w:rFonts w:eastAsiaTheme="minorEastAsia"/>
                <w:b w:val="0"/>
                <w:bCs w:val="0"/>
                <w:color w:val="000000" w:themeColor="text1"/>
                <w:sz w:val="24"/>
                <w:szCs w:val="24"/>
                <w:lang w:val="en-GB"/>
              </w:rPr>
            </w:pPr>
            <w:r w:rsidRPr="0002278B">
              <w:rPr>
                <w:rFonts w:eastAsiaTheme="minorEastAsia"/>
                <w:b w:val="0"/>
                <w:bCs w:val="0"/>
                <w:color w:val="000000" w:themeColor="text1"/>
                <w:sz w:val="24"/>
                <w:szCs w:val="24"/>
                <w:lang w:val="en-GB"/>
              </w:rPr>
              <w:t>Net Present Value Method</w:t>
            </w:r>
          </w:p>
        </w:tc>
        <w:tc>
          <w:tcPr>
            <w:tcW w:w="2400" w:type="dxa"/>
          </w:tcPr>
          <w:p w14:paraId="3536D324" w14:textId="67134BB1"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£67,790</w:t>
            </w:r>
          </w:p>
        </w:tc>
        <w:tc>
          <w:tcPr>
            <w:tcW w:w="2625" w:type="dxa"/>
          </w:tcPr>
          <w:p w14:paraId="2CF8DA2C" w14:textId="5845D02E"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£72,620</w:t>
            </w:r>
          </w:p>
        </w:tc>
      </w:tr>
    </w:tbl>
    <w:p w14:paraId="5EBC388C" w14:textId="732B1271" w:rsidR="00136FB1" w:rsidRPr="00126383" w:rsidRDefault="00136FB1" w:rsidP="00136FB1">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 xml:space="preserve">Author’s calculations derived from </w:t>
      </w:r>
      <w:r w:rsidR="003D52C6">
        <w:rPr>
          <w:color w:val="000000" w:themeColor="text1"/>
          <w:sz w:val="20"/>
          <w:szCs w:val="20"/>
          <w:lang w:val="en-GB"/>
        </w:rPr>
        <w:t xml:space="preserve">Patel Mintro </w:t>
      </w:r>
      <w:r w:rsidR="009B4ECC">
        <w:rPr>
          <w:color w:val="000000" w:themeColor="text1"/>
          <w:sz w:val="20"/>
          <w:szCs w:val="20"/>
          <w:lang w:val="en-GB"/>
        </w:rPr>
        <w:t>company case study</w:t>
      </w:r>
    </w:p>
    <w:p w14:paraId="3A4906FF" w14:textId="2D72FD60" w:rsidR="3591496F" w:rsidRDefault="3591496F" w:rsidP="3C0493CB">
      <w:pPr>
        <w:pStyle w:val="ListBullet"/>
        <w:numPr>
          <w:ilvl w:val="0"/>
          <w:numId w:val="0"/>
        </w:numPr>
        <w:rPr>
          <w:color w:val="000000" w:themeColor="text1"/>
          <w:sz w:val="24"/>
          <w:szCs w:val="24"/>
          <w:lang w:val="en-GB"/>
        </w:rPr>
      </w:pPr>
    </w:p>
    <w:p w14:paraId="04811A1A" w14:textId="263D57A2" w:rsidR="5C7EFC97" w:rsidRDefault="6395FD93" w:rsidP="6395FD93">
      <w:pPr>
        <w:pStyle w:val="ListBullet"/>
        <w:numPr>
          <w:ilvl w:val="0"/>
          <w:numId w:val="0"/>
        </w:numPr>
        <w:ind w:left="-360"/>
        <w:jc w:val="center"/>
        <w:rPr>
          <w:b/>
          <w:bCs/>
          <w:color w:val="000000" w:themeColor="text1"/>
          <w:sz w:val="24"/>
          <w:szCs w:val="24"/>
          <w:lang w:val="en-GB"/>
        </w:rPr>
      </w:pPr>
      <w:r w:rsidRPr="6395FD93">
        <w:rPr>
          <w:b/>
          <w:bCs/>
          <w:color w:val="000000" w:themeColor="text1"/>
          <w:sz w:val="24"/>
          <w:szCs w:val="24"/>
          <w:lang w:val="en-GB"/>
        </w:rPr>
        <w:t>(b) The Accounting Rate of Return (ARR) for the two projects are in table below.</w:t>
      </w:r>
    </w:p>
    <w:p w14:paraId="3AE900B9" w14:textId="6DBC3F6D" w:rsidR="5C7EFC97"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Table 1</w:t>
      </w:r>
      <w:r w:rsidR="00436652">
        <w:rPr>
          <w:b/>
          <w:bCs/>
          <w:color w:val="000000" w:themeColor="text1"/>
          <w:sz w:val="24"/>
          <w:szCs w:val="24"/>
          <w:lang w:val="en-GB"/>
        </w:rPr>
        <w:t>6</w:t>
      </w:r>
      <w:r w:rsidRPr="6395FD93">
        <w:rPr>
          <w:b/>
          <w:bCs/>
          <w:color w:val="000000" w:themeColor="text1"/>
          <w:sz w:val="24"/>
          <w:szCs w:val="24"/>
          <w:lang w:val="en-GB"/>
        </w:rPr>
        <w:t>: ARR – Accounting Rate of Return</w:t>
      </w:r>
    </w:p>
    <w:tbl>
      <w:tblPr>
        <w:tblStyle w:val="GridTable1Light-Accent1"/>
        <w:tblW w:w="9360" w:type="dxa"/>
        <w:tblLayout w:type="fixed"/>
        <w:tblLook w:val="06A0" w:firstRow="1" w:lastRow="0" w:firstColumn="1" w:lastColumn="0" w:noHBand="1" w:noVBand="1"/>
      </w:tblPr>
      <w:tblGrid>
        <w:gridCol w:w="4335"/>
        <w:gridCol w:w="2400"/>
        <w:gridCol w:w="2625"/>
      </w:tblGrid>
      <w:tr w:rsidR="5C7EFC97" w14:paraId="7CE69FF8" w14:textId="77777777" w:rsidTr="009B4E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5" w:type="dxa"/>
          </w:tcPr>
          <w:p w14:paraId="4E32498A" w14:textId="3325A843" w:rsidR="5C7EFC97" w:rsidRDefault="001B1993" w:rsidP="3C0493CB">
            <w:pPr>
              <w:rPr>
                <w:rFonts w:eastAsiaTheme="minorEastAsia"/>
                <w:color w:val="000000" w:themeColor="text1"/>
                <w:sz w:val="24"/>
                <w:szCs w:val="24"/>
                <w:lang w:val="en-GB"/>
              </w:rPr>
            </w:pPr>
            <w:r>
              <w:rPr>
                <w:rFonts w:eastAsiaTheme="minorEastAsia"/>
                <w:color w:val="000000" w:themeColor="text1"/>
                <w:sz w:val="24"/>
                <w:szCs w:val="24"/>
                <w:lang w:val="en-GB"/>
              </w:rPr>
              <w:t>Patel Mintro Company</w:t>
            </w:r>
          </w:p>
        </w:tc>
        <w:tc>
          <w:tcPr>
            <w:tcW w:w="2400" w:type="dxa"/>
          </w:tcPr>
          <w:p w14:paraId="697C8718" w14:textId="5D01512F" w:rsidR="5C7EFC97" w:rsidRDefault="6395FD93" w:rsidP="6395FD93">
            <w:pPr>
              <w:cnfStyle w:val="100000000000" w:firstRow="1"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Project A</w:t>
            </w:r>
          </w:p>
        </w:tc>
        <w:tc>
          <w:tcPr>
            <w:tcW w:w="2625" w:type="dxa"/>
          </w:tcPr>
          <w:p w14:paraId="21BF7AAE" w14:textId="7F4F8B91" w:rsidR="5C7EFC97" w:rsidRDefault="6395FD93" w:rsidP="6395FD93">
            <w:pPr>
              <w:cnfStyle w:val="100000000000" w:firstRow="1"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Project B</w:t>
            </w:r>
          </w:p>
        </w:tc>
      </w:tr>
      <w:tr w:rsidR="5C7EFC97" w14:paraId="3C182861" w14:textId="77777777" w:rsidTr="009B4ECC">
        <w:tc>
          <w:tcPr>
            <w:cnfStyle w:val="001000000000" w:firstRow="0" w:lastRow="0" w:firstColumn="1" w:lastColumn="0" w:oddVBand="0" w:evenVBand="0" w:oddHBand="0" w:evenHBand="0" w:firstRowFirstColumn="0" w:firstRowLastColumn="0" w:lastRowFirstColumn="0" w:lastRowLastColumn="0"/>
            <w:tcW w:w="4335" w:type="dxa"/>
          </w:tcPr>
          <w:p w14:paraId="28EFCD5C" w14:textId="20519679" w:rsidR="5C7EFC97" w:rsidRPr="0002278B" w:rsidRDefault="6395FD93" w:rsidP="6395FD93">
            <w:pPr>
              <w:rPr>
                <w:rFonts w:eastAsiaTheme="minorEastAsia"/>
                <w:b w:val="0"/>
                <w:bCs w:val="0"/>
                <w:color w:val="000000" w:themeColor="text1"/>
                <w:sz w:val="24"/>
                <w:szCs w:val="24"/>
                <w:lang w:val="en-GB"/>
              </w:rPr>
            </w:pPr>
            <w:r w:rsidRPr="0002278B">
              <w:rPr>
                <w:rFonts w:eastAsiaTheme="minorEastAsia"/>
                <w:b w:val="0"/>
                <w:bCs w:val="0"/>
                <w:color w:val="000000" w:themeColor="text1"/>
                <w:sz w:val="24"/>
                <w:szCs w:val="24"/>
                <w:lang w:val="en-GB"/>
              </w:rPr>
              <w:t>Accounting Rate of Return Method</w:t>
            </w:r>
          </w:p>
        </w:tc>
        <w:tc>
          <w:tcPr>
            <w:tcW w:w="2400" w:type="dxa"/>
          </w:tcPr>
          <w:p w14:paraId="38340257" w14:textId="60AF0DC0"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24.07%</w:t>
            </w:r>
          </w:p>
        </w:tc>
        <w:tc>
          <w:tcPr>
            <w:tcW w:w="2625" w:type="dxa"/>
          </w:tcPr>
          <w:p w14:paraId="18B3D215" w14:textId="1CB8D071"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21.74%</w:t>
            </w:r>
          </w:p>
        </w:tc>
      </w:tr>
    </w:tbl>
    <w:p w14:paraId="4CC8B371" w14:textId="77777777" w:rsidR="009B4ECC" w:rsidRPr="00126383" w:rsidRDefault="009B4ECC" w:rsidP="009B4ECC">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Author’s calculations derived from Patel Mintro company case study</w:t>
      </w:r>
    </w:p>
    <w:p w14:paraId="63E448A0" w14:textId="77777777" w:rsidR="00A86C6E" w:rsidRDefault="00A86C6E" w:rsidP="6395FD93">
      <w:pPr>
        <w:pStyle w:val="ListBullet"/>
        <w:numPr>
          <w:ilvl w:val="0"/>
          <w:numId w:val="0"/>
        </w:numPr>
        <w:rPr>
          <w:b/>
          <w:bCs/>
          <w:color w:val="000000" w:themeColor="text1"/>
          <w:sz w:val="24"/>
          <w:szCs w:val="24"/>
          <w:lang w:val="en-GB"/>
        </w:rPr>
      </w:pPr>
    </w:p>
    <w:p w14:paraId="2497308E" w14:textId="5970BB56" w:rsidR="5C7EFC97"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Table 1</w:t>
      </w:r>
      <w:r w:rsidR="00436652">
        <w:rPr>
          <w:b/>
          <w:bCs/>
          <w:color w:val="000000" w:themeColor="text1"/>
          <w:sz w:val="24"/>
          <w:szCs w:val="24"/>
          <w:lang w:val="en-GB"/>
        </w:rPr>
        <w:t>7</w:t>
      </w:r>
      <w:r w:rsidRPr="6395FD93">
        <w:rPr>
          <w:b/>
          <w:bCs/>
          <w:color w:val="000000" w:themeColor="text1"/>
          <w:sz w:val="24"/>
          <w:szCs w:val="24"/>
          <w:lang w:val="en-GB"/>
        </w:rPr>
        <w:t>: Discounted Payback Method and Internal Rate of Return (IRR)</w:t>
      </w:r>
    </w:p>
    <w:tbl>
      <w:tblPr>
        <w:tblStyle w:val="GridTable1Light-Accent1"/>
        <w:tblW w:w="9360" w:type="dxa"/>
        <w:tblLayout w:type="fixed"/>
        <w:tblLook w:val="06A0" w:firstRow="1" w:lastRow="0" w:firstColumn="1" w:lastColumn="0" w:noHBand="1" w:noVBand="1"/>
      </w:tblPr>
      <w:tblGrid>
        <w:gridCol w:w="4335"/>
        <w:gridCol w:w="2400"/>
        <w:gridCol w:w="2625"/>
      </w:tblGrid>
      <w:tr w:rsidR="5C7EFC97" w14:paraId="12FDB5EF" w14:textId="77777777" w:rsidTr="00A86C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35" w:type="dxa"/>
          </w:tcPr>
          <w:p w14:paraId="4485FAED" w14:textId="18095118" w:rsidR="5C7EFC97" w:rsidRDefault="001B1993" w:rsidP="3C0493CB">
            <w:pPr>
              <w:rPr>
                <w:rFonts w:eastAsiaTheme="minorEastAsia"/>
                <w:color w:val="000000" w:themeColor="text1"/>
                <w:sz w:val="24"/>
                <w:szCs w:val="24"/>
                <w:lang w:val="en-GB"/>
              </w:rPr>
            </w:pPr>
            <w:r>
              <w:rPr>
                <w:rFonts w:eastAsiaTheme="minorEastAsia"/>
                <w:color w:val="000000" w:themeColor="text1"/>
                <w:sz w:val="24"/>
                <w:szCs w:val="24"/>
                <w:lang w:val="en-GB"/>
              </w:rPr>
              <w:t>Patel Mintro Company</w:t>
            </w:r>
          </w:p>
        </w:tc>
        <w:tc>
          <w:tcPr>
            <w:tcW w:w="2400" w:type="dxa"/>
          </w:tcPr>
          <w:p w14:paraId="275803EF" w14:textId="5D01512F" w:rsidR="5C7EFC97" w:rsidRDefault="6395FD93" w:rsidP="6395FD93">
            <w:pPr>
              <w:cnfStyle w:val="100000000000" w:firstRow="1"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Project A</w:t>
            </w:r>
          </w:p>
        </w:tc>
        <w:tc>
          <w:tcPr>
            <w:tcW w:w="2625" w:type="dxa"/>
          </w:tcPr>
          <w:p w14:paraId="44E69BF5" w14:textId="7F4F8B91" w:rsidR="5C7EFC97" w:rsidRDefault="6395FD93" w:rsidP="6395FD93">
            <w:pPr>
              <w:cnfStyle w:val="100000000000" w:firstRow="1"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Project B</w:t>
            </w:r>
          </w:p>
        </w:tc>
      </w:tr>
      <w:tr w:rsidR="5C7EFC97" w14:paraId="5FD1FF6F" w14:textId="77777777" w:rsidTr="00A86C6E">
        <w:tc>
          <w:tcPr>
            <w:cnfStyle w:val="001000000000" w:firstRow="0" w:lastRow="0" w:firstColumn="1" w:lastColumn="0" w:oddVBand="0" w:evenVBand="0" w:oddHBand="0" w:evenHBand="0" w:firstRowFirstColumn="0" w:firstRowLastColumn="0" w:lastRowFirstColumn="0" w:lastRowLastColumn="0"/>
            <w:tcW w:w="4335" w:type="dxa"/>
          </w:tcPr>
          <w:p w14:paraId="11505365" w14:textId="4FF1E20D" w:rsidR="5C7EFC97" w:rsidRPr="0002278B" w:rsidRDefault="6395FD93" w:rsidP="6395FD93">
            <w:pPr>
              <w:rPr>
                <w:rFonts w:eastAsiaTheme="minorEastAsia"/>
                <w:b w:val="0"/>
                <w:bCs w:val="0"/>
                <w:color w:val="000000" w:themeColor="text1"/>
                <w:sz w:val="24"/>
                <w:szCs w:val="24"/>
                <w:lang w:val="en-GB"/>
              </w:rPr>
            </w:pPr>
            <w:r w:rsidRPr="0002278B">
              <w:rPr>
                <w:rFonts w:eastAsiaTheme="minorEastAsia"/>
                <w:b w:val="0"/>
                <w:bCs w:val="0"/>
                <w:color w:val="000000" w:themeColor="text1"/>
                <w:sz w:val="24"/>
                <w:szCs w:val="24"/>
                <w:lang w:val="en-GB"/>
              </w:rPr>
              <w:t>Discounted Payback Method</w:t>
            </w:r>
          </w:p>
        </w:tc>
        <w:tc>
          <w:tcPr>
            <w:tcW w:w="2400" w:type="dxa"/>
          </w:tcPr>
          <w:p w14:paraId="0117E158" w14:textId="0FFC71A1"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4 years 3 months</w:t>
            </w:r>
          </w:p>
        </w:tc>
        <w:tc>
          <w:tcPr>
            <w:tcW w:w="2625" w:type="dxa"/>
          </w:tcPr>
          <w:p w14:paraId="2E7D6161" w14:textId="0E04C019"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4 years 8 months</w:t>
            </w:r>
          </w:p>
        </w:tc>
      </w:tr>
      <w:tr w:rsidR="5C7EFC97" w14:paraId="798E4C26" w14:textId="77777777" w:rsidTr="00A86C6E">
        <w:tc>
          <w:tcPr>
            <w:cnfStyle w:val="001000000000" w:firstRow="0" w:lastRow="0" w:firstColumn="1" w:lastColumn="0" w:oddVBand="0" w:evenVBand="0" w:oddHBand="0" w:evenHBand="0" w:firstRowFirstColumn="0" w:firstRowLastColumn="0" w:lastRowFirstColumn="0" w:lastRowLastColumn="0"/>
            <w:tcW w:w="4335" w:type="dxa"/>
          </w:tcPr>
          <w:p w14:paraId="29B49220" w14:textId="344D46CA" w:rsidR="5C7EFC97" w:rsidRPr="0002278B" w:rsidRDefault="6395FD93" w:rsidP="6395FD93">
            <w:pPr>
              <w:rPr>
                <w:rFonts w:eastAsiaTheme="minorEastAsia"/>
                <w:b w:val="0"/>
                <w:bCs w:val="0"/>
                <w:color w:val="000000" w:themeColor="text1"/>
                <w:sz w:val="24"/>
                <w:szCs w:val="24"/>
                <w:lang w:val="en-GB"/>
              </w:rPr>
            </w:pPr>
            <w:r w:rsidRPr="0002278B">
              <w:rPr>
                <w:rFonts w:eastAsiaTheme="minorEastAsia"/>
                <w:b w:val="0"/>
                <w:bCs w:val="0"/>
                <w:color w:val="000000" w:themeColor="text1"/>
                <w:sz w:val="24"/>
                <w:szCs w:val="24"/>
                <w:lang w:val="en-GB"/>
              </w:rPr>
              <w:t>Internal Rate of Return</w:t>
            </w:r>
          </w:p>
        </w:tc>
        <w:tc>
          <w:tcPr>
            <w:tcW w:w="2400" w:type="dxa"/>
          </w:tcPr>
          <w:p w14:paraId="4F9B63E7" w14:textId="2C31808B"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19.33%</w:t>
            </w:r>
          </w:p>
        </w:tc>
        <w:tc>
          <w:tcPr>
            <w:tcW w:w="2625" w:type="dxa"/>
          </w:tcPr>
          <w:p w14:paraId="1296287F" w14:textId="06871954" w:rsidR="5C7EFC97" w:rsidRDefault="6395FD93" w:rsidP="6395FD93">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395FD93">
              <w:rPr>
                <w:rFonts w:eastAsiaTheme="minorEastAsia"/>
                <w:color w:val="000000" w:themeColor="text1"/>
                <w:sz w:val="24"/>
                <w:szCs w:val="24"/>
                <w:lang w:val="en-GB"/>
              </w:rPr>
              <w:t>16.90%</w:t>
            </w:r>
          </w:p>
        </w:tc>
      </w:tr>
      <w:tr w:rsidR="0543E714" w14:paraId="57935582" w14:textId="77777777" w:rsidTr="00A86C6E">
        <w:tc>
          <w:tcPr>
            <w:cnfStyle w:val="001000000000" w:firstRow="0" w:lastRow="0" w:firstColumn="1" w:lastColumn="0" w:oddVBand="0" w:evenVBand="0" w:oddHBand="0" w:evenHBand="0" w:firstRowFirstColumn="0" w:firstRowLastColumn="0" w:lastRowFirstColumn="0" w:lastRowLastColumn="0"/>
            <w:tcW w:w="4335" w:type="dxa"/>
          </w:tcPr>
          <w:p w14:paraId="213A37FE" w14:textId="581D0862" w:rsidR="0543E714" w:rsidRPr="0002278B" w:rsidRDefault="0543E714" w:rsidP="0543E714">
            <w:pPr>
              <w:rPr>
                <w:rFonts w:eastAsiaTheme="minorEastAsia"/>
                <w:b w:val="0"/>
                <w:bCs w:val="0"/>
                <w:color w:val="000000" w:themeColor="text1"/>
                <w:sz w:val="24"/>
                <w:szCs w:val="24"/>
                <w:lang w:val="en-GB"/>
              </w:rPr>
            </w:pPr>
            <w:r w:rsidRPr="0002278B">
              <w:rPr>
                <w:rFonts w:eastAsiaTheme="minorEastAsia"/>
                <w:b w:val="0"/>
                <w:bCs w:val="0"/>
                <w:color w:val="000000" w:themeColor="text1"/>
                <w:sz w:val="24"/>
                <w:szCs w:val="24"/>
                <w:lang w:val="en-GB"/>
              </w:rPr>
              <w:t>Profitability Index</w:t>
            </w:r>
          </w:p>
        </w:tc>
        <w:tc>
          <w:tcPr>
            <w:tcW w:w="2400" w:type="dxa"/>
          </w:tcPr>
          <w:p w14:paraId="5C372B89" w14:textId="066EB0A0" w:rsidR="0543E714" w:rsidRDefault="64F03C3B" w:rsidP="0543E714">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4F03C3B">
              <w:rPr>
                <w:rFonts w:eastAsiaTheme="minorEastAsia"/>
                <w:color w:val="000000" w:themeColor="text1"/>
                <w:sz w:val="24"/>
                <w:szCs w:val="24"/>
                <w:lang w:val="en-GB"/>
              </w:rPr>
              <w:t>1.42</w:t>
            </w:r>
          </w:p>
        </w:tc>
        <w:tc>
          <w:tcPr>
            <w:tcW w:w="2625" w:type="dxa"/>
          </w:tcPr>
          <w:p w14:paraId="57CACFDC" w14:textId="61114536" w:rsidR="0543E714" w:rsidRDefault="64F03C3B" w:rsidP="0543E714">
            <w:pPr>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sz w:val="24"/>
                <w:szCs w:val="24"/>
                <w:lang w:val="en-GB"/>
              </w:rPr>
            </w:pPr>
            <w:r w:rsidRPr="64F03C3B">
              <w:rPr>
                <w:rFonts w:eastAsiaTheme="minorEastAsia"/>
                <w:color w:val="000000" w:themeColor="text1"/>
                <w:sz w:val="24"/>
                <w:szCs w:val="24"/>
                <w:lang w:val="en-GB"/>
              </w:rPr>
              <w:t>1.33</w:t>
            </w:r>
          </w:p>
        </w:tc>
      </w:tr>
    </w:tbl>
    <w:p w14:paraId="7EEFD289" w14:textId="77777777" w:rsidR="00A86C6E" w:rsidRPr="00126383" w:rsidRDefault="00A86C6E" w:rsidP="00A86C6E">
      <w:pPr>
        <w:pStyle w:val="ListBullet"/>
        <w:numPr>
          <w:ilvl w:val="0"/>
          <w:numId w:val="0"/>
        </w:numPr>
        <w:rPr>
          <w:color w:val="000000" w:themeColor="text1"/>
          <w:sz w:val="20"/>
          <w:szCs w:val="20"/>
          <w:lang w:val="en-GB"/>
        </w:rPr>
      </w:pPr>
      <w:r w:rsidRPr="00126383">
        <w:rPr>
          <w:color w:val="000000" w:themeColor="text1"/>
          <w:sz w:val="20"/>
          <w:szCs w:val="20"/>
          <w:lang w:val="en-GB"/>
        </w:rPr>
        <w:t xml:space="preserve">Source: </w:t>
      </w:r>
      <w:r>
        <w:rPr>
          <w:color w:val="000000" w:themeColor="text1"/>
          <w:sz w:val="20"/>
          <w:szCs w:val="20"/>
          <w:lang w:val="en-GB"/>
        </w:rPr>
        <w:t>Author’s calculations derived from Patel Mintro company case study</w:t>
      </w:r>
    </w:p>
    <w:p w14:paraId="34D4CDC2" w14:textId="140B7A5A" w:rsidR="5C7EFC97" w:rsidRDefault="5C7EFC97" w:rsidP="3C0493CB">
      <w:pPr>
        <w:pStyle w:val="ListBullet"/>
        <w:numPr>
          <w:ilvl w:val="0"/>
          <w:numId w:val="0"/>
        </w:numPr>
        <w:rPr>
          <w:color w:val="000000" w:themeColor="text1"/>
          <w:sz w:val="24"/>
          <w:szCs w:val="24"/>
          <w:lang w:val="en-GB"/>
        </w:rPr>
      </w:pPr>
    </w:p>
    <w:p w14:paraId="23EDFB8F" w14:textId="51675076" w:rsidR="5C7EFC97" w:rsidRDefault="6395FD93" w:rsidP="6395FD93">
      <w:pPr>
        <w:pStyle w:val="ListBullet"/>
        <w:numPr>
          <w:ilvl w:val="0"/>
          <w:numId w:val="0"/>
        </w:numPr>
        <w:ind w:left="360"/>
        <w:jc w:val="center"/>
        <w:rPr>
          <w:color w:val="000000" w:themeColor="text1"/>
          <w:sz w:val="24"/>
          <w:szCs w:val="24"/>
        </w:rPr>
      </w:pPr>
      <w:r w:rsidRPr="6395FD93">
        <w:rPr>
          <w:b/>
          <w:bCs/>
          <w:color w:val="000000" w:themeColor="text1"/>
          <w:sz w:val="24"/>
          <w:szCs w:val="24"/>
          <w:lang w:val="en-GB"/>
        </w:rPr>
        <w:t>(c) Evaluation of the results part (a) and (b) &amp; Recommend with reasons the project that should be adopted</w:t>
      </w:r>
    </w:p>
    <w:p w14:paraId="540DE65A" w14:textId="665AE9D6" w:rsidR="3C0493CB" w:rsidRDefault="6395FD93" w:rsidP="6395FD93">
      <w:pPr>
        <w:rPr>
          <w:rFonts w:ascii="Source Sans Pro" w:eastAsia="Source Sans Pro" w:hAnsi="Source Sans Pro" w:cs="Source Sans Pro"/>
          <w:color w:val="000000" w:themeColor="text1"/>
          <w:sz w:val="24"/>
          <w:szCs w:val="24"/>
          <w:lang w:val="en-GB"/>
        </w:rPr>
      </w:pPr>
      <w:r w:rsidRPr="6395FD93">
        <w:rPr>
          <w:rFonts w:ascii="Source Sans Pro" w:eastAsia="Source Sans Pro" w:hAnsi="Source Sans Pro" w:cs="Source Sans Pro"/>
          <w:color w:val="000000" w:themeColor="text1"/>
          <w:sz w:val="24"/>
          <w:szCs w:val="24"/>
          <w:lang w:val="en-GB"/>
        </w:rPr>
        <w:t>From two tables above; Table 13 and 14 and judging solely by the payback period, the two projects are evenly matched, but looking at the NPV figures, project B adds more value to shareholders wealth than project A. From the accounting rate of return perspective, project A seems to be better alternative. On the whole NPV have been adjudged to be a better investment appraisal method than any other methods as it gives absolute value in money terms as to the amount that will be added to the shareholders wealth.</w:t>
      </w:r>
    </w:p>
    <w:p w14:paraId="178BFBDC" w14:textId="515B8BD5" w:rsidR="3C0493CB" w:rsidRDefault="6395FD93" w:rsidP="6395FD93">
      <w:pPr>
        <w:rPr>
          <w:rFonts w:ascii="Source Sans Pro" w:eastAsia="Source Sans Pro" w:hAnsi="Source Sans Pro" w:cs="Source Sans Pro"/>
          <w:color w:val="000000" w:themeColor="text1"/>
          <w:sz w:val="24"/>
          <w:szCs w:val="24"/>
          <w:lang w:val="en-GB"/>
        </w:rPr>
      </w:pPr>
      <w:r w:rsidRPr="6395FD93">
        <w:rPr>
          <w:rFonts w:ascii="Source Sans Pro" w:eastAsia="Source Sans Pro" w:hAnsi="Source Sans Pro" w:cs="Source Sans Pro"/>
          <w:color w:val="000000" w:themeColor="text1"/>
          <w:sz w:val="24"/>
          <w:szCs w:val="24"/>
          <w:lang w:val="en-GB"/>
        </w:rPr>
        <w:t xml:space="preserve">However, the payback method is limited in that it does not take into consideration the time value of money. Also, it does not take into consideration the cashflow after the payback </w:t>
      </w:r>
      <w:r w:rsidRPr="6395FD93">
        <w:rPr>
          <w:rFonts w:ascii="Source Sans Pro" w:eastAsia="Source Sans Pro" w:hAnsi="Source Sans Pro" w:cs="Source Sans Pro"/>
          <w:color w:val="000000" w:themeColor="text1"/>
          <w:sz w:val="24"/>
          <w:szCs w:val="24"/>
          <w:lang w:val="en-GB"/>
        </w:rPr>
        <w:lastRenderedPageBreak/>
        <w:t>period. Also, the accounting rate of return is subjected to the inherent issues of subjectivity viz-a-viz the assumptions used in the preparation of the account.</w:t>
      </w:r>
    </w:p>
    <w:p w14:paraId="5BF7891E" w14:textId="6D0E20B6" w:rsidR="3C0493CB" w:rsidRDefault="6395FD93" w:rsidP="6395FD93">
      <w:pPr>
        <w:rPr>
          <w:rFonts w:ascii="Source Sans Pro" w:eastAsia="Source Sans Pro" w:hAnsi="Source Sans Pro" w:cs="Source Sans Pro"/>
          <w:color w:val="000000" w:themeColor="text1"/>
          <w:sz w:val="24"/>
          <w:szCs w:val="24"/>
          <w:lang w:val="en-GB"/>
        </w:rPr>
      </w:pPr>
      <w:r w:rsidRPr="6395FD93">
        <w:rPr>
          <w:rFonts w:ascii="Source Sans Pro" w:eastAsia="Source Sans Pro" w:hAnsi="Source Sans Pro" w:cs="Source Sans Pro"/>
          <w:color w:val="000000" w:themeColor="text1"/>
          <w:sz w:val="24"/>
          <w:szCs w:val="24"/>
          <w:lang w:val="en-GB"/>
        </w:rPr>
        <w:t>Therefore I recommend investing in project B instead of A if it is a mutually exclusive scenario whereby Patel Mintro company can only invest in one project, but if there is no capital rationing I recommend both projects as both gave a positive NPV values.</w:t>
      </w:r>
    </w:p>
    <w:p w14:paraId="750DD5CD" w14:textId="454D5AEA" w:rsidR="3C0493CB" w:rsidRDefault="00C21FF9" w:rsidP="6395FD93">
      <w:pPr>
        <w:rPr>
          <w:rFonts w:ascii="Source Sans Pro" w:eastAsia="Source Sans Pro" w:hAnsi="Source Sans Pro" w:cs="Source Sans Pro"/>
          <w:color w:val="000000" w:themeColor="text1"/>
          <w:sz w:val="24"/>
          <w:szCs w:val="24"/>
          <w:lang w:val="en-GB"/>
        </w:rPr>
      </w:pPr>
      <w:r>
        <w:rPr>
          <w:rFonts w:ascii="Source Sans Pro" w:eastAsia="Source Sans Pro" w:hAnsi="Source Sans Pro" w:cs="Source Sans Pro"/>
          <w:color w:val="000000" w:themeColor="text1"/>
          <w:sz w:val="24"/>
          <w:szCs w:val="24"/>
          <w:lang w:val="en-GB"/>
        </w:rPr>
        <w:t>Additionally, three</w:t>
      </w:r>
      <w:r w:rsidR="6395FD93" w:rsidRPr="6395FD93">
        <w:rPr>
          <w:rFonts w:ascii="Source Sans Pro" w:eastAsia="Source Sans Pro" w:hAnsi="Source Sans Pro" w:cs="Source Sans Pro"/>
          <w:color w:val="000000" w:themeColor="text1"/>
          <w:sz w:val="24"/>
          <w:szCs w:val="24"/>
          <w:lang w:val="en-GB"/>
        </w:rPr>
        <w:t xml:space="preserve"> other appraisal methods were used namely, discounted payback</w:t>
      </w:r>
      <w:r>
        <w:rPr>
          <w:rFonts w:ascii="Source Sans Pro" w:eastAsia="Source Sans Pro" w:hAnsi="Source Sans Pro" w:cs="Source Sans Pro"/>
          <w:color w:val="000000" w:themeColor="text1"/>
          <w:sz w:val="24"/>
          <w:szCs w:val="24"/>
          <w:lang w:val="en-GB"/>
        </w:rPr>
        <w:t>,</w:t>
      </w:r>
      <w:r w:rsidR="6395FD93" w:rsidRPr="6395FD93">
        <w:rPr>
          <w:rFonts w:ascii="Source Sans Pro" w:eastAsia="Source Sans Pro" w:hAnsi="Source Sans Pro" w:cs="Source Sans Pro"/>
          <w:color w:val="000000" w:themeColor="text1"/>
          <w:sz w:val="24"/>
          <w:szCs w:val="24"/>
          <w:lang w:val="en-GB"/>
        </w:rPr>
        <w:t xml:space="preserve"> internal rate of return</w:t>
      </w:r>
      <w:r>
        <w:rPr>
          <w:rFonts w:ascii="Source Sans Pro" w:eastAsia="Source Sans Pro" w:hAnsi="Source Sans Pro" w:cs="Source Sans Pro"/>
          <w:color w:val="000000" w:themeColor="text1"/>
          <w:sz w:val="24"/>
          <w:szCs w:val="24"/>
          <w:lang w:val="en-GB"/>
        </w:rPr>
        <w:t xml:space="preserve"> and profitability index</w:t>
      </w:r>
      <w:r w:rsidR="6395FD93" w:rsidRPr="6395FD93">
        <w:rPr>
          <w:rFonts w:ascii="Source Sans Pro" w:eastAsia="Source Sans Pro" w:hAnsi="Source Sans Pro" w:cs="Source Sans Pro"/>
          <w:color w:val="000000" w:themeColor="text1"/>
          <w:sz w:val="24"/>
          <w:szCs w:val="24"/>
          <w:lang w:val="en-GB"/>
        </w:rPr>
        <w:t>. From table 15 above, we can see that project A is a better option than project B but looking at the IRR figure we can see that project A is a better option as it has higher rate of return. IRR is the rate of return at which the NPV is zero or the break-</w:t>
      </w:r>
      <w:r>
        <w:rPr>
          <w:rFonts w:ascii="Source Sans Pro" w:eastAsia="Source Sans Pro" w:hAnsi="Source Sans Pro" w:cs="Source Sans Pro"/>
          <w:color w:val="000000" w:themeColor="text1"/>
          <w:sz w:val="24"/>
          <w:szCs w:val="24"/>
          <w:lang w:val="en-GB"/>
        </w:rPr>
        <w:t>even point, but again looking at the profitability index in case of capital rationing situation where we a mutually exclusive scenario, project A seems to be better. All in all I recommend project B based on the NPV figure.</w:t>
      </w:r>
    </w:p>
    <w:p w14:paraId="34E004C2" w14:textId="73A51E5F" w:rsidR="31B59334" w:rsidRDefault="6395FD93" w:rsidP="6395FD93">
      <w:pPr>
        <w:pStyle w:val="ListBullet"/>
        <w:numPr>
          <w:ilvl w:val="0"/>
          <w:numId w:val="0"/>
        </w:numPr>
        <w:ind w:left="-360"/>
        <w:jc w:val="center"/>
        <w:rPr>
          <w:b/>
          <w:bCs/>
          <w:color w:val="000000" w:themeColor="text1"/>
          <w:sz w:val="24"/>
          <w:szCs w:val="24"/>
          <w:lang w:val="en-GB"/>
        </w:rPr>
      </w:pPr>
      <w:r w:rsidRPr="6395FD93">
        <w:rPr>
          <w:color w:val="000000" w:themeColor="text1"/>
          <w:sz w:val="24"/>
          <w:szCs w:val="24"/>
          <w:lang w:val="en-GB"/>
        </w:rPr>
        <w:t xml:space="preserve">     </w:t>
      </w:r>
      <w:r w:rsidRPr="6395FD93">
        <w:rPr>
          <w:b/>
          <w:bCs/>
          <w:color w:val="000000" w:themeColor="text1"/>
          <w:sz w:val="24"/>
          <w:szCs w:val="24"/>
          <w:lang w:val="en-GB"/>
        </w:rPr>
        <w:t>(d) Critically discuss the advantages and shortcomings of the Payback   method and NPV techniques as ways of evaluating capital projects.</w:t>
      </w:r>
    </w:p>
    <w:p w14:paraId="714C087F" w14:textId="2207F41D" w:rsidR="32BFCE00" w:rsidRPr="00C21FF9" w:rsidRDefault="6395FD93" w:rsidP="6395FD93">
      <w:pPr>
        <w:pStyle w:val="ListBullet"/>
        <w:numPr>
          <w:ilvl w:val="0"/>
          <w:numId w:val="0"/>
        </w:numPr>
        <w:rPr>
          <w:b/>
          <w:bCs/>
          <w:color w:val="auto"/>
          <w:sz w:val="24"/>
          <w:szCs w:val="24"/>
          <w:lang w:val="en-GB"/>
        </w:rPr>
      </w:pPr>
      <w:r w:rsidRPr="00C21FF9">
        <w:rPr>
          <w:b/>
          <w:bCs/>
          <w:color w:val="auto"/>
          <w:sz w:val="24"/>
          <w:szCs w:val="24"/>
          <w:lang w:val="en-GB"/>
        </w:rPr>
        <w:t>The advantages of payback period are namely:</w:t>
      </w:r>
    </w:p>
    <w:p w14:paraId="7F6FAB12" w14:textId="13A79E7D" w:rsidR="32BFCE00" w:rsidRPr="00551E6F" w:rsidRDefault="6395FD93" w:rsidP="6395FD93">
      <w:pPr>
        <w:pStyle w:val="ListBullet"/>
        <w:numPr>
          <w:ilvl w:val="0"/>
          <w:numId w:val="2"/>
        </w:numPr>
        <w:rPr>
          <w:b/>
          <w:bCs/>
          <w:color w:val="000000" w:themeColor="text1"/>
          <w:sz w:val="24"/>
          <w:szCs w:val="24"/>
          <w:lang w:val="en-GB"/>
        </w:rPr>
      </w:pPr>
      <w:r w:rsidRPr="00551E6F">
        <w:rPr>
          <w:b/>
          <w:bCs/>
          <w:color w:val="000000" w:themeColor="text1"/>
          <w:sz w:val="24"/>
          <w:szCs w:val="24"/>
          <w:lang w:val="en-GB"/>
        </w:rPr>
        <w:t>Simplicity</w:t>
      </w:r>
    </w:p>
    <w:p w14:paraId="2253C8FC" w14:textId="64E88355" w:rsidR="32BFCE00" w:rsidRDefault="6395FD93" w:rsidP="6395FD93">
      <w:pPr>
        <w:pStyle w:val="ListBullet"/>
        <w:numPr>
          <w:ilvl w:val="0"/>
          <w:numId w:val="0"/>
        </w:numPr>
        <w:ind w:left="360"/>
        <w:rPr>
          <w:color w:val="000000" w:themeColor="text1"/>
          <w:sz w:val="24"/>
          <w:szCs w:val="24"/>
          <w:lang w:val="en-GB"/>
        </w:rPr>
      </w:pPr>
      <w:r w:rsidRPr="6395FD93">
        <w:rPr>
          <w:color w:val="000000" w:themeColor="text1"/>
          <w:sz w:val="24"/>
          <w:szCs w:val="24"/>
          <w:lang w:val="en-GB"/>
        </w:rPr>
        <w:t>Payback period is easy to understand for even a layman as it looks at how long it takes to recoup the original investment in a project.</w:t>
      </w:r>
    </w:p>
    <w:p w14:paraId="53E981E7" w14:textId="3FBD6EA3" w:rsidR="00725937" w:rsidRPr="00551E6F" w:rsidRDefault="0012303B" w:rsidP="00375A4A">
      <w:pPr>
        <w:pStyle w:val="ListBullet"/>
        <w:numPr>
          <w:ilvl w:val="0"/>
          <w:numId w:val="6"/>
        </w:numPr>
        <w:rPr>
          <w:b/>
          <w:bCs/>
          <w:color w:val="000000" w:themeColor="text1"/>
          <w:sz w:val="24"/>
          <w:szCs w:val="24"/>
          <w:lang w:val="en-GB"/>
        </w:rPr>
      </w:pPr>
      <w:r w:rsidRPr="00551E6F">
        <w:rPr>
          <w:b/>
          <w:bCs/>
          <w:color w:val="000000" w:themeColor="text1"/>
          <w:sz w:val="24"/>
          <w:szCs w:val="24"/>
          <w:lang w:val="en-GB"/>
        </w:rPr>
        <w:t>Calculation</w:t>
      </w:r>
    </w:p>
    <w:p w14:paraId="0F565420" w14:textId="772E3838" w:rsidR="0042035B" w:rsidRDefault="0042035B" w:rsidP="0042035B">
      <w:pPr>
        <w:pStyle w:val="ListBullet"/>
        <w:numPr>
          <w:ilvl w:val="0"/>
          <w:numId w:val="0"/>
        </w:numPr>
        <w:ind w:left="360"/>
        <w:rPr>
          <w:color w:val="000000" w:themeColor="text1"/>
          <w:sz w:val="24"/>
          <w:szCs w:val="24"/>
          <w:lang w:val="en-GB"/>
        </w:rPr>
      </w:pPr>
      <w:r>
        <w:rPr>
          <w:color w:val="000000" w:themeColor="text1"/>
          <w:sz w:val="24"/>
          <w:szCs w:val="24"/>
          <w:lang w:val="en-GB"/>
        </w:rPr>
        <w:t>Easy to calculat</w:t>
      </w:r>
      <w:r w:rsidR="00375A4A">
        <w:rPr>
          <w:color w:val="000000" w:themeColor="text1"/>
          <w:sz w:val="24"/>
          <w:szCs w:val="24"/>
          <w:lang w:val="en-GB"/>
        </w:rPr>
        <w:t>e</w:t>
      </w:r>
    </w:p>
    <w:p w14:paraId="520F5BD6" w14:textId="26103E06" w:rsidR="0012303B" w:rsidRPr="00551E6F" w:rsidRDefault="00E06555" w:rsidP="0012303B">
      <w:pPr>
        <w:pStyle w:val="ListBullet"/>
        <w:numPr>
          <w:ilvl w:val="0"/>
          <w:numId w:val="5"/>
        </w:numPr>
        <w:rPr>
          <w:b/>
          <w:bCs/>
          <w:color w:val="000000" w:themeColor="text1"/>
          <w:sz w:val="24"/>
          <w:szCs w:val="24"/>
          <w:lang w:val="en-GB"/>
        </w:rPr>
      </w:pPr>
      <w:r w:rsidRPr="00551E6F">
        <w:rPr>
          <w:b/>
          <w:bCs/>
          <w:color w:val="000000" w:themeColor="text1"/>
          <w:sz w:val="24"/>
          <w:szCs w:val="24"/>
          <w:lang w:val="en-GB"/>
        </w:rPr>
        <w:t>Focus on Cash</w:t>
      </w:r>
    </w:p>
    <w:p w14:paraId="43BEE3DB" w14:textId="5168E275" w:rsidR="00E06555" w:rsidRDefault="00D37EE9" w:rsidP="00E06555">
      <w:pPr>
        <w:pStyle w:val="ListBullet"/>
        <w:numPr>
          <w:ilvl w:val="0"/>
          <w:numId w:val="0"/>
        </w:numPr>
        <w:ind w:left="360" w:hanging="360"/>
        <w:rPr>
          <w:color w:val="000000" w:themeColor="text1"/>
          <w:sz w:val="24"/>
          <w:szCs w:val="24"/>
          <w:lang w:val="en-GB"/>
        </w:rPr>
      </w:pPr>
      <w:r>
        <w:rPr>
          <w:color w:val="000000" w:themeColor="text1"/>
          <w:sz w:val="24"/>
          <w:szCs w:val="24"/>
          <w:lang w:val="en-GB"/>
        </w:rPr>
        <w:t xml:space="preserve">    </w:t>
      </w:r>
      <w:r w:rsidR="00375A4A">
        <w:rPr>
          <w:color w:val="000000" w:themeColor="text1"/>
          <w:sz w:val="24"/>
          <w:szCs w:val="24"/>
          <w:lang w:val="en-GB"/>
        </w:rPr>
        <w:t xml:space="preserve"> </w:t>
      </w:r>
      <w:r w:rsidR="00710291">
        <w:rPr>
          <w:color w:val="000000" w:themeColor="text1"/>
          <w:sz w:val="24"/>
          <w:szCs w:val="24"/>
          <w:lang w:val="en-GB"/>
        </w:rPr>
        <w:t>It uses cash flow rather accounting profit</w:t>
      </w:r>
    </w:p>
    <w:p w14:paraId="3F3BBE0D" w14:textId="55136BD9" w:rsidR="3C0493CB" w:rsidRPr="00551E6F" w:rsidRDefault="6395FD93" w:rsidP="00C21FF9">
      <w:pPr>
        <w:pStyle w:val="ListBullet"/>
        <w:numPr>
          <w:ilvl w:val="0"/>
          <w:numId w:val="5"/>
        </w:numPr>
        <w:rPr>
          <w:b/>
          <w:bCs/>
          <w:color w:val="000000" w:themeColor="text1"/>
          <w:sz w:val="24"/>
          <w:szCs w:val="24"/>
          <w:lang w:val="en-GB"/>
        </w:rPr>
      </w:pPr>
      <w:r w:rsidRPr="00551E6F">
        <w:rPr>
          <w:b/>
          <w:bCs/>
          <w:color w:val="000000" w:themeColor="text1"/>
          <w:sz w:val="24"/>
          <w:szCs w:val="24"/>
          <w:lang w:val="en-GB"/>
        </w:rPr>
        <w:t>Focus on Risk</w:t>
      </w:r>
    </w:p>
    <w:p w14:paraId="6DF487BE" w14:textId="763ED874"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     The fact that it focuses on the length of time it takes to recoup an initial investment </w:t>
      </w:r>
      <w:r w:rsidR="00D8158B">
        <w:rPr>
          <w:color w:val="000000" w:themeColor="text1"/>
          <w:sz w:val="24"/>
          <w:szCs w:val="24"/>
          <w:lang w:val="en-GB"/>
        </w:rPr>
        <w:t xml:space="preserve">     </w:t>
      </w:r>
      <w:r w:rsidRPr="6395FD93">
        <w:rPr>
          <w:color w:val="000000" w:themeColor="text1"/>
          <w:sz w:val="24"/>
          <w:szCs w:val="24"/>
          <w:lang w:val="en-GB"/>
        </w:rPr>
        <w:t xml:space="preserve">means it can be used to compare projects for how quickly </w:t>
      </w:r>
    </w:p>
    <w:p w14:paraId="05325B29" w14:textId="62F5A992" w:rsidR="3C0493CB" w:rsidRPr="00C21FF9" w:rsidRDefault="6395FD93" w:rsidP="6395FD93">
      <w:pPr>
        <w:pStyle w:val="ListBullet"/>
        <w:numPr>
          <w:ilvl w:val="0"/>
          <w:numId w:val="0"/>
        </w:numPr>
        <w:rPr>
          <w:b/>
          <w:bCs/>
          <w:color w:val="auto"/>
          <w:sz w:val="24"/>
          <w:szCs w:val="24"/>
          <w:lang w:val="en-GB"/>
        </w:rPr>
      </w:pPr>
      <w:r w:rsidRPr="00C21FF9">
        <w:rPr>
          <w:b/>
          <w:bCs/>
          <w:color w:val="auto"/>
          <w:sz w:val="24"/>
          <w:szCs w:val="24"/>
          <w:lang w:val="en-GB"/>
        </w:rPr>
        <w:t>The disadvantages of payback period are namely:</w:t>
      </w:r>
    </w:p>
    <w:p w14:paraId="5FD12E01" w14:textId="3CE2470E" w:rsidR="3C0493CB" w:rsidRPr="006B312B" w:rsidRDefault="6395FD93" w:rsidP="6395FD93">
      <w:pPr>
        <w:pStyle w:val="ListBullet"/>
        <w:numPr>
          <w:ilvl w:val="0"/>
          <w:numId w:val="2"/>
        </w:numPr>
        <w:rPr>
          <w:b/>
          <w:bCs/>
          <w:color w:val="000000" w:themeColor="text1"/>
          <w:sz w:val="24"/>
          <w:szCs w:val="24"/>
          <w:lang w:val="en-GB"/>
        </w:rPr>
      </w:pPr>
      <w:r w:rsidRPr="006B312B">
        <w:rPr>
          <w:b/>
          <w:bCs/>
          <w:color w:val="000000" w:themeColor="text1"/>
          <w:sz w:val="24"/>
          <w:szCs w:val="24"/>
          <w:lang w:val="en-GB"/>
        </w:rPr>
        <w:t>Time value of money</w:t>
      </w:r>
    </w:p>
    <w:p w14:paraId="7D3E147F" w14:textId="28C91A2B" w:rsidR="3C0493CB" w:rsidRDefault="6395FD93" w:rsidP="6395FD93">
      <w:pPr>
        <w:pStyle w:val="ListBullet"/>
        <w:numPr>
          <w:ilvl w:val="0"/>
          <w:numId w:val="0"/>
        </w:numPr>
        <w:ind w:left="360"/>
        <w:rPr>
          <w:color w:val="000000" w:themeColor="text1"/>
          <w:sz w:val="24"/>
          <w:szCs w:val="24"/>
          <w:lang w:val="en-GB"/>
        </w:rPr>
      </w:pPr>
      <w:r w:rsidRPr="6395FD93">
        <w:rPr>
          <w:color w:val="000000" w:themeColor="text1"/>
          <w:sz w:val="24"/>
          <w:szCs w:val="24"/>
          <w:lang w:val="en-GB"/>
        </w:rPr>
        <w:t>Payback period does not take into consideration the time value of money, because one pound today is worth more than one pound in a year's time due to inflation.</w:t>
      </w:r>
    </w:p>
    <w:p w14:paraId="100FA6B5" w14:textId="0A33898B" w:rsidR="3C0493CB" w:rsidRPr="00A177A4" w:rsidRDefault="00A177A4" w:rsidP="6395FD93">
      <w:pPr>
        <w:pStyle w:val="ListBullet"/>
        <w:numPr>
          <w:ilvl w:val="0"/>
          <w:numId w:val="1"/>
        </w:numPr>
        <w:rPr>
          <w:b/>
          <w:bCs/>
          <w:color w:val="000000" w:themeColor="text1"/>
          <w:sz w:val="24"/>
          <w:szCs w:val="24"/>
          <w:lang w:val="en-GB"/>
        </w:rPr>
      </w:pPr>
      <w:r w:rsidRPr="00A177A4">
        <w:rPr>
          <w:b/>
          <w:bCs/>
          <w:color w:val="000000" w:themeColor="text1"/>
          <w:sz w:val="24"/>
          <w:szCs w:val="24"/>
          <w:lang w:val="en-GB"/>
        </w:rPr>
        <w:t xml:space="preserve"> Ignores c</w:t>
      </w:r>
      <w:r w:rsidR="6395FD93" w:rsidRPr="00A177A4">
        <w:rPr>
          <w:b/>
          <w:bCs/>
          <w:color w:val="000000" w:themeColor="text1"/>
          <w:sz w:val="24"/>
          <w:szCs w:val="24"/>
          <w:lang w:val="en-GB"/>
        </w:rPr>
        <w:t>ash flow after payback period</w:t>
      </w:r>
    </w:p>
    <w:p w14:paraId="1D1A7DB6" w14:textId="3652FE5A" w:rsidR="3C0493CB" w:rsidRDefault="6395FD93" w:rsidP="003E41F5">
      <w:pPr>
        <w:pStyle w:val="ListBullet"/>
        <w:numPr>
          <w:ilvl w:val="0"/>
          <w:numId w:val="1"/>
        </w:numPr>
        <w:rPr>
          <w:color w:val="000000" w:themeColor="text1"/>
          <w:sz w:val="24"/>
          <w:szCs w:val="24"/>
          <w:lang w:val="en-GB"/>
        </w:rPr>
      </w:pPr>
      <w:r w:rsidRPr="6395FD93">
        <w:rPr>
          <w:color w:val="000000" w:themeColor="text1"/>
          <w:sz w:val="24"/>
          <w:szCs w:val="24"/>
          <w:lang w:val="en-GB"/>
        </w:rPr>
        <w:t xml:space="preserve">Payback period does not focus on the other cashflows after payback period is </w:t>
      </w:r>
      <w:r w:rsidR="00A177A4">
        <w:rPr>
          <w:color w:val="000000" w:themeColor="text1"/>
          <w:sz w:val="24"/>
          <w:szCs w:val="24"/>
          <w:lang w:val="en-GB"/>
        </w:rPr>
        <w:t xml:space="preserve">            </w:t>
      </w:r>
      <w:r w:rsidRPr="6395FD93">
        <w:rPr>
          <w:color w:val="000000" w:themeColor="text1"/>
          <w:sz w:val="24"/>
          <w:szCs w:val="24"/>
          <w:lang w:val="en-GB"/>
        </w:rPr>
        <w:t xml:space="preserve">reached </w:t>
      </w:r>
    </w:p>
    <w:p w14:paraId="2ABC84DF" w14:textId="03F4D149" w:rsidR="3C0493CB" w:rsidRPr="003E41F5" w:rsidRDefault="6395FD93" w:rsidP="6395FD93">
      <w:pPr>
        <w:pStyle w:val="ListBullet"/>
        <w:numPr>
          <w:ilvl w:val="0"/>
          <w:numId w:val="0"/>
        </w:numPr>
        <w:rPr>
          <w:b/>
          <w:bCs/>
          <w:color w:val="auto"/>
          <w:sz w:val="24"/>
          <w:szCs w:val="24"/>
          <w:lang w:val="en-GB"/>
        </w:rPr>
      </w:pPr>
      <w:r w:rsidRPr="003E41F5">
        <w:rPr>
          <w:b/>
          <w:bCs/>
          <w:color w:val="auto"/>
          <w:sz w:val="24"/>
          <w:szCs w:val="24"/>
          <w:lang w:val="en-GB"/>
        </w:rPr>
        <w:t>The advantages of NPV techniques are namely;</w:t>
      </w:r>
    </w:p>
    <w:p w14:paraId="3E7C3218" w14:textId="3CAE391B" w:rsidR="3C0493CB" w:rsidRPr="00551E6F" w:rsidRDefault="6395FD93" w:rsidP="5CE60E2F">
      <w:pPr>
        <w:pStyle w:val="ListBullet"/>
        <w:numPr>
          <w:ilvl w:val="0"/>
          <w:numId w:val="0"/>
        </w:numPr>
        <w:rPr>
          <w:b/>
          <w:bCs/>
          <w:color w:val="000000" w:themeColor="text1"/>
          <w:lang w:val="en-GB"/>
        </w:rPr>
      </w:pPr>
      <w:r w:rsidRPr="00551E6F">
        <w:rPr>
          <w:b/>
          <w:bCs/>
          <w:color w:val="000000" w:themeColor="text1"/>
          <w:sz w:val="24"/>
          <w:szCs w:val="24"/>
          <w:lang w:val="en-GB"/>
        </w:rPr>
        <w:t>Time value of money</w:t>
      </w:r>
    </w:p>
    <w:p w14:paraId="34FAE2CC" w14:textId="7BA79E60"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lastRenderedPageBreak/>
        <w:t>This is based on the fact that the pound today is worth more than a pound in a year's time.</w:t>
      </w:r>
    </w:p>
    <w:p w14:paraId="275FD964" w14:textId="754BF741" w:rsidR="3C0493CB" w:rsidRPr="00551E6F" w:rsidRDefault="6395FD93" w:rsidP="5CE60E2F">
      <w:pPr>
        <w:pStyle w:val="ListBullet"/>
        <w:numPr>
          <w:ilvl w:val="0"/>
          <w:numId w:val="0"/>
        </w:numPr>
        <w:rPr>
          <w:b/>
          <w:bCs/>
          <w:color w:val="000000" w:themeColor="text1"/>
          <w:lang w:val="en-GB"/>
        </w:rPr>
      </w:pPr>
      <w:r w:rsidRPr="00551E6F">
        <w:rPr>
          <w:b/>
          <w:bCs/>
          <w:color w:val="000000" w:themeColor="text1"/>
          <w:sz w:val="24"/>
          <w:szCs w:val="24"/>
          <w:lang w:val="en-GB"/>
        </w:rPr>
        <w:t>Absolute figure</w:t>
      </w:r>
    </w:p>
    <w:p w14:paraId="72678119" w14:textId="238DF756"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NPV figure gives an absolute value that is added to the shareholders wealth.</w:t>
      </w:r>
    </w:p>
    <w:p w14:paraId="025C1EAB" w14:textId="5EE2B831" w:rsidR="00852CEF" w:rsidRPr="00551E6F" w:rsidRDefault="006326E5" w:rsidP="5CE60E2F">
      <w:pPr>
        <w:pStyle w:val="ListBullet"/>
        <w:numPr>
          <w:ilvl w:val="0"/>
          <w:numId w:val="0"/>
        </w:numPr>
        <w:rPr>
          <w:b/>
          <w:bCs/>
          <w:color w:val="000000" w:themeColor="text1"/>
          <w:lang w:val="en-GB"/>
        </w:rPr>
      </w:pPr>
      <w:r>
        <w:rPr>
          <w:b/>
          <w:bCs/>
          <w:color w:val="000000" w:themeColor="text1"/>
          <w:sz w:val="24"/>
          <w:szCs w:val="24"/>
          <w:lang w:val="en-GB"/>
        </w:rPr>
        <w:t>All cash flows</w:t>
      </w:r>
    </w:p>
    <w:p w14:paraId="231132A1" w14:textId="23CB32FD" w:rsidR="00852CEF" w:rsidRDefault="00852CEF" w:rsidP="00852CEF">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NPV </w:t>
      </w:r>
      <w:r w:rsidR="006326E5">
        <w:rPr>
          <w:color w:val="000000" w:themeColor="text1"/>
          <w:sz w:val="24"/>
          <w:szCs w:val="24"/>
          <w:lang w:val="en-GB"/>
        </w:rPr>
        <w:t xml:space="preserve">method takes into consideration all the cash flows for </w:t>
      </w:r>
      <w:r w:rsidR="00E94B0C">
        <w:rPr>
          <w:color w:val="000000" w:themeColor="text1"/>
          <w:sz w:val="24"/>
          <w:szCs w:val="24"/>
          <w:lang w:val="en-GB"/>
        </w:rPr>
        <w:t>the whole of the project duration</w:t>
      </w:r>
      <w:r w:rsidR="00430A26">
        <w:rPr>
          <w:color w:val="000000" w:themeColor="text1"/>
          <w:sz w:val="24"/>
          <w:szCs w:val="24"/>
          <w:lang w:val="en-GB"/>
        </w:rPr>
        <w:t xml:space="preserve"> compared to payback which stops immediately payback period is reached</w:t>
      </w:r>
      <w:r w:rsidRPr="6395FD93">
        <w:rPr>
          <w:color w:val="000000" w:themeColor="text1"/>
          <w:sz w:val="24"/>
          <w:szCs w:val="24"/>
          <w:lang w:val="en-GB"/>
        </w:rPr>
        <w:t>.</w:t>
      </w:r>
    </w:p>
    <w:p w14:paraId="3B34C579" w14:textId="295C0223" w:rsidR="009F181D" w:rsidRDefault="00FE4818" w:rsidP="5CE60E2F">
      <w:pPr>
        <w:pStyle w:val="ListBullet"/>
        <w:numPr>
          <w:ilvl w:val="0"/>
          <w:numId w:val="0"/>
        </w:numPr>
        <w:rPr>
          <w:b/>
          <w:bCs/>
          <w:color w:val="000000" w:themeColor="text1"/>
          <w:sz w:val="24"/>
          <w:szCs w:val="24"/>
          <w:lang w:val="en-GB"/>
        </w:rPr>
      </w:pPr>
      <w:r w:rsidRPr="00FE4818">
        <w:rPr>
          <w:b/>
          <w:bCs/>
          <w:color w:val="000000" w:themeColor="text1"/>
          <w:sz w:val="24"/>
          <w:szCs w:val="24"/>
          <w:lang w:val="en-GB"/>
        </w:rPr>
        <w:t>Irregular cash flows</w:t>
      </w:r>
    </w:p>
    <w:p w14:paraId="11024DCE" w14:textId="43445828" w:rsidR="00FE4818" w:rsidRPr="00A81815" w:rsidRDefault="009641B7" w:rsidP="00FE4818">
      <w:pPr>
        <w:pStyle w:val="ListBullet"/>
        <w:numPr>
          <w:ilvl w:val="0"/>
          <w:numId w:val="0"/>
        </w:numPr>
        <w:rPr>
          <w:color w:val="000000" w:themeColor="text1"/>
          <w:sz w:val="24"/>
          <w:szCs w:val="24"/>
          <w:lang w:val="en-GB"/>
        </w:rPr>
      </w:pPr>
      <w:r w:rsidRPr="00A81815">
        <w:rPr>
          <w:color w:val="000000" w:themeColor="text1"/>
          <w:sz w:val="24"/>
          <w:szCs w:val="24"/>
          <w:lang w:val="en-GB"/>
        </w:rPr>
        <w:t>NPV method can handle</w:t>
      </w:r>
      <w:r w:rsidR="004E2484" w:rsidRPr="00A81815">
        <w:rPr>
          <w:color w:val="000000" w:themeColor="text1"/>
          <w:sz w:val="24"/>
          <w:szCs w:val="24"/>
          <w:lang w:val="en-GB"/>
        </w:rPr>
        <w:t xml:space="preserve"> conventional and unconventional cashflows</w:t>
      </w:r>
      <w:r w:rsidR="00B560D9" w:rsidRPr="00A81815">
        <w:rPr>
          <w:color w:val="000000" w:themeColor="text1"/>
          <w:sz w:val="24"/>
          <w:szCs w:val="24"/>
          <w:lang w:val="en-GB"/>
        </w:rPr>
        <w:t xml:space="preserve">, </w:t>
      </w:r>
      <w:r w:rsidR="00A81815" w:rsidRPr="00A81815">
        <w:rPr>
          <w:color w:val="000000" w:themeColor="text1"/>
          <w:sz w:val="24"/>
          <w:szCs w:val="24"/>
          <w:lang w:val="en-GB"/>
        </w:rPr>
        <w:t>that is where there is cash inflow or cashflow during the project duration.</w:t>
      </w:r>
    </w:p>
    <w:p w14:paraId="7C7171D6" w14:textId="3EC79548" w:rsidR="00E94B0C" w:rsidRPr="00551E6F" w:rsidRDefault="00223E7C" w:rsidP="5CE60E2F">
      <w:pPr>
        <w:pStyle w:val="ListBullet"/>
        <w:numPr>
          <w:ilvl w:val="0"/>
          <w:numId w:val="0"/>
        </w:numPr>
        <w:rPr>
          <w:b/>
          <w:bCs/>
          <w:color w:val="000000" w:themeColor="text1"/>
          <w:lang w:val="en-GB"/>
        </w:rPr>
      </w:pPr>
      <w:r>
        <w:rPr>
          <w:b/>
          <w:bCs/>
          <w:color w:val="000000" w:themeColor="text1"/>
          <w:sz w:val="24"/>
          <w:szCs w:val="24"/>
          <w:lang w:val="en-GB"/>
        </w:rPr>
        <w:t>Comparison</w:t>
      </w:r>
    </w:p>
    <w:p w14:paraId="27290BEA" w14:textId="29EC49CC" w:rsidR="00E94B0C" w:rsidRDefault="00223E7C" w:rsidP="00E94B0C">
      <w:pPr>
        <w:pStyle w:val="ListBullet"/>
        <w:numPr>
          <w:ilvl w:val="0"/>
          <w:numId w:val="0"/>
        </w:numPr>
        <w:rPr>
          <w:color w:val="000000" w:themeColor="text1"/>
          <w:sz w:val="24"/>
          <w:szCs w:val="24"/>
          <w:lang w:val="en-GB"/>
        </w:rPr>
      </w:pPr>
      <w:r>
        <w:rPr>
          <w:color w:val="000000" w:themeColor="text1"/>
          <w:sz w:val="24"/>
          <w:szCs w:val="24"/>
          <w:lang w:val="en-GB"/>
        </w:rPr>
        <w:t xml:space="preserve">Can be used as a basis for comparing mutually exclusive projects </w:t>
      </w:r>
      <w:r w:rsidR="008D0BE5">
        <w:rPr>
          <w:color w:val="000000" w:themeColor="text1"/>
          <w:sz w:val="24"/>
          <w:szCs w:val="24"/>
          <w:lang w:val="en-GB"/>
        </w:rPr>
        <w:t>as the one with the highest NPV figure should be chosen.</w:t>
      </w:r>
    </w:p>
    <w:p w14:paraId="6DCB3766" w14:textId="62C9B8C0" w:rsidR="007D63C0" w:rsidRPr="00551E6F" w:rsidRDefault="00532C10" w:rsidP="5CE60E2F">
      <w:pPr>
        <w:pStyle w:val="ListBullet"/>
        <w:numPr>
          <w:ilvl w:val="0"/>
          <w:numId w:val="0"/>
        </w:numPr>
        <w:rPr>
          <w:b/>
          <w:bCs/>
          <w:color w:val="000000" w:themeColor="text1"/>
          <w:lang w:val="en-GB"/>
        </w:rPr>
      </w:pPr>
      <w:r>
        <w:rPr>
          <w:b/>
          <w:bCs/>
          <w:color w:val="000000" w:themeColor="text1"/>
          <w:sz w:val="24"/>
          <w:szCs w:val="24"/>
          <w:lang w:val="en-GB"/>
        </w:rPr>
        <w:t xml:space="preserve">Superiority </w:t>
      </w:r>
    </w:p>
    <w:p w14:paraId="28194250" w14:textId="6DDC4382" w:rsidR="007D63C0" w:rsidRDefault="00532C10" w:rsidP="007D63C0">
      <w:pPr>
        <w:pStyle w:val="ListBullet"/>
        <w:numPr>
          <w:ilvl w:val="0"/>
          <w:numId w:val="0"/>
        </w:numPr>
        <w:rPr>
          <w:color w:val="000000" w:themeColor="text1"/>
          <w:sz w:val="24"/>
          <w:szCs w:val="24"/>
          <w:lang w:val="en-GB"/>
        </w:rPr>
      </w:pPr>
      <w:r>
        <w:rPr>
          <w:color w:val="000000" w:themeColor="text1"/>
          <w:sz w:val="24"/>
          <w:szCs w:val="24"/>
          <w:lang w:val="en-GB"/>
        </w:rPr>
        <w:t xml:space="preserve">Widely considered </w:t>
      </w:r>
      <w:r w:rsidR="00351B46">
        <w:rPr>
          <w:color w:val="000000" w:themeColor="text1"/>
          <w:sz w:val="24"/>
          <w:szCs w:val="24"/>
          <w:lang w:val="en-GB"/>
        </w:rPr>
        <w:t xml:space="preserve"> by most academics </w:t>
      </w:r>
      <w:r>
        <w:rPr>
          <w:color w:val="000000" w:themeColor="text1"/>
          <w:sz w:val="24"/>
          <w:szCs w:val="24"/>
          <w:lang w:val="en-GB"/>
        </w:rPr>
        <w:t>as the most superior investment appraisal technique</w:t>
      </w:r>
    </w:p>
    <w:p w14:paraId="53BDFAEC" w14:textId="3632A266" w:rsidR="00142065" w:rsidRPr="00551E6F" w:rsidRDefault="00AC7696" w:rsidP="5CE60E2F">
      <w:pPr>
        <w:pStyle w:val="ListBullet"/>
        <w:numPr>
          <w:ilvl w:val="0"/>
          <w:numId w:val="0"/>
        </w:numPr>
        <w:rPr>
          <w:b/>
          <w:bCs/>
          <w:color w:val="000000" w:themeColor="text1"/>
          <w:lang w:val="en-GB"/>
        </w:rPr>
      </w:pPr>
      <w:r>
        <w:rPr>
          <w:b/>
          <w:bCs/>
          <w:color w:val="000000" w:themeColor="text1"/>
          <w:sz w:val="24"/>
          <w:szCs w:val="24"/>
          <w:lang w:val="en-GB"/>
        </w:rPr>
        <w:t>Cash flows usage</w:t>
      </w:r>
    </w:p>
    <w:p w14:paraId="3A500B39" w14:textId="709E460E" w:rsidR="00142065" w:rsidRDefault="00142065" w:rsidP="00142065">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NPV </w:t>
      </w:r>
      <w:r w:rsidR="00AC7696">
        <w:rPr>
          <w:color w:val="000000" w:themeColor="text1"/>
          <w:sz w:val="24"/>
          <w:szCs w:val="24"/>
          <w:lang w:val="en-GB"/>
        </w:rPr>
        <w:t>method uses cash flows and not accounting profit</w:t>
      </w:r>
      <w:r w:rsidR="00576B92">
        <w:rPr>
          <w:color w:val="000000" w:themeColor="text1"/>
          <w:sz w:val="24"/>
          <w:szCs w:val="24"/>
          <w:lang w:val="en-GB"/>
        </w:rPr>
        <w:t>.</w:t>
      </w:r>
    </w:p>
    <w:p w14:paraId="2F763576" w14:textId="77777777" w:rsidR="007D63C0" w:rsidRDefault="007D63C0" w:rsidP="00E94B0C">
      <w:pPr>
        <w:pStyle w:val="ListBullet"/>
        <w:numPr>
          <w:ilvl w:val="0"/>
          <w:numId w:val="0"/>
        </w:numPr>
        <w:rPr>
          <w:color w:val="000000" w:themeColor="text1"/>
          <w:sz w:val="24"/>
          <w:szCs w:val="24"/>
          <w:lang w:val="en-GB"/>
        </w:rPr>
      </w:pPr>
    </w:p>
    <w:p w14:paraId="4B2F762C" w14:textId="07781579" w:rsidR="3C0493CB" w:rsidRPr="003E41F5" w:rsidRDefault="6395FD93" w:rsidP="6395FD93">
      <w:pPr>
        <w:pStyle w:val="ListBullet"/>
        <w:numPr>
          <w:ilvl w:val="0"/>
          <w:numId w:val="0"/>
        </w:numPr>
        <w:rPr>
          <w:b/>
          <w:bCs/>
          <w:color w:val="auto"/>
          <w:sz w:val="24"/>
          <w:szCs w:val="24"/>
          <w:lang w:val="en-GB"/>
        </w:rPr>
      </w:pPr>
      <w:r w:rsidRPr="003E41F5">
        <w:rPr>
          <w:b/>
          <w:bCs/>
          <w:color w:val="auto"/>
          <w:sz w:val="24"/>
          <w:szCs w:val="24"/>
          <w:lang w:val="en-GB"/>
        </w:rPr>
        <w:t>The disadvantages of NPV techniques are namely;</w:t>
      </w:r>
    </w:p>
    <w:p w14:paraId="3EF497C9" w14:textId="795247C3" w:rsidR="3C0493CB" w:rsidRPr="00551E6F" w:rsidRDefault="6395FD93" w:rsidP="5CE60E2F">
      <w:pPr>
        <w:pStyle w:val="ListBullet"/>
        <w:numPr>
          <w:ilvl w:val="0"/>
          <w:numId w:val="0"/>
        </w:numPr>
        <w:rPr>
          <w:b/>
          <w:bCs/>
          <w:color w:val="000000" w:themeColor="text1"/>
          <w:lang w:val="en-GB"/>
        </w:rPr>
      </w:pPr>
      <w:r w:rsidRPr="00551E6F">
        <w:rPr>
          <w:b/>
          <w:bCs/>
          <w:color w:val="000000" w:themeColor="text1"/>
          <w:sz w:val="24"/>
          <w:szCs w:val="24"/>
          <w:lang w:val="en-GB"/>
        </w:rPr>
        <w:t>Difficult to understand</w:t>
      </w:r>
    </w:p>
    <w:p w14:paraId="52615A5C" w14:textId="5E79FD32"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Most people find the calculation tedious and difficult to understand.</w:t>
      </w:r>
    </w:p>
    <w:p w14:paraId="07247847" w14:textId="1CE69DA2" w:rsidR="3C0493CB" w:rsidRPr="00086DAD" w:rsidRDefault="6395FD93" w:rsidP="5CE60E2F">
      <w:pPr>
        <w:pStyle w:val="ListBullet"/>
        <w:numPr>
          <w:ilvl w:val="0"/>
          <w:numId w:val="0"/>
        </w:numPr>
        <w:rPr>
          <w:b/>
          <w:bCs/>
          <w:color w:val="000000" w:themeColor="text1"/>
          <w:lang w:val="en-GB"/>
        </w:rPr>
      </w:pPr>
      <w:r w:rsidRPr="00086DAD">
        <w:rPr>
          <w:b/>
          <w:bCs/>
          <w:color w:val="000000" w:themeColor="text1"/>
          <w:sz w:val="24"/>
          <w:szCs w:val="24"/>
          <w:lang w:val="en-GB"/>
        </w:rPr>
        <w:t>Comparison</w:t>
      </w:r>
    </w:p>
    <w:p w14:paraId="36794C6E" w14:textId="4829D4CB"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NPV is not a useful method to compare </w:t>
      </w:r>
      <w:r w:rsidR="00F66C00">
        <w:rPr>
          <w:color w:val="000000" w:themeColor="text1"/>
          <w:sz w:val="24"/>
          <w:szCs w:val="24"/>
          <w:lang w:val="en-GB"/>
        </w:rPr>
        <w:t xml:space="preserve">projects </w:t>
      </w:r>
      <w:r w:rsidRPr="6395FD93">
        <w:rPr>
          <w:color w:val="000000" w:themeColor="text1"/>
          <w:sz w:val="24"/>
          <w:szCs w:val="24"/>
          <w:lang w:val="en-GB"/>
        </w:rPr>
        <w:t>of different size because of the otherwise advantage of giving absolute value.</w:t>
      </w:r>
    </w:p>
    <w:p w14:paraId="4F115D6A" w14:textId="185F78AD" w:rsidR="00985948" w:rsidRPr="00086DAD" w:rsidRDefault="000F56F2" w:rsidP="5CE60E2F">
      <w:pPr>
        <w:pStyle w:val="ListBullet"/>
        <w:numPr>
          <w:ilvl w:val="0"/>
          <w:numId w:val="0"/>
        </w:numPr>
        <w:rPr>
          <w:b/>
          <w:bCs/>
          <w:color w:val="000000" w:themeColor="text1"/>
          <w:lang w:val="en-GB"/>
        </w:rPr>
      </w:pPr>
      <w:r>
        <w:rPr>
          <w:b/>
          <w:bCs/>
          <w:color w:val="000000" w:themeColor="text1"/>
          <w:sz w:val="24"/>
          <w:szCs w:val="24"/>
          <w:lang w:val="en-GB"/>
        </w:rPr>
        <w:t>Difficulty in finding cost of capital</w:t>
      </w:r>
    </w:p>
    <w:p w14:paraId="6839874B" w14:textId="385AA663" w:rsidR="00985948" w:rsidRDefault="00A63596" w:rsidP="00985948">
      <w:pPr>
        <w:pStyle w:val="ListBullet"/>
        <w:numPr>
          <w:ilvl w:val="0"/>
          <w:numId w:val="0"/>
        </w:numPr>
        <w:rPr>
          <w:color w:val="000000" w:themeColor="text1"/>
          <w:sz w:val="24"/>
          <w:szCs w:val="24"/>
          <w:lang w:val="en-GB"/>
        </w:rPr>
      </w:pPr>
      <w:r>
        <w:rPr>
          <w:color w:val="000000" w:themeColor="text1"/>
          <w:sz w:val="24"/>
          <w:szCs w:val="24"/>
          <w:lang w:val="en-GB"/>
        </w:rPr>
        <w:t xml:space="preserve">It may be difficult to find the cost of capital to be used in the </w:t>
      </w:r>
      <w:r w:rsidR="003443FB">
        <w:rPr>
          <w:color w:val="000000" w:themeColor="text1"/>
          <w:sz w:val="24"/>
          <w:szCs w:val="24"/>
          <w:lang w:val="en-GB"/>
        </w:rPr>
        <w:t>NPV calculation.</w:t>
      </w:r>
    </w:p>
    <w:p w14:paraId="4EA5AA1D" w14:textId="718372A9" w:rsidR="008257FF" w:rsidRPr="00086DAD" w:rsidRDefault="008257FF" w:rsidP="5CE60E2F">
      <w:pPr>
        <w:pStyle w:val="ListBullet"/>
        <w:numPr>
          <w:ilvl w:val="0"/>
          <w:numId w:val="0"/>
        </w:numPr>
        <w:rPr>
          <w:b/>
          <w:bCs/>
          <w:color w:val="000000" w:themeColor="text1"/>
          <w:lang w:val="en-GB"/>
        </w:rPr>
      </w:pPr>
      <w:r w:rsidRPr="00086DAD">
        <w:rPr>
          <w:b/>
          <w:bCs/>
          <w:color w:val="000000" w:themeColor="text1"/>
          <w:sz w:val="24"/>
          <w:szCs w:val="24"/>
          <w:lang w:val="en-GB"/>
        </w:rPr>
        <w:t>Co</w:t>
      </w:r>
      <w:r w:rsidR="00985948">
        <w:rPr>
          <w:b/>
          <w:bCs/>
          <w:color w:val="000000" w:themeColor="text1"/>
          <w:sz w:val="24"/>
          <w:szCs w:val="24"/>
          <w:lang w:val="en-GB"/>
        </w:rPr>
        <w:t>st of capital</w:t>
      </w:r>
    </w:p>
    <w:p w14:paraId="447BF4D3" w14:textId="04640FEB" w:rsidR="008257FF" w:rsidRDefault="00EE74BD" w:rsidP="008257FF">
      <w:pPr>
        <w:pStyle w:val="ListBullet"/>
        <w:numPr>
          <w:ilvl w:val="0"/>
          <w:numId w:val="0"/>
        </w:numPr>
        <w:rPr>
          <w:color w:val="000000" w:themeColor="text1"/>
          <w:sz w:val="24"/>
          <w:szCs w:val="24"/>
          <w:lang w:val="en-GB"/>
        </w:rPr>
      </w:pPr>
      <w:r>
        <w:rPr>
          <w:color w:val="000000" w:themeColor="text1"/>
          <w:sz w:val="24"/>
          <w:szCs w:val="24"/>
          <w:lang w:val="en-GB"/>
        </w:rPr>
        <w:t xml:space="preserve">Cost of capital may not be constant </w:t>
      </w:r>
      <w:r w:rsidR="000F56F2">
        <w:rPr>
          <w:color w:val="000000" w:themeColor="text1"/>
          <w:sz w:val="24"/>
          <w:szCs w:val="24"/>
          <w:lang w:val="en-GB"/>
        </w:rPr>
        <w:t>during</w:t>
      </w:r>
      <w:r>
        <w:rPr>
          <w:color w:val="000000" w:themeColor="text1"/>
          <w:sz w:val="24"/>
          <w:szCs w:val="24"/>
          <w:lang w:val="en-GB"/>
        </w:rPr>
        <w:t xml:space="preserve"> the duration of the project.</w:t>
      </w:r>
    </w:p>
    <w:p w14:paraId="796B4E07" w14:textId="190A923E" w:rsidR="00B6581D" w:rsidRPr="00086DAD" w:rsidRDefault="00B6581D" w:rsidP="5CE60E2F">
      <w:pPr>
        <w:pStyle w:val="ListBullet"/>
        <w:numPr>
          <w:ilvl w:val="0"/>
          <w:numId w:val="0"/>
        </w:numPr>
        <w:rPr>
          <w:b/>
          <w:bCs/>
          <w:color w:val="000000" w:themeColor="text1"/>
          <w:lang w:val="en-GB"/>
        </w:rPr>
      </w:pPr>
      <w:r>
        <w:rPr>
          <w:b/>
          <w:bCs/>
          <w:color w:val="000000" w:themeColor="text1"/>
          <w:sz w:val="24"/>
          <w:szCs w:val="24"/>
          <w:lang w:val="en-GB"/>
        </w:rPr>
        <w:t xml:space="preserve">Difficulty in </w:t>
      </w:r>
      <w:r w:rsidR="007D3A64">
        <w:rPr>
          <w:b/>
          <w:bCs/>
          <w:color w:val="000000" w:themeColor="text1"/>
          <w:sz w:val="24"/>
          <w:szCs w:val="24"/>
          <w:lang w:val="en-GB"/>
        </w:rPr>
        <w:t>estimating project cash flows</w:t>
      </w:r>
    </w:p>
    <w:p w14:paraId="249D5F60" w14:textId="4FE2A4DE" w:rsidR="00B6581D" w:rsidRDefault="00B6581D" w:rsidP="00B6581D">
      <w:pPr>
        <w:pStyle w:val="ListBullet"/>
        <w:numPr>
          <w:ilvl w:val="0"/>
          <w:numId w:val="0"/>
        </w:numPr>
        <w:rPr>
          <w:color w:val="000000" w:themeColor="text1"/>
          <w:sz w:val="24"/>
          <w:szCs w:val="24"/>
          <w:lang w:val="en-GB"/>
        </w:rPr>
      </w:pPr>
      <w:r>
        <w:rPr>
          <w:color w:val="000000" w:themeColor="text1"/>
          <w:sz w:val="24"/>
          <w:szCs w:val="24"/>
          <w:lang w:val="en-GB"/>
        </w:rPr>
        <w:t xml:space="preserve">It may be difficult to </w:t>
      </w:r>
      <w:r w:rsidR="00BB3D4D">
        <w:rPr>
          <w:color w:val="000000" w:themeColor="text1"/>
          <w:sz w:val="24"/>
          <w:szCs w:val="24"/>
          <w:lang w:val="en-GB"/>
        </w:rPr>
        <w:t>estimate</w:t>
      </w:r>
      <w:r>
        <w:rPr>
          <w:color w:val="000000" w:themeColor="text1"/>
          <w:sz w:val="24"/>
          <w:szCs w:val="24"/>
          <w:lang w:val="en-GB"/>
        </w:rPr>
        <w:t xml:space="preserve"> the </w:t>
      </w:r>
      <w:r w:rsidR="00BB3D4D">
        <w:rPr>
          <w:color w:val="000000" w:themeColor="text1"/>
          <w:sz w:val="24"/>
          <w:szCs w:val="24"/>
          <w:lang w:val="en-GB"/>
        </w:rPr>
        <w:t>project cash flows to</w:t>
      </w:r>
      <w:r>
        <w:rPr>
          <w:color w:val="000000" w:themeColor="text1"/>
          <w:sz w:val="24"/>
          <w:szCs w:val="24"/>
          <w:lang w:val="en-GB"/>
        </w:rPr>
        <w:t xml:space="preserve"> be used in the NPV calculation.</w:t>
      </w:r>
    </w:p>
    <w:p w14:paraId="63FCE46E" w14:textId="6E74BAC4" w:rsidR="31B59334" w:rsidRDefault="31B59334" w:rsidP="3C0493CB">
      <w:pPr>
        <w:pStyle w:val="ListBullet"/>
        <w:numPr>
          <w:ilvl w:val="0"/>
          <w:numId w:val="0"/>
        </w:numPr>
        <w:rPr>
          <w:color w:val="000000" w:themeColor="text1"/>
          <w:sz w:val="24"/>
          <w:szCs w:val="24"/>
          <w:lang w:val="en-GB"/>
        </w:rPr>
      </w:pPr>
    </w:p>
    <w:p w14:paraId="195EC524" w14:textId="0DEAA0A2" w:rsidR="31B59334" w:rsidRDefault="6395FD93" w:rsidP="6395FD93">
      <w:pPr>
        <w:pStyle w:val="ListBullet"/>
        <w:numPr>
          <w:ilvl w:val="0"/>
          <w:numId w:val="0"/>
        </w:numPr>
        <w:jc w:val="center"/>
        <w:rPr>
          <w:b/>
          <w:bCs/>
          <w:color w:val="000000" w:themeColor="text1"/>
          <w:sz w:val="24"/>
          <w:szCs w:val="24"/>
          <w:lang w:val="en-GB"/>
        </w:rPr>
      </w:pPr>
      <w:r w:rsidRPr="6395FD93">
        <w:rPr>
          <w:b/>
          <w:bCs/>
          <w:color w:val="000000" w:themeColor="text1"/>
          <w:sz w:val="24"/>
          <w:szCs w:val="24"/>
          <w:lang w:val="en-GB"/>
        </w:rPr>
        <w:lastRenderedPageBreak/>
        <w:t>(e) Discuss the non-financial factors that need to be considered in investment appraisal process.</w:t>
      </w:r>
    </w:p>
    <w:p w14:paraId="44D1C01B" w14:textId="2AF1881E" w:rsidR="6395FD93" w:rsidRPr="003E41F5" w:rsidRDefault="008A5FC3" w:rsidP="003E41F5">
      <w:pPr>
        <w:pStyle w:val="ListBullet"/>
        <w:numPr>
          <w:ilvl w:val="0"/>
          <w:numId w:val="0"/>
        </w:numPr>
        <w:rPr>
          <w:color w:val="000000" w:themeColor="text1"/>
          <w:sz w:val="24"/>
          <w:szCs w:val="24"/>
          <w:lang w:val="en-GB"/>
        </w:rPr>
      </w:pPr>
      <w:r w:rsidRPr="00BB60ED">
        <w:rPr>
          <w:color w:val="000000" w:themeColor="text1"/>
          <w:sz w:val="24"/>
          <w:szCs w:val="24"/>
          <w:lang w:val="en-GB"/>
        </w:rPr>
        <w:t xml:space="preserve">Investment appraisal techniques concentrate </w:t>
      </w:r>
      <w:r w:rsidR="00BB60ED" w:rsidRPr="00BB60ED">
        <w:rPr>
          <w:color w:val="000000" w:themeColor="text1"/>
          <w:sz w:val="24"/>
          <w:szCs w:val="24"/>
          <w:lang w:val="en-GB"/>
        </w:rPr>
        <w:t>on the financial aspect to justify capital budgeting investment, but it has been shown that managers make decision</w:t>
      </w:r>
      <w:r w:rsidR="00BB60ED">
        <w:rPr>
          <w:color w:val="000000" w:themeColor="text1"/>
          <w:sz w:val="24"/>
          <w:szCs w:val="24"/>
          <w:lang w:val="en-GB"/>
        </w:rPr>
        <w:t xml:space="preserve"> based on qualitative reason thus the importance of non-financial factors</w:t>
      </w:r>
    </w:p>
    <w:p w14:paraId="0057A292" w14:textId="4D6B4831" w:rsidR="32BFCE00"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In this regard, Johnson </w:t>
      </w:r>
      <w:r w:rsidR="003E41F5">
        <w:rPr>
          <w:color w:val="000000" w:themeColor="text1"/>
          <w:sz w:val="24"/>
          <w:szCs w:val="24"/>
          <w:lang w:val="en-GB"/>
        </w:rPr>
        <w:t xml:space="preserve">&amp; </w:t>
      </w:r>
      <w:r w:rsidRPr="6395FD93">
        <w:rPr>
          <w:color w:val="000000" w:themeColor="text1"/>
          <w:sz w:val="24"/>
          <w:szCs w:val="24"/>
          <w:lang w:val="en-GB"/>
        </w:rPr>
        <w:t>Scholes SFA model will be applicable:</w:t>
      </w:r>
    </w:p>
    <w:p w14:paraId="07F5C626" w14:textId="5C0FFF27" w:rsidR="32BFCE00" w:rsidRDefault="6395FD93" w:rsidP="003E41F5">
      <w:pPr>
        <w:pStyle w:val="ListBullet"/>
        <w:numPr>
          <w:ilvl w:val="0"/>
          <w:numId w:val="10"/>
        </w:numPr>
        <w:rPr>
          <w:color w:val="000000" w:themeColor="text1"/>
          <w:lang w:val="en-GB"/>
        </w:rPr>
      </w:pPr>
      <w:r w:rsidRPr="6395FD93">
        <w:rPr>
          <w:color w:val="000000" w:themeColor="text1"/>
          <w:sz w:val="24"/>
          <w:szCs w:val="24"/>
          <w:lang w:val="en-GB"/>
        </w:rPr>
        <w:t>Suitability</w:t>
      </w:r>
    </w:p>
    <w:p w14:paraId="590FA7DB" w14:textId="7DE95B27" w:rsidR="32BFCE00" w:rsidRDefault="6395FD93" w:rsidP="003E41F5">
      <w:pPr>
        <w:pStyle w:val="ListBullet"/>
        <w:numPr>
          <w:ilvl w:val="0"/>
          <w:numId w:val="10"/>
        </w:numPr>
        <w:rPr>
          <w:color w:val="000000" w:themeColor="text1"/>
          <w:lang w:val="en-GB"/>
        </w:rPr>
      </w:pPr>
      <w:r w:rsidRPr="6395FD93">
        <w:rPr>
          <w:color w:val="000000" w:themeColor="text1"/>
          <w:sz w:val="24"/>
          <w:szCs w:val="24"/>
          <w:lang w:val="en-GB"/>
        </w:rPr>
        <w:t>Feasibility</w:t>
      </w:r>
    </w:p>
    <w:p w14:paraId="2DC59AF1" w14:textId="0BC89B01" w:rsidR="32BFCE00" w:rsidRDefault="6395FD93" w:rsidP="003E41F5">
      <w:pPr>
        <w:pStyle w:val="ListBullet"/>
        <w:numPr>
          <w:ilvl w:val="0"/>
          <w:numId w:val="10"/>
        </w:numPr>
        <w:rPr>
          <w:color w:val="000000" w:themeColor="text1"/>
          <w:lang w:val="en-GB"/>
        </w:rPr>
      </w:pPr>
      <w:r w:rsidRPr="6395FD93">
        <w:rPr>
          <w:color w:val="000000" w:themeColor="text1"/>
          <w:sz w:val="24"/>
          <w:szCs w:val="24"/>
          <w:lang w:val="en-GB"/>
        </w:rPr>
        <w:t>Acceptability</w:t>
      </w:r>
    </w:p>
    <w:p w14:paraId="66D2ECDC" w14:textId="239F402C" w:rsidR="32BFCE00" w:rsidRDefault="6395FD93" w:rsidP="6395FD93">
      <w:pPr>
        <w:pStyle w:val="ListBullet"/>
        <w:numPr>
          <w:ilvl w:val="0"/>
          <w:numId w:val="0"/>
        </w:numPr>
        <w:rPr>
          <w:b/>
          <w:bCs/>
          <w:color w:val="000000" w:themeColor="text1"/>
          <w:sz w:val="24"/>
          <w:szCs w:val="24"/>
          <w:lang w:val="en-GB"/>
        </w:rPr>
      </w:pPr>
      <w:r w:rsidRPr="6395FD93">
        <w:rPr>
          <w:b/>
          <w:bCs/>
          <w:color w:val="000000" w:themeColor="text1"/>
          <w:sz w:val="24"/>
          <w:szCs w:val="24"/>
          <w:lang w:val="en-GB"/>
        </w:rPr>
        <w:t>SUITABILITY</w:t>
      </w:r>
    </w:p>
    <w:p w14:paraId="7A5F527C" w14:textId="17460631" w:rsidR="32BFCE00"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This suitability factor asks questions such as;</w:t>
      </w:r>
    </w:p>
    <w:p w14:paraId="781711EC" w14:textId="3C80D412" w:rsidR="32BFCE00"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Is this investment appropriate to take advantage of our core competencies?</w:t>
      </w:r>
    </w:p>
    <w:p w14:paraId="7D3E1F83" w14:textId="240694FB" w:rsidR="32BFCE00"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Is the investment suited to the present investment climate? </w:t>
      </w:r>
    </w:p>
    <w:p w14:paraId="734F7506" w14:textId="3AF7C933" w:rsidR="32BFCE00"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This looks at the internal and external environment under which Patel Mintro operates and do thorough analysis using various models like PESTEL model, SWOT analysis, Porte's five forces</w:t>
      </w:r>
    </w:p>
    <w:p w14:paraId="29190AF7" w14:textId="09C587DC" w:rsidR="32BFCE00"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PESTEL environment includes the following:</w:t>
      </w:r>
    </w:p>
    <w:p w14:paraId="408C07E3" w14:textId="64FD62EB" w:rsidR="32BFCE00" w:rsidRDefault="6395FD93" w:rsidP="5CE60E2F">
      <w:pPr>
        <w:pStyle w:val="ListBullet"/>
        <w:numPr>
          <w:ilvl w:val="0"/>
          <w:numId w:val="0"/>
        </w:numPr>
        <w:rPr>
          <w:color w:val="000000" w:themeColor="text1"/>
          <w:lang w:val="en-GB"/>
        </w:rPr>
      </w:pPr>
      <w:r w:rsidRPr="6395FD93">
        <w:rPr>
          <w:b/>
          <w:bCs/>
          <w:color w:val="000000" w:themeColor="text1"/>
          <w:sz w:val="24"/>
          <w:szCs w:val="24"/>
          <w:lang w:val="en-GB"/>
        </w:rPr>
        <w:t>Political factors</w:t>
      </w:r>
    </w:p>
    <w:p w14:paraId="37F50882" w14:textId="359B4871"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These are factors coming from the change of policies probably due to change of government</w:t>
      </w:r>
    </w:p>
    <w:p w14:paraId="2C0F2BF2" w14:textId="6FA35E97" w:rsidR="32BFCE00" w:rsidRDefault="6395FD93" w:rsidP="5CE60E2F">
      <w:pPr>
        <w:pStyle w:val="ListBullet"/>
        <w:numPr>
          <w:ilvl w:val="0"/>
          <w:numId w:val="0"/>
        </w:numPr>
        <w:rPr>
          <w:color w:val="000000" w:themeColor="text1"/>
          <w:lang w:val="en-GB"/>
        </w:rPr>
      </w:pPr>
      <w:r w:rsidRPr="6395FD93">
        <w:rPr>
          <w:b/>
          <w:bCs/>
          <w:color w:val="000000" w:themeColor="text1"/>
          <w:sz w:val="24"/>
          <w:szCs w:val="24"/>
          <w:lang w:val="en-GB"/>
        </w:rPr>
        <w:t>Economic factors</w:t>
      </w:r>
    </w:p>
    <w:p w14:paraId="3CCE9B1B" w14:textId="228219EB"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There could be change in the interest rate or exchange rate that could make the project to be undesirable</w:t>
      </w:r>
    </w:p>
    <w:p w14:paraId="44714123" w14:textId="748E5FA5" w:rsidR="32BFCE00" w:rsidRDefault="6395FD93" w:rsidP="5CE60E2F">
      <w:pPr>
        <w:pStyle w:val="ListBullet"/>
        <w:numPr>
          <w:ilvl w:val="0"/>
          <w:numId w:val="0"/>
        </w:numPr>
        <w:rPr>
          <w:color w:val="000000" w:themeColor="text1"/>
          <w:lang w:val="en-GB"/>
        </w:rPr>
      </w:pPr>
      <w:r w:rsidRPr="6395FD93">
        <w:rPr>
          <w:b/>
          <w:bCs/>
          <w:color w:val="000000" w:themeColor="text1"/>
          <w:sz w:val="24"/>
          <w:szCs w:val="24"/>
          <w:lang w:val="en-GB"/>
        </w:rPr>
        <w:t>Social factors</w:t>
      </w:r>
    </w:p>
    <w:p w14:paraId="5087693B" w14:textId="742130EE" w:rsidR="3C0493CB" w:rsidRDefault="6395FD93" w:rsidP="00EC147E">
      <w:pPr>
        <w:pStyle w:val="ListBullet"/>
        <w:numPr>
          <w:ilvl w:val="0"/>
          <w:numId w:val="0"/>
        </w:numPr>
        <w:ind w:firstLine="15"/>
        <w:rPr>
          <w:color w:val="000000" w:themeColor="text1"/>
          <w:sz w:val="24"/>
          <w:szCs w:val="24"/>
          <w:lang w:val="en-GB"/>
        </w:rPr>
      </w:pPr>
      <w:r w:rsidRPr="6395FD93">
        <w:rPr>
          <w:color w:val="000000" w:themeColor="text1"/>
          <w:sz w:val="24"/>
          <w:szCs w:val="24"/>
          <w:lang w:val="en-GB"/>
        </w:rPr>
        <w:t xml:space="preserve">There could be potential damage to reputation if the project is undertaken which will b                </w:t>
      </w:r>
      <w:r w:rsidR="00EC147E">
        <w:rPr>
          <w:color w:val="000000" w:themeColor="text1"/>
          <w:sz w:val="24"/>
          <w:szCs w:val="24"/>
          <w:lang w:val="en-GB"/>
        </w:rPr>
        <w:t xml:space="preserve">              </w:t>
      </w:r>
      <w:r w:rsidRPr="6395FD93">
        <w:rPr>
          <w:color w:val="000000" w:themeColor="text1"/>
          <w:sz w:val="24"/>
          <w:szCs w:val="24"/>
          <w:lang w:val="en-GB"/>
        </w:rPr>
        <w:t>impart the goodwill.</w:t>
      </w:r>
    </w:p>
    <w:p w14:paraId="55D9E5C4" w14:textId="6E3D5C80" w:rsidR="32BFCE00" w:rsidRDefault="6395FD93" w:rsidP="5CE60E2F">
      <w:pPr>
        <w:pStyle w:val="ListBullet"/>
        <w:numPr>
          <w:ilvl w:val="0"/>
          <w:numId w:val="0"/>
        </w:numPr>
        <w:rPr>
          <w:color w:val="000000" w:themeColor="text1"/>
          <w:lang w:val="en-GB"/>
        </w:rPr>
      </w:pPr>
      <w:r w:rsidRPr="6395FD93">
        <w:rPr>
          <w:b/>
          <w:bCs/>
          <w:color w:val="000000" w:themeColor="text1"/>
          <w:sz w:val="24"/>
          <w:szCs w:val="24"/>
          <w:lang w:val="en-GB"/>
        </w:rPr>
        <w:t>Technological factors</w:t>
      </w:r>
    </w:p>
    <w:p w14:paraId="418C3767" w14:textId="0278BC8C"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It could be a new discovery of new process or new technology that makes the project not worthwhile in a few year's time.</w:t>
      </w:r>
    </w:p>
    <w:p w14:paraId="3B80C7C4" w14:textId="338B0756" w:rsidR="32BFCE00" w:rsidRDefault="6395FD93" w:rsidP="5CE60E2F">
      <w:pPr>
        <w:pStyle w:val="ListBullet"/>
        <w:numPr>
          <w:ilvl w:val="0"/>
          <w:numId w:val="0"/>
        </w:numPr>
        <w:rPr>
          <w:color w:val="000000" w:themeColor="text1"/>
          <w:lang w:val="en-GB"/>
        </w:rPr>
      </w:pPr>
      <w:r w:rsidRPr="6395FD93">
        <w:rPr>
          <w:b/>
          <w:bCs/>
          <w:color w:val="000000" w:themeColor="text1"/>
          <w:sz w:val="24"/>
          <w:szCs w:val="24"/>
          <w:lang w:val="en-GB"/>
        </w:rPr>
        <w:t>Ecological factors</w:t>
      </w:r>
    </w:p>
    <w:p w14:paraId="721C546B" w14:textId="417C441A" w:rsidR="3C0493CB" w:rsidRDefault="6395FD93" w:rsidP="00EC147E">
      <w:pPr>
        <w:pStyle w:val="ListBullet"/>
        <w:numPr>
          <w:ilvl w:val="0"/>
          <w:numId w:val="0"/>
        </w:numPr>
        <w:ind w:left="-60"/>
        <w:rPr>
          <w:color w:val="000000" w:themeColor="text1"/>
          <w:sz w:val="24"/>
          <w:szCs w:val="24"/>
          <w:lang w:val="en-GB"/>
        </w:rPr>
      </w:pPr>
      <w:r w:rsidRPr="6395FD93">
        <w:rPr>
          <w:color w:val="000000" w:themeColor="text1"/>
          <w:sz w:val="24"/>
          <w:szCs w:val="24"/>
          <w:lang w:val="en-GB"/>
        </w:rPr>
        <w:t>There could be potential environmental impact of the new project on the ecological                     environment or alternatively, it could be that the new project will reduce Patel Mintro's               carbon footprint on the environment</w:t>
      </w:r>
    </w:p>
    <w:p w14:paraId="587A0AEE" w14:textId="720CB9FB" w:rsidR="32BFCE00" w:rsidRDefault="6395FD93" w:rsidP="5CE60E2F">
      <w:pPr>
        <w:pStyle w:val="ListBullet"/>
        <w:numPr>
          <w:ilvl w:val="0"/>
          <w:numId w:val="0"/>
        </w:numPr>
        <w:rPr>
          <w:color w:val="000000" w:themeColor="text1"/>
          <w:lang w:val="en-GB"/>
        </w:rPr>
      </w:pPr>
      <w:r w:rsidRPr="6395FD93">
        <w:rPr>
          <w:b/>
          <w:bCs/>
          <w:color w:val="000000" w:themeColor="text1"/>
          <w:sz w:val="24"/>
          <w:szCs w:val="24"/>
          <w:lang w:val="en-GB"/>
        </w:rPr>
        <w:lastRenderedPageBreak/>
        <w:t>Legal factors</w:t>
      </w:r>
    </w:p>
    <w:p w14:paraId="268CA33D" w14:textId="2C9ED80B" w:rsidR="3C0493CB" w:rsidRDefault="6395FD93" w:rsidP="00EC147E">
      <w:pPr>
        <w:pStyle w:val="ListBullet"/>
        <w:numPr>
          <w:ilvl w:val="0"/>
          <w:numId w:val="0"/>
        </w:numPr>
        <w:ind w:left="-45"/>
        <w:rPr>
          <w:color w:val="000000" w:themeColor="text1"/>
          <w:sz w:val="24"/>
          <w:szCs w:val="24"/>
          <w:lang w:val="en-GB"/>
        </w:rPr>
      </w:pPr>
      <w:r w:rsidRPr="6395FD93">
        <w:rPr>
          <w:color w:val="000000" w:themeColor="text1"/>
          <w:sz w:val="24"/>
          <w:szCs w:val="24"/>
          <w:lang w:val="en-GB"/>
        </w:rPr>
        <w:t>There could be potential infringement on the new regulations that is going through the</w:t>
      </w:r>
      <w:r w:rsidR="00EC147E">
        <w:rPr>
          <w:color w:val="000000" w:themeColor="text1"/>
          <w:sz w:val="24"/>
          <w:szCs w:val="24"/>
          <w:lang w:val="en-GB"/>
        </w:rPr>
        <w:t xml:space="preserve">                                       </w:t>
      </w:r>
      <w:r w:rsidRPr="6395FD93">
        <w:rPr>
          <w:color w:val="000000" w:themeColor="text1"/>
          <w:sz w:val="24"/>
          <w:szCs w:val="24"/>
          <w:lang w:val="en-GB"/>
        </w:rPr>
        <w:t>parliament.</w:t>
      </w:r>
    </w:p>
    <w:p w14:paraId="097C98EA" w14:textId="3A5E5A7E" w:rsidR="3ED31BD3" w:rsidRDefault="6395FD93" w:rsidP="6395FD93">
      <w:pPr>
        <w:pStyle w:val="ListBullet"/>
        <w:numPr>
          <w:ilvl w:val="0"/>
          <w:numId w:val="0"/>
        </w:numPr>
        <w:ind w:left="-360"/>
        <w:rPr>
          <w:b/>
          <w:bCs/>
          <w:color w:val="000000" w:themeColor="text1"/>
          <w:sz w:val="24"/>
          <w:szCs w:val="24"/>
          <w:lang w:val="en-GB"/>
        </w:rPr>
      </w:pPr>
      <w:r w:rsidRPr="6395FD93">
        <w:rPr>
          <w:b/>
          <w:bCs/>
          <w:color w:val="000000" w:themeColor="text1"/>
          <w:sz w:val="24"/>
          <w:szCs w:val="24"/>
          <w:lang w:val="en-GB"/>
        </w:rPr>
        <w:t xml:space="preserve">     FEASIBILITY</w:t>
      </w:r>
    </w:p>
    <w:p w14:paraId="743C3781" w14:textId="54AEE831" w:rsidR="32BFCE00" w:rsidRDefault="6395FD93" w:rsidP="6395FD93">
      <w:pPr>
        <w:pStyle w:val="ListBullet"/>
        <w:numPr>
          <w:ilvl w:val="0"/>
          <w:numId w:val="0"/>
        </w:numPr>
        <w:ind w:left="-360"/>
        <w:rPr>
          <w:b/>
          <w:bCs/>
          <w:color w:val="000000" w:themeColor="text1"/>
          <w:sz w:val="24"/>
          <w:szCs w:val="24"/>
          <w:lang w:val="en-GB"/>
        </w:rPr>
      </w:pPr>
      <w:r w:rsidRPr="6395FD93">
        <w:rPr>
          <w:b/>
          <w:bCs/>
          <w:color w:val="000000" w:themeColor="text1"/>
          <w:sz w:val="24"/>
          <w:szCs w:val="24"/>
          <w:lang w:val="en-GB"/>
        </w:rPr>
        <w:t xml:space="preserve">    </w:t>
      </w:r>
      <w:r w:rsidRPr="6395FD93">
        <w:rPr>
          <w:color w:val="000000" w:themeColor="text1"/>
          <w:sz w:val="24"/>
          <w:szCs w:val="24"/>
          <w:lang w:val="en-GB"/>
        </w:rPr>
        <w:t xml:space="preserve">The feasibility studies deals with the technical and financial viability of the project. These </w:t>
      </w:r>
      <w:r w:rsidR="00EC147E">
        <w:rPr>
          <w:color w:val="000000" w:themeColor="text1"/>
          <w:sz w:val="24"/>
          <w:szCs w:val="24"/>
          <w:lang w:val="en-GB"/>
        </w:rPr>
        <w:t xml:space="preserve">                 </w:t>
      </w:r>
      <w:r w:rsidR="00996ED7">
        <w:rPr>
          <w:color w:val="000000" w:themeColor="text1"/>
          <w:sz w:val="24"/>
          <w:szCs w:val="24"/>
          <w:lang w:val="en-GB"/>
        </w:rPr>
        <w:t xml:space="preserve">     </w:t>
      </w:r>
      <w:r w:rsidRPr="6395FD93">
        <w:rPr>
          <w:color w:val="000000" w:themeColor="text1"/>
          <w:sz w:val="24"/>
          <w:szCs w:val="24"/>
          <w:lang w:val="en-GB"/>
        </w:rPr>
        <w:t xml:space="preserve">will look at the various investment appraisal methods and in combination with the technical </w:t>
      </w:r>
      <w:r w:rsidR="00996ED7">
        <w:rPr>
          <w:color w:val="000000" w:themeColor="text1"/>
          <w:sz w:val="24"/>
          <w:szCs w:val="24"/>
          <w:lang w:val="en-GB"/>
        </w:rPr>
        <w:t xml:space="preserve">     </w:t>
      </w:r>
      <w:r w:rsidRPr="6395FD93">
        <w:rPr>
          <w:color w:val="000000" w:themeColor="text1"/>
          <w:sz w:val="24"/>
          <w:szCs w:val="24"/>
          <w:lang w:val="en-GB"/>
        </w:rPr>
        <w:t>viability of the project, decision will be made as to whether to proceed or not.</w:t>
      </w:r>
    </w:p>
    <w:p w14:paraId="6ACF342B" w14:textId="55B53655" w:rsidR="32BFCE00" w:rsidRDefault="6395FD93" w:rsidP="6395FD93">
      <w:pPr>
        <w:pStyle w:val="ListBullet"/>
        <w:numPr>
          <w:ilvl w:val="0"/>
          <w:numId w:val="0"/>
        </w:numPr>
        <w:ind w:left="-360"/>
        <w:rPr>
          <w:b/>
          <w:bCs/>
          <w:color w:val="000000" w:themeColor="text1"/>
          <w:sz w:val="24"/>
          <w:szCs w:val="24"/>
          <w:lang w:val="en-GB"/>
        </w:rPr>
      </w:pPr>
      <w:r w:rsidRPr="6395FD93">
        <w:rPr>
          <w:b/>
          <w:bCs/>
          <w:color w:val="000000" w:themeColor="text1"/>
          <w:sz w:val="24"/>
          <w:szCs w:val="24"/>
          <w:lang w:val="en-GB"/>
        </w:rPr>
        <w:t xml:space="preserve">    ACCEPTABILITY</w:t>
      </w:r>
    </w:p>
    <w:p w14:paraId="2A8F21F2" w14:textId="5C5B0525" w:rsidR="32BFCE00" w:rsidRDefault="6395FD93" w:rsidP="6395FD93">
      <w:pPr>
        <w:pStyle w:val="ListBullet"/>
        <w:numPr>
          <w:ilvl w:val="0"/>
          <w:numId w:val="0"/>
        </w:numPr>
        <w:ind w:left="-360"/>
        <w:rPr>
          <w:color w:val="000000" w:themeColor="text1"/>
          <w:sz w:val="24"/>
          <w:szCs w:val="24"/>
          <w:lang w:val="en-GB"/>
        </w:rPr>
      </w:pPr>
      <w:r w:rsidRPr="6395FD93">
        <w:rPr>
          <w:b/>
          <w:bCs/>
          <w:color w:val="000000" w:themeColor="text1"/>
          <w:sz w:val="24"/>
          <w:szCs w:val="24"/>
          <w:lang w:val="en-GB"/>
        </w:rPr>
        <w:t xml:space="preserve">    </w:t>
      </w:r>
      <w:r w:rsidRPr="6395FD93">
        <w:rPr>
          <w:color w:val="000000" w:themeColor="text1"/>
          <w:sz w:val="24"/>
          <w:szCs w:val="24"/>
          <w:lang w:val="en-GB"/>
        </w:rPr>
        <w:t xml:space="preserve">This factor answers whether the project is acceptable to the stakeholders. The potential </w:t>
      </w:r>
      <w:r w:rsidR="00996ED7">
        <w:rPr>
          <w:color w:val="000000" w:themeColor="text1"/>
          <w:sz w:val="24"/>
          <w:szCs w:val="24"/>
          <w:lang w:val="en-GB"/>
        </w:rPr>
        <w:t xml:space="preserve">      </w:t>
      </w:r>
      <w:r w:rsidRPr="6395FD93">
        <w:rPr>
          <w:color w:val="000000" w:themeColor="text1"/>
          <w:sz w:val="24"/>
          <w:szCs w:val="24"/>
          <w:lang w:val="en-GB"/>
        </w:rPr>
        <w:t>stakeholders of Patel Mintro company is below:</w:t>
      </w:r>
    </w:p>
    <w:p w14:paraId="1D812A15" w14:textId="41F349C2" w:rsidR="32BFCE00" w:rsidRDefault="6395FD93" w:rsidP="5CE60E2F">
      <w:pPr>
        <w:pStyle w:val="ListBullet"/>
        <w:numPr>
          <w:ilvl w:val="0"/>
          <w:numId w:val="0"/>
        </w:numPr>
        <w:rPr>
          <w:color w:val="000000" w:themeColor="text1"/>
          <w:lang w:val="en-GB"/>
        </w:rPr>
      </w:pPr>
      <w:r w:rsidRPr="6395FD93">
        <w:rPr>
          <w:color w:val="000000" w:themeColor="text1"/>
          <w:sz w:val="24"/>
          <w:szCs w:val="24"/>
          <w:lang w:val="en-GB"/>
        </w:rPr>
        <w:t>The Shareholders</w:t>
      </w:r>
    </w:p>
    <w:p w14:paraId="5F0BE042" w14:textId="53239455" w:rsidR="32BFCE00" w:rsidRDefault="6395FD93" w:rsidP="5CE60E2F">
      <w:pPr>
        <w:pStyle w:val="ListBullet"/>
        <w:numPr>
          <w:ilvl w:val="0"/>
          <w:numId w:val="0"/>
        </w:numPr>
        <w:rPr>
          <w:color w:val="000000" w:themeColor="text1"/>
          <w:lang w:val="en-GB"/>
        </w:rPr>
      </w:pPr>
      <w:r w:rsidRPr="6395FD93">
        <w:rPr>
          <w:color w:val="000000" w:themeColor="text1"/>
          <w:sz w:val="24"/>
          <w:szCs w:val="24"/>
          <w:lang w:val="en-GB"/>
        </w:rPr>
        <w:t xml:space="preserve">The Management </w:t>
      </w:r>
    </w:p>
    <w:p w14:paraId="6FB98C06" w14:textId="7F284C3B" w:rsidR="32BFCE00" w:rsidRDefault="6395FD93" w:rsidP="5CE60E2F">
      <w:pPr>
        <w:pStyle w:val="ListBullet"/>
        <w:numPr>
          <w:ilvl w:val="0"/>
          <w:numId w:val="0"/>
        </w:numPr>
        <w:rPr>
          <w:color w:val="000000" w:themeColor="text1"/>
          <w:lang w:val="en-GB"/>
        </w:rPr>
      </w:pPr>
      <w:r w:rsidRPr="6395FD93">
        <w:rPr>
          <w:color w:val="000000" w:themeColor="text1"/>
          <w:sz w:val="24"/>
          <w:szCs w:val="24"/>
          <w:lang w:val="en-GB"/>
        </w:rPr>
        <w:t xml:space="preserve">The Customers </w:t>
      </w:r>
    </w:p>
    <w:p w14:paraId="350C53A4" w14:textId="163CE6A7" w:rsidR="32BFCE00" w:rsidRDefault="6395FD93" w:rsidP="5CE60E2F">
      <w:pPr>
        <w:pStyle w:val="ListBullet"/>
        <w:numPr>
          <w:ilvl w:val="0"/>
          <w:numId w:val="0"/>
        </w:numPr>
        <w:rPr>
          <w:color w:val="000000" w:themeColor="text1"/>
          <w:lang w:val="en-GB"/>
        </w:rPr>
      </w:pPr>
      <w:r w:rsidRPr="6395FD93">
        <w:rPr>
          <w:color w:val="000000" w:themeColor="text1"/>
          <w:sz w:val="24"/>
          <w:szCs w:val="24"/>
          <w:lang w:val="en-GB"/>
        </w:rPr>
        <w:t>The Employees</w:t>
      </w:r>
    </w:p>
    <w:p w14:paraId="0F56D5AC" w14:textId="528D5E98" w:rsidR="32BFCE00" w:rsidRDefault="6395FD93" w:rsidP="5CE60E2F">
      <w:pPr>
        <w:pStyle w:val="ListBullet"/>
        <w:numPr>
          <w:ilvl w:val="0"/>
          <w:numId w:val="0"/>
        </w:numPr>
        <w:rPr>
          <w:color w:val="000000" w:themeColor="text1"/>
          <w:lang w:val="en-GB"/>
        </w:rPr>
      </w:pPr>
      <w:r w:rsidRPr="6395FD93">
        <w:rPr>
          <w:color w:val="000000" w:themeColor="text1"/>
          <w:sz w:val="24"/>
          <w:szCs w:val="24"/>
          <w:lang w:val="en-GB"/>
        </w:rPr>
        <w:t>The Suppliers</w:t>
      </w:r>
    </w:p>
    <w:p w14:paraId="35ABEF8F" w14:textId="64969CD5" w:rsidR="32BFCE00" w:rsidRDefault="6395FD93" w:rsidP="5CE60E2F">
      <w:pPr>
        <w:pStyle w:val="ListBullet"/>
        <w:numPr>
          <w:ilvl w:val="0"/>
          <w:numId w:val="0"/>
        </w:numPr>
        <w:rPr>
          <w:color w:val="000000" w:themeColor="text1"/>
          <w:lang w:val="en-GB"/>
        </w:rPr>
      </w:pPr>
      <w:r w:rsidRPr="6395FD93">
        <w:rPr>
          <w:color w:val="000000" w:themeColor="text1"/>
          <w:sz w:val="24"/>
          <w:szCs w:val="24"/>
          <w:lang w:val="en-GB"/>
        </w:rPr>
        <w:t>The Government and its agencies</w:t>
      </w:r>
    </w:p>
    <w:p w14:paraId="19D4B07D" w14:textId="18C57DAD" w:rsidR="32BFCE00" w:rsidRDefault="6395FD93" w:rsidP="5CE60E2F">
      <w:pPr>
        <w:pStyle w:val="ListBullet"/>
        <w:numPr>
          <w:ilvl w:val="0"/>
          <w:numId w:val="0"/>
        </w:numPr>
        <w:rPr>
          <w:color w:val="000000" w:themeColor="text1"/>
          <w:lang w:val="en-GB"/>
        </w:rPr>
      </w:pPr>
      <w:r w:rsidRPr="6395FD93">
        <w:rPr>
          <w:color w:val="000000" w:themeColor="text1"/>
          <w:sz w:val="24"/>
          <w:szCs w:val="24"/>
          <w:lang w:val="en-GB"/>
        </w:rPr>
        <w:t>The Society</w:t>
      </w:r>
    </w:p>
    <w:p w14:paraId="7ED2B58B" w14:textId="2F9F9656"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Patel Mintro should use the Mendelow's model to rank the influence and power of the various stakeholders. This will determine who are the key stakeholders that the company should focus upon. For example if Patel Mintro's investment has the potential to impact negatively on the ecological environment, it will be wise not to invest.</w:t>
      </w:r>
      <w:r w:rsidR="00583A5F">
        <w:rPr>
          <w:color w:val="000000" w:themeColor="text1"/>
          <w:sz w:val="24"/>
          <w:szCs w:val="24"/>
          <w:lang w:val="en-GB"/>
        </w:rPr>
        <w:t>in it.</w:t>
      </w:r>
      <w:r w:rsidRPr="6395FD93">
        <w:rPr>
          <w:color w:val="000000" w:themeColor="text1"/>
          <w:sz w:val="24"/>
          <w:szCs w:val="24"/>
          <w:lang w:val="en-GB"/>
        </w:rPr>
        <w:t xml:space="preserve"> </w:t>
      </w:r>
    </w:p>
    <w:p w14:paraId="460322C7" w14:textId="1693532C" w:rsidR="3C0493CB" w:rsidRDefault="6395FD93" w:rsidP="6395FD93">
      <w:pPr>
        <w:pStyle w:val="ListBullet"/>
        <w:numPr>
          <w:ilvl w:val="0"/>
          <w:numId w:val="0"/>
        </w:numPr>
        <w:jc w:val="center"/>
        <w:rPr>
          <w:b/>
          <w:bCs/>
          <w:color w:val="000000" w:themeColor="text1"/>
          <w:sz w:val="24"/>
          <w:szCs w:val="24"/>
          <w:lang w:val="en-GB"/>
        </w:rPr>
      </w:pPr>
      <w:r w:rsidRPr="6395FD93">
        <w:rPr>
          <w:b/>
          <w:bCs/>
          <w:color w:val="000000" w:themeColor="text1"/>
          <w:sz w:val="24"/>
          <w:szCs w:val="24"/>
          <w:lang w:val="en-GB"/>
        </w:rPr>
        <w:t>SWOT ANALYSIS OF PATEL MINTRO COMPANY</w:t>
      </w:r>
    </w:p>
    <w:p w14:paraId="1C9A52E0" w14:textId="7C115407"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SWOT analysis is an acronym for strength, weaknesses, opportunities and threats. The strengths and weaknesses look at the Patel Mintro's internally to see where the company's strengths and weaknesses lie. If the project is going to enhance these two factors and taking all other factors into consideration, it can be accepted. </w:t>
      </w:r>
    </w:p>
    <w:p w14:paraId="12C0EB73" w14:textId="53F8DAAC"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Opportunities and threats are externally based. Patel Mintro has to leverage its strengths to capitalise on the opportunities presented from the external environment</w:t>
      </w:r>
      <w:r w:rsidR="00583A5F">
        <w:rPr>
          <w:color w:val="000000" w:themeColor="text1"/>
          <w:sz w:val="24"/>
          <w:szCs w:val="24"/>
          <w:lang w:val="en-GB"/>
        </w:rPr>
        <w:t>.</w:t>
      </w:r>
    </w:p>
    <w:p w14:paraId="4379F04E" w14:textId="0A2EBAF3" w:rsidR="3C0493CB" w:rsidRDefault="3C0493CB" w:rsidP="3C0493CB">
      <w:pPr>
        <w:pStyle w:val="ListBullet"/>
        <w:numPr>
          <w:ilvl w:val="0"/>
          <w:numId w:val="0"/>
        </w:numPr>
        <w:rPr>
          <w:b/>
          <w:bCs/>
          <w:color w:val="000000" w:themeColor="text1"/>
          <w:sz w:val="24"/>
          <w:szCs w:val="24"/>
          <w:lang w:val="en-GB"/>
        </w:rPr>
      </w:pPr>
    </w:p>
    <w:p w14:paraId="13E03C48" w14:textId="32D0BB72" w:rsidR="3C0493CB" w:rsidRDefault="6395FD93" w:rsidP="6395FD93">
      <w:pPr>
        <w:pStyle w:val="ListBullet"/>
        <w:numPr>
          <w:ilvl w:val="0"/>
          <w:numId w:val="0"/>
        </w:numPr>
        <w:ind w:left="-360"/>
        <w:jc w:val="center"/>
        <w:rPr>
          <w:b/>
          <w:bCs/>
          <w:color w:val="000000" w:themeColor="text1"/>
          <w:sz w:val="24"/>
          <w:szCs w:val="24"/>
          <w:lang w:val="en-GB"/>
        </w:rPr>
      </w:pPr>
      <w:r w:rsidRPr="6395FD93">
        <w:rPr>
          <w:b/>
          <w:bCs/>
          <w:color w:val="000000" w:themeColor="text1"/>
          <w:sz w:val="24"/>
          <w:szCs w:val="24"/>
          <w:lang w:val="en-GB"/>
        </w:rPr>
        <w:t>PORTER'S 5 FORCES OF PATEL MINTRO COMPANY</w:t>
      </w:r>
    </w:p>
    <w:p w14:paraId="51B78079" w14:textId="6509F0FC" w:rsidR="3C0493CB" w:rsidRDefault="6395FD93" w:rsidP="6395FD93">
      <w:pPr>
        <w:pStyle w:val="ListBullet"/>
        <w:numPr>
          <w:ilvl w:val="0"/>
          <w:numId w:val="0"/>
        </w:numPr>
        <w:rPr>
          <w:color w:val="000000" w:themeColor="text1"/>
          <w:sz w:val="24"/>
          <w:szCs w:val="24"/>
          <w:lang w:val="en-GB"/>
        </w:rPr>
      </w:pPr>
      <w:r w:rsidRPr="6395FD93">
        <w:rPr>
          <w:color w:val="000000" w:themeColor="text1"/>
          <w:sz w:val="24"/>
          <w:szCs w:val="24"/>
          <w:lang w:val="en-GB"/>
        </w:rPr>
        <w:t xml:space="preserve">This looks at the degree of competition and rivalry among the present actors in the industrial sector. Patel Mintro should constantly be doing environmental scanning to see how it could curtail the power of the suppliers and the power of the buyers to make sure that price it charges for its product is not been driven from these groups. Also it should </w:t>
      </w:r>
      <w:r w:rsidRPr="6395FD93">
        <w:rPr>
          <w:color w:val="000000" w:themeColor="text1"/>
          <w:sz w:val="24"/>
          <w:szCs w:val="24"/>
          <w:lang w:val="en-GB"/>
        </w:rPr>
        <w:lastRenderedPageBreak/>
        <w:t>make sure that barriers are erected within laws and regulations, to make sure that it prevents new entrants and substitute in the marketplace. This is because the complete understanding of the market will have ramifications as to whether to invest or divest.</w:t>
      </w:r>
    </w:p>
    <w:p w14:paraId="5293E1B7" w14:textId="4C3F8BC3" w:rsidR="1125E5A7" w:rsidRDefault="6395FD93" w:rsidP="6395FD93">
      <w:pPr>
        <w:pStyle w:val="ListBullet"/>
        <w:numPr>
          <w:ilvl w:val="0"/>
          <w:numId w:val="0"/>
        </w:numPr>
        <w:ind w:left="-360"/>
        <w:jc w:val="center"/>
        <w:rPr>
          <w:rFonts w:eastAsiaTheme="minorEastAsia"/>
          <w:b/>
          <w:bCs/>
          <w:color w:val="000000" w:themeColor="text1"/>
          <w:sz w:val="24"/>
          <w:szCs w:val="24"/>
          <w:lang w:val="en-GB"/>
        </w:rPr>
      </w:pPr>
      <w:r w:rsidRPr="6395FD93">
        <w:rPr>
          <w:rFonts w:eastAsiaTheme="minorEastAsia"/>
          <w:b/>
          <w:bCs/>
          <w:color w:val="000000" w:themeColor="text1"/>
          <w:sz w:val="24"/>
          <w:szCs w:val="24"/>
          <w:lang w:val="en-GB"/>
        </w:rPr>
        <w:t xml:space="preserve">    CONCLUSION</w:t>
      </w:r>
    </w:p>
    <w:p w14:paraId="608AC810" w14:textId="77777777" w:rsidR="003E673D" w:rsidRDefault="6395FD93" w:rsidP="6395FD93">
      <w:pPr>
        <w:pStyle w:val="ListBullet"/>
        <w:numPr>
          <w:ilvl w:val="0"/>
          <w:numId w:val="0"/>
        </w:numPr>
        <w:ind w:left="-720"/>
        <w:rPr>
          <w:color w:val="000000" w:themeColor="text1"/>
          <w:sz w:val="24"/>
          <w:szCs w:val="24"/>
          <w:lang w:val="en-GB"/>
        </w:rPr>
      </w:pPr>
      <w:r w:rsidRPr="6395FD93">
        <w:rPr>
          <w:color w:val="000000" w:themeColor="text1"/>
          <w:sz w:val="24"/>
          <w:szCs w:val="24"/>
          <w:lang w:val="en-GB"/>
        </w:rPr>
        <w:t xml:space="preserve">           Given the above discussion above, it could be seen that there are so many factors at                 </w:t>
      </w:r>
      <w:r w:rsidR="003E673D">
        <w:rPr>
          <w:color w:val="000000" w:themeColor="text1"/>
          <w:sz w:val="24"/>
          <w:szCs w:val="24"/>
          <w:lang w:val="en-GB"/>
        </w:rPr>
        <w:t xml:space="preserve">      </w:t>
      </w:r>
    </w:p>
    <w:p w14:paraId="5F9F8983" w14:textId="32181282" w:rsidR="3C0493CB" w:rsidRDefault="6395FD93" w:rsidP="003E673D">
      <w:pPr>
        <w:pStyle w:val="ListBullet"/>
        <w:numPr>
          <w:ilvl w:val="0"/>
          <w:numId w:val="0"/>
        </w:numPr>
        <w:rPr>
          <w:color w:val="000000" w:themeColor="text1"/>
          <w:sz w:val="24"/>
          <w:szCs w:val="24"/>
          <w:lang w:val="en-GB"/>
        </w:rPr>
      </w:pPr>
      <w:r w:rsidRPr="6395FD93">
        <w:rPr>
          <w:color w:val="000000" w:themeColor="text1"/>
          <w:sz w:val="24"/>
          <w:szCs w:val="24"/>
          <w:lang w:val="en-GB"/>
        </w:rPr>
        <w:t>play when making a capital budgeting decision. Thus a good Manager must weigh all               the options within the context of suitability, feasibility and acceptability before coming to             a decision.</w:t>
      </w:r>
    </w:p>
    <w:p w14:paraId="032DDCE2" w14:textId="4AFF6B21" w:rsidR="3ED31BD3" w:rsidRDefault="3ED31BD3" w:rsidP="5C7EFC97">
      <w:pPr>
        <w:pStyle w:val="ListBullet"/>
        <w:numPr>
          <w:ilvl w:val="0"/>
          <w:numId w:val="0"/>
        </w:numPr>
        <w:rPr>
          <w:lang w:val="en-GB"/>
        </w:rPr>
      </w:pPr>
    </w:p>
    <w:p w14:paraId="00ED3FF8" w14:textId="77777777" w:rsidR="00415895" w:rsidRDefault="00415895" w:rsidP="6395FD93">
      <w:pPr>
        <w:pStyle w:val="ListBullet"/>
        <w:numPr>
          <w:ilvl w:val="0"/>
          <w:numId w:val="0"/>
        </w:numPr>
        <w:jc w:val="center"/>
        <w:rPr>
          <w:rFonts w:eastAsiaTheme="minorEastAsia"/>
          <w:b/>
          <w:bCs/>
          <w:sz w:val="24"/>
          <w:szCs w:val="24"/>
          <w:lang w:val="en-GB"/>
        </w:rPr>
      </w:pPr>
    </w:p>
    <w:p w14:paraId="1CE327A7" w14:textId="77777777" w:rsidR="00415895" w:rsidRDefault="00415895" w:rsidP="6395FD93">
      <w:pPr>
        <w:pStyle w:val="ListBullet"/>
        <w:numPr>
          <w:ilvl w:val="0"/>
          <w:numId w:val="0"/>
        </w:numPr>
        <w:jc w:val="center"/>
        <w:rPr>
          <w:rFonts w:eastAsiaTheme="minorEastAsia"/>
          <w:b/>
          <w:bCs/>
          <w:sz w:val="24"/>
          <w:szCs w:val="24"/>
          <w:lang w:val="en-GB"/>
        </w:rPr>
      </w:pPr>
    </w:p>
    <w:p w14:paraId="3ECAB852" w14:textId="77777777" w:rsidR="00415895" w:rsidRDefault="00415895" w:rsidP="6395FD93">
      <w:pPr>
        <w:pStyle w:val="ListBullet"/>
        <w:numPr>
          <w:ilvl w:val="0"/>
          <w:numId w:val="0"/>
        </w:numPr>
        <w:jc w:val="center"/>
        <w:rPr>
          <w:rFonts w:eastAsiaTheme="minorEastAsia"/>
          <w:b/>
          <w:bCs/>
          <w:sz w:val="24"/>
          <w:szCs w:val="24"/>
          <w:lang w:val="en-GB"/>
        </w:rPr>
      </w:pPr>
    </w:p>
    <w:p w14:paraId="2CD074A0" w14:textId="77777777" w:rsidR="00415895" w:rsidRDefault="00415895" w:rsidP="6395FD93">
      <w:pPr>
        <w:pStyle w:val="ListBullet"/>
        <w:numPr>
          <w:ilvl w:val="0"/>
          <w:numId w:val="0"/>
        </w:numPr>
        <w:jc w:val="center"/>
        <w:rPr>
          <w:rFonts w:eastAsiaTheme="minorEastAsia"/>
          <w:b/>
          <w:bCs/>
          <w:sz w:val="24"/>
          <w:szCs w:val="24"/>
          <w:lang w:val="en-GB"/>
        </w:rPr>
      </w:pPr>
    </w:p>
    <w:p w14:paraId="72F21E5C" w14:textId="77777777" w:rsidR="00415895" w:rsidRDefault="00415895" w:rsidP="6395FD93">
      <w:pPr>
        <w:pStyle w:val="ListBullet"/>
        <w:numPr>
          <w:ilvl w:val="0"/>
          <w:numId w:val="0"/>
        </w:numPr>
        <w:jc w:val="center"/>
        <w:rPr>
          <w:rFonts w:eastAsiaTheme="minorEastAsia"/>
          <w:b/>
          <w:bCs/>
          <w:sz w:val="24"/>
          <w:szCs w:val="24"/>
          <w:lang w:val="en-GB"/>
        </w:rPr>
      </w:pPr>
    </w:p>
    <w:p w14:paraId="07AB7187" w14:textId="77777777" w:rsidR="00415895" w:rsidRDefault="00415895" w:rsidP="6395FD93">
      <w:pPr>
        <w:pStyle w:val="ListBullet"/>
        <w:numPr>
          <w:ilvl w:val="0"/>
          <w:numId w:val="0"/>
        </w:numPr>
        <w:jc w:val="center"/>
        <w:rPr>
          <w:rFonts w:eastAsiaTheme="minorEastAsia"/>
          <w:b/>
          <w:bCs/>
          <w:sz w:val="24"/>
          <w:szCs w:val="24"/>
          <w:lang w:val="en-GB"/>
        </w:rPr>
      </w:pPr>
    </w:p>
    <w:p w14:paraId="0B02CA3D" w14:textId="77777777" w:rsidR="00415895" w:rsidRDefault="00415895" w:rsidP="6395FD93">
      <w:pPr>
        <w:pStyle w:val="ListBullet"/>
        <w:numPr>
          <w:ilvl w:val="0"/>
          <w:numId w:val="0"/>
        </w:numPr>
        <w:jc w:val="center"/>
        <w:rPr>
          <w:rFonts w:eastAsiaTheme="minorEastAsia"/>
          <w:b/>
          <w:bCs/>
          <w:sz w:val="24"/>
          <w:szCs w:val="24"/>
          <w:lang w:val="en-GB"/>
        </w:rPr>
      </w:pPr>
    </w:p>
    <w:p w14:paraId="6ADC7BCB" w14:textId="77777777" w:rsidR="00415895" w:rsidRDefault="00415895" w:rsidP="6395FD93">
      <w:pPr>
        <w:pStyle w:val="ListBullet"/>
        <w:numPr>
          <w:ilvl w:val="0"/>
          <w:numId w:val="0"/>
        </w:numPr>
        <w:jc w:val="center"/>
        <w:rPr>
          <w:rFonts w:eastAsiaTheme="minorEastAsia"/>
          <w:b/>
          <w:bCs/>
          <w:sz w:val="24"/>
          <w:szCs w:val="24"/>
          <w:lang w:val="en-GB"/>
        </w:rPr>
      </w:pPr>
    </w:p>
    <w:p w14:paraId="41E08E2F" w14:textId="77777777" w:rsidR="00415895" w:rsidRDefault="00415895" w:rsidP="6395FD93">
      <w:pPr>
        <w:pStyle w:val="ListBullet"/>
        <w:numPr>
          <w:ilvl w:val="0"/>
          <w:numId w:val="0"/>
        </w:numPr>
        <w:jc w:val="center"/>
        <w:rPr>
          <w:rFonts w:eastAsiaTheme="minorEastAsia"/>
          <w:b/>
          <w:bCs/>
          <w:sz w:val="24"/>
          <w:szCs w:val="24"/>
          <w:lang w:val="en-GB"/>
        </w:rPr>
      </w:pPr>
    </w:p>
    <w:p w14:paraId="2E180AE1" w14:textId="77777777" w:rsidR="00415895" w:rsidRDefault="00415895" w:rsidP="6395FD93">
      <w:pPr>
        <w:pStyle w:val="ListBullet"/>
        <w:numPr>
          <w:ilvl w:val="0"/>
          <w:numId w:val="0"/>
        </w:numPr>
        <w:jc w:val="center"/>
        <w:rPr>
          <w:rFonts w:eastAsiaTheme="minorEastAsia"/>
          <w:b/>
          <w:bCs/>
          <w:sz w:val="24"/>
          <w:szCs w:val="24"/>
          <w:lang w:val="en-GB"/>
        </w:rPr>
      </w:pPr>
    </w:p>
    <w:p w14:paraId="7448AEC9" w14:textId="77777777" w:rsidR="00415895" w:rsidRDefault="00415895" w:rsidP="6395FD93">
      <w:pPr>
        <w:pStyle w:val="ListBullet"/>
        <w:numPr>
          <w:ilvl w:val="0"/>
          <w:numId w:val="0"/>
        </w:numPr>
        <w:jc w:val="center"/>
        <w:rPr>
          <w:rFonts w:eastAsiaTheme="minorEastAsia"/>
          <w:b/>
          <w:bCs/>
          <w:sz w:val="24"/>
          <w:szCs w:val="24"/>
          <w:lang w:val="en-GB"/>
        </w:rPr>
      </w:pPr>
    </w:p>
    <w:p w14:paraId="434125F6" w14:textId="77777777" w:rsidR="00415895" w:rsidRDefault="00415895" w:rsidP="6395FD93">
      <w:pPr>
        <w:pStyle w:val="ListBullet"/>
        <w:numPr>
          <w:ilvl w:val="0"/>
          <w:numId w:val="0"/>
        </w:numPr>
        <w:jc w:val="center"/>
        <w:rPr>
          <w:rFonts w:eastAsiaTheme="minorEastAsia"/>
          <w:b/>
          <w:bCs/>
          <w:sz w:val="24"/>
          <w:szCs w:val="24"/>
          <w:lang w:val="en-GB"/>
        </w:rPr>
      </w:pPr>
    </w:p>
    <w:p w14:paraId="72D22157" w14:textId="77777777" w:rsidR="00415895" w:rsidRDefault="00415895" w:rsidP="6395FD93">
      <w:pPr>
        <w:pStyle w:val="ListBullet"/>
        <w:numPr>
          <w:ilvl w:val="0"/>
          <w:numId w:val="0"/>
        </w:numPr>
        <w:jc w:val="center"/>
        <w:rPr>
          <w:rFonts w:eastAsiaTheme="minorEastAsia"/>
          <w:b/>
          <w:bCs/>
          <w:sz w:val="24"/>
          <w:szCs w:val="24"/>
          <w:lang w:val="en-GB"/>
        </w:rPr>
      </w:pPr>
    </w:p>
    <w:p w14:paraId="3C8AF285" w14:textId="77DEB42D" w:rsidR="00415895" w:rsidRDefault="00415895" w:rsidP="6395FD93">
      <w:pPr>
        <w:pStyle w:val="ListBullet"/>
        <w:numPr>
          <w:ilvl w:val="0"/>
          <w:numId w:val="0"/>
        </w:numPr>
        <w:jc w:val="center"/>
        <w:rPr>
          <w:rFonts w:eastAsiaTheme="minorEastAsia"/>
          <w:b/>
          <w:bCs/>
          <w:sz w:val="24"/>
          <w:szCs w:val="24"/>
          <w:lang w:val="en-GB"/>
        </w:rPr>
      </w:pPr>
    </w:p>
    <w:p w14:paraId="35B321CD" w14:textId="25AE74C2" w:rsidR="00583A5F" w:rsidRDefault="00583A5F" w:rsidP="6395FD93">
      <w:pPr>
        <w:pStyle w:val="ListBullet"/>
        <w:numPr>
          <w:ilvl w:val="0"/>
          <w:numId w:val="0"/>
        </w:numPr>
        <w:jc w:val="center"/>
        <w:rPr>
          <w:rFonts w:eastAsiaTheme="minorEastAsia"/>
          <w:b/>
          <w:bCs/>
          <w:sz w:val="24"/>
          <w:szCs w:val="24"/>
          <w:lang w:val="en-GB"/>
        </w:rPr>
      </w:pPr>
    </w:p>
    <w:p w14:paraId="30C200BB" w14:textId="6A7324A3" w:rsidR="00583A5F" w:rsidRDefault="00583A5F" w:rsidP="6395FD93">
      <w:pPr>
        <w:pStyle w:val="ListBullet"/>
        <w:numPr>
          <w:ilvl w:val="0"/>
          <w:numId w:val="0"/>
        </w:numPr>
        <w:jc w:val="center"/>
        <w:rPr>
          <w:rFonts w:eastAsiaTheme="minorEastAsia"/>
          <w:b/>
          <w:bCs/>
          <w:sz w:val="24"/>
          <w:szCs w:val="24"/>
          <w:lang w:val="en-GB"/>
        </w:rPr>
      </w:pPr>
    </w:p>
    <w:p w14:paraId="5E517BB9" w14:textId="524C9C2D" w:rsidR="00583A5F" w:rsidRDefault="00583A5F" w:rsidP="6395FD93">
      <w:pPr>
        <w:pStyle w:val="ListBullet"/>
        <w:numPr>
          <w:ilvl w:val="0"/>
          <w:numId w:val="0"/>
        </w:numPr>
        <w:jc w:val="center"/>
        <w:rPr>
          <w:rFonts w:eastAsiaTheme="minorEastAsia"/>
          <w:b/>
          <w:bCs/>
          <w:sz w:val="24"/>
          <w:szCs w:val="24"/>
          <w:lang w:val="en-GB"/>
        </w:rPr>
      </w:pPr>
    </w:p>
    <w:p w14:paraId="60105DCF" w14:textId="5CF147CA" w:rsidR="00583A5F" w:rsidRDefault="00583A5F" w:rsidP="6395FD93">
      <w:pPr>
        <w:pStyle w:val="ListBullet"/>
        <w:numPr>
          <w:ilvl w:val="0"/>
          <w:numId w:val="0"/>
        </w:numPr>
        <w:jc w:val="center"/>
        <w:rPr>
          <w:rFonts w:eastAsiaTheme="minorEastAsia"/>
          <w:b/>
          <w:bCs/>
          <w:sz w:val="24"/>
          <w:szCs w:val="24"/>
          <w:lang w:val="en-GB"/>
        </w:rPr>
      </w:pPr>
    </w:p>
    <w:p w14:paraId="2F5BF576" w14:textId="2A04395B" w:rsidR="00583A5F" w:rsidRDefault="00583A5F" w:rsidP="6395FD93">
      <w:pPr>
        <w:pStyle w:val="ListBullet"/>
        <w:numPr>
          <w:ilvl w:val="0"/>
          <w:numId w:val="0"/>
        </w:numPr>
        <w:jc w:val="center"/>
        <w:rPr>
          <w:rFonts w:eastAsiaTheme="minorEastAsia"/>
          <w:b/>
          <w:bCs/>
          <w:sz w:val="24"/>
          <w:szCs w:val="24"/>
          <w:lang w:val="en-GB"/>
        </w:rPr>
      </w:pPr>
    </w:p>
    <w:p w14:paraId="7F191951" w14:textId="46C9EBBC" w:rsidR="00583A5F" w:rsidRDefault="00583A5F" w:rsidP="6395FD93">
      <w:pPr>
        <w:pStyle w:val="ListBullet"/>
        <w:numPr>
          <w:ilvl w:val="0"/>
          <w:numId w:val="0"/>
        </w:numPr>
        <w:jc w:val="center"/>
        <w:rPr>
          <w:rFonts w:eastAsiaTheme="minorEastAsia"/>
          <w:b/>
          <w:bCs/>
          <w:sz w:val="24"/>
          <w:szCs w:val="24"/>
          <w:lang w:val="en-GB"/>
        </w:rPr>
      </w:pPr>
    </w:p>
    <w:p w14:paraId="4B65680F" w14:textId="77777777" w:rsidR="00583A5F" w:rsidRDefault="00583A5F" w:rsidP="6395FD93">
      <w:pPr>
        <w:pStyle w:val="ListBullet"/>
        <w:numPr>
          <w:ilvl w:val="0"/>
          <w:numId w:val="0"/>
        </w:numPr>
        <w:jc w:val="center"/>
        <w:rPr>
          <w:rFonts w:eastAsiaTheme="minorEastAsia"/>
          <w:b/>
          <w:bCs/>
          <w:sz w:val="24"/>
          <w:szCs w:val="24"/>
          <w:lang w:val="en-GB"/>
        </w:rPr>
      </w:pPr>
    </w:p>
    <w:p w14:paraId="42785814" w14:textId="77777777" w:rsidR="00415895" w:rsidRDefault="00415895" w:rsidP="6395FD93">
      <w:pPr>
        <w:pStyle w:val="ListBullet"/>
        <w:numPr>
          <w:ilvl w:val="0"/>
          <w:numId w:val="0"/>
        </w:numPr>
        <w:jc w:val="center"/>
        <w:rPr>
          <w:rFonts w:eastAsiaTheme="minorEastAsia"/>
          <w:b/>
          <w:bCs/>
          <w:sz w:val="24"/>
          <w:szCs w:val="24"/>
          <w:lang w:val="en-GB"/>
        </w:rPr>
      </w:pPr>
    </w:p>
    <w:p w14:paraId="2C9001CF" w14:textId="36B46AF7" w:rsidR="3ED31BD3" w:rsidRDefault="6395FD93" w:rsidP="6395FD93">
      <w:pPr>
        <w:pStyle w:val="ListBullet"/>
        <w:numPr>
          <w:ilvl w:val="0"/>
          <w:numId w:val="0"/>
        </w:numPr>
        <w:jc w:val="center"/>
        <w:rPr>
          <w:rFonts w:eastAsiaTheme="minorEastAsia"/>
          <w:b/>
          <w:bCs/>
          <w:sz w:val="24"/>
          <w:szCs w:val="24"/>
          <w:lang w:val="en-GB"/>
        </w:rPr>
      </w:pPr>
      <w:r w:rsidRPr="6395FD93">
        <w:rPr>
          <w:rFonts w:eastAsiaTheme="minorEastAsia"/>
          <w:b/>
          <w:bCs/>
          <w:sz w:val="24"/>
          <w:szCs w:val="24"/>
          <w:lang w:val="en-GB"/>
        </w:rPr>
        <w:lastRenderedPageBreak/>
        <w:t>REFERENCES</w:t>
      </w:r>
    </w:p>
    <w:p w14:paraId="706F2121" w14:textId="1036729F" w:rsidR="3ED31BD3" w:rsidRDefault="6395FD93" w:rsidP="6395FD93">
      <w:pPr>
        <w:rPr>
          <w:rFonts w:eastAsiaTheme="minorEastAsia"/>
          <w:color w:val="555555"/>
          <w:sz w:val="24"/>
          <w:szCs w:val="24"/>
          <w:lang w:val="en-GB"/>
        </w:rPr>
      </w:pPr>
      <w:r w:rsidRPr="6395FD93">
        <w:rPr>
          <w:rFonts w:eastAsiaTheme="minorEastAsia"/>
          <w:color w:val="555555"/>
          <w:sz w:val="24"/>
          <w:szCs w:val="24"/>
          <w:lang w:val="en-GB"/>
        </w:rPr>
        <w:t xml:space="preserve">Alkaraan, F. &amp; Northcott, D. 2013, </w:t>
      </w:r>
      <w:r w:rsidRPr="6395FD93">
        <w:rPr>
          <w:rFonts w:eastAsiaTheme="minorEastAsia"/>
          <w:i/>
          <w:iCs/>
          <w:color w:val="555555"/>
          <w:sz w:val="24"/>
          <w:szCs w:val="24"/>
          <w:lang w:val="en-GB"/>
        </w:rPr>
        <w:t>"Strategic investment decision-making processes: the influence of contextual factors",</w:t>
      </w:r>
      <w:r w:rsidRPr="6395FD93">
        <w:rPr>
          <w:rFonts w:eastAsiaTheme="minorEastAsia"/>
          <w:color w:val="555555"/>
          <w:sz w:val="24"/>
          <w:szCs w:val="24"/>
          <w:lang w:val="en-GB"/>
        </w:rPr>
        <w:t xml:space="preserve"> Meditari Accountancy Research,</w:t>
      </w:r>
      <w:r w:rsidRPr="6395FD93">
        <w:rPr>
          <w:rFonts w:eastAsiaTheme="minorEastAsia"/>
          <w:i/>
          <w:iCs/>
          <w:color w:val="555555"/>
          <w:sz w:val="24"/>
          <w:szCs w:val="24"/>
          <w:lang w:val="en-GB"/>
        </w:rPr>
        <w:t xml:space="preserve"> </w:t>
      </w:r>
      <w:r w:rsidRPr="6395FD93">
        <w:rPr>
          <w:rFonts w:eastAsiaTheme="minorEastAsia"/>
          <w:color w:val="555555"/>
          <w:sz w:val="24"/>
          <w:szCs w:val="24"/>
          <w:lang w:val="en-GB"/>
        </w:rPr>
        <w:t>vol. 21, no. 2, pp. 117-143.</w:t>
      </w:r>
    </w:p>
    <w:p w14:paraId="5C9FC49F" w14:textId="3E962D7D" w:rsidR="5C7EFC97" w:rsidRDefault="6395FD93" w:rsidP="6395FD93">
      <w:pPr>
        <w:rPr>
          <w:rFonts w:eastAsiaTheme="minorEastAsia"/>
          <w:color w:val="555555"/>
          <w:sz w:val="24"/>
          <w:szCs w:val="24"/>
          <w:lang w:val="en-GB"/>
        </w:rPr>
      </w:pPr>
      <w:r w:rsidRPr="6395FD93">
        <w:rPr>
          <w:rFonts w:eastAsiaTheme="minorEastAsia"/>
          <w:color w:val="555555"/>
          <w:sz w:val="24"/>
          <w:szCs w:val="24"/>
          <w:lang w:val="en-GB"/>
        </w:rPr>
        <w:t xml:space="preserve">Atrill, P. (2014). </w:t>
      </w:r>
      <w:r w:rsidRPr="6395FD93">
        <w:rPr>
          <w:rFonts w:eastAsiaTheme="minorEastAsia"/>
          <w:i/>
          <w:iCs/>
          <w:color w:val="555555"/>
          <w:sz w:val="24"/>
          <w:szCs w:val="24"/>
          <w:lang w:val="en-GB"/>
        </w:rPr>
        <w:t>Financial Management for Decision Maker</w:t>
      </w:r>
      <w:r w:rsidRPr="6395FD93">
        <w:rPr>
          <w:rFonts w:eastAsiaTheme="minorEastAsia"/>
          <w:color w:val="555555"/>
          <w:sz w:val="24"/>
          <w:szCs w:val="24"/>
          <w:lang w:val="en-GB"/>
        </w:rPr>
        <w:t>s. 7th ed. Harlow England: Pearson Education Limited, p.70.</w:t>
      </w:r>
    </w:p>
    <w:p w14:paraId="18B24588" w14:textId="14208D43" w:rsidR="1A98122A" w:rsidRDefault="1A98122A" w:rsidP="1A98122A">
      <w:pPr>
        <w:rPr>
          <w:rFonts w:eastAsiaTheme="minorEastAsia"/>
          <w:sz w:val="24"/>
          <w:szCs w:val="24"/>
          <w:lang w:val="en-GB"/>
        </w:rPr>
      </w:pPr>
      <w:r w:rsidRPr="1A98122A">
        <w:rPr>
          <w:rFonts w:ascii="Arial" w:eastAsia="Arial" w:hAnsi="Arial" w:cs="Arial"/>
          <w:sz w:val="24"/>
          <w:szCs w:val="24"/>
          <w:lang w:val="en-GB"/>
        </w:rPr>
        <w:t xml:space="preserve">Citywire Available from </w:t>
      </w:r>
      <w:hyperlink r:id="rId8">
        <w:r w:rsidRPr="1A98122A">
          <w:rPr>
            <w:rStyle w:val="Hyperlink"/>
            <w:rFonts w:ascii="Arial" w:eastAsia="Arial" w:hAnsi="Arial" w:cs="Arial"/>
            <w:sz w:val="24"/>
            <w:szCs w:val="24"/>
            <w:lang w:val="en-GB"/>
          </w:rPr>
          <w:t>http://citywire.co.uk/money/share-prices-and-performance/share-factsheet.aspx?InstrumentID=168462</w:t>
        </w:r>
      </w:hyperlink>
      <w:r w:rsidRPr="1A98122A">
        <w:rPr>
          <w:rFonts w:ascii="Arial" w:eastAsia="Arial" w:hAnsi="Arial" w:cs="Arial"/>
          <w:sz w:val="24"/>
          <w:szCs w:val="24"/>
          <w:lang w:val="en-GB"/>
        </w:rPr>
        <w:t xml:space="preserve"> </w:t>
      </w:r>
      <w:r w:rsidRPr="1A98122A">
        <w:rPr>
          <w:rFonts w:eastAsiaTheme="minorEastAsia"/>
          <w:sz w:val="24"/>
          <w:szCs w:val="24"/>
          <w:lang w:val="en-GB"/>
        </w:rPr>
        <w:t>(accessed 20</w:t>
      </w:r>
      <w:r w:rsidRPr="1A98122A">
        <w:rPr>
          <w:rFonts w:eastAsiaTheme="minorEastAsia"/>
          <w:sz w:val="24"/>
          <w:szCs w:val="24"/>
          <w:vertAlign w:val="superscript"/>
          <w:lang w:val="en-GB"/>
        </w:rPr>
        <w:t>th</w:t>
      </w:r>
      <w:r w:rsidRPr="1A98122A">
        <w:rPr>
          <w:rFonts w:eastAsiaTheme="minorEastAsia"/>
          <w:sz w:val="24"/>
          <w:szCs w:val="24"/>
          <w:lang w:val="en-GB"/>
        </w:rPr>
        <w:t xml:space="preserve"> April 2018).</w:t>
      </w:r>
    </w:p>
    <w:p w14:paraId="3FD80773" w14:textId="0B1A281E" w:rsidR="00E14582" w:rsidRDefault="5CE60E2F" w:rsidP="1A98122A">
      <w:pPr>
        <w:rPr>
          <w:rFonts w:eastAsiaTheme="minorEastAsia"/>
          <w:color w:val="555555"/>
          <w:sz w:val="24"/>
          <w:szCs w:val="24"/>
          <w:lang w:val="en-GB"/>
        </w:rPr>
      </w:pPr>
      <w:r w:rsidRPr="5CE60E2F">
        <w:rPr>
          <w:rFonts w:eastAsiaTheme="minorEastAsia"/>
          <w:color w:val="555555"/>
          <w:sz w:val="24"/>
          <w:szCs w:val="24"/>
          <w:lang w:val="en-GB"/>
        </w:rPr>
        <w:t xml:space="preserve">Financial Times Available from </w:t>
      </w:r>
      <w:hyperlink r:id="rId9">
        <w:r w:rsidRPr="5CE60E2F">
          <w:rPr>
            <w:rStyle w:val="Hyperlink"/>
            <w:rFonts w:eastAsiaTheme="minorEastAsia"/>
            <w:sz w:val="24"/>
            <w:szCs w:val="24"/>
            <w:lang w:val="en-GB"/>
          </w:rPr>
          <w:t>https://www.ft.com/content/1b67d5a4-030d-11e7-ace0-1ce02ef0def9</w:t>
        </w:r>
      </w:hyperlink>
      <w:r w:rsidRPr="5CE60E2F">
        <w:rPr>
          <w:rFonts w:eastAsiaTheme="minorEastAsia"/>
          <w:color w:val="555555"/>
          <w:sz w:val="24"/>
          <w:szCs w:val="24"/>
          <w:lang w:val="en-GB"/>
        </w:rPr>
        <w:t xml:space="preserve"> (accessed 7th April 2018)</w:t>
      </w:r>
    </w:p>
    <w:p w14:paraId="4AD0C0E3" w14:textId="77777777" w:rsidR="003E41F5" w:rsidRPr="00616E45" w:rsidRDefault="003E41F5" w:rsidP="003E41F5">
      <w:pPr>
        <w:rPr>
          <w:rFonts w:eastAsiaTheme="minorEastAsia"/>
          <w:color w:val="62C7AC"/>
          <w:sz w:val="24"/>
          <w:szCs w:val="24"/>
          <w:u w:val="single"/>
          <w:lang w:val="en-GB"/>
        </w:rPr>
      </w:pPr>
      <w:r w:rsidRPr="003E41F5">
        <w:rPr>
          <w:rFonts w:eastAsiaTheme="minorEastAsia"/>
          <w:sz w:val="24"/>
          <w:szCs w:val="24"/>
          <w:lang w:val="en-GB"/>
        </w:rPr>
        <w:t xml:space="preserve">Guardian Newspapers Available from </w:t>
      </w:r>
      <w:hyperlink r:id="rId10" w:history="1">
        <w:r w:rsidRPr="009D21B3">
          <w:rPr>
            <w:rStyle w:val="Hyperlink"/>
            <w:rFonts w:eastAsiaTheme="minorEastAsia"/>
            <w:sz w:val="24"/>
            <w:szCs w:val="24"/>
            <w:lang w:val="en-GB"/>
          </w:rPr>
          <w:t>https://www.theguardian.com/business/2015/aug/26/paddy-power-and-betfair-agree-to-merge</w:t>
        </w:r>
      </w:hyperlink>
      <w:r>
        <w:rPr>
          <w:rFonts w:eastAsiaTheme="minorEastAsia"/>
          <w:color w:val="62C7AC"/>
          <w:sz w:val="24"/>
          <w:szCs w:val="24"/>
          <w:u w:val="single"/>
          <w:lang w:val="en-GB"/>
        </w:rPr>
        <w:t xml:space="preserve"> </w:t>
      </w:r>
      <w:r w:rsidRPr="6395FD93">
        <w:rPr>
          <w:rFonts w:eastAsiaTheme="minorEastAsia"/>
          <w:sz w:val="24"/>
          <w:szCs w:val="24"/>
          <w:lang w:val="en-GB"/>
        </w:rPr>
        <w:t>(accessed 2</w:t>
      </w:r>
      <w:r>
        <w:rPr>
          <w:rFonts w:eastAsiaTheme="minorEastAsia"/>
          <w:sz w:val="24"/>
          <w:szCs w:val="24"/>
          <w:lang w:val="en-GB"/>
        </w:rPr>
        <w:t>5</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56930AF8" w14:textId="79F5C9C4" w:rsidR="3ED31BD3" w:rsidRDefault="6395FD93" w:rsidP="6395FD93">
      <w:pPr>
        <w:rPr>
          <w:rFonts w:eastAsiaTheme="minorEastAsia"/>
          <w:color w:val="555555"/>
          <w:sz w:val="24"/>
          <w:szCs w:val="24"/>
          <w:lang w:val="en-GB"/>
        </w:rPr>
      </w:pPr>
      <w:r w:rsidRPr="6395FD93">
        <w:rPr>
          <w:rFonts w:eastAsiaTheme="minorEastAsia"/>
          <w:color w:val="555555"/>
          <w:sz w:val="24"/>
          <w:szCs w:val="24"/>
          <w:lang w:val="en-GB"/>
        </w:rPr>
        <w:t xml:space="preserve">Mott, G. 2008, </w:t>
      </w:r>
      <w:r w:rsidRPr="6395FD93">
        <w:rPr>
          <w:rFonts w:eastAsiaTheme="minorEastAsia"/>
          <w:i/>
          <w:iCs/>
          <w:color w:val="555555"/>
          <w:sz w:val="24"/>
          <w:szCs w:val="24"/>
          <w:lang w:val="en-GB"/>
        </w:rPr>
        <w:t xml:space="preserve">Part 03: Financial management; Chapter 17: Capital investment appraisal, </w:t>
      </w:r>
      <w:r w:rsidRPr="6395FD93">
        <w:rPr>
          <w:rFonts w:eastAsiaTheme="minorEastAsia"/>
          <w:color w:val="555555"/>
          <w:sz w:val="24"/>
          <w:szCs w:val="24"/>
          <w:lang w:val="en-GB"/>
        </w:rPr>
        <w:t>7th edition, Kogan Page Ltd, London.</w:t>
      </w:r>
    </w:p>
    <w:p w14:paraId="21636C63" w14:textId="197CEB5F" w:rsidR="3ED31BD3" w:rsidRDefault="6395FD93" w:rsidP="6395FD93">
      <w:pPr>
        <w:rPr>
          <w:rFonts w:eastAsiaTheme="minorEastAsia"/>
          <w:sz w:val="24"/>
          <w:szCs w:val="24"/>
          <w:lang w:val="en-GB"/>
        </w:rPr>
      </w:pPr>
      <w:r w:rsidRPr="6395FD93">
        <w:rPr>
          <w:rFonts w:eastAsiaTheme="minorEastAsia"/>
          <w:sz w:val="24"/>
          <w:szCs w:val="24"/>
          <w:lang w:val="en-GB"/>
        </w:rPr>
        <w:t xml:space="preserve">Paddy Power BetFair plc (2017) </w:t>
      </w:r>
      <w:r w:rsidRPr="6395FD93">
        <w:rPr>
          <w:rFonts w:eastAsiaTheme="minorEastAsia"/>
          <w:i/>
          <w:iCs/>
          <w:sz w:val="24"/>
          <w:szCs w:val="24"/>
          <w:lang w:val="en-GB"/>
        </w:rPr>
        <w:t>Annual Report and Financial Statements 2017</w:t>
      </w:r>
      <w:r w:rsidRPr="6395FD93">
        <w:rPr>
          <w:rFonts w:eastAsiaTheme="minorEastAsia"/>
          <w:sz w:val="24"/>
          <w:szCs w:val="24"/>
          <w:lang w:val="en-GB"/>
        </w:rPr>
        <w:t xml:space="preserve">. [Internet] Paddy Power BetFair plc. Available from </w:t>
      </w:r>
      <w:r w:rsidRPr="6395FD93">
        <w:rPr>
          <w:rFonts w:eastAsiaTheme="minorEastAsia"/>
          <w:color w:val="62C7AC"/>
          <w:sz w:val="24"/>
          <w:szCs w:val="24"/>
          <w:u w:val="single"/>
          <w:lang w:val="en-GB"/>
        </w:rPr>
        <w:t>https://www.paddypowerbetfair.com/~/media/Files/P/Paddy-Power-Betfair/documents/annual-report-2017-v1.pdf</w:t>
      </w:r>
      <w:r w:rsidRPr="6395FD93">
        <w:rPr>
          <w:rFonts w:eastAsiaTheme="minorEastAsia"/>
          <w:sz w:val="24"/>
          <w:szCs w:val="24"/>
          <w:lang w:val="en-GB"/>
        </w:rPr>
        <w:t xml:space="preserve"> (accessed 19</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1267D70D" w14:textId="342B50D4" w:rsidR="3ED31BD3" w:rsidRDefault="6395FD93" w:rsidP="6395FD93">
      <w:pPr>
        <w:rPr>
          <w:rFonts w:eastAsiaTheme="minorEastAsia"/>
          <w:sz w:val="24"/>
          <w:szCs w:val="24"/>
          <w:lang w:val="en-GB"/>
        </w:rPr>
      </w:pPr>
      <w:r w:rsidRPr="6395FD93">
        <w:rPr>
          <w:rFonts w:eastAsiaTheme="minorEastAsia"/>
          <w:sz w:val="24"/>
          <w:szCs w:val="24"/>
          <w:lang w:val="en-GB"/>
        </w:rPr>
        <w:t xml:space="preserve">Paddy Power BetFair plc (2016) </w:t>
      </w:r>
      <w:r w:rsidRPr="6395FD93">
        <w:rPr>
          <w:rFonts w:eastAsiaTheme="minorEastAsia"/>
          <w:i/>
          <w:iCs/>
          <w:sz w:val="24"/>
          <w:szCs w:val="24"/>
          <w:lang w:val="en-GB"/>
        </w:rPr>
        <w:t>Annual Report and Financial Statements 2016</w:t>
      </w:r>
      <w:r w:rsidRPr="6395FD93">
        <w:rPr>
          <w:rFonts w:eastAsiaTheme="minorEastAsia"/>
          <w:sz w:val="24"/>
          <w:szCs w:val="24"/>
          <w:lang w:val="en-GB"/>
        </w:rPr>
        <w:t xml:space="preserve">. [Internet] Paddy Power BetFair plc. Available from </w:t>
      </w:r>
      <w:r w:rsidRPr="6395FD93">
        <w:rPr>
          <w:rFonts w:eastAsiaTheme="minorEastAsia"/>
          <w:color w:val="62C7AC"/>
          <w:sz w:val="24"/>
          <w:szCs w:val="24"/>
          <w:u w:val="single"/>
          <w:lang w:val="en-GB"/>
        </w:rPr>
        <w:t>https://www.paddypowerbetfair.com/~/media/Files/P/Paddy-Power-Betfair/documents/annual-report-2016.pdf</w:t>
      </w:r>
      <w:r w:rsidRPr="6395FD93">
        <w:rPr>
          <w:rFonts w:eastAsiaTheme="minorEastAsia"/>
          <w:sz w:val="24"/>
          <w:szCs w:val="24"/>
          <w:lang w:val="en-GB"/>
        </w:rPr>
        <w:t xml:space="preserve"> (accessed 19</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5A8C90D3" w14:textId="0AF9069E" w:rsidR="3ED31BD3" w:rsidRDefault="6395FD93" w:rsidP="6395FD93">
      <w:pPr>
        <w:rPr>
          <w:rFonts w:eastAsiaTheme="minorEastAsia"/>
          <w:sz w:val="24"/>
          <w:szCs w:val="24"/>
          <w:lang w:val="en-GB"/>
        </w:rPr>
      </w:pPr>
      <w:r w:rsidRPr="6395FD93">
        <w:rPr>
          <w:rFonts w:eastAsiaTheme="minorEastAsia"/>
          <w:sz w:val="24"/>
          <w:szCs w:val="24"/>
          <w:lang w:val="en-GB"/>
        </w:rPr>
        <w:t xml:space="preserve">Paddy Power BetFair plc (2015) </w:t>
      </w:r>
      <w:r w:rsidRPr="6395FD93">
        <w:rPr>
          <w:rFonts w:eastAsiaTheme="minorEastAsia"/>
          <w:i/>
          <w:iCs/>
          <w:sz w:val="24"/>
          <w:szCs w:val="24"/>
          <w:lang w:val="en-GB"/>
        </w:rPr>
        <w:t>Annual Report and Financial Statements 2015</w:t>
      </w:r>
      <w:r w:rsidRPr="6395FD93">
        <w:rPr>
          <w:rFonts w:eastAsiaTheme="minorEastAsia"/>
          <w:sz w:val="24"/>
          <w:szCs w:val="24"/>
          <w:lang w:val="en-GB"/>
        </w:rPr>
        <w:t xml:space="preserve">. [Internet] Paddy Power BetFair plc. Available from </w:t>
      </w:r>
      <w:r w:rsidRPr="6395FD93">
        <w:rPr>
          <w:rFonts w:eastAsiaTheme="minorEastAsia"/>
          <w:color w:val="62C7AC"/>
          <w:sz w:val="24"/>
          <w:szCs w:val="24"/>
          <w:u w:val="single"/>
          <w:lang w:val="en-GB"/>
        </w:rPr>
        <w:t>https://www.paddypowerbetfair.com/~/media/Files/P/Paddy-Power-Betfair/documents/annual-report-2015-v2.pdf</w:t>
      </w:r>
      <w:r w:rsidRPr="6395FD93">
        <w:rPr>
          <w:rFonts w:eastAsiaTheme="minorEastAsia"/>
          <w:sz w:val="24"/>
          <w:szCs w:val="24"/>
          <w:lang w:val="en-GB"/>
        </w:rPr>
        <w:t xml:space="preserve"> (accessed 19</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266D595A" w14:textId="61811737" w:rsidR="3ED31BD3" w:rsidRDefault="6395FD93" w:rsidP="6395FD93">
      <w:pPr>
        <w:rPr>
          <w:rFonts w:eastAsiaTheme="minorEastAsia"/>
          <w:sz w:val="24"/>
          <w:szCs w:val="24"/>
          <w:lang w:val="en-GB"/>
        </w:rPr>
      </w:pPr>
      <w:r w:rsidRPr="6395FD93">
        <w:rPr>
          <w:rFonts w:eastAsiaTheme="minorEastAsia"/>
          <w:sz w:val="24"/>
          <w:szCs w:val="24"/>
          <w:lang w:val="en-GB"/>
        </w:rPr>
        <w:t xml:space="preserve">Paddy Power BetFair plc (2014) </w:t>
      </w:r>
      <w:r w:rsidRPr="6395FD93">
        <w:rPr>
          <w:rFonts w:eastAsiaTheme="minorEastAsia"/>
          <w:i/>
          <w:iCs/>
          <w:sz w:val="24"/>
          <w:szCs w:val="24"/>
          <w:lang w:val="en-GB"/>
        </w:rPr>
        <w:t>Annual Report and Financial Statements 2014</w:t>
      </w:r>
      <w:r w:rsidRPr="6395FD93">
        <w:rPr>
          <w:rFonts w:eastAsiaTheme="minorEastAsia"/>
          <w:sz w:val="24"/>
          <w:szCs w:val="24"/>
          <w:lang w:val="en-GB"/>
        </w:rPr>
        <w:t xml:space="preserve">. [Internet] Paddy Power BetFair plc. Available from </w:t>
      </w:r>
      <w:r w:rsidRPr="6395FD93">
        <w:rPr>
          <w:rFonts w:eastAsiaTheme="minorEastAsia"/>
          <w:color w:val="62C7AC"/>
          <w:sz w:val="24"/>
          <w:szCs w:val="24"/>
          <w:u w:val="single"/>
          <w:lang w:val="en-GB"/>
        </w:rPr>
        <w:t xml:space="preserve">https://www.paddypowerbetfair.com/~/media/Files/P/Paddy-Power-Betfair/archive/reports-presentations/paddy-power/annual-report-full.pdf </w:t>
      </w:r>
      <w:r w:rsidRPr="6395FD93">
        <w:rPr>
          <w:rFonts w:eastAsiaTheme="minorEastAsia"/>
          <w:sz w:val="24"/>
          <w:szCs w:val="24"/>
          <w:lang w:val="en-GB"/>
        </w:rPr>
        <w:t>(accessed 19</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2117C3BB" w14:textId="695E1F40" w:rsidR="00FE5BB7" w:rsidRPr="00FE5BB7" w:rsidRDefault="6395FD93" w:rsidP="00FE5BB7">
      <w:pPr>
        <w:rPr>
          <w:rFonts w:eastAsiaTheme="minorEastAsia"/>
          <w:sz w:val="24"/>
          <w:szCs w:val="24"/>
          <w:lang w:val="en-GB"/>
        </w:rPr>
      </w:pPr>
      <w:r w:rsidRPr="6395FD93">
        <w:rPr>
          <w:rFonts w:eastAsiaTheme="minorEastAsia"/>
          <w:sz w:val="24"/>
          <w:szCs w:val="24"/>
          <w:lang w:val="en-GB"/>
        </w:rPr>
        <w:t xml:space="preserve">Paddy Power BetFair plc (2013) </w:t>
      </w:r>
      <w:r w:rsidRPr="6395FD93">
        <w:rPr>
          <w:rFonts w:eastAsiaTheme="minorEastAsia"/>
          <w:i/>
          <w:iCs/>
          <w:sz w:val="24"/>
          <w:szCs w:val="24"/>
          <w:lang w:val="en-GB"/>
        </w:rPr>
        <w:t>Annual Report and Financial Statements 2013</w:t>
      </w:r>
      <w:r w:rsidRPr="6395FD93">
        <w:rPr>
          <w:rFonts w:eastAsiaTheme="minorEastAsia"/>
          <w:sz w:val="24"/>
          <w:szCs w:val="24"/>
          <w:lang w:val="en-GB"/>
        </w:rPr>
        <w:t xml:space="preserve">. [Internet] Paddy Power BetFair plc. Available from </w:t>
      </w:r>
      <w:r w:rsidRPr="6395FD93">
        <w:rPr>
          <w:rFonts w:eastAsiaTheme="minorEastAsia"/>
          <w:color w:val="62C7AC"/>
          <w:sz w:val="24"/>
          <w:szCs w:val="24"/>
          <w:u w:val="single"/>
          <w:lang w:val="en-GB"/>
        </w:rPr>
        <w:t>https://www.paddypowerbetfair.com/~/media/Files/P/Paddy-Power-Betfair/archive/reports-presentations/paddy-power/2013annualreport.pdf</w:t>
      </w:r>
      <w:r w:rsidRPr="6395FD93">
        <w:rPr>
          <w:rFonts w:eastAsiaTheme="minorEastAsia"/>
          <w:sz w:val="24"/>
          <w:szCs w:val="24"/>
          <w:lang w:val="en-GB"/>
        </w:rPr>
        <w:t xml:space="preserve"> (accessed 19</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411D9947" w14:textId="74C7A783" w:rsidR="238DFD5D" w:rsidRDefault="238DFD5D" w:rsidP="238DFD5D">
      <w:pPr>
        <w:rPr>
          <w:rFonts w:eastAsiaTheme="minorEastAsia"/>
          <w:sz w:val="24"/>
          <w:szCs w:val="24"/>
          <w:lang w:val="en-GB"/>
        </w:rPr>
      </w:pPr>
      <w:r w:rsidRPr="238DFD5D">
        <w:rPr>
          <w:rFonts w:eastAsiaTheme="minorEastAsia"/>
          <w:sz w:val="24"/>
          <w:szCs w:val="24"/>
          <w:lang w:val="en-GB"/>
        </w:rPr>
        <w:lastRenderedPageBreak/>
        <w:t xml:space="preserve">Paddy Power BetFair plc History of Paddy Power [Internet] Paddy Power BetFair plc. Available from </w:t>
      </w:r>
      <w:hyperlink r:id="rId11">
        <w:r w:rsidRPr="238DFD5D">
          <w:rPr>
            <w:rStyle w:val="Hyperlink"/>
            <w:rFonts w:ascii="Arial" w:eastAsia="Arial" w:hAnsi="Arial" w:cs="Arial"/>
            <w:sz w:val="24"/>
            <w:szCs w:val="24"/>
            <w:lang w:val="en-GB"/>
          </w:rPr>
          <w:t>https://www.paddypowerbetfair.com/our-business/history</w:t>
        </w:r>
      </w:hyperlink>
      <w:r w:rsidRPr="238DFD5D">
        <w:rPr>
          <w:rFonts w:ascii="Arial" w:eastAsia="Arial" w:hAnsi="Arial" w:cs="Arial"/>
          <w:sz w:val="24"/>
          <w:szCs w:val="24"/>
          <w:lang w:val="en-GB"/>
        </w:rPr>
        <w:t xml:space="preserve"> </w:t>
      </w:r>
      <w:r w:rsidRPr="238DFD5D">
        <w:rPr>
          <w:rFonts w:eastAsiaTheme="minorEastAsia"/>
          <w:sz w:val="24"/>
          <w:szCs w:val="24"/>
          <w:lang w:val="en-GB"/>
        </w:rPr>
        <w:t>(accessed 19</w:t>
      </w:r>
      <w:r w:rsidRPr="238DFD5D">
        <w:rPr>
          <w:rFonts w:eastAsiaTheme="minorEastAsia"/>
          <w:sz w:val="24"/>
          <w:szCs w:val="24"/>
          <w:vertAlign w:val="superscript"/>
          <w:lang w:val="en-GB"/>
        </w:rPr>
        <w:t>th</w:t>
      </w:r>
      <w:r w:rsidRPr="238DFD5D">
        <w:rPr>
          <w:rFonts w:eastAsiaTheme="minorEastAsia"/>
          <w:sz w:val="24"/>
          <w:szCs w:val="24"/>
          <w:lang w:val="en-GB"/>
        </w:rPr>
        <w:t xml:space="preserve"> April, 2018).</w:t>
      </w:r>
    </w:p>
    <w:p w14:paraId="4BAAB1B0" w14:textId="4A01D3FD" w:rsidR="238DFD5D" w:rsidRDefault="238DFD5D" w:rsidP="238DFD5D">
      <w:pPr>
        <w:rPr>
          <w:rFonts w:eastAsiaTheme="minorEastAsia"/>
          <w:sz w:val="24"/>
          <w:szCs w:val="24"/>
          <w:lang w:val="en-GB"/>
        </w:rPr>
      </w:pPr>
      <w:r w:rsidRPr="238DFD5D">
        <w:rPr>
          <w:rFonts w:eastAsiaTheme="minorEastAsia"/>
          <w:sz w:val="24"/>
          <w:szCs w:val="24"/>
          <w:lang w:val="en-GB"/>
        </w:rPr>
        <w:t xml:space="preserve">Paddy Power BetFair plc Share Price Centre [Internet] Paddy Power BetFair plc. Available from </w:t>
      </w:r>
      <w:hyperlink r:id="rId12">
        <w:r w:rsidRPr="238DFD5D">
          <w:rPr>
            <w:rStyle w:val="Hyperlink"/>
            <w:rFonts w:ascii="Arial" w:eastAsia="Arial" w:hAnsi="Arial" w:cs="Arial"/>
            <w:color w:val="62C7AD" w:themeColor="accent3"/>
            <w:sz w:val="24"/>
            <w:szCs w:val="24"/>
            <w:lang w:val="en-GB"/>
          </w:rPr>
          <w:t>https://www.paddypowerbetfair.com/investor-relations/share-price-information/share-price-centre</w:t>
        </w:r>
      </w:hyperlink>
      <w:r w:rsidRPr="238DFD5D">
        <w:rPr>
          <w:rFonts w:ascii="Arial" w:eastAsia="Arial" w:hAnsi="Arial" w:cs="Arial"/>
          <w:color w:val="62C7AD" w:themeColor="accent3"/>
          <w:sz w:val="24"/>
          <w:szCs w:val="24"/>
          <w:u w:val="single"/>
          <w:lang w:val="en-GB"/>
        </w:rPr>
        <w:t xml:space="preserve"> </w:t>
      </w:r>
      <w:r w:rsidRPr="238DFD5D">
        <w:rPr>
          <w:rFonts w:eastAsiaTheme="minorEastAsia"/>
          <w:sz w:val="24"/>
          <w:szCs w:val="24"/>
          <w:lang w:val="en-GB"/>
        </w:rPr>
        <w:t>(accessed 25</w:t>
      </w:r>
      <w:r w:rsidRPr="238DFD5D">
        <w:rPr>
          <w:rFonts w:eastAsiaTheme="minorEastAsia"/>
          <w:sz w:val="24"/>
          <w:szCs w:val="24"/>
          <w:vertAlign w:val="superscript"/>
          <w:lang w:val="en-GB"/>
        </w:rPr>
        <w:t>th</w:t>
      </w:r>
      <w:r w:rsidRPr="238DFD5D">
        <w:rPr>
          <w:rFonts w:eastAsiaTheme="minorEastAsia"/>
          <w:sz w:val="24"/>
          <w:szCs w:val="24"/>
          <w:lang w:val="en-GB"/>
        </w:rPr>
        <w:t xml:space="preserve"> April, 2018).</w:t>
      </w:r>
    </w:p>
    <w:p w14:paraId="6FB886DF" w14:textId="52755643" w:rsidR="3ED31BD3" w:rsidRDefault="6395FD93" w:rsidP="6395FD93">
      <w:pPr>
        <w:rPr>
          <w:rFonts w:eastAsiaTheme="minorEastAsia"/>
          <w:color w:val="555555"/>
          <w:sz w:val="24"/>
          <w:szCs w:val="24"/>
          <w:lang w:val="en-GB"/>
        </w:rPr>
      </w:pPr>
      <w:r w:rsidRPr="6395FD93">
        <w:rPr>
          <w:rFonts w:eastAsiaTheme="minorEastAsia"/>
          <w:color w:val="555555"/>
          <w:sz w:val="24"/>
          <w:szCs w:val="24"/>
          <w:lang w:val="en-GB"/>
        </w:rPr>
        <w:t xml:space="preserve">Pogue, M. 2004, </w:t>
      </w:r>
      <w:r w:rsidRPr="6395FD93">
        <w:rPr>
          <w:rFonts w:eastAsiaTheme="minorEastAsia"/>
          <w:i/>
          <w:iCs/>
          <w:color w:val="555555"/>
          <w:sz w:val="24"/>
          <w:szCs w:val="24"/>
          <w:lang w:val="en-GB"/>
        </w:rPr>
        <w:t>"Investment appraisal: A new approach",</w:t>
      </w:r>
      <w:r w:rsidRPr="6395FD93">
        <w:rPr>
          <w:rFonts w:eastAsiaTheme="minorEastAsia"/>
          <w:color w:val="555555"/>
          <w:sz w:val="24"/>
          <w:szCs w:val="24"/>
          <w:lang w:val="en-GB"/>
        </w:rPr>
        <w:t xml:space="preserve"> Managerial Auditing Journal,</w:t>
      </w:r>
      <w:r w:rsidRPr="6395FD93">
        <w:rPr>
          <w:rFonts w:eastAsiaTheme="minorEastAsia"/>
          <w:i/>
          <w:iCs/>
          <w:color w:val="555555"/>
          <w:sz w:val="24"/>
          <w:szCs w:val="24"/>
          <w:lang w:val="en-GB"/>
        </w:rPr>
        <w:t xml:space="preserve"> </w:t>
      </w:r>
      <w:r w:rsidRPr="6395FD93">
        <w:rPr>
          <w:rFonts w:eastAsiaTheme="minorEastAsia"/>
          <w:color w:val="555555"/>
          <w:sz w:val="24"/>
          <w:szCs w:val="24"/>
          <w:lang w:val="en-GB"/>
        </w:rPr>
        <w:t>vol. 19, no. 4, pp. 565-569.</w:t>
      </w:r>
    </w:p>
    <w:p w14:paraId="75000E6F" w14:textId="77777777" w:rsidR="003E41F5" w:rsidRPr="00616E45" w:rsidRDefault="003E41F5" w:rsidP="003E41F5">
      <w:pPr>
        <w:rPr>
          <w:rFonts w:eastAsiaTheme="minorEastAsia"/>
          <w:color w:val="555555"/>
          <w:sz w:val="24"/>
          <w:szCs w:val="24"/>
          <w:lang w:val="en-GB"/>
        </w:rPr>
      </w:pPr>
      <w:r>
        <w:rPr>
          <w:rFonts w:eastAsiaTheme="minorEastAsia"/>
          <w:color w:val="555555"/>
          <w:sz w:val="24"/>
          <w:szCs w:val="24"/>
          <w:lang w:val="en-GB"/>
        </w:rPr>
        <w:t xml:space="preserve">Reuters News Agency Available from </w:t>
      </w:r>
      <w:r w:rsidRPr="003E41F5">
        <w:rPr>
          <w:rFonts w:eastAsiaTheme="minorEastAsia"/>
          <w:color w:val="62C7AC"/>
          <w:sz w:val="24"/>
          <w:szCs w:val="24"/>
          <w:u w:val="single"/>
          <w:lang w:val="en-GB"/>
        </w:rPr>
        <w:t>https://uk.reuters.com/article/uk-britain-gambling/british-bookmaker-shares-plunge-on-report-of-looming-low-stake-limit-idUKKBN1FB0UG</w:t>
      </w:r>
      <w:r>
        <w:rPr>
          <w:rFonts w:eastAsiaTheme="minorEastAsia"/>
          <w:color w:val="555555"/>
          <w:sz w:val="24"/>
          <w:szCs w:val="24"/>
          <w:lang w:val="en-GB"/>
        </w:rPr>
        <w:t xml:space="preserve"> </w:t>
      </w:r>
      <w:r w:rsidRPr="6395FD93">
        <w:rPr>
          <w:rFonts w:eastAsiaTheme="minorEastAsia"/>
          <w:sz w:val="24"/>
          <w:szCs w:val="24"/>
          <w:lang w:val="en-GB"/>
        </w:rPr>
        <w:t>(accessed 2</w:t>
      </w:r>
      <w:r>
        <w:rPr>
          <w:rFonts w:eastAsiaTheme="minorEastAsia"/>
          <w:sz w:val="24"/>
          <w:szCs w:val="24"/>
          <w:lang w:val="en-GB"/>
        </w:rPr>
        <w:t>5</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5455C81B" w14:textId="7CB37FA1" w:rsidR="3ED31BD3" w:rsidRDefault="6395FD93" w:rsidP="6395FD93">
      <w:pPr>
        <w:rPr>
          <w:rFonts w:eastAsiaTheme="minorEastAsia"/>
          <w:color w:val="555555"/>
          <w:sz w:val="24"/>
          <w:szCs w:val="24"/>
          <w:lang w:val="en-GB"/>
        </w:rPr>
      </w:pPr>
      <w:r w:rsidRPr="6395FD93">
        <w:rPr>
          <w:rFonts w:eastAsiaTheme="minorEastAsia"/>
          <w:color w:val="555555"/>
          <w:sz w:val="24"/>
          <w:szCs w:val="24"/>
          <w:lang w:val="en-GB"/>
        </w:rPr>
        <w:t xml:space="preserve">William Hill plc (2017) </w:t>
      </w:r>
      <w:r w:rsidRPr="6395FD93">
        <w:rPr>
          <w:rFonts w:eastAsiaTheme="minorEastAsia"/>
          <w:i/>
          <w:iCs/>
          <w:color w:val="555555"/>
          <w:sz w:val="24"/>
          <w:szCs w:val="24"/>
          <w:lang w:val="en-GB"/>
        </w:rPr>
        <w:t>Annual Report and Financial Statements 2017</w:t>
      </w:r>
      <w:r w:rsidRPr="6395FD93">
        <w:rPr>
          <w:rFonts w:eastAsiaTheme="minorEastAsia"/>
          <w:color w:val="555555"/>
          <w:sz w:val="24"/>
          <w:szCs w:val="24"/>
          <w:lang w:val="en-GB"/>
        </w:rPr>
        <w:t xml:space="preserve">. [Internet] William Hill plc. Available from </w:t>
      </w:r>
      <w:hyperlink r:id="rId13">
        <w:r w:rsidRPr="6395FD93">
          <w:rPr>
            <w:rStyle w:val="Hyperlink"/>
            <w:rFonts w:eastAsiaTheme="minorEastAsia"/>
            <w:sz w:val="24"/>
            <w:szCs w:val="24"/>
            <w:lang w:val="en-GB"/>
          </w:rPr>
          <w:t>https://www.williamhillplc.com/media/12106/wh-annual-report-2017-v2.pdf</w:t>
        </w:r>
      </w:hyperlink>
      <w:r w:rsidRPr="6395FD93">
        <w:rPr>
          <w:rFonts w:eastAsiaTheme="minorEastAsia"/>
          <w:sz w:val="24"/>
          <w:szCs w:val="24"/>
          <w:lang w:val="en-GB"/>
        </w:rPr>
        <w:t xml:space="preserve"> (accessed 20</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3186BCA0" w14:textId="66B47D40" w:rsidR="3ED31BD3" w:rsidRDefault="6395FD93" w:rsidP="6395FD93">
      <w:pPr>
        <w:rPr>
          <w:rFonts w:eastAsiaTheme="minorEastAsia"/>
          <w:color w:val="555555"/>
          <w:sz w:val="24"/>
          <w:szCs w:val="24"/>
          <w:lang w:val="en-GB"/>
        </w:rPr>
      </w:pPr>
      <w:r w:rsidRPr="6395FD93">
        <w:rPr>
          <w:rFonts w:eastAsiaTheme="minorEastAsia"/>
          <w:color w:val="555555"/>
          <w:sz w:val="24"/>
          <w:szCs w:val="24"/>
          <w:lang w:val="en-GB"/>
        </w:rPr>
        <w:t xml:space="preserve">William Hill plc (2016) </w:t>
      </w:r>
      <w:r w:rsidRPr="6395FD93">
        <w:rPr>
          <w:rFonts w:eastAsiaTheme="minorEastAsia"/>
          <w:i/>
          <w:iCs/>
          <w:color w:val="555555"/>
          <w:sz w:val="24"/>
          <w:szCs w:val="24"/>
          <w:lang w:val="en-GB"/>
        </w:rPr>
        <w:t>Annual Report and Financial Statements 2016</w:t>
      </w:r>
      <w:r w:rsidRPr="6395FD93">
        <w:rPr>
          <w:rFonts w:eastAsiaTheme="minorEastAsia"/>
          <w:color w:val="555555"/>
          <w:sz w:val="24"/>
          <w:szCs w:val="24"/>
          <w:lang w:val="en-GB"/>
        </w:rPr>
        <w:t xml:space="preserve">. [Internet] William Hill plc. Available from </w:t>
      </w:r>
      <w:r w:rsidRPr="6395FD93">
        <w:rPr>
          <w:rFonts w:eastAsiaTheme="minorEastAsia"/>
          <w:color w:val="62C7AC"/>
          <w:sz w:val="24"/>
          <w:szCs w:val="24"/>
          <w:u w:val="single"/>
          <w:lang w:val="en-GB"/>
        </w:rPr>
        <w:t>https://www.williamhillplc.com/media/11250/wh-final-rev1-printall_2017-03-01_181358.pdf</w:t>
      </w:r>
      <w:r w:rsidR="003E41F5">
        <w:rPr>
          <w:rFonts w:eastAsiaTheme="minorEastAsia"/>
          <w:sz w:val="24"/>
          <w:szCs w:val="24"/>
          <w:lang w:val="en-GB"/>
        </w:rPr>
        <w:t xml:space="preserve"> </w:t>
      </w:r>
      <w:r w:rsidRPr="6395FD93">
        <w:rPr>
          <w:rFonts w:eastAsiaTheme="minorEastAsia"/>
          <w:sz w:val="24"/>
          <w:szCs w:val="24"/>
          <w:lang w:val="en-GB"/>
        </w:rPr>
        <w:t>(accessed 20</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479435DB" w14:textId="14E1462A" w:rsidR="3ED31BD3" w:rsidRDefault="6395FD93" w:rsidP="6395FD93">
      <w:pPr>
        <w:rPr>
          <w:rFonts w:eastAsiaTheme="minorEastAsia"/>
          <w:color w:val="555555"/>
          <w:sz w:val="24"/>
          <w:szCs w:val="24"/>
          <w:lang w:val="en-GB"/>
        </w:rPr>
      </w:pPr>
      <w:r w:rsidRPr="6395FD93">
        <w:rPr>
          <w:rFonts w:eastAsiaTheme="minorEastAsia"/>
          <w:color w:val="555555"/>
          <w:sz w:val="24"/>
          <w:szCs w:val="24"/>
          <w:lang w:val="en-GB"/>
        </w:rPr>
        <w:t xml:space="preserve">William Hill plc (2015) </w:t>
      </w:r>
      <w:r w:rsidRPr="6395FD93">
        <w:rPr>
          <w:rFonts w:eastAsiaTheme="minorEastAsia"/>
          <w:i/>
          <w:iCs/>
          <w:color w:val="555555"/>
          <w:sz w:val="24"/>
          <w:szCs w:val="24"/>
          <w:lang w:val="en-GB"/>
        </w:rPr>
        <w:t>Annual Report and Financial Statements 2015</w:t>
      </w:r>
      <w:r w:rsidRPr="6395FD93">
        <w:rPr>
          <w:rFonts w:eastAsiaTheme="minorEastAsia"/>
          <w:color w:val="555555"/>
          <w:sz w:val="24"/>
          <w:szCs w:val="24"/>
          <w:lang w:val="en-GB"/>
        </w:rPr>
        <w:t xml:space="preserve">. [Internet] William Hill plc. Available from </w:t>
      </w:r>
      <w:r w:rsidRPr="6395FD93">
        <w:rPr>
          <w:rFonts w:eastAsiaTheme="minorEastAsia"/>
          <w:color w:val="62C7AC"/>
          <w:sz w:val="24"/>
          <w:szCs w:val="24"/>
          <w:u w:val="single"/>
          <w:lang w:val="en-GB"/>
        </w:rPr>
        <w:t>http://files.williamhillplc.com/media/3612/williamhill_ar15.pdf</w:t>
      </w:r>
      <w:r w:rsidRPr="6395FD93">
        <w:rPr>
          <w:rFonts w:eastAsiaTheme="minorEastAsia"/>
          <w:sz w:val="24"/>
          <w:szCs w:val="24"/>
          <w:lang w:val="en-GB"/>
        </w:rPr>
        <w:t xml:space="preserve"> (accessed 20</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5BA8B6C0" w14:textId="3156807F" w:rsidR="3ED31BD3" w:rsidRDefault="6395FD93" w:rsidP="6395FD93">
      <w:pPr>
        <w:rPr>
          <w:rFonts w:eastAsiaTheme="minorEastAsia"/>
          <w:color w:val="555555"/>
          <w:sz w:val="24"/>
          <w:szCs w:val="24"/>
          <w:lang w:val="en-GB"/>
        </w:rPr>
      </w:pPr>
      <w:r w:rsidRPr="6395FD93">
        <w:rPr>
          <w:rFonts w:eastAsiaTheme="minorEastAsia"/>
          <w:color w:val="555555"/>
          <w:sz w:val="24"/>
          <w:szCs w:val="24"/>
          <w:lang w:val="en-GB"/>
        </w:rPr>
        <w:t xml:space="preserve">William Hill plc (2014) </w:t>
      </w:r>
      <w:r w:rsidRPr="6395FD93">
        <w:rPr>
          <w:rFonts w:eastAsiaTheme="minorEastAsia"/>
          <w:i/>
          <w:iCs/>
          <w:color w:val="555555"/>
          <w:sz w:val="24"/>
          <w:szCs w:val="24"/>
          <w:lang w:val="en-GB"/>
        </w:rPr>
        <w:t>Annual Report and Financial Statements 2014</w:t>
      </w:r>
      <w:r w:rsidRPr="6395FD93">
        <w:rPr>
          <w:rFonts w:eastAsiaTheme="minorEastAsia"/>
          <w:color w:val="555555"/>
          <w:sz w:val="24"/>
          <w:szCs w:val="24"/>
          <w:lang w:val="en-GB"/>
        </w:rPr>
        <w:t xml:space="preserve">. [Internet] William Hill plc. Available from </w:t>
      </w:r>
      <w:r w:rsidRPr="6395FD93">
        <w:rPr>
          <w:rFonts w:eastAsiaTheme="minorEastAsia"/>
          <w:color w:val="62C7AC"/>
          <w:sz w:val="24"/>
          <w:szCs w:val="24"/>
          <w:u w:val="single"/>
          <w:lang w:val="en-GB"/>
        </w:rPr>
        <w:t>http://files.williamhillplc.com/media/1832/2014-final-results-accounts.pdf</w:t>
      </w:r>
      <w:r w:rsidRPr="6395FD93">
        <w:rPr>
          <w:rFonts w:eastAsiaTheme="minorEastAsia"/>
          <w:sz w:val="24"/>
          <w:szCs w:val="24"/>
          <w:lang w:val="en-GB"/>
        </w:rPr>
        <w:t xml:space="preserve"> (accessed 20</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5DE8E83A" w14:textId="04BFF9CE" w:rsidR="3ED31BD3" w:rsidRDefault="6395FD93" w:rsidP="6395FD93">
      <w:pPr>
        <w:rPr>
          <w:rFonts w:eastAsiaTheme="minorEastAsia"/>
          <w:color w:val="555555"/>
          <w:sz w:val="24"/>
          <w:szCs w:val="24"/>
          <w:lang w:val="en-GB"/>
        </w:rPr>
      </w:pPr>
      <w:r w:rsidRPr="6395FD93">
        <w:rPr>
          <w:rFonts w:eastAsiaTheme="minorEastAsia"/>
          <w:color w:val="555555"/>
          <w:sz w:val="24"/>
          <w:szCs w:val="24"/>
          <w:lang w:val="en-GB"/>
        </w:rPr>
        <w:t xml:space="preserve">William Hill plc (2013) </w:t>
      </w:r>
      <w:r w:rsidRPr="6395FD93">
        <w:rPr>
          <w:rFonts w:eastAsiaTheme="minorEastAsia"/>
          <w:i/>
          <w:iCs/>
          <w:color w:val="555555"/>
          <w:sz w:val="24"/>
          <w:szCs w:val="24"/>
          <w:lang w:val="en-GB"/>
        </w:rPr>
        <w:t>Annual Report and Financial Statements 2013</w:t>
      </w:r>
      <w:r w:rsidRPr="6395FD93">
        <w:rPr>
          <w:rFonts w:eastAsiaTheme="minorEastAsia"/>
          <w:color w:val="555555"/>
          <w:sz w:val="24"/>
          <w:szCs w:val="24"/>
          <w:lang w:val="en-GB"/>
        </w:rPr>
        <w:t xml:space="preserve">. [Internet] William Hill plc. Available from </w:t>
      </w:r>
      <w:r w:rsidRPr="6395FD93">
        <w:rPr>
          <w:rFonts w:eastAsiaTheme="minorEastAsia"/>
          <w:color w:val="62C7AC"/>
          <w:sz w:val="24"/>
          <w:szCs w:val="24"/>
          <w:u w:val="single"/>
          <w:lang w:val="en-GB"/>
        </w:rPr>
        <w:t>http://files.williamhillplc.com/media/1202/ar_2013.pdf</w:t>
      </w:r>
      <w:r w:rsidRPr="6395FD93">
        <w:rPr>
          <w:rFonts w:eastAsiaTheme="minorEastAsia"/>
          <w:sz w:val="24"/>
          <w:szCs w:val="24"/>
          <w:lang w:val="en-GB"/>
        </w:rPr>
        <w:t xml:space="preserve"> (accessed 20</w:t>
      </w:r>
      <w:r w:rsidRPr="6395FD93">
        <w:rPr>
          <w:rFonts w:eastAsiaTheme="minorEastAsia"/>
          <w:sz w:val="24"/>
          <w:szCs w:val="24"/>
          <w:vertAlign w:val="superscript"/>
          <w:lang w:val="en-GB"/>
        </w:rPr>
        <w:t>th</w:t>
      </w:r>
      <w:r w:rsidRPr="6395FD93">
        <w:rPr>
          <w:rFonts w:eastAsiaTheme="minorEastAsia"/>
          <w:sz w:val="24"/>
          <w:szCs w:val="24"/>
          <w:lang w:val="en-GB"/>
        </w:rPr>
        <w:t xml:space="preserve"> April 2018).</w:t>
      </w:r>
    </w:p>
    <w:p w14:paraId="7755D7C7" w14:textId="4E109827" w:rsidR="122E61AE" w:rsidRDefault="00B77B0F" w:rsidP="122E61AE">
      <w:pPr>
        <w:rPr>
          <w:rFonts w:eastAsiaTheme="minorEastAsia"/>
          <w:color w:val="62C7AC"/>
          <w:sz w:val="24"/>
          <w:szCs w:val="24"/>
          <w:u w:val="single"/>
          <w:lang w:val="en-GB"/>
        </w:rPr>
      </w:pPr>
      <w:hyperlink r:id="rId14" w:history="1">
        <w:r w:rsidR="00436652" w:rsidRPr="00BD2B09">
          <w:rPr>
            <w:rStyle w:val="Hyperlink"/>
            <w:rFonts w:eastAsiaTheme="minorEastAsia"/>
            <w:sz w:val="24"/>
            <w:szCs w:val="24"/>
            <w:lang w:val="en-GB"/>
          </w:rPr>
          <w:t>https://www.stockopedia.com/share-prices/william-hill-LON:WMH/</w:t>
        </w:r>
      </w:hyperlink>
      <w:r w:rsidR="003E41F5" w:rsidRPr="6395FD93">
        <w:rPr>
          <w:rFonts w:eastAsiaTheme="minorEastAsia"/>
          <w:sz w:val="24"/>
          <w:szCs w:val="24"/>
          <w:lang w:val="en-GB"/>
        </w:rPr>
        <w:t>(accessed 2</w:t>
      </w:r>
      <w:r w:rsidR="003E41F5">
        <w:rPr>
          <w:rFonts w:eastAsiaTheme="minorEastAsia"/>
          <w:sz w:val="24"/>
          <w:szCs w:val="24"/>
          <w:lang w:val="en-GB"/>
        </w:rPr>
        <w:t>5</w:t>
      </w:r>
      <w:r w:rsidR="003E41F5" w:rsidRPr="6395FD93">
        <w:rPr>
          <w:rFonts w:eastAsiaTheme="minorEastAsia"/>
          <w:sz w:val="24"/>
          <w:szCs w:val="24"/>
          <w:vertAlign w:val="superscript"/>
          <w:lang w:val="en-GB"/>
        </w:rPr>
        <w:t>th</w:t>
      </w:r>
      <w:r w:rsidR="003E41F5" w:rsidRPr="6395FD93">
        <w:rPr>
          <w:rFonts w:eastAsiaTheme="minorEastAsia"/>
          <w:sz w:val="24"/>
          <w:szCs w:val="24"/>
          <w:lang w:val="en-GB"/>
        </w:rPr>
        <w:t xml:space="preserve"> April 2018).</w:t>
      </w:r>
    </w:p>
    <w:p w14:paraId="2C889758" w14:textId="77777777" w:rsidR="00415895" w:rsidRDefault="00415895" w:rsidP="276E5D4D">
      <w:pPr>
        <w:pStyle w:val="ListBullet"/>
        <w:numPr>
          <w:ilvl w:val="0"/>
          <w:numId w:val="0"/>
        </w:numPr>
        <w:jc w:val="center"/>
        <w:rPr>
          <w:rFonts w:eastAsiaTheme="minorEastAsia"/>
          <w:b/>
          <w:bCs/>
          <w:sz w:val="24"/>
          <w:szCs w:val="24"/>
          <w:lang w:val="en-GB"/>
        </w:rPr>
      </w:pPr>
    </w:p>
    <w:p w14:paraId="07D561DF" w14:textId="77777777" w:rsidR="00415895" w:rsidRDefault="00415895" w:rsidP="276E5D4D">
      <w:pPr>
        <w:pStyle w:val="ListBullet"/>
        <w:numPr>
          <w:ilvl w:val="0"/>
          <w:numId w:val="0"/>
        </w:numPr>
        <w:jc w:val="center"/>
        <w:rPr>
          <w:rFonts w:eastAsiaTheme="minorEastAsia"/>
          <w:b/>
          <w:bCs/>
          <w:sz w:val="24"/>
          <w:szCs w:val="24"/>
          <w:lang w:val="en-GB"/>
        </w:rPr>
      </w:pPr>
    </w:p>
    <w:p w14:paraId="591A227B" w14:textId="77777777" w:rsidR="00415895" w:rsidRDefault="00415895" w:rsidP="276E5D4D">
      <w:pPr>
        <w:pStyle w:val="ListBullet"/>
        <w:numPr>
          <w:ilvl w:val="0"/>
          <w:numId w:val="0"/>
        </w:numPr>
        <w:jc w:val="center"/>
        <w:rPr>
          <w:rFonts w:eastAsiaTheme="minorEastAsia"/>
          <w:b/>
          <w:bCs/>
          <w:sz w:val="24"/>
          <w:szCs w:val="24"/>
          <w:lang w:val="en-GB"/>
        </w:rPr>
      </w:pPr>
    </w:p>
    <w:p w14:paraId="0A24EB6E" w14:textId="77777777" w:rsidR="00415895" w:rsidRDefault="00415895" w:rsidP="276E5D4D">
      <w:pPr>
        <w:pStyle w:val="ListBullet"/>
        <w:numPr>
          <w:ilvl w:val="0"/>
          <w:numId w:val="0"/>
        </w:numPr>
        <w:jc w:val="center"/>
        <w:rPr>
          <w:rFonts w:eastAsiaTheme="minorEastAsia"/>
          <w:b/>
          <w:bCs/>
          <w:sz w:val="24"/>
          <w:szCs w:val="24"/>
          <w:lang w:val="en-GB"/>
        </w:rPr>
      </w:pPr>
    </w:p>
    <w:p w14:paraId="2B4370C7" w14:textId="77777777" w:rsidR="00415895" w:rsidRDefault="00415895" w:rsidP="276E5D4D">
      <w:pPr>
        <w:pStyle w:val="ListBullet"/>
        <w:numPr>
          <w:ilvl w:val="0"/>
          <w:numId w:val="0"/>
        </w:numPr>
        <w:jc w:val="center"/>
        <w:rPr>
          <w:rFonts w:eastAsiaTheme="minorEastAsia"/>
          <w:b/>
          <w:bCs/>
          <w:sz w:val="24"/>
          <w:szCs w:val="24"/>
          <w:lang w:val="en-GB"/>
        </w:rPr>
      </w:pPr>
    </w:p>
    <w:p w14:paraId="385B801A" w14:textId="77777777" w:rsidR="00415895" w:rsidRDefault="00415895" w:rsidP="276E5D4D">
      <w:pPr>
        <w:pStyle w:val="ListBullet"/>
        <w:numPr>
          <w:ilvl w:val="0"/>
          <w:numId w:val="0"/>
        </w:numPr>
        <w:jc w:val="center"/>
        <w:rPr>
          <w:rFonts w:eastAsiaTheme="minorEastAsia"/>
          <w:b/>
          <w:bCs/>
          <w:sz w:val="24"/>
          <w:szCs w:val="24"/>
          <w:lang w:val="en-GB"/>
        </w:rPr>
      </w:pPr>
    </w:p>
    <w:p w14:paraId="5A4F72B6" w14:textId="77777777" w:rsidR="00415895" w:rsidRDefault="00415895" w:rsidP="276E5D4D">
      <w:pPr>
        <w:pStyle w:val="ListBullet"/>
        <w:numPr>
          <w:ilvl w:val="0"/>
          <w:numId w:val="0"/>
        </w:numPr>
        <w:jc w:val="center"/>
        <w:rPr>
          <w:rFonts w:eastAsiaTheme="minorEastAsia"/>
          <w:b/>
          <w:bCs/>
          <w:sz w:val="24"/>
          <w:szCs w:val="24"/>
          <w:lang w:val="en-GB"/>
        </w:rPr>
      </w:pPr>
    </w:p>
    <w:p w14:paraId="4CB32ED2" w14:textId="77777777" w:rsidR="00415895" w:rsidRDefault="00415895" w:rsidP="276E5D4D">
      <w:pPr>
        <w:pStyle w:val="ListBullet"/>
        <w:numPr>
          <w:ilvl w:val="0"/>
          <w:numId w:val="0"/>
        </w:numPr>
        <w:jc w:val="center"/>
        <w:rPr>
          <w:rFonts w:eastAsiaTheme="minorEastAsia"/>
          <w:b/>
          <w:bCs/>
          <w:sz w:val="24"/>
          <w:szCs w:val="24"/>
          <w:lang w:val="en-GB"/>
        </w:rPr>
      </w:pPr>
    </w:p>
    <w:p w14:paraId="20CCF34E" w14:textId="77777777" w:rsidR="00415895" w:rsidRDefault="00415895" w:rsidP="276E5D4D">
      <w:pPr>
        <w:pStyle w:val="ListBullet"/>
        <w:numPr>
          <w:ilvl w:val="0"/>
          <w:numId w:val="0"/>
        </w:numPr>
        <w:jc w:val="center"/>
        <w:rPr>
          <w:rFonts w:eastAsiaTheme="minorEastAsia"/>
          <w:b/>
          <w:bCs/>
          <w:sz w:val="24"/>
          <w:szCs w:val="24"/>
          <w:lang w:val="en-GB"/>
        </w:rPr>
      </w:pPr>
    </w:p>
    <w:p w14:paraId="2707FCD7" w14:textId="77777777" w:rsidR="00415895" w:rsidRDefault="00415895" w:rsidP="276E5D4D">
      <w:pPr>
        <w:pStyle w:val="ListBullet"/>
        <w:numPr>
          <w:ilvl w:val="0"/>
          <w:numId w:val="0"/>
        </w:numPr>
        <w:jc w:val="center"/>
        <w:rPr>
          <w:rFonts w:eastAsiaTheme="minorEastAsia"/>
          <w:b/>
          <w:bCs/>
          <w:sz w:val="24"/>
          <w:szCs w:val="24"/>
          <w:lang w:val="en-GB"/>
        </w:rPr>
      </w:pPr>
    </w:p>
    <w:p w14:paraId="75E4A12E" w14:textId="376133AB" w:rsidR="3ED31BD3" w:rsidRDefault="6395FD93" w:rsidP="276E5D4D">
      <w:pPr>
        <w:pStyle w:val="ListBullet"/>
        <w:numPr>
          <w:ilvl w:val="0"/>
          <w:numId w:val="0"/>
        </w:numPr>
        <w:jc w:val="center"/>
        <w:rPr>
          <w:rFonts w:eastAsiaTheme="minorEastAsia"/>
          <w:b/>
          <w:bCs/>
          <w:sz w:val="24"/>
          <w:szCs w:val="24"/>
          <w:lang w:val="en-GB"/>
        </w:rPr>
      </w:pPr>
      <w:r w:rsidRPr="6395FD93">
        <w:rPr>
          <w:rFonts w:eastAsiaTheme="minorEastAsia"/>
          <w:b/>
          <w:bCs/>
          <w:sz w:val="24"/>
          <w:szCs w:val="24"/>
          <w:lang w:val="en-GB"/>
        </w:rPr>
        <w:t>APPENDICES</w:t>
      </w:r>
    </w:p>
    <w:p w14:paraId="54A68827" w14:textId="2AAF727F" w:rsidR="00E43679" w:rsidRDefault="00E43679" w:rsidP="00E43679">
      <w:pPr>
        <w:pStyle w:val="ListBullet"/>
        <w:numPr>
          <w:ilvl w:val="0"/>
          <w:numId w:val="0"/>
        </w:numPr>
        <w:rPr>
          <w:rFonts w:eastAsiaTheme="minorEastAsia"/>
          <w:b/>
          <w:bCs/>
          <w:sz w:val="24"/>
          <w:szCs w:val="24"/>
          <w:lang w:val="en-GB"/>
        </w:rPr>
      </w:pPr>
      <w:r>
        <w:rPr>
          <w:rFonts w:eastAsiaTheme="minorEastAsia"/>
          <w:b/>
          <w:bCs/>
          <w:sz w:val="24"/>
          <w:szCs w:val="24"/>
          <w:lang w:val="en-GB"/>
        </w:rPr>
        <w:t>Appendix 1</w:t>
      </w:r>
    </w:p>
    <w:tbl>
      <w:tblPr>
        <w:tblpPr w:leftFromText="180" w:rightFromText="180" w:vertAnchor="text" w:horzAnchor="page" w:tblpX="1" w:tblpY="-1439"/>
        <w:tblW w:w="16588" w:type="dxa"/>
        <w:tblLook w:val="04A0" w:firstRow="1" w:lastRow="0" w:firstColumn="1" w:lastColumn="0" w:noHBand="0" w:noVBand="1"/>
      </w:tblPr>
      <w:tblGrid>
        <w:gridCol w:w="1853"/>
        <w:gridCol w:w="266"/>
        <w:gridCol w:w="286"/>
        <w:gridCol w:w="2618"/>
        <w:gridCol w:w="828"/>
        <w:gridCol w:w="1657"/>
        <w:gridCol w:w="1418"/>
        <w:gridCol w:w="1275"/>
        <w:gridCol w:w="4453"/>
        <w:gridCol w:w="1934"/>
      </w:tblGrid>
      <w:tr w:rsidR="00E43679" w:rsidRPr="00E43679" w14:paraId="353A0EB3" w14:textId="77777777" w:rsidTr="00E43679">
        <w:trPr>
          <w:trHeight w:val="315"/>
        </w:trPr>
        <w:tc>
          <w:tcPr>
            <w:tcW w:w="2119" w:type="dxa"/>
            <w:gridSpan w:val="2"/>
            <w:tcBorders>
              <w:top w:val="single" w:sz="4" w:space="0" w:color="auto"/>
              <w:left w:val="single" w:sz="4" w:space="0" w:color="auto"/>
              <w:bottom w:val="single" w:sz="4" w:space="0" w:color="auto"/>
              <w:right w:val="nil"/>
            </w:tcBorders>
            <w:shd w:val="clear" w:color="auto" w:fill="auto"/>
            <w:noWrap/>
            <w:vAlign w:val="bottom"/>
            <w:hideMark/>
          </w:tcPr>
          <w:p w14:paraId="0459F4D3" w14:textId="77777777" w:rsidR="00E43679" w:rsidRPr="00E43679" w:rsidRDefault="00E43679" w:rsidP="00E43679">
            <w:pPr>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lastRenderedPageBreak/>
              <w:t>RATIO GROUP</w:t>
            </w:r>
          </w:p>
        </w:tc>
        <w:tc>
          <w:tcPr>
            <w:tcW w:w="286" w:type="dxa"/>
            <w:tcBorders>
              <w:top w:val="single" w:sz="4" w:space="0" w:color="auto"/>
              <w:left w:val="nil"/>
              <w:bottom w:val="single" w:sz="4" w:space="0" w:color="auto"/>
              <w:right w:val="nil"/>
            </w:tcBorders>
            <w:shd w:val="clear" w:color="auto" w:fill="auto"/>
            <w:noWrap/>
            <w:vAlign w:val="bottom"/>
            <w:hideMark/>
          </w:tcPr>
          <w:p w14:paraId="0A1205A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single" w:sz="4" w:space="0" w:color="auto"/>
              <w:left w:val="single" w:sz="4" w:space="0" w:color="auto"/>
              <w:bottom w:val="single" w:sz="4" w:space="0" w:color="auto"/>
              <w:right w:val="nil"/>
            </w:tcBorders>
            <w:shd w:val="clear" w:color="auto" w:fill="auto"/>
            <w:noWrap/>
            <w:vAlign w:val="bottom"/>
            <w:hideMark/>
          </w:tcPr>
          <w:p w14:paraId="706F26E3"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FORMULA</w:t>
            </w:r>
          </w:p>
        </w:tc>
        <w:tc>
          <w:tcPr>
            <w:tcW w:w="828" w:type="dxa"/>
            <w:tcBorders>
              <w:top w:val="nil"/>
              <w:left w:val="nil"/>
              <w:bottom w:val="nil"/>
              <w:right w:val="nil"/>
            </w:tcBorders>
            <w:shd w:val="clear" w:color="auto" w:fill="auto"/>
            <w:noWrap/>
            <w:vAlign w:val="bottom"/>
            <w:hideMark/>
          </w:tcPr>
          <w:p w14:paraId="7333C926"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1657" w:type="dxa"/>
            <w:tcBorders>
              <w:top w:val="single" w:sz="4" w:space="0" w:color="auto"/>
              <w:left w:val="single" w:sz="4" w:space="0" w:color="auto"/>
              <w:bottom w:val="single" w:sz="4" w:space="0" w:color="auto"/>
              <w:right w:val="nil"/>
            </w:tcBorders>
            <w:shd w:val="clear" w:color="auto" w:fill="auto"/>
            <w:noWrap/>
            <w:vAlign w:val="bottom"/>
            <w:hideMark/>
          </w:tcPr>
          <w:p w14:paraId="24B8AC38"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2017</w:t>
            </w:r>
          </w:p>
        </w:tc>
        <w:tc>
          <w:tcPr>
            <w:tcW w:w="1418" w:type="dxa"/>
            <w:tcBorders>
              <w:top w:val="single" w:sz="4" w:space="0" w:color="auto"/>
              <w:left w:val="nil"/>
              <w:bottom w:val="single" w:sz="4" w:space="0" w:color="auto"/>
              <w:right w:val="nil"/>
            </w:tcBorders>
            <w:shd w:val="clear" w:color="auto" w:fill="auto"/>
            <w:noWrap/>
            <w:vAlign w:val="bottom"/>
            <w:hideMark/>
          </w:tcPr>
          <w:p w14:paraId="5BB3AC18"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2016</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16DE0710"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2015</w:t>
            </w:r>
          </w:p>
        </w:tc>
        <w:tc>
          <w:tcPr>
            <w:tcW w:w="4453" w:type="dxa"/>
            <w:tcBorders>
              <w:top w:val="single" w:sz="4" w:space="0" w:color="auto"/>
              <w:left w:val="nil"/>
              <w:bottom w:val="single" w:sz="4" w:space="0" w:color="auto"/>
              <w:right w:val="nil"/>
            </w:tcBorders>
            <w:shd w:val="clear" w:color="auto" w:fill="auto"/>
            <w:noWrap/>
            <w:vAlign w:val="bottom"/>
            <w:hideMark/>
          </w:tcPr>
          <w:p w14:paraId="5EC1AB54"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2014</w:t>
            </w:r>
          </w:p>
        </w:tc>
        <w:tc>
          <w:tcPr>
            <w:tcW w:w="1934" w:type="dxa"/>
            <w:tcBorders>
              <w:top w:val="single" w:sz="4" w:space="0" w:color="auto"/>
              <w:left w:val="nil"/>
              <w:bottom w:val="single" w:sz="4" w:space="0" w:color="auto"/>
              <w:right w:val="single" w:sz="4" w:space="0" w:color="auto"/>
            </w:tcBorders>
            <w:shd w:val="clear" w:color="auto" w:fill="auto"/>
            <w:noWrap/>
            <w:vAlign w:val="bottom"/>
            <w:hideMark/>
          </w:tcPr>
          <w:p w14:paraId="46D6B066"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2013</w:t>
            </w:r>
          </w:p>
        </w:tc>
      </w:tr>
      <w:tr w:rsidR="00E43679" w:rsidRPr="00E43679" w14:paraId="357D15A2" w14:textId="77777777" w:rsidTr="00E43679">
        <w:trPr>
          <w:trHeight w:val="315"/>
        </w:trPr>
        <w:tc>
          <w:tcPr>
            <w:tcW w:w="2405" w:type="dxa"/>
            <w:gridSpan w:val="3"/>
            <w:tcBorders>
              <w:top w:val="nil"/>
              <w:left w:val="single" w:sz="4" w:space="0" w:color="auto"/>
              <w:bottom w:val="nil"/>
              <w:right w:val="nil"/>
            </w:tcBorders>
            <w:shd w:val="clear" w:color="auto" w:fill="auto"/>
            <w:noWrap/>
            <w:vAlign w:val="bottom"/>
            <w:hideMark/>
          </w:tcPr>
          <w:p w14:paraId="0F52B41C"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PROFITABILITY RATIOS</w:t>
            </w:r>
          </w:p>
        </w:tc>
        <w:tc>
          <w:tcPr>
            <w:tcW w:w="2618" w:type="dxa"/>
            <w:tcBorders>
              <w:top w:val="nil"/>
              <w:left w:val="single" w:sz="4" w:space="0" w:color="auto"/>
              <w:bottom w:val="nil"/>
              <w:right w:val="nil"/>
            </w:tcBorders>
            <w:shd w:val="clear" w:color="auto" w:fill="auto"/>
            <w:noWrap/>
            <w:vAlign w:val="bottom"/>
            <w:hideMark/>
          </w:tcPr>
          <w:p w14:paraId="72D449CB"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 </w:t>
            </w:r>
          </w:p>
        </w:tc>
        <w:tc>
          <w:tcPr>
            <w:tcW w:w="828" w:type="dxa"/>
            <w:tcBorders>
              <w:top w:val="nil"/>
              <w:left w:val="nil"/>
              <w:bottom w:val="nil"/>
              <w:right w:val="nil"/>
            </w:tcBorders>
            <w:shd w:val="clear" w:color="auto" w:fill="auto"/>
            <w:noWrap/>
            <w:vAlign w:val="bottom"/>
            <w:hideMark/>
          </w:tcPr>
          <w:p w14:paraId="551FF6B8"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1657" w:type="dxa"/>
            <w:tcBorders>
              <w:top w:val="nil"/>
              <w:left w:val="single" w:sz="4" w:space="0" w:color="auto"/>
              <w:bottom w:val="nil"/>
              <w:right w:val="nil"/>
            </w:tcBorders>
            <w:shd w:val="clear" w:color="auto" w:fill="auto"/>
            <w:noWrap/>
            <w:vAlign w:val="bottom"/>
            <w:hideMark/>
          </w:tcPr>
          <w:p w14:paraId="4648C1FE"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 </w:t>
            </w:r>
          </w:p>
        </w:tc>
        <w:tc>
          <w:tcPr>
            <w:tcW w:w="1418" w:type="dxa"/>
            <w:tcBorders>
              <w:top w:val="nil"/>
              <w:left w:val="nil"/>
              <w:bottom w:val="nil"/>
              <w:right w:val="nil"/>
            </w:tcBorders>
            <w:shd w:val="clear" w:color="auto" w:fill="auto"/>
            <w:noWrap/>
            <w:vAlign w:val="bottom"/>
            <w:hideMark/>
          </w:tcPr>
          <w:p w14:paraId="7046FC3F"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1275" w:type="dxa"/>
            <w:tcBorders>
              <w:top w:val="nil"/>
              <w:left w:val="nil"/>
              <w:bottom w:val="nil"/>
              <w:right w:val="single" w:sz="4" w:space="0" w:color="auto"/>
            </w:tcBorders>
            <w:shd w:val="clear" w:color="auto" w:fill="auto"/>
            <w:noWrap/>
            <w:vAlign w:val="bottom"/>
            <w:hideMark/>
          </w:tcPr>
          <w:p w14:paraId="6E47E7F5"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 </w:t>
            </w:r>
          </w:p>
        </w:tc>
        <w:tc>
          <w:tcPr>
            <w:tcW w:w="4453" w:type="dxa"/>
            <w:tcBorders>
              <w:top w:val="nil"/>
              <w:left w:val="nil"/>
              <w:bottom w:val="nil"/>
              <w:right w:val="nil"/>
            </w:tcBorders>
            <w:shd w:val="clear" w:color="auto" w:fill="auto"/>
            <w:noWrap/>
            <w:vAlign w:val="bottom"/>
            <w:hideMark/>
          </w:tcPr>
          <w:p w14:paraId="579A9192"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FCF79B6"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 </w:t>
            </w:r>
          </w:p>
        </w:tc>
      </w:tr>
      <w:tr w:rsidR="00E43679" w:rsidRPr="00E43679" w14:paraId="63085026"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1AB3AB8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Return On Capital Employed</w:t>
            </w:r>
          </w:p>
        </w:tc>
        <w:tc>
          <w:tcPr>
            <w:tcW w:w="3446" w:type="dxa"/>
            <w:gridSpan w:val="2"/>
            <w:tcBorders>
              <w:top w:val="nil"/>
              <w:left w:val="single" w:sz="4" w:space="0" w:color="auto"/>
              <w:bottom w:val="nil"/>
              <w:right w:val="nil"/>
            </w:tcBorders>
            <w:shd w:val="clear" w:color="auto" w:fill="auto"/>
            <w:noWrap/>
            <w:vAlign w:val="bottom"/>
            <w:hideMark/>
          </w:tcPr>
          <w:p w14:paraId="79C79B40"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Profit Before Interest &amp; Tax</w:t>
            </w:r>
            <w:r w:rsidRPr="5CE60E2F">
              <w:rPr>
                <w:rFonts w:ascii="Calibri" w:eastAsia="Times New Roman" w:hAnsi="Calibri" w:cs="Calibri"/>
                <w:b/>
                <w:color w:val="000000" w:themeColor="text1"/>
                <w:sz w:val="22"/>
                <w:szCs w:val="22"/>
                <w:lang w:val="en-GB" w:eastAsia="en-GB"/>
              </w:rPr>
              <w:t xml:space="preserve">  * 100</w:t>
            </w:r>
          </w:p>
        </w:tc>
        <w:tc>
          <w:tcPr>
            <w:tcW w:w="1657" w:type="dxa"/>
            <w:tcBorders>
              <w:top w:val="nil"/>
              <w:left w:val="single" w:sz="4" w:space="0" w:color="auto"/>
              <w:bottom w:val="nil"/>
              <w:right w:val="nil"/>
            </w:tcBorders>
            <w:shd w:val="clear" w:color="auto" w:fill="auto"/>
            <w:noWrap/>
            <w:vAlign w:val="bottom"/>
            <w:hideMark/>
          </w:tcPr>
          <w:p w14:paraId="799BDE35" w14:textId="77777777" w:rsidR="00E43679" w:rsidRPr="00E43679" w:rsidRDefault="00E43679" w:rsidP="00E43679">
            <w:pPr>
              <w:spacing w:after="0" w:line="240" w:lineRule="auto"/>
              <w:jc w:val="right"/>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-2.3%</w:t>
            </w:r>
          </w:p>
        </w:tc>
        <w:tc>
          <w:tcPr>
            <w:tcW w:w="1418" w:type="dxa"/>
            <w:tcBorders>
              <w:top w:val="nil"/>
              <w:left w:val="single" w:sz="4" w:space="0" w:color="auto"/>
              <w:bottom w:val="nil"/>
              <w:right w:val="nil"/>
            </w:tcBorders>
            <w:shd w:val="clear" w:color="auto" w:fill="auto"/>
            <w:noWrap/>
            <w:vAlign w:val="bottom"/>
            <w:hideMark/>
          </w:tcPr>
          <w:p w14:paraId="6BA8901C"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11.1%</w:t>
            </w:r>
          </w:p>
        </w:tc>
        <w:tc>
          <w:tcPr>
            <w:tcW w:w="1275" w:type="dxa"/>
            <w:tcBorders>
              <w:top w:val="nil"/>
              <w:left w:val="single" w:sz="4" w:space="0" w:color="auto"/>
              <w:bottom w:val="nil"/>
              <w:right w:val="nil"/>
            </w:tcBorders>
            <w:shd w:val="clear" w:color="auto" w:fill="auto"/>
            <w:noWrap/>
            <w:vAlign w:val="bottom"/>
            <w:hideMark/>
          </w:tcPr>
          <w:p w14:paraId="3CAD81ED"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13.3%</w:t>
            </w:r>
          </w:p>
        </w:tc>
        <w:tc>
          <w:tcPr>
            <w:tcW w:w="4453" w:type="dxa"/>
            <w:tcBorders>
              <w:top w:val="nil"/>
              <w:left w:val="single" w:sz="4" w:space="0" w:color="auto"/>
              <w:bottom w:val="nil"/>
              <w:right w:val="nil"/>
            </w:tcBorders>
            <w:shd w:val="clear" w:color="auto" w:fill="auto"/>
            <w:noWrap/>
            <w:vAlign w:val="bottom"/>
            <w:hideMark/>
          </w:tcPr>
          <w:p w14:paraId="675E2F6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14.0%</w:t>
            </w:r>
          </w:p>
        </w:tc>
        <w:tc>
          <w:tcPr>
            <w:tcW w:w="1934" w:type="dxa"/>
            <w:tcBorders>
              <w:top w:val="nil"/>
              <w:left w:val="single" w:sz="4" w:space="0" w:color="auto"/>
              <w:bottom w:val="nil"/>
              <w:right w:val="nil"/>
            </w:tcBorders>
            <w:shd w:val="clear" w:color="auto" w:fill="auto"/>
            <w:noWrap/>
            <w:vAlign w:val="bottom"/>
            <w:hideMark/>
          </w:tcPr>
          <w:p w14:paraId="234D2EC7"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15.5%</w:t>
            </w:r>
          </w:p>
        </w:tc>
      </w:tr>
      <w:tr w:rsidR="00E43679" w:rsidRPr="00E43679" w14:paraId="42465F4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50F7A31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7376DC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47C859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281E31E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Capital Employed</w:t>
            </w:r>
          </w:p>
        </w:tc>
        <w:tc>
          <w:tcPr>
            <w:tcW w:w="1657" w:type="dxa"/>
            <w:tcBorders>
              <w:top w:val="nil"/>
              <w:left w:val="single" w:sz="4" w:space="0" w:color="auto"/>
              <w:bottom w:val="nil"/>
              <w:right w:val="nil"/>
            </w:tcBorders>
            <w:shd w:val="clear" w:color="auto" w:fill="auto"/>
            <w:noWrap/>
            <w:vAlign w:val="bottom"/>
            <w:hideMark/>
          </w:tcPr>
          <w:p w14:paraId="296D0CF0"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 </w:t>
            </w:r>
          </w:p>
        </w:tc>
        <w:tc>
          <w:tcPr>
            <w:tcW w:w="1418" w:type="dxa"/>
            <w:tcBorders>
              <w:top w:val="nil"/>
              <w:left w:val="nil"/>
              <w:bottom w:val="nil"/>
              <w:right w:val="nil"/>
            </w:tcBorders>
            <w:shd w:val="clear" w:color="auto" w:fill="auto"/>
            <w:noWrap/>
            <w:vAlign w:val="bottom"/>
            <w:hideMark/>
          </w:tcPr>
          <w:p w14:paraId="5796187F"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4369AA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2DD7BC5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860BD2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4DC08253"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0C32C1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A80739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2CDFF30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267C096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7F805E9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7AB8F7CE"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 </w:t>
            </w:r>
          </w:p>
        </w:tc>
        <w:tc>
          <w:tcPr>
            <w:tcW w:w="1418" w:type="dxa"/>
            <w:tcBorders>
              <w:top w:val="nil"/>
              <w:left w:val="nil"/>
              <w:bottom w:val="nil"/>
              <w:right w:val="nil"/>
            </w:tcBorders>
            <w:shd w:val="clear" w:color="auto" w:fill="auto"/>
            <w:noWrap/>
            <w:vAlign w:val="bottom"/>
            <w:hideMark/>
          </w:tcPr>
          <w:p w14:paraId="250781EA"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2C0FAD0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706D8FC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3632966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6C12BAAD"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6D5477A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Operating Margin</w:t>
            </w:r>
          </w:p>
        </w:tc>
        <w:tc>
          <w:tcPr>
            <w:tcW w:w="286" w:type="dxa"/>
            <w:tcBorders>
              <w:top w:val="nil"/>
              <w:left w:val="nil"/>
              <w:bottom w:val="nil"/>
              <w:right w:val="nil"/>
            </w:tcBorders>
            <w:shd w:val="clear" w:color="auto" w:fill="auto"/>
            <w:noWrap/>
            <w:vAlign w:val="bottom"/>
            <w:hideMark/>
          </w:tcPr>
          <w:p w14:paraId="5C7E2E4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6FC2756B"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Profit Before Interest &amp; Tax</w:t>
            </w:r>
            <w:r w:rsidRPr="5CE60E2F">
              <w:rPr>
                <w:rFonts w:ascii="Calibri" w:eastAsia="Times New Roman" w:hAnsi="Calibri" w:cs="Calibri"/>
                <w:b/>
                <w:color w:val="000000" w:themeColor="text1"/>
                <w:sz w:val="22"/>
                <w:szCs w:val="22"/>
                <w:lang w:val="en-GB" w:eastAsia="en-GB"/>
              </w:rPr>
              <w:t xml:space="preserve">  * 100</w:t>
            </w:r>
          </w:p>
        </w:tc>
        <w:tc>
          <w:tcPr>
            <w:tcW w:w="1657" w:type="dxa"/>
            <w:tcBorders>
              <w:top w:val="nil"/>
              <w:left w:val="single" w:sz="4" w:space="0" w:color="auto"/>
              <w:bottom w:val="nil"/>
              <w:right w:val="nil"/>
            </w:tcBorders>
            <w:shd w:val="clear" w:color="auto" w:fill="auto"/>
            <w:noWrap/>
            <w:vAlign w:val="bottom"/>
            <w:hideMark/>
          </w:tcPr>
          <w:p w14:paraId="121F6DFA" w14:textId="77777777" w:rsidR="00E43679" w:rsidRPr="00E43679" w:rsidRDefault="00E43679" w:rsidP="00E43679">
            <w:pPr>
              <w:spacing w:after="0" w:line="240" w:lineRule="auto"/>
              <w:jc w:val="right"/>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-2.6%</w:t>
            </w:r>
          </w:p>
        </w:tc>
        <w:tc>
          <w:tcPr>
            <w:tcW w:w="1418" w:type="dxa"/>
            <w:tcBorders>
              <w:top w:val="nil"/>
              <w:left w:val="single" w:sz="4" w:space="0" w:color="auto"/>
              <w:bottom w:val="nil"/>
              <w:right w:val="nil"/>
            </w:tcBorders>
            <w:shd w:val="clear" w:color="auto" w:fill="auto"/>
            <w:noWrap/>
            <w:vAlign w:val="bottom"/>
            <w:hideMark/>
          </w:tcPr>
          <w:p w14:paraId="5ACADD12"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14.1%</w:t>
            </w:r>
          </w:p>
        </w:tc>
        <w:tc>
          <w:tcPr>
            <w:tcW w:w="1275" w:type="dxa"/>
            <w:tcBorders>
              <w:top w:val="nil"/>
              <w:left w:val="single" w:sz="4" w:space="0" w:color="auto"/>
              <w:bottom w:val="nil"/>
              <w:right w:val="nil"/>
            </w:tcBorders>
            <w:shd w:val="clear" w:color="auto" w:fill="auto"/>
            <w:noWrap/>
            <w:vAlign w:val="bottom"/>
            <w:hideMark/>
          </w:tcPr>
          <w:p w14:paraId="338FDFCB"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14.1%</w:t>
            </w:r>
          </w:p>
        </w:tc>
        <w:tc>
          <w:tcPr>
            <w:tcW w:w="4453" w:type="dxa"/>
            <w:tcBorders>
              <w:top w:val="nil"/>
              <w:left w:val="single" w:sz="4" w:space="0" w:color="auto"/>
              <w:bottom w:val="nil"/>
              <w:right w:val="nil"/>
            </w:tcBorders>
            <w:shd w:val="clear" w:color="auto" w:fill="auto"/>
            <w:noWrap/>
            <w:vAlign w:val="bottom"/>
            <w:hideMark/>
          </w:tcPr>
          <w:p w14:paraId="318949EF"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17.5%</w:t>
            </w:r>
          </w:p>
        </w:tc>
        <w:tc>
          <w:tcPr>
            <w:tcW w:w="1934" w:type="dxa"/>
            <w:tcBorders>
              <w:top w:val="nil"/>
              <w:left w:val="single" w:sz="4" w:space="0" w:color="auto"/>
              <w:bottom w:val="nil"/>
              <w:right w:val="nil"/>
            </w:tcBorders>
            <w:shd w:val="clear" w:color="auto" w:fill="auto"/>
            <w:noWrap/>
            <w:vAlign w:val="bottom"/>
            <w:hideMark/>
          </w:tcPr>
          <w:p w14:paraId="7AE631D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21.8%</w:t>
            </w:r>
          </w:p>
        </w:tc>
      </w:tr>
      <w:tr w:rsidR="00E43679" w:rsidRPr="00E43679" w14:paraId="7A530A67"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5907A4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2AEEFB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C304DF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642B3BC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828" w:type="dxa"/>
            <w:tcBorders>
              <w:top w:val="nil"/>
              <w:left w:val="nil"/>
              <w:bottom w:val="nil"/>
              <w:right w:val="nil"/>
            </w:tcBorders>
            <w:shd w:val="clear" w:color="auto" w:fill="auto"/>
            <w:noWrap/>
            <w:vAlign w:val="bottom"/>
            <w:hideMark/>
          </w:tcPr>
          <w:p w14:paraId="69A0BBF9"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56581D4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0D67A36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BF571C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7219B4D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F3B204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7726B721"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5EC308D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B3781B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B78204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6A79F7E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64289C7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0507F7A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1DB544E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E21D77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354DAB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9582F9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018CD547"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234C66D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Gross Profit Margin</w:t>
            </w:r>
          </w:p>
        </w:tc>
        <w:tc>
          <w:tcPr>
            <w:tcW w:w="286" w:type="dxa"/>
            <w:tcBorders>
              <w:top w:val="nil"/>
              <w:left w:val="nil"/>
              <w:bottom w:val="nil"/>
              <w:right w:val="nil"/>
            </w:tcBorders>
            <w:shd w:val="clear" w:color="auto" w:fill="auto"/>
            <w:noWrap/>
            <w:vAlign w:val="bottom"/>
            <w:hideMark/>
          </w:tcPr>
          <w:p w14:paraId="45116D9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48A70C6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u w:val="single"/>
                <w:lang w:val="en-GB" w:eastAsia="en-GB"/>
              </w:rPr>
              <w:t>Gross Profit</w:t>
            </w:r>
            <w:r w:rsidRPr="5CE60E2F">
              <w:rPr>
                <w:rFonts w:ascii="Calibri" w:eastAsia="Times New Roman" w:hAnsi="Calibri" w:cs="Calibri"/>
                <w:b/>
                <w:color w:val="000000" w:themeColor="text1"/>
                <w:sz w:val="22"/>
                <w:szCs w:val="22"/>
                <w:lang w:val="en-GB" w:eastAsia="en-GB"/>
              </w:rPr>
              <w:t xml:space="preserve">  * 100</w:t>
            </w:r>
          </w:p>
        </w:tc>
        <w:tc>
          <w:tcPr>
            <w:tcW w:w="1657" w:type="dxa"/>
            <w:tcBorders>
              <w:top w:val="nil"/>
              <w:left w:val="single" w:sz="4" w:space="0" w:color="auto"/>
              <w:bottom w:val="nil"/>
              <w:right w:val="nil"/>
            </w:tcBorders>
            <w:shd w:val="clear" w:color="auto" w:fill="auto"/>
            <w:noWrap/>
            <w:vAlign w:val="bottom"/>
            <w:hideMark/>
          </w:tcPr>
          <w:p w14:paraId="4B92D81A"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74.8%</w:t>
            </w:r>
          </w:p>
        </w:tc>
        <w:tc>
          <w:tcPr>
            <w:tcW w:w="1418" w:type="dxa"/>
            <w:tcBorders>
              <w:top w:val="nil"/>
              <w:left w:val="single" w:sz="4" w:space="0" w:color="auto"/>
              <w:bottom w:val="nil"/>
              <w:right w:val="nil"/>
            </w:tcBorders>
            <w:shd w:val="clear" w:color="auto" w:fill="auto"/>
            <w:noWrap/>
            <w:vAlign w:val="bottom"/>
            <w:hideMark/>
          </w:tcPr>
          <w:p w14:paraId="5B7948BE"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76.2%</w:t>
            </w:r>
          </w:p>
        </w:tc>
        <w:tc>
          <w:tcPr>
            <w:tcW w:w="1275" w:type="dxa"/>
            <w:tcBorders>
              <w:top w:val="nil"/>
              <w:left w:val="single" w:sz="4" w:space="0" w:color="auto"/>
              <w:bottom w:val="nil"/>
              <w:right w:val="nil"/>
            </w:tcBorders>
            <w:shd w:val="clear" w:color="auto" w:fill="auto"/>
            <w:noWrap/>
            <w:vAlign w:val="bottom"/>
            <w:hideMark/>
          </w:tcPr>
          <w:p w14:paraId="56E87F0F"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76.2%</w:t>
            </w:r>
          </w:p>
        </w:tc>
        <w:tc>
          <w:tcPr>
            <w:tcW w:w="4453" w:type="dxa"/>
            <w:tcBorders>
              <w:top w:val="nil"/>
              <w:left w:val="single" w:sz="4" w:space="0" w:color="auto"/>
              <w:bottom w:val="nil"/>
              <w:right w:val="nil"/>
            </w:tcBorders>
            <w:shd w:val="clear" w:color="auto" w:fill="auto"/>
            <w:noWrap/>
            <w:vAlign w:val="bottom"/>
            <w:hideMark/>
          </w:tcPr>
          <w:p w14:paraId="305F3AB7"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81.1%</w:t>
            </w:r>
          </w:p>
        </w:tc>
        <w:tc>
          <w:tcPr>
            <w:tcW w:w="1934" w:type="dxa"/>
            <w:tcBorders>
              <w:top w:val="nil"/>
              <w:left w:val="single" w:sz="4" w:space="0" w:color="auto"/>
              <w:bottom w:val="nil"/>
              <w:right w:val="nil"/>
            </w:tcBorders>
            <w:shd w:val="clear" w:color="auto" w:fill="auto"/>
            <w:noWrap/>
            <w:vAlign w:val="bottom"/>
            <w:hideMark/>
          </w:tcPr>
          <w:p w14:paraId="505C574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82.1%</w:t>
            </w:r>
          </w:p>
        </w:tc>
      </w:tr>
      <w:tr w:rsidR="00E43679" w:rsidRPr="00E43679" w14:paraId="2F2A14C2"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2DEA4C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264A25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9B5ABF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7993846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828" w:type="dxa"/>
            <w:tcBorders>
              <w:top w:val="nil"/>
              <w:left w:val="nil"/>
              <w:bottom w:val="nil"/>
              <w:right w:val="nil"/>
            </w:tcBorders>
            <w:shd w:val="clear" w:color="auto" w:fill="auto"/>
            <w:noWrap/>
            <w:vAlign w:val="bottom"/>
            <w:hideMark/>
          </w:tcPr>
          <w:p w14:paraId="2B4A5B4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5E9C64C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30D2B953"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F1C843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2409DEE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9B8BCA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0F1FD692"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C6B11E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29A599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66C59D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65C042D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1BD1C80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59F30FF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5CB8D17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947E44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160D0D7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0DC9BB3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0A65F70E"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53774B3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Net profit Margin</w:t>
            </w:r>
          </w:p>
        </w:tc>
        <w:tc>
          <w:tcPr>
            <w:tcW w:w="286" w:type="dxa"/>
            <w:tcBorders>
              <w:top w:val="nil"/>
              <w:left w:val="nil"/>
              <w:bottom w:val="nil"/>
              <w:right w:val="nil"/>
            </w:tcBorders>
            <w:shd w:val="clear" w:color="auto" w:fill="auto"/>
            <w:noWrap/>
            <w:vAlign w:val="bottom"/>
            <w:hideMark/>
          </w:tcPr>
          <w:p w14:paraId="228E902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523DAB1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u w:val="single"/>
                <w:lang w:val="en-GB" w:eastAsia="en-GB"/>
              </w:rPr>
              <w:t>Net Profit</w:t>
            </w:r>
            <w:r w:rsidRPr="5CE60E2F">
              <w:rPr>
                <w:rFonts w:ascii="Calibri" w:eastAsia="Times New Roman" w:hAnsi="Calibri" w:cs="Calibri"/>
                <w:b/>
                <w:color w:val="000000" w:themeColor="text1"/>
                <w:sz w:val="22"/>
                <w:szCs w:val="22"/>
                <w:lang w:val="en-GB" w:eastAsia="en-GB"/>
              </w:rPr>
              <w:t xml:space="preserve">  * 100</w:t>
            </w:r>
          </w:p>
        </w:tc>
        <w:tc>
          <w:tcPr>
            <w:tcW w:w="1657" w:type="dxa"/>
            <w:tcBorders>
              <w:top w:val="nil"/>
              <w:left w:val="single" w:sz="4" w:space="0" w:color="auto"/>
              <w:bottom w:val="nil"/>
              <w:right w:val="nil"/>
            </w:tcBorders>
            <w:shd w:val="clear" w:color="auto" w:fill="auto"/>
            <w:noWrap/>
            <w:vAlign w:val="bottom"/>
            <w:hideMark/>
          </w:tcPr>
          <w:p w14:paraId="22DA9483" w14:textId="77777777" w:rsidR="00E43679" w:rsidRPr="00E43679" w:rsidRDefault="00E43679" w:rsidP="00E43679">
            <w:pPr>
              <w:spacing w:after="0" w:line="240" w:lineRule="auto"/>
              <w:jc w:val="right"/>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-4.9%</w:t>
            </w:r>
          </w:p>
        </w:tc>
        <w:tc>
          <w:tcPr>
            <w:tcW w:w="1418" w:type="dxa"/>
            <w:tcBorders>
              <w:top w:val="nil"/>
              <w:left w:val="single" w:sz="4" w:space="0" w:color="auto"/>
              <w:bottom w:val="nil"/>
              <w:right w:val="nil"/>
            </w:tcBorders>
            <w:shd w:val="clear" w:color="auto" w:fill="auto"/>
            <w:noWrap/>
            <w:vAlign w:val="bottom"/>
            <w:hideMark/>
          </w:tcPr>
          <w:p w14:paraId="36802DAC"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10.3%</w:t>
            </w:r>
          </w:p>
        </w:tc>
        <w:tc>
          <w:tcPr>
            <w:tcW w:w="1275" w:type="dxa"/>
            <w:tcBorders>
              <w:top w:val="nil"/>
              <w:left w:val="single" w:sz="4" w:space="0" w:color="auto"/>
              <w:bottom w:val="nil"/>
              <w:right w:val="nil"/>
            </w:tcBorders>
            <w:shd w:val="clear" w:color="auto" w:fill="auto"/>
            <w:noWrap/>
            <w:vAlign w:val="bottom"/>
            <w:hideMark/>
          </w:tcPr>
          <w:p w14:paraId="6E64EF48"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11.9%</w:t>
            </w:r>
          </w:p>
        </w:tc>
        <w:tc>
          <w:tcPr>
            <w:tcW w:w="4453" w:type="dxa"/>
            <w:tcBorders>
              <w:top w:val="nil"/>
              <w:left w:val="single" w:sz="4" w:space="0" w:color="auto"/>
              <w:bottom w:val="nil"/>
              <w:right w:val="nil"/>
            </w:tcBorders>
            <w:shd w:val="clear" w:color="auto" w:fill="auto"/>
            <w:noWrap/>
            <w:vAlign w:val="bottom"/>
            <w:hideMark/>
          </w:tcPr>
          <w:p w14:paraId="313C8828"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12.8%</w:t>
            </w:r>
          </w:p>
        </w:tc>
        <w:tc>
          <w:tcPr>
            <w:tcW w:w="1934" w:type="dxa"/>
            <w:tcBorders>
              <w:top w:val="nil"/>
              <w:left w:val="single" w:sz="4" w:space="0" w:color="auto"/>
              <w:bottom w:val="nil"/>
              <w:right w:val="nil"/>
            </w:tcBorders>
            <w:shd w:val="clear" w:color="auto" w:fill="auto"/>
            <w:noWrap/>
            <w:vAlign w:val="bottom"/>
            <w:hideMark/>
          </w:tcPr>
          <w:p w14:paraId="7A4028B1"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16.7%</w:t>
            </w:r>
          </w:p>
        </w:tc>
      </w:tr>
      <w:tr w:rsidR="00E43679" w:rsidRPr="00E43679" w14:paraId="719874DA"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4C3852B"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BD8751F"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A12107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420D5AE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828" w:type="dxa"/>
            <w:tcBorders>
              <w:top w:val="nil"/>
              <w:left w:val="nil"/>
              <w:bottom w:val="nil"/>
              <w:right w:val="nil"/>
            </w:tcBorders>
            <w:shd w:val="clear" w:color="auto" w:fill="auto"/>
            <w:noWrap/>
            <w:vAlign w:val="bottom"/>
            <w:hideMark/>
          </w:tcPr>
          <w:p w14:paraId="1565FF7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0505D85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4C48405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ADA1EA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6CD7CC7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DCB76C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2B66A15B"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0C7B0C2"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7D4A2C6"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0375446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44CEB4F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4900719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3113269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46BD570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8C0D3B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4887702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0EE612A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15C0B09C"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1B48F03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Cost to Sales Ratio</w:t>
            </w:r>
          </w:p>
        </w:tc>
        <w:tc>
          <w:tcPr>
            <w:tcW w:w="286" w:type="dxa"/>
            <w:tcBorders>
              <w:top w:val="nil"/>
              <w:left w:val="nil"/>
              <w:bottom w:val="nil"/>
              <w:right w:val="nil"/>
            </w:tcBorders>
            <w:shd w:val="clear" w:color="auto" w:fill="auto"/>
            <w:noWrap/>
            <w:vAlign w:val="bottom"/>
            <w:hideMark/>
          </w:tcPr>
          <w:p w14:paraId="5834EEE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01BE349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u w:val="single"/>
                <w:lang w:val="en-GB" w:eastAsia="en-GB"/>
              </w:rPr>
              <w:t>Operating Cost</w:t>
            </w:r>
            <w:r w:rsidRPr="5CE60E2F">
              <w:rPr>
                <w:rFonts w:ascii="Calibri" w:eastAsia="Times New Roman" w:hAnsi="Calibri" w:cs="Calibri"/>
                <w:b/>
                <w:color w:val="000000" w:themeColor="text1"/>
                <w:sz w:val="22"/>
                <w:szCs w:val="22"/>
                <w:lang w:val="en-GB" w:eastAsia="en-GB"/>
              </w:rPr>
              <w:t xml:space="preserve">  * 100</w:t>
            </w:r>
          </w:p>
        </w:tc>
        <w:tc>
          <w:tcPr>
            <w:tcW w:w="1657" w:type="dxa"/>
            <w:tcBorders>
              <w:top w:val="nil"/>
              <w:left w:val="single" w:sz="4" w:space="0" w:color="auto"/>
              <w:bottom w:val="nil"/>
              <w:right w:val="nil"/>
            </w:tcBorders>
            <w:shd w:val="clear" w:color="auto" w:fill="auto"/>
            <w:noWrap/>
            <w:vAlign w:val="bottom"/>
            <w:hideMark/>
          </w:tcPr>
          <w:p w14:paraId="78F362EF"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79.2%</w:t>
            </w:r>
          </w:p>
        </w:tc>
        <w:tc>
          <w:tcPr>
            <w:tcW w:w="1418" w:type="dxa"/>
            <w:tcBorders>
              <w:top w:val="nil"/>
              <w:left w:val="single" w:sz="4" w:space="0" w:color="auto"/>
              <w:bottom w:val="nil"/>
              <w:right w:val="nil"/>
            </w:tcBorders>
            <w:shd w:val="clear" w:color="auto" w:fill="auto"/>
            <w:noWrap/>
            <w:vAlign w:val="bottom"/>
            <w:hideMark/>
          </w:tcPr>
          <w:p w14:paraId="2C2756E0"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78.8%</w:t>
            </w:r>
          </w:p>
        </w:tc>
        <w:tc>
          <w:tcPr>
            <w:tcW w:w="1275" w:type="dxa"/>
            <w:tcBorders>
              <w:top w:val="nil"/>
              <w:left w:val="single" w:sz="4" w:space="0" w:color="auto"/>
              <w:bottom w:val="nil"/>
              <w:right w:val="nil"/>
            </w:tcBorders>
            <w:shd w:val="clear" w:color="auto" w:fill="auto"/>
            <w:noWrap/>
            <w:vAlign w:val="bottom"/>
            <w:hideMark/>
          </w:tcPr>
          <w:p w14:paraId="7C3C9714"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77.2%</w:t>
            </w:r>
          </w:p>
        </w:tc>
        <w:tc>
          <w:tcPr>
            <w:tcW w:w="4453" w:type="dxa"/>
            <w:tcBorders>
              <w:top w:val="nil"/>
              <w:left w:val="single" w:sz="4" w:space="0" w:color="auto"/>
              <w:bottom w:val="nil"/>
              <w:right w:val="nil"/>
            </w:tcBorders>
            <w:shd w:val="clear" w:color="auto" w:fill="auto"/>
            <w:noWrap/>
            <w:vAlign w:val="bottom"/>
            <w:hideMark/>
          </w:tcPr>
          <w:p w14:paraId="3B7CD3F3"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73.4%</w:t>
            </w:r>
          </w:p>
        </w:tc>
        <w:tc>
          <w:tcPr>
            <w:tcW w:w="1934" w:type="dxa"/>
            <w:tcBorders>
              <w:top w:val="nil"/>
              <w:left w:val="single" w:sz="4" w:space="0" w:color="auto"/>
              <w:bottom w:val="nil"/>
              <w:right w:val="nil"/>
            </w:tcBorders>
            <w:shd w:val="clear" w:color="auto" w:fill="auto"/>
            <w:noWrap/>
            <w:vAlign w:val="bottom"/>
            <w:hideMark/>
          </w:tcPr>
          <w:p w14:paraId="3EDBEA84"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74.0%</w:t>
            </w:r>
          </w:p>
        </w:tc>
      </w:tr>
      <w:tr w:rsidR="00E43679" w:rsidRPr="00E43679" w14:paraId="798B3EE3"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C43FE4E"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77FC190"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B31993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38D0909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828" w:type="dxa"/>
            <w:tcBorders>
              <w:top w:val="nil"/>
              <w:left w:val="nil"/>
              <w:bottom w:val="nil"/>
              <w:right w:val="nil"/>
            </w:tcBorders>
            <w:shd w:val="clear" w:color="auto" w:fill="auto"/>
            <w:noWrap/>
            <w:vAlign w:val="bottom"/>
            <w:hideMark/>
          </w:tcPr>
          <w:p w14:paraId="34483CE3"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52549B3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12D47E0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CF2B61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640865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46FA14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5051E3B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DF894DB"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4738247"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0E59CD3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26226E5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11F0557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4C0B060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5DF4026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50E0A6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36B2067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6AE85D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DA6EB4C"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09AF146"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326F0F0"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07F5C6E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7ADB9F9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5685A23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5FACB7D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0014FB1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FF04D6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0D587C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AC61F2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53B0FCB" w14:textId="77777777" w:rsidTr="00E43679">
        <w:trPr>
          <w:trHeight w:val="315"/>
        </w:trPr>
        <w:tc>
          <w:tcPr>
            <w:tcW w:w="2119" w:type="dxa"/>
            <w:gridSpan w:val="2"/>
            <w:tcBorders>
              <w:top w:val="nil"/>
              <w:left w:val="single" w:sz="4" w:space="0" w:color="auto"/>
              <w:bottom w:val="nil"/>
              <w:right w:val="nil"/>
            </w:tcBorders>
            <w:shd w:val="clear" w:color="auto" w:fill="auto"/>
            <w:noWrap/>
            <w:vAlign w:val="bottom"/>
            <w:hideMark/>
          </w:tcPr>
          <w:p w14:paraId="479DA1CE"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LIQUIDITY RATIO</w:t>
            </w:r>
          </w:p>
        </w:tc>
        <w:tc>
          <w:tcPr>
            <w:tcW w:w="286" w:type="dxa"/>
            <w:tcBorders>
              <w:top w:val="nil"/>
              <w:left w:val="nil"/>
              <w:bottom w:val="nil"/>
              <w:right w:val="nil"/>
            </w:tcBorders>
            <w:shd w:val="clear" w:color="auto" w:fill="auto"/>
            <w:noWrap/>
            <w:vAlign w:val="bottom"/>
            <w:hideMark/>
          </w:tcPr>
          <w:p w14:paraId="0555403E"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2618" w:type="dxa"/>
            <w:tcBorders>
              <w:top w:val="nil"/>
              <w:left w:val="single" w:sz="4" w:space="0" w:color="auto"/>
              <w:bottom w:val="nil"/>
              <w:right w:val="nil"/>
            </w:tcBorders>
            <w:shd w:val="clear" w:color="auto" w:fill="auto"/>
            <w:noWrap/>
            <w:vAlign w:val="bottom"/>
            <w:hideMark/>
          </w:tcPr>
          <w:p w14:paraId="328E4D4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1837BD4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2D659C9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2E345AF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29928BF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7610ABE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8A035C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77A1029E"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35D9C12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Current Ratio</w:t>
            </w:r>
          </w:p>
        </w:tc>
        <w:tc>
          <w:tcPr>
            <w:tcW w:w="286" w:type="dxa"/>
            <w:tcBorders>
              <w:top w:val="nil"/>
              <w:left w:val="nil"/>
              <w:bottom w:val="nil"/>
              <w:right w:val="nil"/>
            </w:tcBorders>
            <w:shd w:val="clear" w:color="auto" w:fill="auto"/>
            <w:noWrap/>
            <w:vAlign w:val="bottom"/>
            <w:hideMark/>
          </w:tcPr>
          <w:p w14:paraId="7DD2D56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1C52602F"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Current Assets</w:t>
            </w:r>
          </w:p>
        </w:tc>
        <w:tc>
          <w:tcPr>
            <w:tcW w:w="1657" w:type="dxa"/>
            <w:tcBorders>
              <w:top w:val="nil"/>
              <w:left w:val="single" w:sz="4" w:space="0" w:color="auto"/>
              <w:bottom w:val="nil"/>
              <w:right w:val="nil"/>
            </w:tcBorders>
            <w:shd w:val="clear" w:color="auto" w:fill="auto"/>
            <w:noWrap/>
            <w:vAlign w:val="bottom"/>
            <w:hideMark/>
          </w:tcPr>
          <w:p w14:paraId="1F40BDB9"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0.82</w:t>
            </w:r>
          </w:p>
        </w:tc>
        <w:tc>
          <w:tcPr>
            <w:tcW w:w="1418" w:type="dxa"/>
            <w:tcBorders>
              <w:top w:val="nil"/>
              <w:left w:val="single" w:sz="4" w:space="0" w:color="auto"/>
              <w:bottom w:val="nil"/>
              <w:right w:val="nil"/>
            </w:tcBorders>
            <w:shd w:val="clear" w:color="auto" w:fill="auto"/>
            <w:noWrap/>
            <w:vAlign w:val="bottom"/>
            <w:hideMark/>
          </w:tcPr>
          <w:p w14:paraId="11BB2319"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0.71</w:t>
            </w:r>
          </w:p>
        </w:tc>
        <w:tc>
          <w:tcPr>
            <w:tcW w:w="1275" w:type="dxa"/>
            <w:tcBorders>
              <w:top w:val="nil"/>
              <w:left w:val="single" w:sz="4" w:space="0" w:color="auto"/>
              <w:bottom w:val="nil"/>
              <w:right w:val="nil"/>
            </w:tcBorders>
            <w:shd w:val="clear" w:color="auto" w:fill="auto"/>
            <w:noWrap/>
            <w:vAlign w:val="bottom"/>
            <w:hideMark/>
          </w:tcPr>
          <w:p w14:paraId="533E3519"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0.52</w:t>
            </w:r>
          </w:p>
        </w:tc>
        <w:tc>
          <w:tcPr>
            <w:tcW w:w="4453" w:type="dxa"/>
            <w:tcBorders>
              <w:top w:val="nil"/>
              <w:left w:val="single" w:sz="4" w:space="0" w:color="auto"/>
              <w:bottom w:val="nil"/>
              <w:right w:val="nil"/>
            </w:tcBorders>
            <w:shd w:val="clear" w:color="auto" w:fill="auto"/>
            <w:noWrap/>
            <w:vAlign w:val="bottom"/>
            <w:hideMark/>
          </w:tcPr>
          <w:p w14:paraId="1487D0B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0.76</w:t>
            </w:r>
          </w:p>
        </w:tc>
        <w:tc>
          <w:tcPr>
            <w:tcW w:w="1934" w:type="dxa"/>
            <w:tcBorders>
              <w:top w:val="nil"/>
              <w:left w:val="single" w:sz="4" w:space="0" w:color="auto"/>
              <w:bottom w:val="nil"/>
              <w:right w:val="nil"/>
            </w:tcBorders>
            <w:shd w:val="clear" w:color="auto" w:fill="auto"/>
            <w:noWrap/>
            <w:vAlign w:val="bottom"/>
            <w:hideMark/>
          </w:tcPr>
          <w:p w14:paraId="395E7450"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0.83</w:t>
            </w:r>
          </w:p>
        </w:tc>
      </w:tr>
      <w:tr w:rsidR="00E43679" w:rsidRPr="00E43679" w14:paraId="7F10DAE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6EE544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023B20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472BEF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2114070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Current Liabilities</w:t>
            </w:r>
          </w:p>
        </w:tc>
        <w:tc>
          <w:tcPr>
            <w:tcW w:w="1657" w:type="dxa"/>
            <w:tcBorders>
              <w:top w:val="nil"/>
              <w:left w:val="single" w:sz="4" w:space="0" w:color="auto"/>
              <w:bottom w:val="nil"/>
              <w:right w:val="nil"/>
            </w:tcBorders>
            <w:shd w:val="clear" w:color="auto" w:fill="auto"/>
            <w:noWrap/>
            <w:vAlign w:val="bottom"/>
            <w:hideMark/>
          </w:tcPr>
          <w:p w14:paraId="185F865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23B0B04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C67B8B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4225EFF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472B18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7874E2BE"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44ABF5B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3FD4C5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76557B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05E2688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59D1290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481F186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6BF7153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0F66A0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84E501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3F63F32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023AB2AC"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372B900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Acid Test Ratio</w:t>
            </w:r>
          </w:p>
        </w:tc>
        <w:tc>
          <w:tcPr>
            <w:tcW w:w="286" w:type="dxa"/>
            <w:tcBorders>
              <w:top w:val="nil"/>
              <w:left w:val="nil"/>
              <w:bottom w:val="nil"/>
              <w:right w:val="nil"/>
            </w:tcBorders>
            <w:shd w:val="clear" w:color="auto" w:fill="auto"/>
            <w:noWrap/>
            <w:vAlign w:val="bottom"/>
            <w:hideMark/>
          </w:tcPr>
          <w:p w14:paraId="1D404F4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472F2E1D"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Current Assets minus Inventories</w:t>
            </w:r>
          </w:p>
        </w:tc>
        <w:tc>
          <w:tcPr>
            <w:tcW w:w="1657" w:type="dxa"/>
            <w:tcBorders>
              <w:top w:val="nil"/>
              <w:left w:val="single" w:sz="4" w:space="0" w:color="auto"/>
              <w:bottom w:val="nil"/>
              <w:right w:val="nil"/>
            </w:tcBorders>
            <w:shd w:val="clear" w:color="auto" w:fill="auto"/>
            <w:noWrap/>
            <w:vAlign w:val="bottom"/>
            <w:hideMark/>
          </w:tcPr>
          <w:p w14:paraId="7808F303"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0.82</w:t>
            </w:r>
          </w:p>
        </w:tc>
        <w:tc>
          <w:tcPr>
            <w:tcW w:w="1418" w:type="dxa"/>
            <w:tcBorders>
              <w:top w:val="nil"/>
              <w:left w:val="single" w:sz="4" w:space="0" w:color="auto"/>
              <w:bottom w:val="nil"/>
              <w:right w:val="nil"/>
            </w:tcBorders>
            <w:shd w:val="clear" w:color="auto" w:fill="auto"/>
            <w:noWrap/>
            <w:vAlign w:val="bottom"/>
            <w:hideMark/>
          </w:tcPr>
          <w:p w14:paraId="0A5FAA30"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0.71</w:t>
            </w:r>
          </w:p>
        </w:tc>
        <w:tc>
          <w:tcPr>
            <w:tcW w:w="1275" w:type="dxa"/>
            <w:tcBorders>
              <w:top w:val="nil"/>
              <w:left w:val="single" w:sz="4" w:space="0" w:color="auto"/>
              <w:bottom w:val="nil"/>
              <w:right w:val="nil"/>
            </w:tcBorders>
            <w:shd w:val="clear" w:color="auto" w:fill="auto"/>
            <w:noWrap/>
            <w:vAlign w:val="bottom"/>
            <w:hideMark/>
          </w:tcPr>
          <w:p w14:paraId="13109CBA"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0.52</w:t>
            </w:r>
          </w:p>
        </w:tc>
        <w:tc>
          <w:tcPr>
            <w:tcW w:w="4453" w:type="dxa"/>
            <w:tcBorders>
              <w:top w:val="nil"/>
              <w:left w:val="single" w:sz="4" w:space="0" w:color="auto"/>
              <w:bottom w:val="nil"/>
              <w:right w:val="nil"/>
            </w:tcBorders>
            <w:shd w:val="clear" w:color="auto" w:fill="auto"/>
            <w:noWrap/>
            <w:vAlign w:val="bottom"/>
            <w:hideMark/>
          </w:tcPr>
          <w:p w14:paraId="7F594244"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0.76</w:t>
            </w:r>
          </w:p>
        </w:tc>
        <w:tc>
          <w:tcPr>
            <w:tcW w:w="1934" w:type="dxa"/>
            <w:tcBorders>
              <w:top w:val="nil"/>
              <w:left w:val="single" w:sz="4" w:space="0" w:color="auto"/>
              <w:bottom w:val="nil"/>
              <w:right w:val="nil"/>
            </w:tcBorders>
            <w:shd w:val="clear" w:color="auto" w:fill="auto"/>
            <w:noWrap/>
            <w:vAlign w:val="bottom"/>
            <w:hideMark/>
          </w:tcPr>
          <w:p w14:paraId="1E501B79"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0.83</w:t>
            </w:r>
          </w:p>
        </w:tc>
      </w:tr>
      <w:tr w:rsidR="00E43679" w:rsidRPr="00E43679" w14:paraId="0E2F2855"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0E52F6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359324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FE9C74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268F86B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Current Liabilities</w:t>
            </w:r>
          </w:p>
        </w:tc>
        <w:tc>
          <w:tcPr>
            <w:tcW w:w="1657" w:type="dxa"/>
            <w:tcBorders>
              <w:top w:val="nil"/>
              <w:left w:val="single" w:sz="4" w:space="0" w:color="auto"/>
              <w:bottom w:val="nil"/>
              <w:right w:val="nil"/>
            </w:tcBorders>
            <w:shd w:val="clear" w:color="auto" w:fill="auto"/>
            <w:noWrap/>
            <w:vAlign w:val="bottom"/>
            <w:hideMark/>
          </w:tcPr>
          <w:p w14:paraId="6B30586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38BD12A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882895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52DB5FD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4F88C6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2D1E21C5"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422B015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6DF7D3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46D35E3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35D1C5B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4B9AA24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0650120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48D04BA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9F3B0A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14CC756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02C07A3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AD90319"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7802517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Cash Ratio</w:t>
            </w:r>
          </w:p>
        </w:tc>
        <w:tc>
          <w:tcPr>
            <w:tcW w:w="286" w:type="dxa"/>
            <w:tcBorders>
              <w:top w:val="nil"/>
              <w:left w:val="nil"/>
              <w:bottom w:val="nil"/>
              <w:right w:val="nil"/>
            </w:tcBorders>
            <w:shd w:val="clear" w:color="auto" w:fill="auto"/>
            <w:noWrap/>
            <w:vAlign w:val="bottom"/>
            <w:hideMark/>
          </w:tcPr>
          <w:p w14:paraId="0BFC3D5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66C9F6DD"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Cash &amp; Cash Equivalents</w:t>
            </w:r>
          </w:p>
        </w:tc>
        <w:tc>
          <w:tcPr>
            <w:tcW w:w="1657" w:type="dxa"/>
            <w:tcBorders>
              <w:top w:val="nil"/>
              <w:left w:val="single" w:sz="4" w:space="0" w:color="auto"/>
              <w:bottom w:val="nil"/>
              <w:right w:val="nil"/>
            </w:tcBorders>
            <w:shd w:val="clear" w:color="auto" w:fill="auto"/>
            <w:noWrap/>
            <w:vAlign w:val="bottom"/>
            <w:hideMark/>
          </w:tcPr>
          <w:p w14:paraId="6D106854"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0.66</w:t>
            </w:r>
          </w:p>
        </w:tc>
        <w:tc>
          <w:tcPr>
            <w:tcW w:w="1418" w:type="dxa"/>
            <w:tcBorders>
              <w:top w:val="nil"/>
              <w:left w:val="single" w:sz="4" w:space="0" w:color="auto"/>
              <w:bottom w:val="nil"/>
              <w:right w:val="nil"/>
            </w:tcBorders>
            <w:shd w:val="clear" w:color="auto" w:fill="auto"/>
            <w:noWrap/>
            <w:vAlign w:val="bottom"/>
            <w:hideMark/>
          </w:tcPr>
          <w:p w14:paraId="297F5BDF"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0.53</w:t>
            </w:r>
          </w:p>
        </w:tc>
        <w:tc>
          <w:tcPr>
            <w:tcW w:w="1275" w:type="dxa"/>
            <w:tcBorders>
              <w:top w:val="nil"/>
              <w:left w:val="single" w:sz="4" w:space="0" w:color="auto"/>
              <w:bottom w:val="nil"/>
              <w:right w:val="nil"/>
            </w:tcBorders>
            <w:shd w:val="clear" w:color="auto" w:fill="auto"/>
            <w:noWrap/>
            <w:vAlign w:val="bottom"/>
            <w:hideMark/>
          </w:tcPr>
          <w:p w14:paraId="15F44F82"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0.43</w:t>
            </w:r>
          </w:p>
        </w:tc>
        <w:tc>
          <w:tcPr>
            <w:tcW w:w="4453" w:type="dxa"/>
            <w:tcBorders>
              <w:top w:val="nil"/>
              <w:left w:val="single" w:sz="4" w:space="0" w:color="auto"/>
              <w:bottom w:val="nil"/>
              <w:right w:val="nil"/>
            </w:tcBorders>
            <w:shd w:val="clear" w:color="auto" w:fill="auto"/>
            <w:noWrap/>
            <w:vAlign w:val="bottom"/>
            <w:hideMark/>
          </w:tcPr>
          <w:p w14:paraId="589AEB5E"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0.60</w:t>
            </w:r>
          </w:p>
        </w:tc>
        <w:tc>
          <w:tcPr>
            <w:tcW w:w="1934" w:type="dxa"/>
            <w:tcBorders>
              <w:top w:val="nil"/>
              <w:left w:val="single" w:sz="4" w:space="0" w:color="auto"/>
              <w:bottom w:val="nil"/>
              <w:right w:val="nil"/>
            </w:tcBorders>
            <w:shd w:val="clear" w:color="auto" w:fill="auto"/>
            <w:noWrap/>
            <w:vAlign w:val="bottom"/>
            <w:hideMark/>
          </w:tcPr>
          <w:p w14:paraId="4A445761"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0.63</w:t>
            </w:r>
          </w:p>
        </w:tc>
      </w:tr>
      <w:tr w:rsidR="00E43679" w:rsidRPr="00E43679" w14:paraId="6320C873"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258AE4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F22854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A5ECF9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624E26B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Current Liabilities</w:t>
            </w:r>
          </w:p>
        </w:tc>
        <w:tc>
          <w:tcPr>
            <w:tcW w:w="1657" w:type="dxa"/>
            <w:tcBorders>
              <w:top w:val="nil"/>
              <w:left w:val="single" w:sz="4" w:space="0" w:color="auto"/>
              <w:bottom w:val="nil"/>
              <w:right w:val="nil"/>
            </w:tcBorders>
            <w:shd w:val="clear" w:color="auto" w:fill="auto"/>
            <w:noWrap/>
            <w:vAlign w:val="bottom"/>
            <w:hideMark/>
          </w:tcPr>
          <w:p w14:paraId="6B31604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6046628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73F72E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2827937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150C84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1E393714" w14:textId="77777777" w:rsidTr="00E43679">
        <w:trPr>
          <w:trHeight w:val="315"/>
        </w:trPr>
        <w:tc>
          <w:tcPr>
            <w:tcW w:w="1853" w:type="dxa"/>
            <w:tcBorders>
              <w:top w:val="nil"/>
              <w:left w:val="single" w:sz="4" w:space="0" w:color="auto"/>
              <w:bottom w:val="nil"/>
              <w:right w:val="nil"/>
            </w:tcBorders>
            <w:shd w:val="clear" w:color="auto" w:fill="auto"/>
            <w:noWrap/>
            <w:vAlign w:val="bottom"/>
            <w:hideMark/>
          </w:tcPr>
          <w:p w14:paraId="7BB6D07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F69877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E7F508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7541128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5C70839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6375C4E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381075F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A8B461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7C0D091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B22B9A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5DEA4916"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402B3F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6BEB8F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DCA91F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7F4F112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17516C7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29BA074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60B66C5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167F46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1C177A8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BC4F4A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CB56792" w14:textId="77777777" w:rsidTr="00E43679">
        <w:trPr>
          <w:trHeight w:val="315"/>
        </w:trPr>
        <w:tc>
          <w:tcPr>
            <w:tcW w:w="2405" w:type="dxa"/>
            <w:gridSpan w:val="3"/>
            <w:tcBorders>
              <w:top w:val="nil"/>
              <w:left w:val="single" w:sz="4" w:space="0" w:color="auto"/>
              <w:bottom w:val="nil"/>
              <w:right w:val="nil"/>
            </w:tcBorders>
            <w:shd w:val="clear" w:color="auto" w:fill="auto"/>
            <w:noWrap/>
            <w:vAlign w:val="bottom"/>
            <w:hideMark/>
          </w:tcPr>
          <w:p w14:paraId="0002C775"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EFFICIENCY RATIOS</w:t>
            </w:r>
          </w:p>
        </w:tc>
        <w:tc>
          <w:tcPr>
            <w:tcW w:w="2618" w:type="dxa"/>
            <w:tcBorders>
              <w:top w:val="nil"/>
              <w:left w:val="single" w:sz="4" w:space="0" w:color="auto"/>
              <w:bottom w:val="nil"/>
              <w:right w:val="nil"/>
            </w:tcBorders>
            <w:shd w:val="clear" w:color="auto" w:fill="auto"/>
            <w:noWrap/>
            <w:vAlign w:val="bottom"/>
            <w:hideMark/>
          </w:tcPr>
          <w:p w14:paraId="05AA8DA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7B08F158"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211FB50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58718CD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733E04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3C2FE00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3B25D6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4841187A"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16532641"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Asset Turnover Ratio</w:t>
            </w:r>
          </w:p>
        </w:tc>
        <w:tc>
          <w:tcPr>
            <w:tcW w:w="3446" w:type="dxa"/>
            <w:gridSpan w:val="2"/>
            <w:tcBorders>
              <w:top w:val="nil"/>
              <w:left w:val="single" w:sz="4" w:space="0" w:color="auto"/>
              <w:bottom w:val="nil"/>
              <w:right w:val="nil"/>
            </w:tcBorders>
            <w:shd w:val="clear" w:color="auto" w:fill="auto"/>
            <w:noWrap/>
            <w:vAlign w:val="bottom"/>
            <w:hideMark/>
          </w:tcPr>
          <w:p w14:paraId="0EEF59C4"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Sales               (times)</w:t>
            </w:r>
          </w:p>
        </w:tc>
        <w:tc>
          <w:tcPr>
            <w:tcW w:w="1657" w:type="dxa"/>
            <w:tcBorders>
              <w:top w:val="nil"/>
              <w:left w:val="single" w:sz="4" w:space="0" w:color="auto"/>
              <w:bottom w:val="nil"/>
              <w:right w:val="nil"/>
            </w:tcBorders>
            <w:shd w:val="clear" w:color="auto" w:fill="auto"/>
            <w:noWrap/>
            <w:vAlign w:val="bottom"/>
            <w:hideMark/>
          </w:tcPr>
          <w:p w14:paraId="0F5378FE"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0.91</w:t>
            </w:r>
          </w:p>
        </w:tc>
        <w:tc>
          <w:tcPr>
            <w:tcW w:w="1418" w:type="dxa"/>
            <w:tcBorders>
              <w:top w:val="nil"/>
              <w:left w:val="single" w:sz="4" w:space="0" w:color="auto"/>
              <w:bottom w:val="nil"/>
              <w:right w:val="nil"/>
            </w:tcBorders>
            <w:shd w:val="clear" w:color="auto" w:fill="auto"/>
            <w:noWrap/>
            <w:vAlign w:val="bottom"/>
            <w:hideMark/>
          </w:tcPr>
          <w:p w14:paraId="10555203"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0.79</w:t>
            </w:r>
          </w:p>
        </w:tc>
        <w:tc>
          <w:tcPr>
            <w:tcW w:w="1275" w:type="dxa"/>
            <w:tcBorders>
              <w:top w:val="nil"/>
              <w:left w:val="single" w:sz="4" w:space="0" w:color="auto"/>
              <w:bottom w:val="nil"/>
              <w:right w:val="nil"/>
            </w:tcBorders>
            <w:shd w:val="clear" w:color="auto" w:fill="auto"/>
            <w:noWrap/>
            <w:vAlign w:val="bottom"/>
            <w:hideMark/>
          </w:tcPr>
          <w:p w14:paraId="3437F73C"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0.94</w:t>
            </w:r>
          </w:p>
        </w:tc>
        <w:tc>
          <w:tcPr>
            <w:tcW w:w="4453" w:type="dxa"/>
            <w:tcBorders>
              <w:top w:val="nil"/>
              <w:left w:val="single" w:sz="4" w:space="0" w:color="auto"/>
              <w:bottom w:val="nil"/>
              <w:right w:val="nil"/>
            </w:tcBorders>
            <w:shd w:val="clear" w:color="auto" w:fill="auto"/>
            <w:noWrap/>
            <w:vAlign w:val="bottom"/>
            <w:hideMark/>
          </w:tcPr>
          <w:p w14:paraId="621490D6"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0.80</w:t>
            </w:r>
          </w:p>
        </w:tc>
        <w:tc>
          <w:tcPr>
            <w:tcW w:w="1934" w:type="dxa"/>
            <w:tcBorders>
              <w:top w:val="nil"/>
              <w:left w:val="single" w:sz="4" w:space="0" w:color="auto"/>
              <w:bottom w:val="nil"/>
              <w:right w:val="nil"/>
            </w:tcBorders>
            <w:shd w:val="clear" w:color="auto" w:fill="auto"/>
            <w:noWrap/>
            <w:vAlign w:val="bottom"/>
            <w:hideMark/>
          </w:tcPr>
          <w:p w14:paraId="4A054BFD"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0.71</w:t>
            </w:r>
          </w:p>
        </w:tc>
      </w:tr>
      <w:tr w:rsidR="00E43679" w:rsidRPr="00E43679" w14:paraId="7F175F3C"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454EBE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8EB69E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0A4B242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7FB6C67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Capital Employed</w:t>
            </w:r>
          </w:p>
        </w:tc>
        <w:tc>
          <w:tcPr>
            <w:tcW w:w="1657" w:type="dxa"/>
            <w:tcBorders>
              <w:top w:val="nil"/>
              <w:left w:val="single" w:sz="4" w:space="0" w:color="auto"/>
              <w:bottom w:val="nil"/>
              <w:right w:val="nil"/>
            </w:tcBorders>
            <w:shd w:val="clear" w:color="auto" w:fill="auto"/>
            <w:noWrap/>
            <w:vAlign w:val="bottom"/>
            <w:hideMark/>
          </w:tcPr>
          <w:p w14:paraId="21E84BA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67A9F9C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EE08AD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73BD08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CBC4E5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7F1C004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EAD810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13AAEC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34EB5B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5D9F2A7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3E2DEFE7"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0359396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10FAE42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40F829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6210925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30CB377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43FD836A"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7044D15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Sales Per Employee</w:t>
            </w:r>
          </w:p>
        </w:tc>
        <w:tc>
          <w:tcPr>
            <w:tcW w:w="286" w:type="dxa"/>
            <w:tcBorders>
              <w:top w:val="nil"/>
              <w:left w:val="nil"/>
              <w:bottom w:val="nil"/>
              <w:right w:val="nil"/>
            </w:tcBorders>
            <w:shd w:val="clear" w:color="auto" w:fill="auto"/>
            <w:noWrap/>
            <w:vAlign w:val="bottom"/>
            <w:hideMark/>
          </w:tcPr>
          <w:p w14:paraId="1B20773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single" w:sz="4" w:space="0" w:color="auto"/>
              <w:bottom w:val="nil"/>
              <w:right w:val="nil"/>
            </w:tcBorders>
            <w:shd w:val="clear" w:color="auto" w:fill="auto"/>
            <w:noWrap/>
            <w:vAlign w:val="bottom"/>
            <w:hideMark/>
          </w:tcPr>
          <w:p w14:paraId="478B1748"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Sales</w:t>
            </w:r>
          </w:p>
        </w:tc>
        <w:tc>
          <w:tcPr>
            <w:tcW w:w="828" w:type="dxa"/>
            <w:tcBorders>
              <w:top w:val="nil"/>
              <w:left w:val="nil"/>
              <w:bottom w:val="nil"/>
              <w:right w:val="nil"/>
            </w:tcBorders>
            <w:shd w:val="clear" w:color="auto" w:fill="auto"/>
            <w:noWrap/>
            <w:vAlign w:val="bottom"/>
            <w:hideMark/>
          </w:tcPr>
          <w:p w14:paraId="3E0900DE"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657" w:type="dxa"/>
            <w:tcBorders>
              <w:top w:val="nil"/>
              <w:left w:val="single" w:sz="4" w:space="0" w:color="auto"/>
              <w:bottom w:val="nil"/>
              <w:right w:val="nil"/>
            </w:tcBorders>
            <w:shd w:val="clear" w:color="auto" w:fill="auto"/>
            <w:noWrap/>
            <w:vAlign w:val="bottom"/>
            <w:hideMark/>
          </w:tcPr>
          <w:p w14:paraId="7A732B12"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£105,714.82</w:t>
            </w:r>
          </w:p>
        </w:tc>
        <w:tc>
          <w:tcPr>
            <w:tcW w:w="1418" w:type="dxa"/>
            <w:tcBorders>
              <w:top w:val="nil"/>
              <w:left w:val="single" w:sz="4" w:space="0" w:color="auto"/>
              <w:bottom w:val="nil"/>
              <w:right w:val="nil"/>
            </w:tcBorders>
            <w:shd w:val="clear" w:color="auto" w:fill="auto"/>
            <w:noWrap/>
            <w:vAlign w:val="bottom"/>
            <w:hideMark/>
          </w:tcPr>
          <w:p w14:paraId="2F485D5B"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£100,237.50</w:t>
            </w:r>
          </w:p>
        </w:tc>
        <w:tc>
          <w:tcPr>
            <w:tcW w:w="1275" w:type="dxa"/>
            <w:tcBorders>
              <w:top w:val="nil"/>
              <w:left w:val="single" w:sz="4" w:space="0" w:color="auto"/>
              <w:bottom w:val="nil"/>
              <w:right w:val="nil"/>
            </w:tcBorders>
            <w:shd w:val="clear" w:color="auto" w:fill="auto"/>
            <w:noWrap/>
            <w:vAlign w:val="bottom"/>
            <w:hideMark/>
          </w:tcPr>
          <w:p w14:paraId="063243CE"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£99,431.25</w:t>
            </w:r>
          </w:p>
        </w:tc>
        <w:tc>
          <w:tcPr>
            <w:tcW w:w="4453" w:type="dxa"/>
            <w:tcBorders>
              <w:top w:val="nil"/>
              <w:left w:val="single" w:sz="4" w:space="0" w:color="auto"/>
              <w:bottom w:val="nil"/>
              <w:right w:val="nil"/>
            </w:tcBorders>
            <w:shd w:val="clear" w:color="auto" w:fill="auto"/>
            <w:noWrap/>
            <w:vAlign w:val="bottom"/>
            <w:hideMark/>
          </w:tcPr>
          <w:p w14:paraId="515FDDD9"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£100,581.25</w:t>
            </w:r>
          </w:p>
        </w:tc>
        <w:tc>
          <w:tcPr>
            <w:tcW w:w="1934" w:type="dxa"/>
            <w:tcBorders>
              <w:top w:val="nil"/>
              <w:left w:val="single" w:sz="4" w:space="0" w:color="auto"/>
              <w:bottom w:val="nil"/>
              <w:right w:val="nil"/>
            </w:tcBorders>
            <w:shd w:val="clear" w:color="auto" w:fill="auto"/>
            <w:noWrap/>
            <w:vAlign w:val="bottom"/>
            <w:hideMark/>
          </w:tcPr>
          <w:p w14:paraId="65CEA78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£87,441.18</w:t>
            </w:r>
          </w:p>
        </w:tc>
      </w:tr>
      <w:tr w:rsidR="00E43679" w:rsidRPr="00E43679" w14:paraId="6EEE86B2"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FA75B2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260418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41BFB78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72F0B92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Average Employees Per Year</w:t>
            </w:r>
          </w:p>
        </w:tc>
        <w:tc>
          <w:tcPr>
            <w:tcW w:w="1657" w:type="dxa"/>
            <w:tcBorders>
              <w:top w:val="nil"/>
              <w:left w:val="single" w:sz="4" w:space="0" w:color="auto"/>
              <w:bottom w:val="nil"/>
              <w:right w:val="nil"/>
            </w:tcBorders>
            <w:shd w:val="clear" w:color="auto" w:fill="auto"/>
            <w:noWrap/>
            <w:vAlign w:val="bottom"/>
            <w:hideMark/>
          </w:tcPr>
          <w:p w14:paraId="17FC928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4F8DC15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C40372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16916EC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45368F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4A30C5A0"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4FB258F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80CEBB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2BB33A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12B970A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6F236831"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3C61227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757473C4"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F8A110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3EBCFA7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2E1596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8012FF9"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4C1A5DE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Net Income Per Employee</w:t>
            </w:r>
          </w:p>
        </w:tc>
        <w:tc>
          <w:tcPr>
            <w:tcW w:w="3446" w:type="dxa"/>
            <w:gridSpan w:val="2"/>
            <w:tcBorders>
              <w:top w:val="nil"/>
              <w:left w:val="single" w:sz="4" w:space="0" w:color="auto"/>
              <w:bottom w:val="nil"/>
              <w:right w:val="nil"/>
            </w:tcBorders>
            <w:shd w:val="clear" w:color="auto" w:fill="auto"/>
            <w:noWrap/>
            <w:vAlign w:val="bottom"/>
            <w:hideMark/>
          </w:tcPr>
          <w:p w14:paraId="2A91F590"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Net Income (PAT)</w:t>
            </w:r>
          </w:p>
        </w:tc>
        <w:tc>
          <w:tcPr>
            <w:tcW w:w="1657" w:type="dxa"/>
            <w:tcBorders>
              <w:top w:val="nil"/>
              <w:left w:val="single" w:sz="4" w:space="0" w:color="auto"/>
              <w:bottom w:val="nil"/>
              <w:right w:val="nil"/>
            </w:tcBorders>
            <w:shd w:val="clear" w:color="auto" w:fill="auto"/>
            <w:noWrap/>
            <w:vAlign w:val="bottom"/>
            <w:hideMark/>
          </w:tcPr>
          <w:p w14:paraId="3C864C16"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00E43679">
              <w:rPr>
                <w:rFonts w:ascii="Calibri" w:eastAsia="Times New Roman" w:hAnsi="Calibri" w:cs="Calibri"/>
                <w:color w:val="FF0000"/>
                <w:sz w:val="22"/>
                <w:szCs w:val="22"/>
                <w:lang w:val="en-GB" w:eastAsia="en-GB"/>
              </w:rPr>
              <w:t>-£5,140.24</w:t>
            </w:r>
          </w:p>
        </w:tc>
        <w:tc>
          <w:tcPr>
            <w:tcW w:w="1418" w:type="dxa"/>
            <w:tcBorders>
              <w:top w:val="nil"/>
              <w:left w:val="single" w:sz="4" w:space="0" w:color="auto"/>
              <w:bottom w:val="nil"/>
              <w:right w:val="nil"/>
            </w:tcBorders>
            <w:shd w:val="clear" w:color="auto" w:fill="auto"/>
            <w:noWrap/>
            <w:vAlign w:val="bottom"/>
            <w:hideMark/>
          </w:tcPr>
          <w:p w14:paraId="0721B95E"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£10,281.25</w:t>
            </w:r>
          </w:p>
        </w:tc>
        <w:tc>
          <w:tcPr>
            <w:tcW w:w="1275" w:type="dxa"/>
            <w:tcBorders>
              <w:top w:val="nil"/>
              <w:left w:val="single" w:sz="4" w:space="0" w:color="auto"/>
              <w:bottom w:val="nil"/>
              <w:right w:val="nil"/>
            </w:tcBorders>
            <w:shd w:val="clear" w:color="auto" w:fill="auto"/>
            <w:noWrap/>
            <w:vAlign w:val="bottom"/>
            <w:hideMark/>
          </w:tcPr>
          <w:p w14:paraId="33D108AA"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£11,868.75</w:t>
            </w:r>
          </w:p>
        </w:tc>
        <w:tc>
          <w:tcPr>
            <w:tcW w:w="4453" w:type="dxa"/>
            <w:tcBorders>
              <w:top w:val="nil"/>
              <w:left w:val="single" w:sz="4" w:space="0" w:color="auto"/>
              <w:bottom w:val="nil"/>
              <w:right w:val="nil"/>
            </w:tcBorders>
            <w:shd w:val="clear" w:color="auto" w:fill="auto"/>
            <w:noWrap/>
            <w:vAlign w:val="bottom"/>
            <w:hideMark/>
          </w:tcPr>
          <w:p w14:paraId="75464077"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£12,893.75</w:t>
            </w:r>
          </w:p>
        </w:tc>
        <w:tc>
          <w:tcPr>
            <w:tcW w:w="1934" w:type="dxa"/>
            <w:tcBorders>
              <w:top w:val="nil"/>
              <w:left w:val="single" w:sz="4" w:space="0" w:color="auto"/>
              <w:bottom w:val="nil"/>
              <w:right w:val="nil"/>
            </w:tcBorders>
            <w:shd w:val="clear" w:color="auto" w:fill="auto"/>
            <w:noWrap/>
            <w:vAlign w:val="bottom"/>
            <w:hideMark/>
          </w:tcPr>
          <w:p w14:paraId="232405DA"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£14,564.71</w:t>
            </w:r>
          </w:p>
        </w:tc>
      </w:tr>
      <w:tr w:rsidR="00E43679" w:rsidRPr="00E43679" w14:paraId="544D808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09A2AA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5629E7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4366CAC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597DCB9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Average Employees Per Year</w:t>
            </w:r>
          </w:p>
        </w:tc>
        <w:tc>
          <w:tcPr>
            <w:tcW w:w="1657" w:type="dxa"/>
            <w:tcBorders>
              <w:top w:val="nil"/>
              <w:left w:val="single" w:sz="4" w:space="0" w:color="auto"/>
              <w:bottom w:val="nil"/>
              <w:right w:val="nil"/>
            </w:tcBorders>
            <w:shd w:val="clear" w:color="auto" w:fill="auto"/>
            <w:noWrap/>
            <w:vAlign w:val="bottom"/>
            <w:hideMark/>
          </w:tcPr>
          <w:p w14:paraId="49F872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5B5B70A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DFDDE3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6F4276C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3D3ED8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F0562F5"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C49C03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4600F1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2430C58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7E164E1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38BDB858"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6155DD9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36239B1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F02818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6E2FD14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3B7CD50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45FF9929"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4CB21CA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8032A9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C857B2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07D19B8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0F47304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3914D9A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6FEEDA2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933AEA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EC04E8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02926A2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A6ACFD7" w14:textId="77777777" w:rsidTr="00E43679">
        <w:trPr>
          <w:trHeight w:val="315"/>
        </w:trPr>
        <w:tc>
          <w:tcPr>
            <w:tcW w:w="2119" w:type="dxa"/>
            <w:gridSpan w:val="2"/>
            <w:tcBorders>
              <w:top w:val="nil"/>
              <w:left w:val="single" w:sz="4" w:space="0" w:color="auto"/>
              <w:bottom w:val="nil"/>
              <w:right w:val="nil"/>
            </w:tcBorders>
            <w:shd w:val="clear" w:color="auto" w:fill="auto"/>
            <w:noWrap/>
            <w:vAlign w:val="bottom"/>
            <w:hideMark/>
          </w:tcPr>
          <w:p w14:paraId="79A393CF"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GEARING RATIOS</w:t>
            </w:r>
          </w:p>
        </w:tc>
        <w:tc>
          <w:tcPr>
            <w:tcW w:w="286" w:type="dxa"/>
            <w:tcBorders>
              <w:top w:val="nil"/>
              <w:left w:val="nil"/>
              <w:bottom w:val="nil"/>
              <w:right w:val="nil"/>
            </w:tcBorders>
            <w:shd w:val="clear" w:color="auto" w:fill="auto"/>
            <w:noWrap/>
            <w:vAlign w:val="bottom"/>
            <w:hideMark/>
          </w:tcPr>
          <w:p w14:paraId="136A5BD8"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2618" w:type="dxa"/>
            <w:tcBorders>
              <w:top w:val="nil"/>
              <w:left w:val="single" w:sz="4" w:space="0" w:color="auto"/>
              <w:bottom w:val="nil"/>
              <w:right w:val="nil"/>
            </w:tcBorders>
            <w:shd w:val="clear" w:color="auto" w:fill="auto"/>
            <w:noWrap/>
            <w:vAlign w:val="bottom"/>
            <w:hideMark/>
          </w:tcPr>
          <w:p w14:paraId="725239D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57810AA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0C8268B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01F8B364"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D06B48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4549926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3281D8E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57C453E0"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2EB42E3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Gearing Ratio - Debt to Equity</w:t>
            </w:r>
          </w:p>
        </w:tc>
        <w:tc>
          <w:tcPr>
            <w:tcW w:w="2618" w:type="dxa"/>
            <w:tcBorders>
              <w:top w:val="nil"/>
              <w:left w:val="single" w:sz="4" w:space="0" w:color="auto"/>
              <w:bottom w:val="nil"/>
              <w:right w:val="nil"/>
            </w:tcBorders>
            <w:shd w:val="clear" w:color="auto" w:fill="auto"/>
            <w:noWrap/>
            <w:vAlign w:val="bottom"/>
            <w:hideMark/>
          </w:tcPr>
          <w:p w14:paraId="515ED0C5"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Debt</w:t>
            </w:r>
          </w:p>
        </w:tc>
        <w:tc>
          <w:tcPr>
            <w:tcW w:w="828" w:type="dxa"/>
            <w:tcBorders>
              <w:top w:val="nil"/>
              <w:left w:val="nil"/>
              <w:bottom w:val="nil"/>
              <w:right w:val="nil"/>
            </w:tcBorders>
            <w:shd w:val="clear" w:color="auto" w:fill="auto"/>
            <w:noWrap/>
            <w:vAlign w:val="bottom"/>
            <w:hideMark/>
          </w:tcPr>
          <w:p w14:paraId="3D7C0403"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657" w:type="dxa"/>
            <w:tcBorders>
              <w:top w:val="nil"/>
              <w:left w:val="single" w:sz="4" w:space="0" w:color="auto"/>
              <w:bottom w:val="nil"/>
              <w:right w:val="nil"/>
            </w:tcBorders>
            <w:shd w:val="clear" w:color="auto" w:fill="auto"/>
            <w:noWrap/>
            <w:vAlign w:val="bottom"/>
            <w:hideMark/>
          </w:tcPr>
          <w:p w14:paraId="59B2B6E3"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77.3%</w:t>
            </w:r>
          </w:p>
        </w:tc>
        <w:tc>
          <w:tcPr>
            <w:tcW w:w="1418" w:type="dxa"/>
            <w:tcBorders>
              <w:top w:val="nil"/>
              <w:left w:val="single" w:sz="4" w:space="0" w:color="auto"/>
              <w:bottom w:val="nil"/>
              <w:right w:val="nil"/>
            </w:tcBorders>
            <w:shd w:val="clear" w:color="auto" w:fill="auto"/>
            <w:noWrap/>
            <w:vAlign w:val="bottom"/>
            <w:hideMark/>
          </w:tcPr>
          <w:p w14:paraId="381F0D77"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65.9%</w:t>
            </w:r>
          </w:p>
        </w:tc>
        <w:tc>
          <w:tcPr>
            <w:tcW w:w="1275" w:type="dxa"/>
            <w:tcBorders>
              <w:top w:val="nil"/>
              <w:left w:val="single" w:sz="4" w:space="0" w:color="auto"/>
              <w:bottom w:val="nil"/>
              <w:right w:val="nil"/>
            </w:tcBorders>
            <w:shd w:val="clear" w:color="auto" w:fill="auto"/>
            <w:noWrap/>
            <w:vAlign w:val="bottom"/>
            <w:hideMark/>
          </w:tcPr>
          <w:p w14:paraId="1A54506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38.5%</w:t>
            </w:r>
          </w:p>
        </w:tc>
        <w:tc>
          <w:tcPr>
            <w:tcW w:w="4453" w:type="dxa"/>
            <w:tcBorders>
              <w:top w:val="nil"/>
              <w:left w:val="single" w:sz="4" w:space="0" w:color="auto"/>
              <w:bottom w:val="nil"/>
              <w:right w:val="nil"/>
            </w:tcBorders>
            <w:shd w:val="clear" w:color="auto" w:fill="auto"/>
            <w:noWrap/>
            <w:vAlign w:val="bottom"/>
            <w:hideMark/>
          </w:tcPr>
          <w:p w14:paraId="2F9CF514"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73.3%</w:t>
            </w:r>
          </w:p>
        </w:tc>
        <w:tc>
          <w:tcPr>
            <w:tcW w:w="1934" w:type="dxa"/>
            <w:tcBorders>
              <w:top w:val="nil"/>
              <w:left w:val="single" w:sz="4" w:space="0" w:color="auto"/>
              <w:bottom w:val="nil"/>
              <w:right w:val="nil"/>
            </w:tcBorders>
            <w:shd w:val="clear" w:color="auto" w:fill="auto"/>
            <w:noWrap/>
            <w:vAlign w:val="bottom"/>
            <w:hideMark/>
          </w:tcPr>
          <w:p w14:paraId="3372D78F"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103.8%</w:t>
            </w:r>
          </w:p>
        </w:tc>
      </w:tr>
      <w:tr w:rsidR="00E43679" w:rsidRPr="00E43679" w14:paraId="08CB816E"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1D2AAC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lastRenderedPageBreak/>
              <w:t> </w:t>
            </w:r>
          </w:p>
        </w:tc>
        <w:tc>
          <w:tcPr>
            <w:tcW w:w="266" w:type="dxa"/>
            <w:tcBorders>
              <w:top w:val="nil"/>
              <w:left w:val="nil"/>
              <w:bottom w:val="nil"/>
              <w:right w:val="nil"/>
            </w:tcBorders>
            <w:shd w:val="clear" w:color="auto" w:fill="auto"/>
            <w:noWrap/>
            <w:vAlign w:val="bottom"/>
            <w:hideMark/>
          </w:tcPr>
          <w:p w14:paraId="29EEEF3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4E5CA13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52A0D12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Equity</w:t>
            </w:r>
          </w:p>
        </w:tc>
        <w:tc>
          <w:tcPr>
            <w:tcW w:w="828" w:type="dxa"/>
            <w:tcBorders>
              <w:top w:val="nil"/>
              <w:left w:val="nil"/>
              <w:bottom w:val="nil"/>
              <w:right w:val="nil"/>
            </w:tcBorders>
            <w:shd w:val="clear" w:color="auto" w:fill="auto"/>
            <w:noWrap/>
            <w:vAlign w:val="bottom"/>
            <w:hideMark/>
          </w:tcPr>
          <w:p w14:paraId="7E85BFA1"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6C156F3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0D59326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1F0738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708C425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FDA67C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056BC8C2"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231076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DF65F0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FA84A2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5631133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33BAA0B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19B4326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30FE231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2094C70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6A42EB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39FD2E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4C5AD18"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13017B3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Gearing Ratio - Debt to Capital</w:t>
            </w:r>
          </w:p>
        </w:tc>
        <w:tc>
          <w:tcPr>
            <w:tcW w:w="2618" w:type="dxa"/>
            <w:tcBorders>
              <w:top w:val="nil"/>
              <w:left w:val="single" w:sz="4" w:space="0" w:color="auto"/>
              <w:bottom w:val="nil"/>
              <w:right w:val="nil"/>
            </w:tcBorders>
            <w:shd w:val="clear" w:color="auto" w:fill="auto"/>
            <w:noWrap/>
            <w:vAlign w:val="bottom"/>
            <w:hideMark/>
          </w:tcPr>
          <w:p w14:paraId="3AE0C46C"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Debt</w:t>
            </w:r>
          </w:p>
        </w:tc>
        <w:tc>
          <w:tcPr>
            <w:tcW w:w="828" w:type="dxa"/>
            <w:tcBorders>
              <w:top w:val="nil"/>
              <w:left w:val="nil"/>
              <w:bottom w:val="nil"/>
              <w:right w:val="nil"/>
            </w:tcBorders>
            <w:shd w:val="clear" w:color="auto" w:fill="auto"/>
            <w:noWrap/>
            <w:vAlign w:val="bottom"/>
            <w:hideMark/>
          </w:tcPr>
          <w:p w14:paraId="5BDC3C19"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657" w:type="dxa"/>
            <w:tcBorders>
              <w:top w:val="nil"/>
              <w:left w:val="single" w:sz="4" w:space="0" w:color="auto"/>
              <w:bottom w:val="nil"/>
              <w:right w:val="nil"/>
            </w:tcBorders>
            <w:shd w:val="clear" w:color="auto" w:fill="auto"/>
            <w:noWrap/>
            <w:vAlign w:val="bottom"/>
            <w:hideMark/>
          </w:tcPr>
          <w:p w14:paraId="2AFA7542"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43.6%</w:t>
            </w:r>
          </w:p>
        </w:tc>
        <w:tc>
          <w:tcPr>
            <w:tcW w:w="1418" w:type="dxa"/>
            <w:tcBorders>
              <w:top w:val="nil"/>
              <w:left w:val="single" w:sz="4" w:space="0" w:color="auto"/>
              <w:bottom w:val="nil"/>
              <w:right w:val="nil"/>
            </w:tcBorders>
            <w:shd w:val="clear" w:color="auto" w:fill="auto"/>
            <w:noWrap/>
            <w:vAlign w:val="bottom"/>
            <w:hideMark/>
          </w:tcPr>
          <w:p w14:paraId="65712736"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39.7%</w:t>
            </w:r>
          </w:p>
        </w:tc>
        <w:tc>
          <w:tcPr>
            <w:tcW w:w="1275" w:type="dxa"/>
            <w:tcBorders>
              <w:top w:val="nil"/>
              <w:left w:val="single" w:sz="4" w:space="0" w:color="auto"/>
              <w:bottom w:val="nil"/>
              <w:right w:val="nil"/>
            </w:tcBorders>
            <w:shd w:val="clear" w:color="auto" w:fill="auto"/>
            <w:noWrap/>
            <w:vAlign w:val="bottom"/>
            <w:hideMark/>
          </w:tcPr>
          <w:p w14:paraId="40FA3256"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27.8%</w:t>
            </w:r>
          </w:p>
        </w:tc>
        <w:tc>
          <w:tcPr>
            <w:tcW w:w="4453" w:type="dxa"/>
            <w:tcBorders>
              <w:top w:val="nil"/>
              <w:left w:val="single" w:sz="4" w:space="0" w:color="auto"/>
              <w:bottom w:val="nil"/>
              <w:right w:val="nil"/>
            </w:tcBorders>
            <w:shd w:val="clear" w:color="auto" w:fill="auto"/>
            <w:noWrap/>
            <w:vAlign w:val="bottom"/>
            <w:hideMark/>
          </w:tcPr>
          <w:p w14:paraId="5969E069"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42.3%</w:t>
            </w:r>
          </w:p>
        </w:tc>
        <w:tc>
          <w:tcPr>
            <w:tcW w:w="1934" w:type="dxa"/>
            <w:tcBorders>
              <w:top w:val="nil"/>
              <w:left w:val="single" w:sz="4" w:space="0" w:color="auto"/>
              <w:bottom w:val="nil"/>
              <w:right w:val="nil"/>
            </w:tcBorders>
            <w:shd w:val="clear" w:color="auto" w:fill="auto"/>
            <w:noWrap/>
            <w:vAlign w:val="bottom"/>
            <w:hideMark/>
          </w:tcPr>
          <w:p w14:paraId="4DD30DCF"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50.9%</w:t>
            </w:r>
          </w:p>
        </w:tc>
      </w:tr>
      <w:tr w:rsidR="00E43679" w:rsidRPr="00E43679" w14:paraId="61F95055"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E8E44F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2F88A0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23D30CC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729DDB8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Debt + Equity</w:t>
            </w:r>
          </w:p>
        </w:tc>
        <w:tc>
          <w:tcPr>
            <w:tcW w:w="828" w:type="dxa"/>
            <w:tcBorders>
              <w:top w:val="nil"/>
              <w:left w:val="nil"/>
              <w:bottom w:val="nil"/>
              <w:right w:val="nil"/>
            </w:tcBorders>
            <w:shd w:val="clear" w:color="auto" w:fill="auto"/>
            <w:noWrap/>
            <w:vAlign w:val="bottom"/>
            <w:hideMark/>
          </w:tcPr>
          <w:p w14:paraId="2CFC7EF9"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6D9FECB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2B486B7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45079F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6E63031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77A82D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40AE75E3"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48BC6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158DB0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8D7BE6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07B1A45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44FA1C08"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4A123F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3928DCC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FAA697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779C529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31967C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22729A6"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7FED5B5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Interest Cover</w:t>
            </w:r>
          </w:p>
        </w:tc>
        <w:tc>
          <w:tcPr>
            <w:tcW w:w="286" w:type="dxa"/>
            <w:tcBorders>
              <w:top w:val="nil"/>
              <w:left w:val="nil"/>
              <w:bottom w:val="nil"/>
              <w:right w:val="nil"/>
            </w:tcBorders>
            <w:shd w:val="clear" w:color="auto" w:fill="auto"/>
            <w:noWrap/>
            <w:vAlign w:val="bottom"/>
            <w:hideMark/>
          </w:tcPr>
          <w:p w14:paraId="4FD5ABD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532F0AFC"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Profit Before Interest &amp; Tax</w:t>
            </w:r>
            <w:r w:rsidRPr="5CE60E2F">
              <w:rPr>
                <w:rFonts w:ascii="Calibri" w:eastAsia="Times New Roman" w:hAnsi="Calibri" w:cs="Calibri"/>
                <w:b/>
                <w:color w:val="000000" w:themeColor="text1"/>
                <w:sz w:val="22"/>
                <w:szCs w:val="22"/>
                <w:lang w:val="en-GB" w:eastAsia="en-GB"/>
              </w:rPr>
              <w:t xml:space="preserve">  (times)</w:t>
            </w:r>
          </w:p>
        </w:tc>
        <w:tc>
          <w:tcPr>
            <w:tcW w:w="1657" w:type="dxa"/>
            <w:tcBorders>
              <w:top w:val="nil"/>
              <w:left w:val="single" w:sz="4" w:space="0" w:color="auto"/>
              <w:bottom w:val="nil"/>
              <w:right w:val="nil"/>
            </w:tcBorders>
            <w:shd w:val="clear" w:color="auto" w:fill="auto"/>
            <w:noWrap/>
            <w:vAlign w:val="bottom"/>
            <w:hideMark/>
          </w:tcPr>
          <w:p w14:paraId="4EC54D3F"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00E43679">
              <w:rPr>
                <w:rFonts w:ascii="Calibri" w:eastAsia="Times New Roman" w:hAnsi="Calibri" w:cs="Calibri"/>
                <w:color w:val="FF0000"/>
                <w:sz w:val="22"/>
                <w:szCs w:val="22"/>
                <w:lang w:val="en-GB" w:eastAsia="en-GB"/>
              </w:rPr>
              <w:t xml:space="preserve">-1.17 </w:t>
            </w:r>
          </w:p>
        </w:tc>
        <w:tc>
          <w:tcPr>
            <w:tcW w:w="1418" w:type="dxa"/>
            <w:tcBorders>
              <w:top w:val="nil"/>
              <w:left w:val="single" w:sz="4" w:space="0" w:color="auto"/>
              <w:bottom w:val="nil"/>
              <w:right w:val="nil"/>
            </w:tcBorders>
            <w:shd w:val="clear" w:color="auto" w:fill="auto"/>
            <w:noWrap/>
            <w:vAlign w:val="bottom"/>
            <w:hideMark/>
          </w:tcPr>
          <w:p w14:paraId="023152B7"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xml:space="preserve">4.59 </w:t>
            </w:r>
          </w:p>
        </w:tc>
        <w:tc>
          <w:tcPr>
            <w:tcW w:w="1275" w:type="dxa"/>
            <w:tcBorders>
              <w:top w:val="nil"/>
              <w:left w:val="single" w:sz="4" w:space="0" w:color="auto"/>
              <w:bottom w:val="nil"/>
              <w:right w:val="nil"/>
            </w:tcBorders>
            <w:shd w:val="clear" w:color="auto" w:fill="auto"/>
            <w:noWrap/>
            <w:vAlign w:val="bottom"/>
            <w:hideMark/>
          </w:tcPr>
          <w:p w14:paraId="393EEE61"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xml:space="preserve">5.47 </w:t>
            </w:r>
          </w:p>
        </w:tc>
        <w:tc>
          <w:tcPr>
            <w:tcW w:w="4453" w:type="dxa"/>
            <w:tcBorders>
              <w:top w:val="nil"/>
              <w:left w:val="single" w:sz="4" w:space="0" w:color="auto"/>
              <w:bottom w:val="nil"/>
              <w:right w:val="nil"/>
            </w:tcBorders>
            <w:shd w:val="clear" w:color="auto" w:fill="auto"/>
            <w:noWrap/>
            <w:vAlign w:val="bottom"/>
            <w:hideMark/>
          </w:tcPr>
          <w:p w14:paraId="3E4BC60C"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xml:space="preserve">5.76 </w:t>
            </w:r>
          </w:p>
        </w:tc>
        <w:tc>
          <w:tcPr>
            <w:tcW w:w="1934" w:type="dxa"/>
            <w:tcBorders>
              <w:top w:val="nil"/>
              <w:left w:val="single" w:sz="4" w:space="0" w:color="auto"/>
              <w:bottom w:val="nil"/>
              <w:right w:val="nil"/>
            </w:tcBorders>
            <w:shd w:val="clear" w:color="auto" w:fill="auto"/>
            <w:noWrap/>
            <w:vAlign w:val="bottom"/>
            <w:hideMark/>
          </w:tcPr>
          <w:p w14:paraId="7BF99DC9"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xml:space="preserve">7.14 </w:t>
            </w:r>
          </w:p>
        </w:tc>
      </w:tr>
      <w:tr w:rsidR="00E43679" w:rsidRPr="00E43679" w14:paraId="6026768D"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375821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E0BD24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68F545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53A3B0B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Interest</w:t>
            </w:r>
          </w:p>
        </w:tc>
        <w:tc>
          <w:tcPr>
            <w:tcW w:w="828" w:type="dxa"/>
            <w:tcBorders>
              <w:top w:val="nil"/>
              <w:left w:val="nil"/>
              <w:bottom w:val="nil"/>
              <w:right w:val="nil"/>
            </w:tcBorders>
            <w:shd w:val="clear" w:color="auto" w:fill="auto"/>
            <w:noWrap/>
            <w:vAlign w:val="bottom"/>
            <w:hideMark/>
          </w:tcPr>
          <w:p w14:paraId="49BF939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558E787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55AFB72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11167A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23C20C0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654D96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5A74698D"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E9EE96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16CB04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1B3F69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2008453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78533B2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2C10EC2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204196B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F40144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2856657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57F949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5CF621EE"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3F023A5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Equity Ratio (Shareholders Ratio)</w:t>
            </w:r>
          </w:p>
        </w:tc>
        <w:tc>
          <w:tcPr>
            <w:tcW w:w="2618" w:type="dxa"/>
            <w:tcBorders>
              <w:top w:val="nil"/>
              <w:left w:val="single" w:sz="4" w:space="0" w:color="auto"/>
              <w:bottom w:val="nil"/>
              <w:right w:val="nil"/>
            </w:tcBorders>
            <w:shd w:val="clear" w:color="auto" w:fill="auto"/>
            <w:noWrap/>
            <w:vAlign w:val="bottom"/>
            <w:hideMark/>
          </w:tcPr>
          <w:p w14:paraId="5385CA17"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Equity</w:t>
            </w:r>
          </w:p>
        </w:tc>
        <w:tc>
          <w:tcPr>
            <w:tcW w:w="828" w:type="dxa"/>
            <w:tcBorders>
              <w:top w:val="nil"/>
              <w:left w:val="nil"/>
              <w:bottom w:val="nil"/>
              <w:right w:val="nil"/>
            </w:tcBorders>
            <w:shd w:val="clear" w:color="auto" w:fill="auto"/>
            <w:noWrap/>
            <w:vAlign w:val="bottom"/>
            <w:hideMark/>
          </w:tcPr>
          <w:p w14:paraId="4EA6B90F"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657" w:type="dxa"/>
            <w:tcBorders>
              <w:top w:val="nil"/>
              <w:left w:val="single" w:sz="4" w:space="0" w:color="auto"/>
              <w:bottom w:val="nil"/>
              <w:right w:val="nil"/>
            </w:tcBorders>
            <w:shd w:val="clear" w:color="auto" w:fill="auto"/>
            <w:noWrap/>
            <w:vAlign w:val="bottom"/>
            <w:hideMark/>
          </w:tcPr>
          <w:p w14:paraId="6D16531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56.4%</w:t>
            </w:r>
          </w:p>
        </w:tc>
        <w:tc>
          <w:tcPr>
            <w:tcW w:w="1418" w:type="dxa"/>
            <w:tcBorders>
              <w:top w:val="nil"/>
              <w:left w:val="single" w:sz="4" w:space="0" w:color="auto"/>
              <w:bottom w:val="nil"/>
              <w:right w:val="nil"/>
            </w:tcBorders>
            <w:shd w:val="clear" w:color="auto" w:fill="auto"/>
            <w:noWrap/>
            <w:vAlign w:val="bottom"/>
            <w:hideMark/>
          </w:tcPr>
          <w:p w14:paraId="0C7E3648"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60.3%</w:t>
            </w:r>
          </w:p>
        </w:tc>
        <w:tc>
          <w:tcPr>
            <w:tcW w:w="1275" w:type="dxa"/>
            <w:tcBorders>
              <w:top w:val="nil"/>
              <w:left w:val="single" w:sz="4" w:space="0" w:color="auto"/>
              <w:bottom w:val="nil"/>
              <w:right w:val="nil"/>
            </w:tcBorders>
            <w:shd w:val="clear" w:color="auto" w:fill="auto"/>
            <w:noWrap/>
            <w:vAlign w:val="bottom"/>
            <w:hideMark/>
          </w:tcPr>
          <w:p w14:paraId="60F52020"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72.2%</w:t>
            </w:r>
          </w:p>
        </w:tc>
        <w:tc>
          <w:tcPr>
            <w:tcW w:w="4453" w:type="dxa"/>
            <w:tcBorders>
              <w:top w:val="nil"/>
              <w:left w:val="single" w:sz="4" w:space="0" w:color="auto"/>
              <w:bottom w:val="nil"/>
              <w:right w:val="nil"/>
            </w:tcBorders>
            <w:shd w:val="clear" w:color="auto" w:fill="auto"/>
            <w:noWrap/>
            <w:vAlign w:val="bottom"/>
            <w:hideMark/>
          </w:tcPr>
          <w:p w14:paraId="36DE5FC4"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57.7%</w:t>
            </w:r>
          </w:p>
        </w:tc>
        <w:tc>
          <w:tcPr>
            <w:tcW w:w="1934" w:type="dxa"/>
            <w:tcBorders>
              <w:top w:val="nil"/>
              <w:left w:val="single" w:sz="4" w:space="0" w:color="auto"/>
              <w:bottom w:val="nil"/>
              <w:right w:val="nil"/>
            </w:tcBorders>
            <w:shd w:val="clear" w:color="auto" w:fill="auto"/>
            <w:noWrap/>
            <w:vAlign w:val="bottom"/>
            <w:hideMark/>
          </w:tcPr>
          <w:p w14:paraId="0C0CAA83"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49.1%</w:t>
            </w:r>
          </w:p>
        </w:tc>
      </w:tr>
      <w:tr w:rsidR="00E43679" w:rsidRPr="00E43679" w14:paraId="42CB841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980861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2A5305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63D645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4C3EF71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Assets</w:t>
            </w:r>
          </w:p>
        </w:tc>
        <w:tc>
          <w:tcPr>
            <w:tcW w:w="828" w:type="dxa"/>
            <w:tcBorders>
              <w:top w:val="nil"/>
              <w:left w:val="nil"/>
              <w:bottom w:val="nil"/>
              <w:right w:val="nil"/>
            </w:tcBorders>
            <w:shd w:val="clear" w:color="auto" w:fill="auto"/>
            <w:noWrap/>
            <w:vAlign w:val="bottom"/>
            <w:hideMark/>
          </w:tcPr>
          <w:p w14:paraId="2699C82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74A1679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6F103F1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D50F50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5D5C74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54A69D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736CA01E"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4986E7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6D24623"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BD9791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21065E8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0C65940D"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2FED67E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41B6DC3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F2AC34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4693704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14872E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492969CA"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2947927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Solvency Ratio</w:t>
            </w:r>
          </w:p>
        </w:tc>
        <w:tc>
          <w:tcPr>
            <w:tcW w:w="286" w:type="dxa"/>
            <w:tcBorders>
              <w:top w:val="nil"/>
              <w:left w:val="nil"/>
              <w:bottom w:val="nil"/>
              <w:right w:val="nil"/>
            </w:tcBorders>
            <w:shd w:val="clear" w:color="auto" w:fill="auto"/>
            <w:noWrap/>
            <w:vAlign w:val="bottom"/>
            <w:hideMark/>
          </w:tcPr>
          <w:p w14:paraId="39C9B02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09768283"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PAT + Depreciation</w:t>
            </w:r>
          </w:p>
        </w:tc>
        <w:tc>
          <w:tcPr>
            <w:tcW w:w="1657" w:type="dxa"/>
            <w:tcBorders>
              <w:top w:val="nil"/>
              <w:left w:val="single" w:sz="4" w:space="0" w:color="auto"/>
              <w:bottom w:val="nil"/>
              <w:right w:val="nil"/>
            </w:tcBorders>
            <w:shd w:val="clear" w:color="auto" w:fill="auto"/>
            <w:noWrap/>
            <w:vAlign w:val="bottom"/>
            <w:hideMark/>
          </w:tcPr>
          <w:p w14:paraId="227988A0" w14:textId="77777777" w:rsidR="00E43679" w:rsidRPr="00E43679" w:rsidRDefault="00E43679" w:rsidP="00E43679">
            <w:pPr>
              <w:spacing w:after="0" w:line="240" w:lineRule="auto"/>
              <w:jc w:val="right"/>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-4.1%</w:t>
            </w:r>
          </w:p>
        </w:tc>
        <w:tc>
          <w:tcPr>
            <w:tcW w:w="1418" w:type="dxa"/>
            <w:tcBorders>
              <w:top w:val="nil"/>
              <w:left w:val="single" w:sz="4" w:space="0" w:color="auto"/>
              <w:bottom w:val="nil"/>
              <w:right w:val="nil"/>
            </w:tcBorders>
            <w:shd w:val="clear" w:color="auto" w:fill="auto"/>
            <w:noWrap/>
            <w:vAlign w:val="bottom"/>
            <w:hideMark/>
          </w:tcPr>
          <w:p w14:paraId="2B7B1BF9"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16.1%</w:t>
            </w:r>
          </w:p>
        </w:tc>
        <w:tc>
          <w:tcPr>
            <w:tcW w:w="1275" w:type="dxa"/>
            <w:tcBorders>
              <w:top w:val="nil"/>
              <w:left w:val="single" w:sz="4" w:space="0" w:color="auto"/>
              <w:bottom w:val="nil"/>
              <w:right w:val="nil"/>
            </w:tcBorders>
            <w:shd w:val="clear" w:color="auto" w:fill="auto"/>
            <w:noWrap/>
            <w:vAlign w:val="bottom"/>
            <w:hideMark/>
          </w:tcPr>
          <w:p w14:paraId="2CECDBA0"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19.6%</w:t>
            </w:r>
          </w:p>
        </w:tc>
        <w:tc>
          <w:tcPr>
            <w:tcW w:w="4453" w:type="dxa"/>
            <w:tcBorders>
              <w:top w:val="nil"/>
              <w:left w:val="single" w:sz="4" w:space="0" w:color="auto"/>
              <w:bottom w:val="nil"/>
              <w:right w:val="nil"/>
            </w:tcBorders>
            <w:shd w:val="clear" w:color="auto" w:fill="auto"/>
            <w:noWrap/>
            <w:vAlign w:val="bottom"/>
            <w:hideMark/>
          </w:tcPr>
          <w:p w14:paraId="15B25D7F"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19.7%</w:t>
            </w:r>
          </w:p>
        </w:tc>
        <w:tc>
          <w:tcPr>
            <w:tcW w:w="1934" w:type="dxa"/>
            <w:tcBorders>
              <w:top w:val="nil"/>
              <w:left w:val="single" w:sz="4" w:space="0" w:color="auto"/>
              <w:bottom w:val="nil"/>
              <w:right w:val="nil"/>
            </w:tcBorders>
            <w:shd w:val="clear" w:color="auto" w:fill="auto"/>
            <w:noWrap/>
            <w:vAlign w:val="bottom"/>
            <w:hideMark/>
          </w:tcPr>
          <w:p w14:paraId="76B998D7"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20.3%</w:t>
            </w:r>
          </w:p>
        </w:tc>
      </w:tr>
      <w:tr w:rsidR="00E43679" w:rsidRPr="00E43679" w14:paraId="77FB6276"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54CC439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B4B116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49E7E38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600F971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Liabilities</w:t>
            </w:r>
          </w:p>
        </w:tc>
        <w:tc>
          <w:tcPr>
            <w:tcW w:w="1657" w:type="dxa"/>
            <w:tcBorders>
              <w:top w:val="nil"/>
              <w:left w:val="single" w:sz="4" w:space="0" w:color="auto"/>
              <w:bottom w:val="nil"/>
              <w:right w:val="nil"/>
            </w:tcBorders>
            <w:shd w:val="clear" w:color="auto" w:fill="auto"/>
            <w:noWrap/>
            <w:vAlign w:val="bottom"/>
            <w:hideMark/>
          </w:tcPr>
          <w:p w14:paraId="5124354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751CE28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02B009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3CC1F5C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7FE75D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1376A100"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1FD534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E6FF7B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87E570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01DCD58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0FF746F3"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1C699BA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1A84B86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0A1ED8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F2225C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C1096D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02D325C3" w14:textId="77777777" w:rsidTr="00E43679">
        <w:trPr>
          <w:trHeight w:val="315"/>
        </w:trPr>
        <w:tc>
          <w:tcPr>
            <w:tcW w:w="2405" w:type="dxa"/>
            <w:gridSpan w:val="3"/>
            <w:tcBorders>
              <w:top w:val="nil"/>
              <w:left w:val="single" w:sz="4" w:space="0" w:color="auto"/>
              <w:bottom w:val="nil"/>
              <w:right w:val="nil"/>
            </w:tcBorders>
            <w:shd w:val="clear" w:color="auto" w:fill="auto"/>
            <w:noWrap/>
            <w:vAlign w:val="bottom"/>
            <w:hideMark/>
          </w:tcPr>
          <w:p w14:paraId="490B4502"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INVESTOR /VALUATION RATIOS</w:t>
            </w:r>
          </w:p>
        </w:tc>
        <w:tc>
          <w:tcPr>
            <w:tcW w:w="2618" w:type="dxa"/>
            <w:tcBorders>
              <w:top w:val="nil"/>
              <w:left w:val="single" w:sz="4" w:space="0" w:color="auto"/>
              <w:bottom w:val="nil"/>
              <w:right w:val="nil"/>
            </w:tcBorders>
            <w:shd w:val="clear" w:color="auto" w:fill="auto"/>
            <w:noWrap/>
            <w:vAlign w:val="bottom"/>
            <w:hideMark/>
          </w:tcPr>
          <w:p w14:paraId="5063268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06CB04B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3580558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175E7B6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EB10A5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8E58E7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997E25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2B1384A2"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795C4A8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Earnings Per Share (EPS)</w:t>
            </w:r>
          </w:p>
        </w:tc>
        <w:tc>
          <w:tcPr>
            <w:tcW w:w="3446" w:type="dxa"/>
            <w:gridSpan w:val="2"/>
            <w:tcBorders>
              <w:top w:val="nil"/>
              <w:left w:val="single" w:sz="4" w:space="0" w:color="auto"/>
              <w:bottom w:val="nil"/>
              <w:right w:val="nil"/>
            </w:tcBorders>
            <w:shd w:val="clear" w:color="auto" w:fill="auto"/>
            <w:noWrap/>
            <w:vAlign w:val="bottom"/>
            <w:hideMark/>
          </w:tcPr>
          <w:p w14:paraId="64A33E8F"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PAT and Preference Dividends</w:t>
            </w:r>
          </w:p>
        </w:tc>
        <w:tc>
          <w:tcPr>
            <w:tcW w:w="1657" w:type="dxa"/>
            <w:tcBorders>
              <w:top w:val="nil"/>
              <w:left w:val="single" w:sz="4" w:space="0" w:color="auto"/>
              <w:bottom w:val="nil"/>
              <w:right w:val="nil"/>
            </w:tcBorders>
            <w:shd w:val="clear" w:color="auto" w:fill="auto"/>
            <w:noWrap/>
            <w:vAlign w:val="bottom"/>
            <w:hideMark/>
          </w:tcPr>
          <w:p w14:paraId="65A3E2EB" w14:textId="77777777" w:rsidR="00E43679" w:rsidRPr="00E43679" w:rsidRDefault="00E43679" w:rsidP="00E43679">
            <w:pPr>
              <w:spacing w:after="0" w:line="240" w:lineRule="auto"/>
              <w:jc w:val="right"/>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-0.10</w:t>
            </w:r>
          </w:p>
        </w:tc>
        <w:tc>
          <w:tcPr>
            <w:tcW w:w="1418" w:type="dxa"/>
            <w:tcBorders>
              <w:top w:val="nil"/>
              <w:left w:val="single" w:sz="4" w:space="0" w:color="auto"/>
              <w:bottom w:val="nil"/>
              <w:right w:val="nil"/>
            </w:tcBorders>
            <w:shd w:val="clear" w:color="auto" w:fill="auto"/>
            <w:noWrap/>
            <w:vAlign w:val="bottom"/>
            <w:hideMark/>
          </w:tcPr>
          <w:p w14:paraId="5B452B9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0.19</w:t>
            </w:r>
          </w:p>
        </w:tc>
        <w:tc>
          <w:tcPr>
            <w:tcW w:w="1275" w:type="dxa"/>
            <w:tcBorders>
              <w:top w:val="nil"/>
              <w:left w:val="single" w:sz="4" w:space="0" w:color="auto"/>
              <w:bottom w:val="nil"/>
              <w:right w:val="nil"/>
            </w:tcBorders>
            <w:shd w:val="clear" w:color="auto" w:fill="auto"/>
            <w:noWrap/>
            <w:vAlign w:val="bottom"/>
            <w:hideMark/>
          </w:tcPr>
          <w:p w14:paraId="07A5E7A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0.22</w:t>
            </w:r>
          </w:p>
        </w:tc>
        <w:tc>
          <w:tcPr>
            <w:tcW w:w="4453" w:type="dxa"/>
            <w:tcBorders>
              <w:top w:val="nil"/>
              <w:left w:val="single" w:sz="4" w:space="0" w:color="auto"/>
              <w:bottom w:val="nil"/>
              <w:right w:val="nil"/>
            </w:tcBorders>
            <w:shd w:val="clear" w:color="auto" w:fill="auto"/>
            <w:noWrap/>
            <w:vAlign w:val="bottom"/>
            <w:hideMark/>
          </w:tcPr>
          <w:p w14:paraId="02B469BB"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0.24</w:t>
            </w:r>
          </w:p>
        </w:tc>
        <w:tc>
          <w:tcPr>
            <w:tcW w:w="1934" w:type="dxa"/>
            <w:tcBorders>
              <w:top w:val="nil"/>
              <w:left w:val="single" w:sz="4" w:space="0" w:color="auto"/>
              <w:bottom w:val="nil"/>
              <w:right w:val="nil"/>
            </w:tcBorders>
            <w:shd w:val="clear" w:color="auto" w:fill="auto"/>
            <w:noWrap/>
            <w:vAlign w:val="bottom"/>
            <w:hideMark/>
          </w:tcPr>
          <w:p w14:paraId="5E48D4AB"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0.30</w:t>
            </w:r>
          </w:p>
        </w:tc>
      </w:tr>
      <w:tr w:rsidR="00E43679" w:rsidRPr="00E43679" w14:paraId="4DB57E1A"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6D4038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E98599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25B1BFE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2F1B2CA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Number of Ordinary Shares</w:t>
            </w:r>
          </w:p>
        </w:tc>
        <w:tc>
          <w:tcPr>
            <w:tcW w:w="1657" w:type="dxa"/>
            <w:tcBorders>
              <w:top w:val="nil"/>
              <w:left w:val="single" w:sz="4" w:space="0" w:color="auto"/>
              <w:bottom w:val="nil"/>
              <w:right w:val="nil"/>
            </w:tcBorders>
            <w:shd w:val="clear" w:color="auto" w:fill="auto"/>
            <w:noWrap/>
            <w:vAlign w:val="bottom"/>
            <w:hideMark/>
          </w:tcPr>
          <w:p w14:paraId="408BC2B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4CB93F4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9BDFA2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832CF8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050901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69A55019"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46B395E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28B367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1B5EBE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1B286B1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78A2221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7F0264B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19DE4EF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0874FA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6207031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20F8D1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22CC29E2"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05FEC2A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Return On Equity</w:t>
            </w:r>
          </w:p>
        </w:tc>
        <w:tc>
          <w:tcPr>
            <w:tcW w:w="286" w:type="dxa"/>
            <w:tcBorders>
              <w:top w:val="nil"/>
              <w:left w:val="nil"/>
              <w:bottom w:val="nil"/>
              <w:right w:val="nil"/>
            </w:tcBorders>
            <w:shd w:val="clear" w:color="auto" w:fill="auto"/>
            <w:noWrap/>
            <w:vAlign w:val="bottom"/>
            <w:hideMark/>
          </w:tcPr>
          <w:p w14:paraId="197D2B0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single" w:sz="4" w:space="0" w:color="auto"/>
              <w:bottom w:val="nil"/>
              <w:right w:val="nil"/>
            </w:tcBorders>
            <w:shd w:val="clear" w:color="auto" w:fill="auto"/>
            <w:noWrap/>
            <w:vAlign w:val="bottom"/>
            <w:hideMark/>
          </w:tcPr>
          <w:p w14:paraId="71E94AAA"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PAT</w:t>
            </w:r>
          </w:p>
        </w:tc>
        <w:tc>
          <w:tcPr>
            <w:tcW w:w="828" w:type="dxa"/>
            <w:tcBorders>
              <w:top w:val="nil"/>
              <w:left w:val="nil"/>
              <w:bottom w:val="nil"/>
              <w:right w:val="nil"/>
            </w:tcBorders>
            <w:shd w:val="clear" w:color="auto" w:fill="auto"/>
            <w:noWrap/>
            <w:vAlign w:val="bottom"/>
            <w:hideMark/>
          </w:tcPr>
          <w:p w14:paraId="1DE25DC3"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657" w:type="dxa"/>
            <w:tcBorders>
              <w:top w:val="nil"/>
              <w:left w:val="single" w:sz="4" w:space="0" w:color="auto"/>
              <w:bottom w:val="nil"/>
              <w:right w:val="nil"/>
            </w:tcBorders>
            <w:shd w:val="clear" w:color="auto" w:fill="auto"/>
            <w:noWrap/>
            <w:vAlign w:val="bottom"/>
            <w:hideMark/>
          </w:tcPr>
          <w:p w14:paraId="1033BB03" w14:textId="77777777" w:rsidR="00E43679" w:rsidRPr="00E43679" w:rsidRDefault="00E43679" w:rsidP="00E43679">
            <w:pPr>
              <w:spacing w:after="0" w:line="240" w:lineRule="auto"/>
              <w:jc w:val="right"/>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-7.8%</w:t>
            </w:r>
          </w:p>
        </w:tc>
        <w:tc>
          <w:tcPr>
            <w:tcW w:w="1418" w:type="dxa"/>
            <w:tcBorders>
              <w:top w:val="nil"/>
              <w:left w:val="single" w:sz="4" w:space="0" w:color="auto"/>
              <w:bottom w:val="nil"/>
              <w:right w:val="nil"/>
            </w:tcBorders>
            <w:shd w:val="clear" w:color="auto" w:fill="auto"/>
            <w:noWrap/>
            <w:vAlign w:val="bottom"/>
            <w:hideMark/>
          </w:tcPr>
          <w:p w14:paraId="2B9A2C4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13.4%</w:t>
            </w:r>
          </w:p>
        </w:tc>
        <w:tc>
          <w:tcPr>
            <w:tcW w:w="1275" w:type="dxa"/>
            <w:tcBorders>
              <w:top w:val="nil"/>
              <w:left w:val="single" w:sz="4" w:space="0" w:color="auto"/>
              <w:bottom w:val="nil"/>
              <w:right w:val="nil"/>
            </w:tcBorders>
            <w:shd w:val="clear" w:color="auto" w:fill="auto"/>
            <w:noWrap/>
            <w:vAlign w:val="bottom"/>
            <w:hideMark/>
          </w:tcPr>
          <w:p w14:paraId="54A12629"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15.6%</w:t>
            </w:r>
          </w:p>
        </w:tc>
        <w:tc>
          <w:tcPr>
            <w:tcW w:w="4453" w:type="dxa"/>
            <w:tcBorders>
              <w:top w:val="nil"/>
              <w:left w:val="single" w:sz="4" w:space="0" w:color="auto"/>
              <w:bottom w:val="nil"/>
              <w:right w:val="nil"/>
            </w:tcBorders>
            <w:shd w:val="clear" w:color="auto" w:fill="auto"/>
            <w:noWrap/>
            <w:vAlign w:val="bottom"/>
            <w:hideMark/>
          </w:tcPr>
          <w:p w14:paraId="4541DD98"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17.8%</w:t>
            </w:r>
          </w:p>
        </w:tc>
        <w:tc>
          <w:tcPr>
            <w:tcW w:w="1934" w:type="dxa"/>
            <w:tcBorders>
              <w:top w:val="nil"/>
              <w:left w:val="single" w:sz="4" w:space="0" w:color="auto"/>
              <w:bottom w:val="nil"/>
              <w:right w:val="nil"/>
            </w:tcBorders>
            <w:shd w:val="clear" w:color="auto" w:fill="auto"/>
            <w:noWrap/>
            <w:vAlign w:val="bottom"/>
            <w:hideMark/>
          </w:tcPr>
          <w:p w14:paraId="0ADEDCE0"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24.2%</w:t>
            </w:r>
          </w:p>
        </w:tc>
      </w:tr>
      <w:tr w:rsidR="00E43679" w:rsidRPr="00E43679" w14:paraId="0E8AECA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D6F98E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D49623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3495D0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4081A95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Shareholders Fund</w:t>
            </w:r>
          </w:p>
        </w:tc>
        <w:tc>
          <w:tcPr>
            <w:tcW w:w="1657" w:type="dxa"/>
            <w:tcBorders>
              <w:top w:val="nil"/>
              <w:left w:val="single" w:sz="4" w:space="0" w:color="auto"/>
              <w:bottom w:val="nil"/>
              <w:right w:val="nil"/>
            </w:tcBorders>
            <w:shd w:val="clear" w:color="auto" w:fill="auto"/>
            <w:noWrap/>
            <w:vAlign w:val="bottom"/>
            <w:hideMark/>
          </w:tcPr>
          <w:p w14:paraId="494AF88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5C2D1F2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A11A37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21B7F25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8D856E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50C79328"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2A6A65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E48AE0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549FD0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127C808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4D5CBC53"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79B195D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2CCE433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FF5038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7594F92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F27467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242A81A7"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1365417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Price Earnings Ratio</w:t>
            </w:r>
          </w:p>
        </w:tc>
        <w:tc>
          <w:tcPr>
            <w:tcW w:w="286" w:type="dxa"/>
            <w:tcBorders>
              <w:top w:val="nil"/>
              <w:left w:val="nil"/>
              <w:bottom w:val="nil"/>
              <w:right w:val="nil"/>
            </w:tcBorders>
            <w:shd w:val="clear" w:color="auto" w:fill="auto"/>
            <w:noWrap/>
            <w:vAlign w:val="bottom"/>
            <w:hideMark/>
          </w:tcPr>
          <w:p w14:paraId="2E8D6D9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446" w:type="dxa"/>
            <w:gridSpan w:val="2"/>
            <w:tcBorders>
              <w:top w:val="nil"/>
              <w:left w:val="single" w:sz="4" w:space="0" w:color="auto"/>
              <w:bottom w:val="nil"/>
              <w:right w:val="nil"/>
            </w:tcBorders>
            <w:shd w:val="clear" w:color="auto" w:fill="auto"/>
            <w:noWrap/>
            <w:vAlign w:val="bottom"/>
            <w:hideMark/>
          </w:tcPr>
          <w:p w14:paraId="02B10668"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 xml:space="preserve">Market  Capitalisation      </w:t>
            </w:r>
            <w:r w:rsidRPr="5CE60E2F">
              <w:rPr>
                <w:rFonts w:ascii="Calibri" w:eastAsia="Times New Roman" w:hAnsi="Calibri" w:cs="Calibri"/>
                <w:b/>
                <w:color w:val="000000" w:themeColor="text1"/>
                <w:sz w:val="22"/>
                <w:szCs w:val="22"/>
                <w:lang w:val="en-GB" w:eastAsia="en-GB"/>
              </w:rPr>
              <w:t xml:space="preserve">     (times)</w:t>
            </w:r>
          </w:p>
        </w:tc>
        <w:tc>
          <w:tcPr>
            <w:tcW w:w="1657" w:type="dxa"/>
            <w:tcBorders>
              <w:top w:val="nil"/>
              <w:left w:val="single" w:sz="4" w:space="0" w:color="auto"/>
              <w:bottom w:val="nil"/>
              <w:right w:val="nil"/>
            </w:tcBorders>
            <w:shd w:val="clear" w:color="auto" w:fill="auto"/>
            <w:noWrap/>
            <w:vAlign w:val="bottom"/>
            <w:hideMark/>
          </w:tcPr>
          <w:p w14:paraId="5C4F7622"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00E43679">
              <w:rPr>
                <w:rFonts w:ascii="Calibri" w:eastAsia="Times New Roman" w:hAnsi="Calibri" w:cs="Calibri"/>
                <w:color w:val="FF0000"/>
                <w:sz w:val="22"/>
                <w:szCs w:val="22"/>
                <w:lang w:val="en-GB" w:eastAsia="en-GB"/>
              </w:rPr>
              <w:t xml:space="preserve">-26.2 </w:t>
            </w:r>
          </w:p>
        </w:tc>
        <w:tc>
          <w:tcPr>
            <w:tcW w:w="1418" w:type="dxa"/>
            <w:tcBorders>
              <w:top w:val="nil"/>
              <w:left w:val="single" w:sz="4" w:space="0" w:color="auto"/>
              <w:bottom w:val="nil"/>
              <w:right w:val="nil"/>
            </w:tcBorders>
            <w:shd w:val="clear" w:color="auto" w:fill="auto"/>
            <w:noWrap/>
            <w:vAlign w:val="bottom"/>
            <w:hideMark/>
          </w:tcPr>
          <w:p w14:paraId="6F73D297"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xml:space="preserve">13.4 </w:t>
            </w:r>
          </w:p>
        </w:tc>
        <w:tc>
          <w:tcPr>
            <w:tcW w:w="1275" w:type="dxa"/>
            <w:tcBorders>
              <w:top w:val="nil"/>
              <w:left w:val="single" w:sz="4" w:space="0" w:color="auto"/>
              <w:bottom w:val="nil"/>
              <w:right w:val="nil"/>
            </w:tcBorders>
            <w:shd w:val="clear" w:color="auto" w:fill="auto"/>
            <w:noWrap/>
            <w:vAlign w:val="bottom"/>
            <w:hideMark/>
          </w:tcPr>
          <w:p w14:paraId="4962CC56"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xml:space="preserve">18.0 </w:t>
            </w:r>
          </w:p>
        </w:tc>
        <w:tc>
          <w:tcPr>
            <w:tcW w:w="4453" w:type="dxa"/>
            <w:tcBorders>
              <w:top w:val="nil"/>
              <w:left w:val="single" w:sz="4" w:space="0" w:color="auto"/>
              <w:bottom w:val="nil"/>
              <w:right w:val="nil"/>
            </w:tcBorders>
            <w:shd w:val="clear" w:color="auto" w:fill="auto"/>
            <w:noWrap/>
            <w:vAlign w:val="bottom"/>
            <w:hideMark/>
          </w:tcPr>
          <w:p w14:paraId="6E45E538"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xml:space="preserve">14.1 </w:t>
            </w:r>
          </w:p>
        </w:tc>
        <w:tc>
          <w:tcPr>
            <w:tcW w:w="1934" w:type="dxa"/>
            <w:tcBorders>
              <w:top w:val="nil"/>
              <w:left w:val="single" w:sz="4" w:space="0" w:color="auto"/>
              <w:bottom w:val="nil"/>
              <w:right w:val="nil"/>
            </w:tcBorders>
            <w:shd w:val="clear" w:color="auto" w:fill="auto"/>
            <w:noWrap/>
            <w:vAlign w:val="bottom"/>
            <w:hideMark/>
          </w:tcPr>
          <w:p w14:paraId="0A77775B"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xml:space="preserve">15.7 </w:t>
            </w:r>
          </w:p>
        </w:tc>
      </w:tr>
      <w:tr w:rsidR="00E43679" w:rsidRPr="00E43679" w14:paraId="1430E00C"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DBCA1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89A459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16DB04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1810E45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PAT</w:t>
            </w:r>
          </w:p>
        </w:tc>
        <w:tc>
          <w:tcPr>
            <w:tcW w:w="828" w:type="dxa"/>
            <w:tcBorders>
              <w:top w:val="nil"/>
              <w:left w:val="nil"/>
              <w:bottom w:val="nil"/>
              <w:right w:val="nil"/>
            </w:tcBorders>
            <w:shd w:val="clear" w:color="auto" w:fill="auto"/>
            <w:noWrap/>
            <w:vAlign w:val="bottom"/>
            <w:hideMark/>
          </w:tcPr>
          <w:p w14:paraId="5B13E4B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253B4DC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6F229AD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D9AE6A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5A8F3F2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47694A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0709925D"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20FF3F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91023A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B338E7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33EE115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4F1B74B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6B5A83D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0A80179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F15988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2A8A48D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61A390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004F0D78"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1540B9B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Price to Sales Ratio</w:t>
            </w:r>
          </w:p>
        </w:tc>
        <w:tc>
          <w:tcPr>
            <w:tcW w:w="286" w:type="dxa"/>
            <w:tcBorders>
              <w:top w:val="nil"/>
              <w:left w:val="nil"/>
              <w:bottom w:val="nil"/>
              <w:right w:val="nil"/>
            </w:tcBorders>
            <w:shd w:val="clear" w:color="auto" w:fill="auto"/>
            <w:noWrap/>
            <w:vAlign w:val="bottom"/>
            <w:hideMark/>
          </w:tcPr>
          <w:p w14:paraId="6F20DF8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single" w:sz="4" w:space="0" w:color="auto"/>
              <w:bottom w:val="nil"/>
              <w:right w:val="nil"/>
            </w:tcBorders>
            <w:shd w:val="clear" w:color="auto" w:fill="auto"/>
            <w:noWrap/>
            <w:vAlign w:val="bottom"/>
            <w:hideMark/>
          </w:tcPr>
          <w:p w14:paraId="5B2CB754"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Market Cap</w:t>
            </w:r>
          </w:p>
        </w:tc>
        <w:tc>
          <w:tcPr>
            <w:tcW w:w="828" w:type="dxa"/>
            <w:tcBorders>
              <w:top w:val="nil"/>
              <w:left w:val="nil"/>
              <w:bottom w:val="nil"/>
              <w:right w:val="nil"/>
            </w:tcBorders>
            <w:shd w:val="clear" w:color="auto" w:fill="auto"/>
            <w:noWrap/>
            <w:vAlign w:val="bottom"/>
            <w:hideMark/>
          </w:tcPr>
          <w:p w14:paraId="5D81F7A4"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657" w:type="dxa"/>
            <w:tcBorders>
              <w:top w:val="nil"/>
              <w:left w:val="single" w:sz="4" w:space="0" w:color="auto"/>
              <w:bottom w:val="nil"/>
              <w:right w:val="nil"/>
            </w:tcBorders>
            <w:shd w:val="clear" w:color="auto" w:fill="auto"/>
            <w:noWrap/>
            <w:vAlign w:val="bottom"/>
            <w:hideMark/>
          </w:tcPr>
          <w:p w14:paraId="5E063E8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1.3</w:t>
            </w:r>
          </w:p>
        </w:tc>
        <w:tc>
          <w:tcPr>
            <w:tcW w:w="1418" w:type="dxa"/>
            <w:tcBorders>
              <w:top w:val="nil"/>
              <w:left w:val="single" w:sz="4" w:space="0" w:color="auto"/>
              <w:bottom w:val="nil"/>
              <w:right w:val="nil"/>
            </w:tcBorders>
            <w:shd w:val="clear" w:color="auto" w:fill="auto"/>
            <w:noWrap/>
            <w:vAlign w:val="bottom"/>
            <w:hideMark/>
          </w:tcPr>
          <w:p w14:paraId="30995C6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1.4</w:t>
            </w:r>
          </w:p>
        </w:tc>
        <w:tc>
          <w:tcPr>
            <w:tcW w:w="1275" w:type="dxa"/>
            <w:tcBorders>
              <w:top w:val="nil"/>
              <w:left w:val="single" w:sz="4" w:space="0" w:color="auto"/>
              <w:bottom w:val="nil"/>
              <w:right w:val="nil"/>
            </w:tcBorders>
            <w:shd w:val="clear" w:color="auto" w:fill="auto"/>
            <w:noWrap/>
            <w:vAlign w:val="bottom"/>
            <w:hideMark/>
          </w:tcPr>
          <w:p w14:paraId="067A4DA3"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2.1</w:t>
            </w:r>
          </w:p>
        </w:tc>
        <w:tc>
          <w:tcPr>
            <w:tcW w:w="4453" w:type="dxa"/>
            <w:tcBorders>
              <w:top w:val="nil"/>
              <w:left w:val="single" w:sz="4" w:space="0" w:color="auto"/>
              <w:bottom w:val="nil"/>
              <w:right w:val="nil"/>
            </w:tcBorders>
            <w:shd w:val="clear" w:color="auto" w:fill="auto"/>
            <w:noWrap/>
            <w:vAlign w:val="bottom"/>
            <w:hideMark/>
          </w:tcPr>
          <w:p w14:paraId="1D010982"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1.8</w:t>
            </w:r>
          </w:p>
        </w:tc>
        <w:tc>
          <w:tcPr>
            <w:tcW w:w="1934" w:type="dxa"/>
            <w:tcBorders>
              <w:top w:val="nil"/>
              <w:left w:val="single" w:sz="4" w:space="0" w:color="auto"/>
              <w:bottom w:val="nil"/>
              <w:right w:val="nil"/>
            </w:tcBorders>
            <w:shd w:val="clear" w:color="auto" w:fill="auto"/>
            <w:noWrap/>
            <w:vAlign w:val="bottom"/>
            <w:hideMark/>
          </w:tcPr>
          <w:p w14:paraId="4BD688E8"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2.6</w:t>
            </w:r>
          </w:p>
        </w:tc>
      </w:tr>
      <w:tr w:rsidR="00E43679" w:rsidRPr="00E43679" w14:paraId="46C835D0"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3C4584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E7AC78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744548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736C003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828" w:type="dxa"/>
            <w:tcBorders>
              <w:top w:val="nil"/>
              <w:left w:val="nil"/>
              <w:bottom w:val="nil"/>
              <w:right w:val="nil"/>
            </w:tcBorders>
            <w:shd w:val="clear" w:color="auto" w:fill="auto"/>
            <w:noWrap/>
            <w:vAlign w:val="bottom"/>
            <w:hideMark/>
          </w:tcPr>
          <w:p w14:paraId="1150D57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6518D79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0514AF8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59D98F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A012E6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A5E82A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595C4AD1"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9C535E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DB24B8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single" w:sz="4" w:space="0" w:color="auto"/>
            </w:tcBorders>
            <w:shd w:val="clear" w:color="auto" w:fill="auto"/>
            <w:noWrap/>
            <w:vAlign w:val="bottom"/>
            <w:hideMark/>
          </w:tcPr>
          <w:p w14:paraId="6C08DEC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nil"/>
              <w:left w:val="nil"/>
              <w:bottom w:val="nil"/>
              <w:right w:val="nil"/>
            </w:tcBorders>
            <w:shd w:val="clear" w:color="auto" w:fill="auto"/>
            <w:noWrap/>
            <w:vAlign w:val="bottom"/>
            <w:hideMark/>
          </w:tcPr>
          <w:p w14:paraId="2B58271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6FE0048D"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001B90B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3C8B306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2CD495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5883A05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CAB0E9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23FEB62E" w14:textId="77777777" w:rsidTr="5CE60E2F">
        <w:trPr>
          <w:trHeight w:val="300"/>
        </w:trPr>
        <w:tc>
          <w:tcPr>
            <w:tcW w:w="2405" w:type="dxa"/>
            <w:gridSpan w:val="3"/>
            <w:tcBorders>
              <w:top w:val="nil"/>
              <w:left w:val="single" w:sz="4" w:space="0" w:color="auto"/>
              <w:bottom w:val="nil"/>
              <w:right w:val="single" w:sz="4" w:space="0" w:color="000000" w:themeColor="text1"/>
            </w:tcBorders>
            <w:shd w:val="clear" w:color="auto" w:fill="auto"/>
            <w:noWrap/>
            <w:vAlign w:val="bottom"/>
            <w:hideMark/>
          </w:tcPr>
          <w:p w14:paraId="44AF0D1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Enterprise Value  to Sales Ratio</w:t>
            </w:r>
          </w:p>
        </w:tc>
        <w:tc>
          <w:tcPr>
            <w:tcW w:w="3446" w:type="dxa"/>
            <w:gridSpan w:val="2"/>
            <w:tcBorders>
              <w:top w:val="nil"/>
              <w:left w:val="single" w:sz="4" w:space="0" w:color="auto"/>
              <w:bottom w:val="nil"/>
              <w:right w:val="nil"/>
            </w:tcBorders>
            <w:shd w:val="clear" w:color="auto" w:fill="auto"/>
            <w:noWrap/>
            <w:vAlign w:val="bottom"/>
            <w:hideMark/>
          </w:tcPr>
          <w:p w14:paraId="0A960B0B"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Enterprise Value</w:t>
            </w:r>
          </w:p>
        </w:tc>
        <w:tc>
          <w:tcPr>
            <w:tcW w:w="1657" w:type="dxa"/>
            <w:tcBorders>
              <w:top w:val="nil"/>
              <w:left w:val="single" w:sz="4" w:space="0" w:color="auto"/>
              <w:bottom w:val="nil"/>
              <w:right w:val="nil"/>
            </w:tcBorders>
            <w:shd w:val="clear" w:color="auto" w:fill="auto"/>
            <w:noWrap/>
            <w:vAlign w:val="bottom"/>
            <w:hideMark/>
          </w:tcPr>
          <w:p w14:paraId="393256C0"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1.8</w:t>
            </w:r>
          </w:p>
        </w:tc>
        <w:tc>
          <w:tcPr>
            <w:tcW w:w="1418" w:type="dxa"/>
            <w:tcBorders>
              <w:top w:val="nil"/>
              <w:left w:val="single" w:sz="4" w:space="0" w:color="auto"/>
              <w:bottom w:val="nil"/>
              <w:right w:val="nil"/>
            </w:tcBorders>
            <w:shd w:val="clear" w:color="auto" w:fill="auto"/>
            <w:noWrap/>
            <w:vAlign w:val="bottom"/>
            <w:hideMark/>
          </w:tcPr>
          <w:p w14:paraId="5B36CE9A"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2.0</w:t>
            </w:r>
          </w:p>
        </w:tc>
        <w:tc>
          <w:tcPr>
            <w:tcW w:w="1275" w:type="dxa"/>
            <w:tcBorders>
              <w:top w:val="nil"/>
              <w:left w:val="single" w:sz="4" w:space="0" w:color="auto"/>
              <w:bottom w:val="nil"/>
              <w:right w:val="nil"/>
            </w:tcBorders>
            <w:shd w:val="clear" w:color="auto" w:fill="auto"/>
            <w:noWrap/>
            <w:vAlign w:val="bottom"/>
            <w:hideMark/>
          </w:tcPr>
          <w:p w14:paraId="60A0D564"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2.7</w:t>
            </w:r>
          </w:p>
        </w:tc>
        <w:tc>
          <w:tcPr>
            <w:tcW w:w="4453" w:type="dxa"/>
            <w:tcBorders>
              <w:top w:val="nil"/>
              <w:left w:val="single" w:sz="4" w:space="0" w:color="auto"/>
              <w:bottom w:val="nil"/>
              <w:right w:val="nil"/>
            </w:tcBorders>
            <w:shd w:val="clear" w:color="auto" w:fill="auto"/>
            <w:noWrap/>
            <w:vAlign w:val="bottom"/>
            <w:hideMark/>
          </w:tcPr>
          <w:p w14:paraId="1527494D"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2.4</w:t>
            </w:r>
          </w:p>
        </w:tc>
        <w:tc>
          <w:tcPr>
            <w:tcW w:w="1934" w:type="dxa"/>
            <w:tcBorders>
              <w:top w:val="nil"/>
              <w:left w:val="single" w:sz="4" w:space="0" w:color="auto"/>
              <w:bottom w:val="nil"/>
              <w:right w:val="nil"/>
            </w:tcBorders>
            <w:shd w:val="clear" w:color="auto" w:fill="auto"/>
            <w:noWrap/>
            <w:vAlign w:val="bottom"/>
            <w:hideMark/>
          </w:tcPr>
          <w:p w14:paraId="1F33DF00"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3.4</w:t>
            </w:r>
          </w:p>
        </w:tc>
      </w:tr>
      <w:tr w:rsidR="00E43679" w:rsidRPr="00E43679" w14:paraId="1C38EE70"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D9FB88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3763D19"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A12DB4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6071E0C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828" w:type="dxa"/>
            <w:tcBorders>
              <w:top w:val="nil"/>
              <w:left w:val="nil"/>
              <w:bottom w:val="nil"/>
              <w:right w:val="nil"/>
            </w:tcBorders>
            <w:shd w:val="clear" w:color="auto" w:fill="auto"/>
            <w:noWrap/>
            <w:vAlign w:val="bottom"/>
            <w:hideMark/>
          </w:tcPr>
          <w:p w14:paraId="0BC8BA17"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2E97B3A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0CD33F4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F2FFA3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0E9FAF6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F18F9E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2AB05359"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4F20036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A2F293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E4BD4B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single" w:sz="4" w:space="0" w:color="auto"/>
              <w:bottom w:val="nil"/>
              <w:right w:val="nil"/>
            </w:tcBorders>
            <w:shd w:val="clear" w:color="auto" w:fill="auto"/>
            <w:noWrap/>
            <w:vAlign w:val="bottom"/>
            <w:hideMark/>
          </w:tcPr>
          <w:p w14:paraId="5E2BD50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529967D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62321A5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372A71E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25F5D2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4F85F65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148389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5BFB708E"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497A4A4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Enterprise Value to PBIT Ratio</w:t>
            </w:r>
          </w:p>
        </w:tc>
        <w:tc>
          <w:tcPr>
            <w:tcW w:w="3446" w:type="dxa"/>
            <w:gridSpan w:val="2"/>
            <w:tcBorders>
              <w:top w:val="nil"/>
              <w:left w:val="single" w:sz="4" w:space="0" w:color="auto"/>
              <w:bottom w:val="nil"/>
              <w:right w:val="nil"/>
            </w:tcBorders>
            <w:shd w:val="clear" w:color="auto" w:fill="auto"/>
            <w:noWrap/>
            <w:vAlign w:val="bottom"/>
            <w:hideMark/>
          </w:tcPr>
          <w:p w14:paraId="73809AE6"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Enterprise Value</w:t>
            </w:r>
          </w:p>
        </w:tc>
        <w:tc>
          <w:tcPr>
            <w:tcW w:w="1657" w:type="dxa"/>
            <w:tcBorders>
              <w:top w:val="nil"/>
              <w:left w:val="single" w:sz="4" w:space="0" w:color="auto"/>
              <w:bottom w:val="nil"/>
              <w:right w:val="nil"/>
            </w:tcBorders>
            <w:shd w:val="clear" w:color="auto" w:fill="auto"/>
            <w:noWrap/>
            <w:vAlign w:val="bottom"/>
            <w:hideMark/>
          </w:tcPr>
          <w:p w14:paraId="27C3553A" w14:textId="77777777" w:rsidR="00E43679" w:rsidRPr="00E43679" w:rsidRDefault="00E43679" w:rsidP="00E43679">
            <w:pPr>
              <w:spacing w:after="0" w:line="240" w:lineRule="auto"/>
              <w:jc w:val="right"/>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-72.4</w:t>
            </w:r>
          </w:p>
        </w:tc>
        <w:tc>
          <w:tcPr>
            <w:tcW w:w="1418" w:type="dxa"/>
            <w:tcBorders>
              <w:top w:val="nil"/>
              <w:left w:val="single" w:sz="4" w:space="0" w:color="auto"/>
              <w:bottom w:val="nil"/>
              <w:right w:val="nil"/>
            </w:tcBorders>
            <w:shd w:val="clear" w:color="auto" w:fill="auto"/>
            <w:noWrap/>
            <w:vAlign w:val="bottom"/>
            <w:hideMark/>
          </w:tcPr>
          <w:p w14:paraId="0BA96CAA"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14.2</w:t>
            </w:r>
          </w:p>
        </w:tc>
        <w:tc>
          <w:tcPr>
            <w:tcW w:w="1275" w:type="dxa"/>
            <w:tcBorders>
              <w:top w:val="nil"/>
              <w:left w:val="single" w:sz="4" w:space="0" w:color="auto"/>
              <w:bottom w:val="nil"/>
              <w:right w:val="nil"/>
            </w:tcBorders>
            <w:shd w:val="clear" w:color="auto" w:fill="auto"/>
            <w:noWrap/>
            <w:vAlign w:val="bottom"/>
            <w:hideMark/>
          </w:tcPr>
          <w:p w14:paraId="7DBA5A05"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19.0</w:t>
            </w:r>
          </w:p>
        </w:tc>
        <w:tc>
          <w:tcPr>
            <w:tcW w:w="4453" w:type="dxa"/>
            <w:tcBorders>
              <w:top w:val="nil"/>
              <w:left w:val="single" w:sz="4" w:space="0" w:color="auto"/>
              <w:bottom w:val="nil"/>
              <w:right w:val="nil"/>
            </w:tcBorders>
            <w:shd w:val="clear" w:color="auto" w:fill="auto"/>
            <w:noWrap/>
            <w:vAlign w:val="bottom"/>
            <w:hideMark/>
          </w:tcPr>
          <w:p w14:paraId="711C6EB8"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13.9</w:t>
            </w:r>
          </w:p>
        </w:tc>
        <w:tc>
          <w:tcPr>
            <w:tcW w:w="1934" w:type="dxa"/>
            <w:tcBorders>
              <w:top w:val="nil"/>
              <w:left w:val="single" w:sz="4" w:space="0" w:color="auto"/>
              <w:bottom w:val="nil"/>
              <w:right w:val="nil"/>
            </w:tcBorders>
            <w:shd w:val="clear" w:color="auto" w:fill="auto"/>
            <w:noWrap/>
            <w:vAlign w:val="bottom"/>
            <w:hideMark/>
          </w:tcPr>
          <w:p w14:paraId="6AD08140"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15.7</w:t>
            </w:r>
          </w:p>
        </w:tc>
      </w:tr>
      <w:tr w:rsidR="00E43679" w:rsidRPr="00E43679" w14:paraId="0319858D"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5819DE9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37DFD8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single" w:sz="4" w:space="0" w:color="auto"/>
            </w:tcBorders>
            <w:shd w:val="clear" w:color="auto" w:fill="auto"/>
            <w:noWrap/>
            <w:vAlign w:val="bottom"/>
            <w:hideMark/>
          </w:tcPr>
          <w:p w14:paraId="4373413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nil"/>
              <w:left w:val="nil"/>
              <w:bottom w:val="nil"/>
              <w:right w:val="nil"/>
            </w:tcBorders>
            <w:shd w:val="clear" w:color="auto" w:fill="auto"/>
            <w:noWrap/>
            <w:vAlign w:val="bottom"/>
            <w:hideMark/>
          </w:tcPr>
          <w:p w14:paraId="37999E7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xml:space="preserve">      PBIT</w:t>
            </w:r>
          </w:p>
        </w:tc>
        <w:tc>
          <w:tcPr>
            <w:tcW w:w="828" w:type="dxa"/>
            <w:tcBorders>
              <w:top w:val="nil"/>
              <w:left w:val="nil"/>
              <w:bottom w:val="nil"/>
              <w:right w:val="nil"/>
            </w:tcBorders>
            <w:shd w:val="clear" w:color="auto" w:fill="auto"/>
            <w:noWrap/>
            <w:vAlign w:val="bottom"/>
            <w:hideMark/>
          </w:tcPr>
          <w:p w14:paraId="1B621481"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1CB94C5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0BB2774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896B82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2924B14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FB2A2B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0B25DB34"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5252CE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E38094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single" w:sz="4" w:space="0" w:color="auto"/>
            </w:tcBorders>
            <w:shd w:val="clear" w:color="auto" w:fill="auto"/>
            <w:noWrap/>
            <w:vAlign w:val="bottom"/>
            <w:hideMark/>
          </w:tcPr>
          <w:p w14:paraId="46C919E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nil"/>
              <w:left w:val="nil"/>
              <w:bottom w:val="nil"/>
              <w:right w:val="nil"/>
            </w:tcBorders>
            <w:shd w:val="clear" w:color="auto" w:fill="auto"/>
            <w:noWrap/>
            <w:vAlign w:val="bottom"/>
            <w:hideMark/>
          </w:tcPr>
          <w:p w14:paraId="2BF4000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4AB0B93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78BF770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6446633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B5A2CB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4D73727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0FAA8A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5546933D" w14:textId="77777777" w:rsidTr="5CE60E2F">
        <w:trPr>
          <w:trHeight w:val="300"/>
        </w:trPr>
        <w:tc>
          <w:tcPr>
            <w:tcW w:w="2405" w:type="dxa"/>
            <w:gridSpan w:val="3"/>
            <w:tcBorders>
              <w:top w:val="nil"/>
              <w:left w:val="single" w:sz="4" w:space="0" w:color="auto"/>
              <w:bottom w:val="nil"/>
              <w:right w:val="single" w:sz="4" w:space="0" w:color="000000" w:themeColor="text1"/>
            </w:tcBorders>
            <w:shd w:val="clear" w:color="auto" w:fill="auto"/>
            <w:noWrap/>
            <w:vAlign w:val="bottom"/>
            <w:hideMark/>
          </w:tcPr>
          <w:p w14:paraId="4657120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Enterprise Value to EBITDA Ratio</w:t>
            </w:r>
          </w:p>
        </w:tc>
        <w:tc>
          <w:tcPr>
            <w:tcW w:w="3446" w:type="dxa"/>
            <w:gridSpan w:val="2"/>
            <w:tcBorders>
              <w:top w:val="nil"/>
              <w:left w:val="single" w:sz="4" w:space="0" w:color="auto"/>
              <w:bottom w:val="nil"/>
              <w:right w:val="nil"/>
            </w:tcBorders>
            <w:shd w:val="clear" w:color="auto" w:fill="auto"/>
            <w:noWrap/>
            <w:vAlign w:val="bottom"/>
            <w:hideMark/>
          </w:tcPr>
          <w:p w14:paraId="155AD8CE"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Enterprise Value</w:t>
            </w:r>
          </w:p>
        </w:tc>
        <w:tc>
          <w:tcPr>
            <w:tcW w:w="1657" w:type="dxa"/>
            <w:tcBorders>
              <w:top w:val="nil"/>
              <w:left w:val="single" w:sz="4" w:space="0" w:color="auto"/>
              <w:bottom w:val="nil"/>
              <w:right w:val="nil"/>
            </w:tcBorders>
            <w:shd w:val="clear" w:color="auto" w:fill="auto"/>
            <w:noWrap/>
            <w:vAlign w:val="bottom"/>
            <w:hideMark/>
          </w:tcPr>
          <w:p w14:paraId="593C16E6"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72.0</w:t>
            </w:r>
          </w:p>
        </w:tc>
        <w:tc>
          <w:tcPr>
            <w:tcW w:w="1418" w:type="dxa"/>
            <w:tcBorders>
              <w:top w:val="nil"/>
              <w:left w:val="single" w:sz="4" w:space="0" w:color="auto"/>
              <w:bottom w:val="nil"/>
              <w:right w:val="nil"/>
            </w:tcBorders>
            <w:shd w:val="clear" w:color="auto" w:fill="auto"/>
            <w:noWrap/>
            <w:vAlign w:val="bottom"/>
            <w:hideMark/>
          </w:tcPr>
          <w:p w14:paraId="71475B01"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10.3</w:t>
            </w:r>
          </w:p>
        </w:tc>
        <w:tc>
          <w:tcPr>
            <w:tcW w:w="1275" w:type="dxa"/>
            <w:tcBorders>
              <w:top w:val="nil"/>
              <w:left w:val="single" w:sz="4" w:space="0" w:color="auto"/>
              <w:bottom w:val="nil"/>
              <w:right w:val="nil"/>
            </w:tcBorders>
            <w:shd w:val="clear" w:color="auto" w:fill="auto"/>
            <w:noWrap/>
            <w:vAlign w:val="bottom"/>
            <w:hideMark/>
          </w:tcPr>
          <w:p w14:paraId="597B3351"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14.3</w:t>
            </w:r>
          </w:p>
        </w:tc>
        <w:tc>
          <w:tcPr>
            <w:tcW w:w="4453" w:type="dxa"/>
            <w:tcBorders>
              <w:top w:val="nil"/>
              <w:left w:val="single" w:sz="4" w:space="0" w:color="auto"/>
              <w:bottom w:val="nil"/>
              <w:right w:val="nil"/>
            </w:tcBorders>
            <w:shd w:val="clear" w:color="auto" w:fill="auto"/>
            <w:noWrap/>
            <w:vAlign w:val="bottom"/>
            <w:hideMark/>
          </w:tcPr>
          <w:p w14:paraId="666C914D"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11.3</w:t>
            </w:r>
          </w:p>
        </w:tc>
        <w:tc>
          <w:tcPr>
            <w:tcW w:w="1934" w:type="dxa"/>
            <w:tcBorders>
              <w:top w:val="nil"/>
              <w:left w:val="single" w:sz="4" w:space="0" w:color="auto"/>
              <w:bottom w:val="nil"/>
              <w:right w:val="nil"/>
            </w:tcBorders>
            <w:shd w:val="clear" w:color="auto" w:fill="auto"/>
            <w:noWrap/>
            <w:vAlign w:val="bottom"/>
            <w:hideMark/>
          </w:tcPr>
          <w:p w14:paraId="6E0F1FDF"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13.4</w:t>
            </w:r>
          </w:p>
        </w:tc>
      </w:tr>
      <w:tr w:rsidR="00E43679" w:rsidRPr="00E43679" w14:paraId="111EAA2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F8B744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3F8E84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single" w:sz="4" w:space="0" w:color="auto"/>
            </w:tcBorders>
            <w:shd w:val="clear" w:color="auto" w:fill="auto"/>
            <w:noWrap/>
            <w:vAlign w:val="bottom"/>
            <w:hideMark/>
          </w:tcPr>
          <w:p w14:paraId="2EF43B9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nil"/>
              <w:left w:val="nil"/>
              <w:bottom w:val="nil"/>
              <w:right w:val="nil"/>
            </w:tcBorders>
            <w:shd w:val="clear" w:color="auto" w:fill="auto"/>
            <w:noWrap/>
            <w:vAlign w:val="bottom"/>
            <w:hideMark/>
          </w:tcPr>
          <w:p w14:paraId="6A9E1E0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EBITDA</w:t>
            </w:r>
          </w:p>
        </w:tc>
        <w:tc>
          <w:tcPr>
            <w:tcW w:w="828" w:type="dxa"/>
            <w:tcBorders>
              <w:top w:val="nil"/>
              <w:left w:val="nil"/>
              <w:bottom w:val="nil"/>
              <w:right w:val="nil"/>
            </w:tcBorders>
            <w:shd w:val="clear" w:color="auto" w:fill="auto"/>
            <w:noWrap/>
            <w:vAlign w:val="bottom"/>
            <w:hideMark/>
          </w:tcPr>
          <w:p w14:paraId="4EF342D8"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655830C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035554F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BA91A1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215AAB1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E626DE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20B4984D"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073853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AC9AAE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single" w:sz="4" w:space="0" w:color="auto"/>
            </w:tcBorders>
            <w:shd w:val="clear" w:color="auto" w:fill="auto"/>
            <w:noWrap/>
            <w:vAlign w:val="bottom"/>
            <w:hideMark/>
          </w:tcPr>
          <w:p w14:paraId="35AD39C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nil"/>
              <w:left w:val="nil"/>
              <w:bottom w:val="nil"/>
              <w:right w:val="nil"/>
            </w:tcBorders>
            <w:shd w:val="clear" w:color="auto" w:fill="auto"/>
            <w:noWrap/>
            <w:vAlign w:val="bottom"/>
            <w:hideMark/>
          </w:tcPr>
          <w:p w14:paraId="518F52E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026D25B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657" w:type="dxa"/>
            <w:tcBorders>
              <w:top w:val="nil"/>
              <w:left w:val="single" w:sz="4" w:space="0" w:color="auto"/>
              <w:bottom w:val="nil"/>
              <w:right w:val="nil"/>
            </w:tcBorders>
            <w:shd w:val="clear" w:color="auto" w:fill="auto"/>
            <w:noWrap/>
            <w:vAlign w:val="bottom"/>
            <w:hideMark/>
          </w:tcPr>
          <w:p w14:paraId="304BB7B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nil"/>
              <w:right w:val="nil"/>
            </w:tcBorders>
            <w:shd w:val="clear" w:color="auto" w:fill="auto"/>
            <w:noWrap/>
            <w:vAlign w:val="bottom"/>
            <w:hideMark/>
          </w:tcPr>
          <w:p w14:paraId="63D4AF9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161343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nil"/>
              <w:right w:val="nil"/>
            </w:tcBorders>
            <w:shd w:val="clear" w:color="auto" w:fill="auto"/>
            <w:noWrap/>
            <w:vAlign w:val="bottom"/>
            <w:hideMark/>
          </w:tcPr>
          <w:p w14:paraId="391CB4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D53536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384A0415" w14:textId="77777777" w:rsidTr="00E43679">
        <w:trPr>
          <w:trHeight w:val="300"/>
        </w:trPr>
        <w:tc>
          <w:tcPr>
            <w:tcW w:w="1853" w:type="dxa"/>
            <w:tcBorders>
              <w:top w:val="nil"/>
              <w:left w:val="single" w:sz="4" w:space="0" w:color="auto"/>
              <w:bottom w:val="single" w:sz="4" w:space="0" w:color="auto"/>
              <w:right w:val="nil"/>
            </w:tcBorders>
            <w:shd w:val="clear" w:color="auto" w:fill="auto"/>
            <w:noWrap/>
            <w:vAlign w:val="bottom"/>
            <w:hideMark/>
          </w:tcPr>
          <w:p w14:paraId="4B4386A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lastRenderedPageBreak/>
              <w:t> </w:t>
            </w:r>
          </w:p>
        </w:tc>
        <w:tc>
          <w:tcPr>
            <w:tcW w:w="266" w:type="dxa"/>
            <w:tcBorders>
              <w:top w:val="nil"/>
              <w:left w:val="nil"/>
              <w:bottom w:val="single" w:sz="4" w:space="0" w:color="auto"/>
              <w:right w:val="nil"/>
            </w:tcBorders>
            <w:shd w:val="clear" w:color="auto" w:fill="auto"/>
            <w:noWrap/>
            <w:vAlign w:val="bottom"/>
            <w:hideMark/>
          </w:tcPr>
          <w:p w14:paraId="7892B0B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86" w:type="dxa"/>
            <w:tcBorders>
              <w:top w:val="nil"/>
              <w:left w:val="nil"/>
              <w:bottom w:val="single" w:sz="4" w:space="0" w:color="auto"/>
              <w:right w:val="single" w:sz="4" w:space="0" w:color="auto"/>
            </w:tcBorders>
            <w:shd w:val="clear" w:color="auto" w:fill="auto"/>
            <w:noWrap/>
            <w:vAlign w:val="bottom"/>
            <w:hideMark/>
          </w:tcPr>
          <w:p w14:paraId="2E91CE0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nil"/>
              <w:left w:val="nil"/>
              <w:bottom w:val="single" w:sz="4" w:space="0" w:color="auto"/>
              <w:right w:val="nil"/>
            </w:tcBorders>
            <w:shd w:val="clear" w:color="auto" w:fill="auto"/>
            <w:noWrap/>
            <w:vAlign w:val="bottom"/>
            <w:hideMark/>
          </w:tcPr>
          <w:p w14:paraId="2A996D8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single" w:sz="4" w:space="0" w:color="auto"/>
              <w:right w:val="single" w:sz="4" w:space="0" w:color="auto"/>
            </w:tcBorders>
            <w:shd w:val="clear" w:color="auto" w:fill="auto"/>
            <w:noWrap/>
            <w:vAlign w:val="bottom"/>
            <w:hideMark/>
          </w:tcPr>
          <w:p w14:paraId="5B0CD55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single" w:sz="4" w:space="0" w:color="auto"/>
              <w:right w:val="nil"/>
            </w:tcBorders>
            <w:shd w:val="clear" w:color="auto" w:fill="auto"/>
            <w:noWrap/>
            <w:vAlign w:val="bottom"/>
            <w:hideMark/>
          </w:tcPr>
          <w:p w14:paraId="1660AAD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18" w:type="dxa"/>
            <w:tcBorders>
              <w:top w:val="nil"/>
              <w:left w:val="nil"/>
              <w:bottom w:val="single" w:sz="4" w:space="0" w:color="auto"/>
              <w:right w:val="nil"/>
            </w:tcBorders>
            <w:shd w:val="clear" w:color="auto" w:fill="auto"/>
            <w:noWrap/>
            <w:vAlign w:val="bottom"/>
            <w:hideMark/>
          </w:tcPr>
          <w:p w14:paraId="1586E43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275" w:type="dxa"/>
            <w:tcBorders>
              <w:top w:val="nil"/>
              <w:left w:val="nil"/>
              <w:bottom w:val="single" w:sz="4" w:space="0" w:color="auto"/>
              <w:right w:val="single" w:sz="4" w:space="0" w:color="auto"/>
            </w:tcBorders>
            <w:shd w:val="clear" w:color="auto" w:fill="auto"/>
            <w:noWrap/>
            <w:vAlign w:val="bottom"/>
            <w:hideMark/>
          </w:tcPr>
          <w:p w14:paraId="72ED808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4453" w:type="dxa"/>
            <w:tcBorders>
              <w:top w:val="nil"/>
              <w:left w:val="nil"/>
              <w:bottom w:val="single" w:sz="4" w:space="0" w:color="auto"/>
              <w:right w:val="nil"/>
            </w:tcBorders>
            <w:shd w:val="clear" w:color="auto" w:fill="auto"/>
            <w:noWrap/>
            <w:vAlign w:val="bottom"/>
            <w:hideMark/>
          </w:tcPr>
          <w:p w14:paraId="1C68622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934" w:type="dxa"/>
            <w:tcBorders>
              <w:top w:val="nil"/>
              <w:left w:val="nil"/>
              <w:bottom w:val="single" w:sz="4" w:space="0" w:color="auto"/>
              <w:right w:val="single" w:sz="4" w:space="0" w:color="auto"/>
            </w:tcBorders>
            <w:shd w:val="clear" w:color="auto" w:fill="auto"/>
            <w:noWrap/>
            <w:vAlign w:val="bottom"/>
            <w:hideMark/>
          </w:tcPr>
          <w:p w14:paraId="6B8A6B7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r>
      <w:tr w:rsidR="00E43679" w:rsidRPr="00E43679" w14:paraId="61409191" w14:textId="77777777" w:rsidTr="00E43679">
        <w:trPr>
          <w:trHeight w:val="300"/>
        </w:trPr>
        <w:tc>
          <w:tcPr>
            <w:tcW w:w="1853" w:type="dxa"/>
            <w:tcBorders>
              <w:top w:val="nil"/>
              <w:left w:val="nil"/>
              <w:bottom w:val="nil"/>
              <w:right w:val="nil"/>
            </w:tcBorders>
            <w:shd w:val="clear" w:color="auto" w:fill="auto"/>
            <w:noWrap/>
            <w:vAlign w:val="bottom"/>
            <w:hideMark/>
          </w:tcPr>
          <w:p w14:paraId="0A8B6EA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6" w:type="dxa"/>
            <w:tcBorders>
              <w:top w:val="nil"/>
              <w:left w:val="nil"/>
              <w:bottom w:val="nil"/>
              <w:right w:val="nil"/>
            </w:tcBorders>
            <w:shd w:val="clear" w:color="auto" w:fill="auto"/>
            <w:noWrap/>
            <w:vAlign w:val="bottom"/>
            <w:hideMark/>
          </w:tcPr>
          <w:p w14:paraId="22219C8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86" w:type="dxa"/>
            <w:tcBorders>
              <w:top w:val="nil"/>
              <w:left w:val="nil"/>
              <w:bottom w:val="nil"/>
              <w:right w:val="nil"/>
            </w:tcBorders>
            <w:shd w:val="clear" w:color="auto" w:fill="auto"/>
            <w:noWrap/>
            <w:vAlign w:val="bottom"/>
            <w:hideMark/>
          </w:tcPr>
          <w:p w14:paraId="7E7F551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75F02FF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nil"/>
              <w:bottom w:val="nil"/>
              <w:right w:val="nil"/>
            </w:tcBorders>
            <w:shd w:val="clear" w:color="auto" w:fill="auto"/>
            <w:noWrap/>
            <w:vAlign w:val="bottom"/>
            <w:hideMark/>
          </w:tcPr>
          <w:p w14:paraId="1A6D040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657" w:type="dxa"/>
            <w:tcBorders>
              <w:top w:val="nil"/>
              <w:left w:val="nil"/>
              <w:bottom w:val="nil"/>
              <w:right w:val="nil"/>
            </w:tcBorders>
            <w:shd w:val="clear" w:color="auto" w:fill="auto"/>
            <w:noWrap/>
            <w:vAlign w:val="bottom"/>
            <w:hideMark/>
          </w:tcPr>
          <w:p w14:paraId="6341412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418" w:type="dxa"/>
            <w:tcBorders>
              <w:top w:val="nil"/>
              <w:left w:val="nil"/>
              <w:bottom w:val="nil"/>
              <w:right w:val="nil"/>
            </w:tcBorders>
            <w:shd w:val="clear" w:color="auto" w:fill="auto"/>
            <w:noWrap/>
            <w:vAlign w:val="bottom"/>
            <w:hideMark/>
          </w:tcPr>
          <w:p w14:paraId="596DA4F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275" w:type="dxa"/>
            <w:tcBorders>
              <w:top w:val="nil"/>
              <w:left w:val="nil"/>
              <w:bottom w:val="nil"/>
              <w:right w:val="nil"/>
            </w:tcBorders>
            <w:shd w:val="clear" w:color="auto" w:fill="auto"/>
            <w:noWrap/>
            <w:vAlign w:val="bottom"/>
            <w:hideMark/>
          </w:tcPr>
          <w:p w14:paraId="5E5DDD0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4453" w:type="dxa"/>
            <w:tcBorders>
              <w:top w:val="nil"/>
              <w:left w:val="nil"/>
              <w:bottom w:val="nil"/>
              <w:right w:val="nil"/>
            </w:tcBorders>
            <w:shd w:val="clear" w:color="auto" w:fill="auto"/>
            <w:noWrap/>
            <w:vAlign w:val="bottom"/>
            <w:hideMark/>
          </w:tcPr>
          <w:p w14:paraId="51F6800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934" w:type="dxa"/>
            <w:tcBorders>
              <w:top w:val="nil"/>
              <w:left w:val="nil"/>
              <w:bottom w:val="nil"/>
              <w:right w:val="nil"/>
            </w:tcBorders>
            <w:shd w:val="clear" w:color="auto" w:fill="auto"/>
            <w:noWrap/>
            <w:vAlign w:val="bottom"/>
            <w:hideMark/>
          </w:tcPr>
          <w:p w14:paraId="789AAF3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r>
      <w:tr w:rsidR="00E43679" w:rsidRPr="00E43679" w14:paraId="50953FAA" w14:textId="77777777" w:rsidTr="00E43679">
        <w:trPr>
          <w:trHeight w:val="300"/>
        </w:trPr>
        <w:tc>
          <w:tcPr>
            <w:tcW w:w="1853" w:type="dxa"/>
            <w:tcBorders>
              <w:top w:val="nil"/>
              <w:left w:val="nil"/>
              <w:bottom w:val="nil"/>
              <w:right w:val="nil"/>
            </w:tcBorders>
            <w:shd w:val="clear" w:color="auto" w:fill="auto"/>
            <w:noWrap/>
            <w:vAlign w:val="bottom"/>
            <w:hideMark/>
          </w:tcPr>
          <w:p w14:paraId="051D57B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6" w:type="dxa"/>
            <w:tcBorders>
              <w:top w:val="nil"/>
              <w:left w:val="nil"/>
              <w:bottom w:val="nil"/>
              <w:right w:val="nil"/>
            </w:tcBorders>
            <w:shd w:val="clear" w:color="auto" w:fill="auto"/>
            <w:noWrap/>
            <w:vAlign w:val="bottom"/>
            <w:hideMark/>
          </w:tcPr>
          <w:p w14:paraId="51BA105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86" w:type="dxa"/>
            <w:tcBorders>
              <w:top w:val="nil"/>
              <w:left w:val="nil"/>
              <w:bottom w:val="nil"/>
              <w:right w:val="nil"/>
            </w:tcBorders>
            <w:shd w:val="clear" w:color="auto" w:fill="auto"/>
            <w:noWrap/>
            <w:vAlign w:val="bottom"/>
            <w:hideMark/>
          </w:tcPr>
          <w:p w14:paraId="6A11E12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4AF75F3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nil"/>
              <w:bottom w:val="nil"/>
              <w:right w:val="nil"/>
            </w:tcBorders>
            <w:shd w:val="clear" w:color="auto" w:fill="auto"/>
            <w:noWrap/>
            <w:vAlign w:val="bottom"/>
            <w:hideMark/>
          </w:tcPr>
          <w:p w14:paraId="0F0BECB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657" w:type="dxa"/>
            <w:tcBorders>
              <w:top w:val="nil"/>
              <w:left w:val="nil"/>
              <w:bottom w:val="nil"/>
              <w:right w:val="nil"/>
            </w:tcBorders>
            <w:shd w:val="clear" w:color="auto" w:fill="auto"/>
            <w:noWrap/>
            <w:vAlign w:val="bottom"/>
            <w:hideMark/>
          </w:tcPr>
          <w:p w14:paraId="5783E88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418" w:type="dxa"/>
            <w:tcBorders>
              <w:top w:val="nil"/>
              <w:left w:val="nil"/>
              <w:bottom w:val="nil"/>
              <w:right w:val="nil"/>
            </w:tcBorders>
            <w:shd w:val="clear" w:color="auto" w:fill="auto"/>
            <w:noWrap/>
            <w:vAlign w:val="bottom"/>
            <w:hideMark/>
          </w:tcPr>
          <w:p w14:paraId="7A7BDBD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275" w:type="dxa"/>
            <w:tcBorders>
              <w:top w:val="nil"/>
              <w:left w:val="nil"/>
              <w:bottom w:val="nil"/>
              <w:right w:val="nil"/>
            </w:tcBorders>
            <w:shd w:val="clear" w:color="auto" w:fill="auto"/>
            <w:noWrap/>
            <w:vAlign w:val="bottom"/>
            <w:hideMark/>
          </w:tcPr>
          <w:p w14:paraId="7CAE3A7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4453" w:type="dxa"/>
            <w:tcBorders>
              <w:top w:val="nil"/>
              <w:left w:val="nil"/>
              <w:bottom w:val="nil"/>
              <w:right w:val="nil"/>
            </w:tcBorders>
            <w:shd w:val="clear" w:color="auto" w:fill="auto"/>
            <w:noWrap/>
            <w:vAlign w:val="bottom"/>
            <w:hideMark/>
          </w:tcPr>
          <w:p w14:paraId="43060C9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934" w:type="dxa"/>
            <w:tcBorders>
              <w:top w:val="nil"/>
              <w:left w:val="nil"/>
              <w:bottom w:val="nil"/>
              <w:right w:val="nil"/>
            </w:tcBorders>
            <w:shd w:val="clear" w:color="auto" w:fill="auto"/>
            <w:noWrap/>
            <w:vAlign w:val="bottom"/>
            <w:hideMark/>
          </w:tcPr>
          <w:p w14:paraId="5A1E1EE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r>
      <w:tr w:rsidR="00E43679" w:rsidRPr="00E43679" w14:paraId="37AB2F59" w14:textId="77777777" w:rsidTr="00E43679">
        <w:trPr>
          <w:trHeight w:val="315"/>
        </w:trPr>
        <w:tc>
          <w:tcPr>
            <w:tcW w:w="5851" w:type="dxa"/>
            <w:gridSpan w:val="5"/>
            <w:tcBorders>
              <w:top w:val="nil"/>
              <w:left w:val="nil"/>
              <w:bottom w:val="nil"/>
              <w:right w:val="nil"/>
            </w:tcBorders>
            <w:shd w:val="clear" w:color="auto" w:fill="auto"/>
            <w:noWrap/>
            <w:vAlign w:val="bottom"/>
            <w:hideMark/>
          </w:tcPr>
          <w:p w14:paraId="08B8473C"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Extracts from the Financial Statements of William Hill Plc.</w:t>
            </w:r>
          </w:p>
        </w:tc>
        <w:tc>
          <w:tcPr>
            <w:tcW w:w="1657" w:type="dxa"/>
            <w:tcBorders>
              <w:top w:val="nil"/>
              <w:left w:val="nil"/>
              <w:bottom w:val="nil"/>
              <w:right w:val="nil"/>
            </w:tcBorders>
            <w:shd w:val="clear" w:color="auto" w:fill="auto"/>
            <w:noWrap/>
            <w:vAlign w:val="bottom"/>
            <w:hideMark/>
          </w:tcPr>
          <w:p w14:paraId="2091808C"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1418" w:type="dxa"/>
            <w:tcBorders>
              <w:top w:val="nil"/>
              <w:left w:val="nil"/>
              <w:bottom w:val="nil"/>
              <w:right w:val="nil"/>
            </w:tcBorders>
            <w:shd w:val="clear" w:color="auto" w:fill="auto"/>
            <w:noWrap/>
            <w:vAlign w:val="bottom"/>
            <w:hideMark/>
          </w:tcPr>
          <w:p w14:paraId="08FD33B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275" w:type="dxa"/>
            <w:tcBorders>
              <w:top w:val="nil"/>
              <w:left w:val="nil"/>
              <w:bottom w:val="nil"/>
              <w:right w:val="nil"/>
            </w:tcBorders>
            <w:shd w:val="clear" w:color="auto" w:fill="auto"/>
            <w:noWrap/>
            <w:vAlign w:val="bottom"/>
            <w:hideMark/>
          </w:tcPr>
          <w:p w14:paraId="74B6619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4453" w:type="dxa"/>
            <w:tcBorders>
              <w:top w:val="nil"/>
              <w:left w:val="nil"/>
              <w:bottom w:val="nil"/>
              <w:right w:val="nil"/>
            </w:tcBorders>
            <w:shd w:val="clear" w:color="auto" w:fill="auto"/>
            <w:noWrap/>
            <w:vAlign w:val="bottom"/>
            <w:hideMark/>
          </w:tcPr>
          <w:p w14:paraId="13CB348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934" w:type="dxa"/>
            <w:tcBorders>
              <w:top w:val="nil"/>
              <w:left w:val="nil"/>
              <w:bottom w:val="nil"/>
              <w:right w:val="nil"/>
            </w:tcBorders>
            <w:shd w:val="clear" w:color="auto" w:fill="auto"/>
            <w:noWrap/>
            <w:vAlign w:val="bottom"/>
            <w:hideMark/>
          </w:tcPr>
          <w:p w14:paraId="75AAE1F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r>
      <w:tr w:rsidR="00E43679" w:rsidRPr="00E43679" w14:paraId="526D8A20" w14:textId="77777777" w:rsidTr="5CE60E2F">
        <w:trPr>
          <w:trHeight w:val="315"/>
        </w:trPr>
        <w:tc>
          <w:tcPr>
            <w:tcW w:w="1853" w:type="dxa"/>
            <w:tcBorders>
              <w:top w:val="single" w:sz="4" w:space="0" w:color="auto"/>
              <w:left w:val="single" w:sz="4" w:space="0" w:color="auto"/>
              <w:bottom w:val="single" w:sz="4" w:space="0" w:color="auto"/>
              <w:right w:val="nil"/>
            </w:tcBorders>
            <w:shd w:val="clear" w:color="auto" w:fill="auto"/>
            <w:noWrap/>
            <w:vAlign w:val="bottom"/>
            <w:hideMark/>
          </w:tcPr>
          <w:p w14:paraId="3D443DC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single" w:sz="4" w:space="0" w:color="auto"/>
              <w:left w:val="nil"/>
              <w:bottom w:val="single" w:sz="4" w:space="0" w:color="auto"/>
              <w:right w:val="nil"/>
            </w:tcBorders>
            <w:shd w:val="clear" w:color="auto" w:fill="auto"/>
            <w:noWrap/>
            <w:vAlign w:val="bottom"/>
            <w:hideMark/>
          </w:tcPr>
          <w:p w14:paraId="7E02C9F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86" w:type="dxa"/>
            <w:tcBorders>
              <w:top w:val="single" w:sz="4" w:space="0" w:color="auto"/>
              <w:left w:val="nil"/>
              <w:bottom w:val="single" w:sz="4" w:space="0" w:color="auto"/>
              <w:right w:val="nil"/>
            </w:tcBorders>
            <w:shd w:val="clear" w:color="auto" w:fill="auto"/>
            <w:noWrap/>
            <w:vAlign w:val="bottom"/>
            <w:hideMark/>
          </w:tcPr>
          <w:p w14:paraId="4C0AFE4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single" w:sz="4" w:space="0" w:color="auto"/>
              <w:left w:val="nil"/>
              <w:bottom w:val="single" w:sz="4" w:space="0" w:color="auto"/>
              <w:right w:val="nil"/>
            </w:tcBorders>
            <w:shd w:val="clear" w:color="auto" w:fill="auto"/>
            <w:noWrap/>
            <w:vAlign w:val="bottom"/>
            <w:hideMark/>
          </w:tcPr>
          <w:p w14:paraId="5CCA5CE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vMerge w:val="restart"/>
            <w:tcBorders>
              <w:top w:val="single" w:sz="4" w:space="0" w:color="auto"/>
              <w:left w:val="single" w:sz="4" w:space="0" w:color="auto"/>
              <w:bottom w:val="single" w:sz="4" w:space="0" w:color="000000" w:themeColor="text1"/>
              <w:right w:val="single" w:sz="4" w:space="0" w:color="auto"/>
            </w:tcBorders>
            <w:shd w:val="clear" w:color="auto" w:fill="auto"/>
            <w:noWrap/>
            <w:vAlign w:val="center"/>
            <w:hideMark/>
          </w:tcPr>
          <w:p w14:paraId="5A5C26EC" w14:textId="77777777" w:rsidR="00E43679" w:rsidRPr="00E43679" w:rsidRDefault="00E43679" w:rsidP="00E43679">
            <w:pPr>
              <w:spacing w:after="0" w:line="240" w:lineRule="auto"/>
              <w:jc w:val="center"/>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Source</w:t>
            </w:r>
          </w:p>
        </w:tc>
        <w:tc>
          <w:tcPr>
            <w:tcW w:w="1657" w:type="dxa"/>
            <w:tcBorders>
              <w:top w:val="single" w:sz="4" w:space="0" w:color="auto"/>
              <w:left w:val="nil"/>
              <w:bottom w:val="single" w:sz="4" w:space="0" w:color="auto"/>
              <w:right w:val="nil"/>
            </w:tcBorders>
            <w:shd w:val="clear" w:color="auto" w:fill="auto"/>
            <w:noWrap/>
            <w:vAlign w:val="bottom"/>
            <w:hideMark/>
          </w:tcPr>
          <w:p w14:paraId="1C4E0D5E"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2017</w:t>
            </w:r>
          </w:p>
        </w:tc>
        <w:tc>
          <w:tcPr>
            <w:tcW w:w="1418" w:type="dxa"/>
            <w:tcBorders>
              <w:top w:val="single" w:sz="4" w:space="0" w:color="auto"/>
              <w:left w:val="nil"/>
              <w:bottom w:val="single" w:sz="4" w:space="0" w:color="auto"/>
              <w:right w:val="nil"/>
            </w:tcBorders>
            <w:shd w:val="clear" w:color="auto" w:fill="auto"/>
            <w:noWrap/>
            <w:vAlign w:val="bottom"/>
            <w:hideMark/>
          </w:tcPr>
          <w:p w14:paraId="79639C9F"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2016</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7D7C78EB"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2015</w:t>
            </w:r>
          </w:p>
        </w:tc>
        <w:tc>
          <w:tcPr>
            <w:tcW w:w="4453" w:type="dxa"/>
            <w:tcBorders>
              <w:top w:val="single" w:sz="4" w:space="0" w:color="auto"/>
              <w:left w:val="nil"/>
              <w:bottom w:val="single" w:sz="4" w:space="0" w:color="auto"/>
              <w:right w:val="nil"/>
            </w:tcBorders>
            <w:shd w:val="clear" w:color="auto" w:fill="auto"/>
            <w:noWrap/>
            <w:vAlign w:val="bottom"/>
            <w:hideMark/>
          </w:tcPr>
          <w:p w14:paraId="2B37C4A3"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2014</w:t>
            </w:r>
          </w:p>
        </w:tc>
        <w:tc>
          <w:tcPr>
            <w:tcW w:w="1934" w:type="dxa"/>
            <w:tcBorders>
              <w:top w:val="single" w:sz="4" w:space="0" w:color="auto"/>
              <w:left w:val="nil"/>
              <w:bottom w:val="single" w:sz="4" w:space="0" w:color="auto"/>
              <w:right w:val="single" w:sz="4" w:space="0" w:color="auto"/>
            </w:tcBorders>
            <w:shd w:val="clear" w:color="auto" w:fill="auto"/>
            <w:noWrap/>
            <w:vAlign w:val="bottom"/>
            <w:hideMark/>
          </w:tcPr>
          <w:p w14:paraId="157F5F09"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2013</w:t>
            </w:r>
          </w:p>
        </w:tc>
      </w:tr>
      <w:tr w:rsidR="00E43679" w:rsidRPr="00E43679" w14:paraId="0444C027" w14:textId="77777777" w:rsidTr="00E43679">
        <w:trPr>
          <w:trHeight w:val="315"/>
        </w:trPr>
        <w:tc>
          <w:tcPr>
            <w:tcW w:w="2119" w:type="dxa"/>
            <w:gridSpan w:val="2"/>
            <w:tcBorders>
              <w:top w:val="single" w:sz="4" w:space="0" w:color="auto"/>
              <w:left w:val="single" w:sz="4" w:space="0" w:color="auto"/>
              <w:bottom w:val="single" w:sz="4" w:space="0" w:color="auto"/>
              <w:right w:val="nil"/>
            </w:tcBorders>
            <w:shd w:val="clear" w:color="auto" w:fill="auto"/>
            <w:noWrap/>
            <w:vAlign w:val="bottom"/>
            <w:hideMark/>
          </w:tcPr>
          <w:p w14:paraId="4F58CDC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Reporting Date</w:t>
            </w:r>
          </w:p>
        </w:tc>
        <w:tc>
          <w:tcPr>
            <w:tcW w:w="286" w:type="dxa"/>
            <w:tcBorders>
              <w:top w:val="nil"/>
              <w:left w:val="nil"/>
              <w:bottom w:val="single" w:sz="4" w:space="0" w:color="auto"/>
              <w:right w:val="nil"/>
            </w:tcBorders>
            <w:shd w:val="clear" w:color="auto" w:fill="auto"/>
            <w:noWrap/>
            <w:vAlign w:val="bottom"/>
            <w:hideMark/>
          </w:tcPr>
          <w:p w14:paraId="1CDA670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nil"/>
              <w:left w:val="nil"/>
              <w:bottom w:val="single" w:sz="4" w:space="0" w:color="auto"/>
              <w:right w:val="nil"/>
            </w:tcBorders>
            <w:shd w:val="clear" w:color="auto" w:fill="auto"/>
            <w:noWrap/>
            <w:vAlign w:val="bottom"/>
            <w:hideMark/>
          </w:tcPr>
          <w:p w14:paraId="01AFC32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vMerge/>
            <w:tcBorders>
              <w:top w:val="single" w:sz="4" w:space="0" w:color="auto"/>
              <w:left w:val="single" w:sz="4" w:space="0" w:color="auto"/>
              <w:bottom w:val="single" w:sz="4" w:space="0" w:color="000000"/>
              <w:right w:val="single" w:sz="4" w:space="0" w:color="auto"/>
            </w:tcBorders>
            <w:vAlign w:val="center"/>
            <w:hideMark/>
          </w:tcPr>
          <w:p w14:paraId="4EDD69F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657" w:type="dxa"/>
            <w:tcBorders>
              <w:top w:val="nil"/>
              <w:left w:val="nil"/>
              <w:bottom w:val="single" w:sz="4" w:space="0" w:color="auto"/>
              <w:right w:val="nil"/>
            </w:tcBorders>
            <w:shd w:val="clear" w:color="auto" w:fill="auto"/>
            <w:noWrap/>
            <w:vAlign w:val="bottom"/>
            <w:hideMark/>
          </w:tcPr>
          <w:p w14:paraId="1F36B2DA" w14:textId="77777777" w:rsidR="00E43679" w:rsidRPr="00E43679" w:rsidRDefault="00E43679" w:rsidP="00E43679">
            <w:pPr>
              <w:spacing w:after="0" w:line="240" w:lineRule="auto"/>
              <w:jc w:val="right"/>
              <w:rPr>
                <w:rFonts w:ascii="Calibri" w:eastAsia="Times New Roman" w:hAnsi="Calibri" w:cs="Calibri"/>
                <w:color w:val="000000" w:themeColor="text1"/>
                <w:sz w:val="24"/>
                <w:szCs w:val="24"/>
                <w:lang w:val="en-GB" w:eastAsia="en-GB"/>
              </w:rPr>
            </w:pPr>
            <w:r w:rsidRPr="5CE60E2F">
              <w:rPr>
                <w:rFonts w:ascii="Calibri" w:eastAsia="Times New Roman" w:hAnsi="Calibri" w:cs="Calibri"/>
                <w:color w:val="000000" w:themeColor="text1"/>
                <w:sz w:val="24"/>
                <w:szCs w:val="24"/>
                <w:lang w:val="en-GB" w:eastAsia="en-GB"/>
              </w:rPr>
              <w:t>26-Dec</w:t>
            </w:r>
          </w:p>
        </w:tc>
        <w:tc>
          <w:tcPr>
            <w:tcW w:w="1418" w:type="dxa"/>
            <w:tcBorders>
              <w:top w:val="nil"/>
              <w:left w:val="nil"/>
              <w:bottom w:val="single" w:sz="4" w:space="0" w:color="auto"/>
              <w:right w:val="nil"/>
            </w:tcBorders>
            <w:shd w:val="clear" w:color="auto" w:fill="auto"/>
            <w:noWrap/>
            <w:vAlign w:val="bottom"/>
            <w:hideMark/>
          </w:tcPr>
          <w:p w14:paraId="10780D52" w14:textId="77777777" w:rsidR="00E43679" w:rsidRPr="00E43679" w:rsidRDefault="00E43679" w:rsidP="00E43679">
            <w:pPr>
              <w:spacing w:after="0" w:line="240" w:lineRule="auto"/>
              <w:jc w:val="right"/>
              <w:rPr>
                <w:rFonts w:ascii="Calibri" w:eastAsia="Times New Roman" w:hAnsi="Calibri" w:cs="Calibri"/>
                <w:color w:val="000000" w:themeColor="text1"/>
                <w:sz w:val="24"/>
                <w:szCs w:val="24"/>
                <w:lang w:val="en-GB" w:eastAsia="en-GB"/>
              </w:rPr>
            </w:pPr>
            <w:r w:rsidRPr="5CE60E2F">
              <w:rPr>
                <w:rFonts w:ascii="Calibri" w:eastAsia="Times New Roman" w:hAnsi="Calibri" w:cs="Calibri"/>
                <w:color w:val="000000" w:themeColor="text1"/>
                <w:sz w:val="24"/>
                <w:szCs w:val="24"/>
                <w:lang w:val="en-GB" w:eastAsia="en-GB"/>
              </w:rPr>
              <w:t>31-Dec</w:t>
            </w:r>
          </w:p>
        </w:tc>
        <w:tc>
          <w:tcPr>
            <w:tcW w:w="1275" w:type="dxa"/>
            <w:tcBorders>
              <w:top w:val="nil"/>
              <w:left w:val="nil"/>
              <w:bottom w:val="single" w:sz="4" w:space="0" w:color="auto"/>
              <w:right w:val="single" w:sz="4" w:space="0" w:color="auto"/>
            </w:tcBorders>
            <w:shd w:val="clear" w:color="auto" w:fill="auto"/>
            <w:noWrap/>
            <w:vAlign w:val="bottom"/>
            <w:hideMark/>
          </w:tcPr>
          <w:p w14:paraId="68A3B823" w14:textId="77777777" w:rsidR="00E43679" w:rsidRPr="00E43679" w:rsidRDefault="00E43679" w:rsidP="00E43679">
            <w:pPr>
              <w:spacing w:after="0" w:line="240" w:lineRule="auto"/>
              <w:jc w:val="right"/>
              <w:rPr>
                <w:rFonts w:ascii="Calibri" w:eastAsia="Times New Roman" w:hAnsi="Calibri" w:cs="Calibri"/>
                <w:color w:val="000000" w:themeColor="text1"/>
                <w:sz w:val="24"/>
                <w:szCs w:val="24"/>
                <w:lang w:val="en-GB" w:eastAsia="en-GB"/>
              </w:rPr>
            </w:pPr>
            <w:r w:rsidRPr="5CE60E2F">
              <w:rPr>
                <w:rFonts w:ascii="Calibri" w:eastAsia="Times New Roman" w:hAnsi="Calibri" w:cs="Calibri"/>
                <w:color w:val="000000" w:themeColor="text1"/>
                <w:sz w:val="24"/>
                <w:szCs w:val="24"/>
                <w:lang w:val="en-GB" w:eastAsia="en-GB"/>
              </w:rPr>
              <w:t>29-Dec</w:t>
            </w:r>
          </w:p>
        </w:tc>
        <w:tc>
          <w:tcPr>
            <w:tcW w:w="4453" w:type="dxa"/>
            <w:tcBorders>
              <w:top w:val="nil"/>
              <w:left w:val="nil"/>
              <w:bottom w:val="single" w:sz="4" w:space="0" w:color="auto"/>
              <w:right w:val="nil"/>
            </w:tcBorders>
            <w:shd w:val="clear" w:color="auto" w:fill="auto"/>
            <w:noWrap/>
            <w:vAlign w:val="bottom"/>
            <w:hideMark/>
          </w:tcPr>
          <w:p w14:paraId="6BDBFD24" w14:textId="77777777" w:rsidR="00E43679" w:rsidRPr="00E43679" w:rsidRDefault="00E43679" w:rsidP="00E43679">
            <w:pPr>
              <w:spacing w:after="0" w:line="240" w:lineRule="auto"/>
              <w:jc w:val="right"/>
              <w:rPr>
                <w:rFonts w:ascii="Calibri" w:eastAsia="Times New Roman" w:hAnsi="Calibri" w:cs="Calibri"/>
                <w:color w:val="000000" w:themeColor="text1"/>
                <w:sz w:val="24"/>
                <w:szCs w:val="24"/>
                <w:lang w:val="en-GB" w:eastAsia="en-GB"/>
              </w:rPr>
            </w:pPr>
            <w:r w:rsidRPr="5CE60E2F">
              <w:rPr>
                <w:rFonts w:ascii="Calibri" w:eastAsia="Times New Roman" w:hAnsi="Calibri" w:cs="Calibri"/>
                <w:color w:val="000000" w:themeColor="text1"/>
                <w:sz w:val="24"/>
                <w:szCs w:val="24"/>
                <w:lang w:val="en-GB" w:eastAsia="en-GB"/>
              </w:rPr>
              <w:t>30-Dec</w:t>
            </w:r>
          </w:p>
        </w:tc>
        <w:tc>
          <w:tcPr>
            <w:tcW w:w="1934" w:type="dxa"/>
            <w:tcBorders>
              <w:top w:val="nil"/>
              <w:left w:val="nil"/>
              <w:bottom w:val="single" w:sz="4" w:space="0" w:color="auto"/>
              <w:right w:val="single" w:sz="4" w:space="0" w:color="auto"/>
            </w:tcBorders>
            <w:shd w:val="clear" w:color="auto" w:fill="auto"/>
            <w:noWrap/>
            <w:vAlign w:val="bottom"/>
            <w:hideMark/>
          </w:tcPr>
          <w:p w14:paraId="718B3387" w14:textId="77777777" w:rsidR="00E43679" w:rsidRPr="00E43679" w:rsidRDefault="00E43679" w:rsidP="00E43679">
            <w:pPr>
              <w:spacing w:after="0" w:line="240" w:lineRule="auto"/>
              <w:jc w:val="right"/>
              <w:rPr>
                <w:rFonts w:ascii="Calibri" w:eastAsia="Times New Roman" w:hAnsi="Calibri" w:cs="Calibri"/>
                <w:color w:val="000000" w:themeColor="text1"/>
                <w:sz w:val="24"/>
                <w:szCs w:val="24"/>
                <w:lang w:val="en-GB" w:eastAsia="en-GB"/>
              </w:rPr>
            </w:pPr>
            <w:r w:rsidRPr="5CE60E2F">
              <w:rPr>
                <w:rFonts w:ascii="Calibri" w:eastAsia="Times New Roman" w:hAnsi="Calibri" w:cs="Calibri"/>
                <w:color w:val="000000" w:themeColor="text1"/>
                <w:sz w:val="24"/>
                <w:szCs w:val="24"/>
                <w:lang w:val="en-GB" w:eastAsia="en-GB"/>
              </w:rPr>
              <w:t>31-Dec</w:t>
            </w:r>
          </w:p>
        </w:tc>
      </w:tr>
      <w:tr w:rsidR="00E43679" w:rsidRPr="00E43679" w14:paraId="21BBA631" w14:textId="77777777" w:rsidTr="00E43679">
        <w:trPr>
          <w:trHeight w:val="315"/>
        </w:trPr>
        <w:tc>
          <w:tcPr>
            <w:tcW w:w="1853" w:type="dxa"/>
            <w:tcBorders>
              <w:top w:val="nil"/>
              <w:left w:val="single" w:sz="4" w:space="0" w:color="auto"/>
              <w:bottom w:val="nil"/>
              <w:right w:val="nil"/>
            </w:tcBorders>
            <w:shd w:val="clear" w:color="auto" w:fill="auto"/>
            <w:noWrap/>
            <w:vAlign w:val="bottom"/>
            <w:hideMark/>
          </w:tcPr>
          <w:p w14:paraId="5C8C4041"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B89DE46" w14:textId="77777777" w:rsidR="00E43679" w:rsidRPr="00E43679" w:rsidRDefault="00E43679" w:rsidP="00E43679">
            <w:pPr>
              <w:spacing w:after="0" w:line="240" w:lineRule="auto"/>
              <w:jc w:val="right"/>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4320E30B" w14:textId="77777777" w:rsidR="00E43679" w:rsidRPr="00E43679" w:rsidRDefault="00E43679" w:rsidP="00E43679">
            <w:pPr>
              <w:spacing w:after="0" w:line="240" w:lineRule="auto"/>
              <w:jc w:val="right"/>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5FB2FF00" w14:textId="77777777" w:rsidR="00E43679" w:rsidRPr="00E43679" w:rsidRDefault="00E43679" w:rsidP="00E43679">
            <w:pPr>
              <w:spacing w:after="0" w:line="240" w:lineRule="auto"/>
              <w:jc w:val="right"/>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0ED9351"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65396EFA"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c>
          <w:tcPr>
            <w:tcW w:w="1418" w:type="dxa"/>
            <w:tcBorders>
              <w:top w:val="nil"/>
              <w:left w:val="nil"/>
              <w:bottom w:val="nil"/>
              <w:right w:val="nil"/>
            </w:tcBorders>
            <w:shd w:val="clear" w:color="auto" w:fill="auto"/>
            <w:noWrap/>
            <w:vAlign w:val="bottom"/>
            <w:hideMark/>
          </w:tcPr>
          <w:p w14:paraId="67636407"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c>
          <w:tcPr>
            <w:tcW w:w="1275" w:type="dxa"/>
            <w:tcBorders>
              <w:top w:val="nil"/>
              <w:left w:val="nil"/>
              <w:bottom w:val="nil"/>
              <w:right w:val="single" w:sz="4" w:space="0" w:color="auto"/>
            </w:tcBorders>
            <w:shd w:val="clear" w:color="auto" w:fill="auto"/>
            <w:noWrap/>
            <w:vAlign w:val="bottom"/>
            <w:hideMark/>
          </w:tcPr>
          <w:p w14:paraId="6B01605E"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c>
          <w:tcPr>
            <w:tcW w:w="4453" w:type="dxa"/>
            <w:tcBorders>
              <w:top w:val="nil"/>
              <w:left w:val="nil"/>
              <w:bottom w:val="nil"/>
              <w:right w:val="nil"/>
            </w:tcBorders>
            <w:shd w:val="clear" w:color="auto" w:fill="auto"/>
            <w:noWrap/>
            <w:vAlign w:val="bottom"/>
            <w:hideMark/>
          </w:tcPr>
          <w:p w14:paraId="2EDAF1B5"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c>
          <w:tcPr>
            <w:tcW w:w="1934" w:type="dxa"/>
            <w:tcBorders>
              <w:top w:val="nil"/>
              <w:left w:val="nil"/>
              <w:bottom w:val="nil"/>
              <w:right w:val="single" w:sz="4" w:space="0" w:color="auto"/>
            </w:tcBorders>
            <w:shd w:val="clear" w:color="auto" w:fill="auto"/>
            <w:noWrap/>
            <w:vAlign w:val="bottom"/>
            <w:hideMark/>
          </w:tcPr>
          <w:p w14:paraId="20777476"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r>
      <w:tr w:rsidR="00E43679" w:rsidRPr="00E43679" w14:paraId="372E85E9"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6E358A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xml:space="preserve">Sales </w:t>
            </w:r>
          </w:p>
        </w:tc>
        <w:tc>
          <w:tcPr>
            <w:tcW w:w="266" w:type="dxa"/>
            <w:tcBorders>
              <w:top w:val="nil"/>
              <w:left w:val="nil"/>
              <w:bottom w:val="nil"/>
              <w:right w:val="nil"/>
            </w:tcBorders>
            <w:shd w:val="clear" w:color="auto" w:fill="auto"/>
            <w:noWrap/>
            <w:vAlign w:val="bottom"/>
            <w:hideMark/>
          </w:tcPr>
          <w:p w14:paraId="4ACDCB8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404C17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557FF05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83507B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CIS</w:t>
            </w:r>
          </w:p>
        </w:tc>
        <w:tc>
          <w:tcPr>
            <w:tcW w:w="1657" w:type="dxa"/>
            <w:tcBorders>
              <w:top w:val="nil"/>
              <w:left w:val="nil"/>
              <w:bottom w:val="nil"/>
              <w:right w:val="nil"/>
            </w:tcBorders>
            <w:shd w:val="clear" w:color="auto" w:fill="auto"/>
            <w:noWrap/>
            <w:vAlign w:val="bottom"/>
            <w:hideMark/>
          </w:tcPr>
          <w:p w14:paraId="1575A87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1,711.1 </w:t>
            </w:r>
          </w:p>
        </w:tc>
        <w:tc>
          <w:tcPr>
            <w:tcW w:w="1418" w:type="dxa"/>
            <w:tcBorders>
              <w:top w:val="nil"/>
              <w:left w:val="nil"/>
              <w:bottom w:val="nil"/>
              <w:right w:val="nil"/>
            </w:tcBorders>
            <w:shd w:val="clear" w:color="auto" w:fill="auto"/>
            <w:noWrap/>
            <w:vAlign w:val="bottom"/>
            <w:hideMark/>
          </w:tcPr>
          <w:p w14:paraId="5DCD6EF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1,603.8 </w:t>
            </w:r>
          </w:p>
        </w:tc>
        <w:tc>
          <w:tcPr>
            <w:tcW w:w="1275" w:type="dxa"/>
            <w:tcBorders>
              <w:top w:val="nil"/>
              <w:left w:val="nil"/>
              <w:bottom w:val="nil"/>
              <w:right w:val="single" w:sz="4" w:space="0" w:color="auto"/>
            </w:tcBorders>
            <w:shd w:val="clear" w:color="auto" w:fill="auto"/>
            <w:noWrap/>
            <w:vAlign w:val="bottom"/>
            <w:hideMark/>
          </w:tcPr>
          <w:p w14:paraId="2D2601D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1,590.9 </w:t>
            </w:r>
          </w:p>
        </w:tc>
        <w:tc>
          <w:tcPr>
            <w:tcW w:w="4453" w:type="dxa"/>
            <w:tcBorders>
              <w:top w:val="nil"/>
              <w:left w:val="nil"/>
              <w:bottom w:val="nil"/>
              <w:right w:val="nil"/>
            </w:tcBorders>
            <w:shd w:val="clear" w:color="auto" w:fill="auto"/>
            <w:noWrap/>
            <w:vAlign w:val="bottom"/>
            <w:hideMark/>
          </w:tcPr>
          <w:p w14:paraId="2621A3B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1,609.3 </w:t>
            </w:r>
          </w:p>
        </w:tc>
        <w:tc>
          <w:tcPr>
            <w:tcW w:w="1934" w:type="dxa"/>
            <w:tcBorders>
              <w:top w:val="nil"/>
              <w:left w:val="nil"/>
              <w:bottom w:val="nil"/>
              <w:right w:val="single" w:sz="4" w:space="0" w:color="auto"/>
            </w:tcBorders>
            <w:shd w:val="clear" w:color="auto" w:fill="auto"/>
            <w:noWrap/>
            <w:vAlign w:val="bottom"/>
            <w:hideMark/>
          </w:tcPr>
          <w:p w14:paraId="7391B08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1,486.5 </w:t>
            </w:r>
          </w:p>
        </w:tc>
      </w:tr>
      <w:tr w:rsidR="00E43679" w:rsidRPr="00E43679" w14:paraId="179B87A7"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ED4052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6D663E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9C3CB1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07523AE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8AA365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34F4591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1D0A8FF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941AA9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2739E44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2F762F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19C7288"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44AFCBE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Cost of Sales</w:t>
            </w:r>
          </w:p>
        </w:tc>
        <w:tc>
          <w:tcPr>
            <w:tcW w:w="286" w:type="dxa"/>
            <w:tcBorders>
              <w:top w:val="nil"/>
              <w:left w:val="nil"/>
              <w:bottom w:val="nil"/>
              <w:right w:val="nil"/>
            </w:tcBorders>
            <w:shd w:val="clear" w:color="auto" w:fill="auto"/>
            <w:noWrap/>
            <w:vAlign w:val="bottom"/>
            <w:hideMark/>
          </w:tcPr>
          <w:p w14:paraId="272DA27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1CBEE21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61F42F9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657" w:type="dxa"/>
            <w:tcBorders>
              <w:top w:val="nil"/>
              <w:left w:val="nil"/>
              <w:bottom w:val="nil"/>
              <w:right w:val="nil"/>
            </w:tcBorders>
            <w:shd w:val="clear" w:color="auto" w:fill="auto"/>
            <w:noWrap/>
            <w:vAlign w:val="bottom"/>
            <w:hideMark/>
          </w:tcPr>
          <w:p w14:paraId="6FD1DC1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432.0 </w:t>
            </w:r>
          </w:p>
        </w:tc>
        <w:tc>
          <w:tcPr>
            <w:tcW w:w="1418" w:type="dxa"/>
            <w:tcBorders>
              <w:top w:val="nil"/>
              <w:left w:val="nil"/>
              <w:bottom w:val="nil"/>
              <w:right w:val="nil"/>
            </w:tcBorders>
            <w:shd w:val="clear" w:color="auto" w:fill="auto"/>
            <w:noWrap/>
            <w:vAlign w:val="bottom"/>
            <w:hideMark/>
          </w:tcPr>
          <w:p w14:paraId="60F629D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382.2 </w:t>
            </w:r>
          </w:p>
        </w:tc>
        <w:tc>
          <w:tcPr>
            <w:tcW w:w="1275" w:type="dxa"/>
            <w:tcBorders>
              <w:top w:val="nil"/>
              <w:left w:val="nil"/>
              <w:bottom w:val="nil"/>
              <w:right w:val="single" w:sz="4" w:space="0" w:color="auto"/>
            </w:tcBorders>
            <w:shd w:val="clear" w:color="auto" w:fill="auto"/>
            <w:noWrap/>
            <w:vAlign w:val="bottom"/>
            <w:hideMark/>
          </w:tcPr>
          <w:p w14:paraId="5EAFE6C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377.9 </w:t>
            </w:r>
          </w:p>
        </w:tc>
        <w:tc>
          <w:tcPr>
            <w:tcW w:w="4453" w:type="dxa"/>
            <w:tcBorders>
              <w:top w:val="nil"/>
              <w:left w:val="nil"/>
              <w:bottom w:val="nil"/>
              <w:right w:val="nil"/>
            </w:tcBorders>
            <w:shd w:val="clear" w:color="auto" w:fill="auto"/>
            <w:noWrap/>
            <w:vAlign w:val="bottom"/>
            <w:hideMark/>
          </w:tcPr>
          <w:p w14:paraId="1D348F8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304.2 </w:t>
            </w:r>
          </w:p>
        </w:tc>
        <w:tc>
          <w:tcPr>
            <w:tcW w:w="1934" w:type="dxa"/>
            <w:tcBorders>
              <w:top w:val="nil"/>
              <w:left w:val="nil"/>
              <w:bottom w:val="nil"/>
              <w:right w:val="single" w:sz="4" w:space="0" w:color="auto"/>
            </w:tcBorders>
            <w:shd w:val="clear" w:color="auto" w:fill="auto"/>
            <w:noWrap/>
            <w:vAlign w:val="bottom"/>
            <w:hideMark/>
          </w:tcPr>
          <w:p w14:paraId="0472C28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266.6 </w:t>
            </w:r>
          </w:p>
        </w:tc>
      </w:tr>
      <w:tr w:rsidR="00E43679" w:rsidRPr="00E43679" w14:paraId="5B8F95E7"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9E2909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3D0D74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2DDEA48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515A35F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CD43E2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45617C0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47E080F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AC0952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19275BC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5F7B96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EF291DC"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2E76ACB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Gross Profit</w:t>
            </w:r>
          </w:p>
        </w:tc>
        <w:tc>
          <w:tcPr>
            <w:tcW w:w="286" w:type="dxa"/>
            <w:tcBorders>
              <w:top w:val="nil"/>
              <w:left w:val="nil"/>
              <w:bottom w:val="nil"/>
              <w:right w:val="nil"/>
            </w:tcBorders>
            <w:shd w:val="clear" w:color="auto" w:fill="auto"/>
            <w:noWrap/>
            <w:vAlign w:val="bottom"/>
            <w:hideMark/>
          </w:tcPr>
          <w:p w14:paraId="19CBB9C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37A1BE1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3071D5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657" w:type="dxa"/>
            <w:tcBorders>
              <w:top w:val="nil"/>
              <w:left w:val="nil"/>
              <w:bottom w:val="nil"/>
              <w:right w:val="nil"/>
            </w:tcBorders>
            <w:shd w:val="clear" w:color="auto" w:fill="auto"/>
            <w:noWrap/>
            <w:vAlign w:val="bottom"/>
            <w:hideMark/>
          </w:tcPr>
          <w:p w14:paraId="52FCDB3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1,279.1 </w:t>
            </w:r>
          </w:p>
        </w:tc>
        <w:tc>
          <w:tcPr>
            <w:tcW w:w="1418" w:type="dxa"/>
            <w:tcBorders>
              <w:top w:val="nil"/>
              <w:left w:val="nil"/>
              <w:bottom w:val="nil"/>
              <w:right w:val="nil"/>
            </w:tcBorders>
            <w:shd w:val="clear" w:color="auto" w:fill="auto"/>
            <w:noWrap/>
            <w:vAlign w:val="bottom"/>
            <w:hideMark/>
          </w:tcPr>
          <w:p w14:paraId="49735DB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1,221.6 </w:t>
            </w:r>
          </w:p>
        </w:tc>
        <w:tc>
          <w:tcPr>
            <w:tcW w:w="1275" w:type="dxa"/>
            <w:tcBorders>
              <w:top w:val="nil"/>
              <w:left w:val="nil"/>
              <w:bottom w:val="nil"/>
              <w:right w:val="single" w:sz="4" w:space="0" w:color="auto"/>
            </w:tcBorders>
            <w:shd w:val="clear" w:color="auto" w:fill="auto"/>
            <w:noWrap/>
            <w:vAlign w:val="bottom"/>
            <w:hideMark/>
          </w:tcPr>
          <w:p w14:paraId="69DF3C4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1,213.0 </w:t>
            </w:r>
          </w:p>
        </w:tc>
        <w:tc>
          <w:tcPr>
            <w:tcW w:w="4453" w:type="dxa"/>
            <w:tcBorders>
              <w:top w:val="nil"/>
              <w:left w:val="nil"/>
              <w:bottom w:val="nil"/>
              <w:right w:val="nil"/>
            </w:tcBorders>
            <w:shd w:val="clear" w:color="auto" w:fill="auto"/>
            <w:noWrap/>
            <w:vAlign w:val="bottom"/>
            <w:hideMark/>
          </w:tcPr>
          <w:p w14:paraId="341840D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1,305.1 </w:t>
            </w:r>
          </w:p>
        </w:tc>
        <w:tc>
          <w:tcPr>
            <w:tcW w:w="1934" w:type="dxa"/>
            <w:tcBorders>
              <w:top w:val="nil"/>
              <w:left w:val="nil"/>
              <w:bottom w:val="nil"/>
              <w:right w:val="single" w:sz="4" w:space="0" w:color="auto"/>
            </w:tcBorders>
            <w:shd w:val="clear" w:color="auto" w:fill="auto"/>
            <w:noWrap/>
            <w:vAlign w:val="bottom"/>
            <w:hideMark/>
          </w:tcPr>
          <w:p w14:paraId="217D4CA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1,219.9 </w:t>
            </w:r>
          </w:p>
        </w:tc>
      </w:tr>
      <w:tr w:rsidR="00E43679" w:rsidRPr="00E43679" w14:paraId="510B1F8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AD2940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B862BC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054A83E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16B406F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37D2DB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444EBCF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1BB4052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436969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1D3AF3A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9A1D8E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B3D9D5E"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32C6A4B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Profit/Loss Before Interest and Tax (PBIT)</w:t>
            </w:r>
          </w:p>
        </w:tc>
        <w:tc>
          <w:tcPr>
            <w:tcW w:w="828" w:type="dxa"/>
            <w:tcBorders>
              <w:top w:val="nil"/>
              <w:left w:val="single" w:sz="4" w:space="0" w:color="auto"/>
              <w:bottom w:val="nil"/>
              <w:right w:val="single" w:sz="4" w:space="0" w:color="auto"/>
            </w:tcBorders>
            <w:shd w:val="clear" w:color="auto" w:fill="auto"/>
            <w:noWrap/>
            <w:vAlign w:val="bottom"/>
            <w:hideMark/>
          </w:tcPr>
          <w:p w14:paraId="09A9CC5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CIS</w:t>
            </w:r>
          </w:p>
        </w:tc>
        <w:tc>
          <w:tcPr>
            <w:tcW w:w="1657" w:type="dxa"/>
            <w:tcBorders>
              <w:top w:val="nil"/>
              <w:left w:val="nil"/>
              <w:bottom w:val="nil"/>
              <w:right w:val="nil"/>
            </w:tcBorders>
            <w:shd w:val="clear" w:color="auto" w:fill="auto"/>
            <w:noWrap/>
            <w:vAlign w:val="bottom"/>
            <w:hideMark/>
          </w:tcPr>
          <w:p w14:paraId="520FC5A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-43.7 </w:t>
            </w:r>
          </w:p>
        </w:tc>
        <w:tc>
          <w:tcPr>
            <w:tcW w:w="1418" w:type="dxa"/>
            <w:tcBorders>
              <w:top w:val="nil"/>
              <w:left w:val="nil"/>
              <w:bottom w:val="nil"/>
              <w:right w:val="nil"/>
            </w:tcBorders>
            <w:shd w:val="clear" w:color="auto" w:fill="auto"/>
            <w:noWrap/>
            <w:vAlign w:val="bottom"/>
            <w:hideMark/>
          </w:tcPr>
          <w:p w14:paraId="421E27B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225.6 </w:t>
            </w:r>
          </w:p>
        </w:tc>
        <w:tc>
          <w:tcPr>
            <w:tcW w:w="1275" w:type="dxa"/>
            <w:tcBorders>
              <w:top w:val="nil"/>
              <w:left w:val="nil"/>
              <w:bottom w:val="nil"/>
              <w:right w:val="single" w:sz="4" w:space="0" w:color="auto"/>
            </w:tcBorders>
            <w:shd w:val="clear" w:color="auto" w:fill="auto"/>
            <w:noWrap/>
            <w:vAlign w:val="bottom"/>
            <w:hideMark/>
          </w:tcPr>
          <w:p w14:paraId="19E5F94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224.3 </w:t>
            </w:r>
          </w:p>
        </w:tc>
        <w:tc>
          <w:tcPr>
            <w:tcW w:w="4453" w:type="dxa"/>
            <w:tcBorders>
              <w:top w:val="nil"/>
              <w:left w:val="nil"/>
              <w:bottom w:val="nil"/>
              <w:right w:val="nil"/>
            </w:tcBorders>
            <w:shd w:val="clear" w:color="auto" w:fill="auto"/>
            <w:noWrap/>
            <w:vAlign w:val="bottom"/>
            <w:hideMark/>
          </w:tcPr>
          <w:p w14:paraId="269937A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281.8 </w:t>
            </w:r>
          </w:p>
        </w:tc>
        <w:tc>
          <w:tcPr>
            <w:tcW w:w="1934" w:type="dxa"/>
            <w:tcBorders>
              <w:top w:val="nil"/>
              <w:left w:val="nil"/>
              <w:bottom w:val="nil"/>
              <w:right w:val="single" w:sz="4" w:space="0" w:color="auto"/>
            </w:tcBorders>
            <w:shd w:val="clear" w:color="auto" w:fill="auto"/>
            <w:noWrap/>
            <w:vAlign w:val="bottom"/>
            <w:hideMark/>
          </w:tcPr>
          <w:p w14:paraId="5EF86B6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324.1 </w:t>
            </w:r>
          </w:p>
        </w:tc>
      </w:tr>
      <w:tr w:rsidR="00E43679" w:rsidRPr="00E43679" w14:paraId="6C653268"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5CB138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AB865E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F2921A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17FE123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90D812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66207F5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07C24C6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3FADC4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09E21C4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263093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5FCD8C9"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014BBF2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Profit/Loss Before Tax (PBT)</w:t>
            </w:r>
          </w:p>
        </w:tc>
        <w:tc>
          <w:tcPr>
            <w:tcW w:w="2618" w:type="dxa"/>
            <w:tcBorders>
              <w:top w:val="nil"/>
              <w:left w:val="nil"/>
              <w:bottom w:val="nil"/>
              <w:right w:val="nil"/>
            </w:tcBorders>
            <w:shd w:val="clear" w:color="auto" w:fill="auto"/>
            <w:noWrap/>
            <w:vAlign w:val="bottom"/>
            <w:hideMark/>
          </w:tcPr>
          <w:p w14:paraId="51F159A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3308C8F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CIS</w:t>
            </w:r>
          </w:p>
        </w:tc>
        <w:tc>
          <w:tcPr>
            <w:tcW w:w="1657" w:type="dxa"/>
            <w:tcBorders>
              <w:top w:val="nil"/>
              <w:left w:val="nil"/>
              <w:bottom w:val="nil"/>
              <w:right w:val="nil"/>
            </w:tcBorders>
            <w:shd w:val="clear" w:color="auto" w:fill="auto"/>
            <w:noWrap/>
            <w:vAlign w:val="bottom"/>
            <w:hideMark/>
          </w:tcPr>
          <w:p w14:paraId="731174C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-74.6 </w:t>
            </w:r>
          </w:p>
        </w:tc>
        <w:tc>
          <w:tcPr>
            <w:tcW w:w="1418" w:type="dxa"/>
            <w:tcBorders>
              <w:top w:val="nil"/>
              <w:left w:val="nil"/>
              <w:bottom w:val="nil"/>
              <w:right w:val="nil"/>
            </w:tcBorders>
            <w:shd w:val="clear" w:color="auto" w:fill="auto"/>
            <w:noWrap/>
            <w:vAlign w:val="bottom"/>
            <w:hideMark/>
          </w:tcPr>
          <w:p w14:paraId="7FB8FA9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181.3 </w:t>
            </w:r>
          </w:p>
        </w:tc>
        <w:tc>
          <w:tcPr>
            <w:tcW w:w="1275" w:type="dxa"/>
            <w:tcBorders>
              <w:top w:val="nil"/>
              <w:left w:val="nil"/>
              <w:bottom w:val="nil"/>
              <w:right w:val="single" w:sz="4" w:space="0" w:color="auto"/>
            </w:tcBorders>
            <w:shd w:val="clear" w:color="auto" w:fill="auto"/>
            <w:noWrap/>
            <w:vAlign w:val="bottom"/>
            <w:hideMark/>
          </w:tcPr>
          <w:p w14:paraId="76722AA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184.7 </w:t>
            </w:r>
          </w:p>
        </w:tc>
        <w:tc>
          <w:tcPr>
            <w:tcW w:w="4453" w:type="dxa"/>
            <w:tcBorders>
              <w:top w:val="nil"/>
              <w:left w:val="nil"/>
              <w:bottom w:val="nil"/>
              <w:right w:val="nil"/>
            </w:tcBorders>
            <w:shd w:val="clear" w:color="auto" w:fill="auto"/>
            <w:noWrap/>
            <w:vAlign w:val="bottom"/>
            <w:hideMark/>
          </w:tcPr>
          <w:p w14:paraId="14DC152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233.9 </w:t>
            </w:r>
          </w:p>
        </w:tc>
        <w:tc>
          <w:tcPr>
            <w:tcW w:w="1934" w:type="dxa"/>
            <w:tcBorders>
              <w:top w:val="nil"/>
              <w:left w:val="nil"/>
              <w:bottom w:val="nil"/>
              <w:right w:val="single" w:sz="4" w:space="0" w:color="auto"/>
            </w:tcBorders>
            <w:shd w:val="clear" w:color="auto" w:fill="auto"/>
            <w:noWrap/>
            <w:vAlign w:val="bottom"/>
            <w:hideMark/>
          </w:tcPr>
          <w:p w14:paraId="5A23443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279.8 </w:t>
            </w:r>
          </w:p>
        </w:tc>
      </w:tr>
      <w:tr w:rsidR="00E43679" w:rsidRPr="00E43679" w14:paraId="027D0968"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015529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D0E2DD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40179C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57A9BE0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5ECF51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E83D45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7276DF8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56A45E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6907FB7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246000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D8BB806"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11DE990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Profit/Loss for the financial period (PAT)</w:t>
            </w:r>
          </w:p>
        </w:tc>
        <w:tc>
          <w:tcPr>
            <w:tcW w:w="828" w:type="dxa"/>
            <w:tcBorders>
              <w:top w:val="nil"/>
              <w:left w:val="single" w:sz="4" w:space="0" w:color="auto"/>
              <w:bottom w:val="nil"/>
              <w:right w:val="single" w:sz="4" w:space="0" w:color="auto"/>
            </w:tcBorders>
            <w:shd w:val="clear" w:color="auto" w:fill="auto"/>
            <w:noWrap/>
            <w:vAlign w:val="bottom"/>
            <w:hideMark/>
          </w:tcPr>
          <w:p w14:paraId="23A2390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CIS</w:t>
            </w:r>
          </w:p>
        </w:tc>
        <w:tc>
          <w:tcPr>
            <w:tcW w:w="1657" w:type="dxa"/>
            <w:tcBorders>
              <w:top w:val="nil"/>
              <w:left w:val="nil"/>
              <w:bottom w:val="nil"/>
              <w:right w:val="nil"/>
            </w:tcBorders>
            <w:shd w:val="clear" w:color="auto" w:fill="auto"/>
            <w:noWrap/>
            <w:vAlign w:val="bottom"/>
            <w:hideMark/>
          </w:tcPr>
          <w:p w14:paraId="21729FF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-83.2 </w:t>
            </w:r>
          </w:p>
        </w:tc>
        <w:tc>
          <w:tcPr>
            <w:tcW w:w="1418" w:type="dxa"/>
            <w:tcBorders>
              <w:top w:val="nil"/>
              <w:left w:val="nil"/>
              <w:bottom w:val="nil"/>
              <w:right w:val="nil"/>
            </w:tcBorders>
            <w:shd w:val="clear" w:color="auto" w:fill="auto"/>
            <w:noWrap/>
            <w:vAlign w:val="bottom"/>
            <w:hideMark/>
          </w:tcPr>
          <w:p w14:paraId="456F286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164.5 </w:t>
            </w:r>
          </w:p>
        </w:tc>
        <w:tc>
          <w:tcPr>
            <w:tcW w:w="1275" w:type="dxa"/>
            <w:tcBorders>
              <w:top w:val="nil"/>
              <w:left w:val="nil"/>
              <w:bottom w:val="nil"/>
              <w:right w:val="single" w:sz="4" w:space="0" w:color="auto"/>
            </w:tcBorders>
            <w:shd w:val="clear" w:color="auto" w:fill="auto"/>
            <w:noWrap/>
            <w:vAlign w:val="bottom"/>
            <w:hideMark/>
          </w:tcPr>
          <w:p w14:paraId="546D222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189.9 </w:t>
            </w:r>
          </w:p>
        </w:tc>
        <w:tc>
          <w:tcPr>
            <w:tcW w:w="4453" w:type="dxa"/>
            <w:tcBorders>
              <w:top w:val="nil"/>
              <w:left w:val="nil"/>
              <w:bottom w:val="nil"/>
              <w:right w:val="nil"/>
            </w:tcBorders>
            <w:shd w:val="clear" w:color="auto" w:fill="auto"/>
            <w:noWrap/>
            <w:vAlign w:val="bottom"/>
            <w:hideMark/>
          </w:tcPr>
          <w:p w14:paraId="79C3F0E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206.3 </w:t>
            </w:r>
          </w:p>
        </w:tc>
        <w:tc>
          <w:tcPr>
            <w:tcW w:w="1934" w:type="dxa"/>
            <w:tcBorders>
              <w:top w:val="nil"/>
              <w:left w:val="nil"/>
              <w:bottom w:val="nil"/>
              <w:right w:val="single" w:sz="4" w:space="0" w:color="auto"/>
            </w:tcBorders>
            <w:shd w:val="clear" w:color="auto" w:fill="auto"/>
            <w:noWrap/>
            <w:vAlign w:val="bottom"/>
            <w:hideMark/>
          </w:tcPr>
          <w:p w14:paraId="6CFCE93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247.6 </w:t>
            </w:r>
          </w:p>
        </w:tc>
      </w:tr>
      <w:tr w:rsidR="00E43679" w:rsidRPr="00E43679" w14:paraId="6DB69867"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41F9E5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C093EA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49B4589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26B86CB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C3018C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2C3351C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47D4FDB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115EE5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5165FE9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0E49F0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115F0ED"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10189B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Interest</w:t>
            </w:r>
          </w:p>
        </w:tc>
        <w:tc>
          <w:tcPr>
            <w:tcW w:w="266" w:type="dxa"/>
            <w:tcBorders>
              <w:top w:val="nil"/>
              <w:left w:val="nil"/>
              <w:bottom w:val="nil"/>
              <w:right w:val="nil"/>
            </w:tcBorders>
            <w:shd w:val="clear" w:color="auto" w:fill="auto"/>
            <w:noWrap/>
            <w:vAlign w:val="bottom"/>
            <w:hideMark/>
          </w:tcPr>
          <w:p w14:paraId="030D640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3C3815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6E45B8C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3CF8B4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657" w:type="dxa"/>
            <w:tcBorders>
              <w:top w:val="nil"/>
              <w:left w:val="nil"/>
              <w:bottom w:val="nil"/>
              <w:right w:val="nil"/>
            </w:tcBorders>
            <w:shd w:val="clear" w:color="auto" w:fill="auto"/>
            <w:noWrap/>
            <w:vAlign w:val="bottom"/>
            <w:hideMark/>
          </w:tcPr>
          <w:p w14:paraId="4C1F17E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37.3 </w:t>
            </w:r>
          </w:p>
        </w:tc>
        <w:tc>
          <w:tcPr>
            <w:tcW w:w="1418" w:type="dxa"/>
            <w:tcBorders>
              <w:top w:val="nil"/>
              <w:left w:val="nil"/>
              <w:bottom w:val="nil"/>
              <w:right w:val="nil"/>
            </w:tcBorders>
            <w:shd w:val="clear" w:color="auto" w:fill="auto"/>
            <w:noWrap/>
            <w:vAlign w:val="bottom"/>
            <w:hideMark/>
          </w:tcPr>
          <w:p w14:paraId="5FE4F57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49.2 </w:t>
            </w:r>
          </w:p>
        </w:tc>
        <w:tc>
          <w:tcPr>
            <w:tcW w:w="1275" w:type="dxa"/>
            <w:tcBorders>
              <w:top w:val="nil"/>
              <w:left w:val="nil"/>
              <w:bottom w:val="nil"/>
              <w:right w:val="single" w:sz="4" w:space="0" w:color="auto"/>
            </w:tcBorders>
            <w:shd w:val="clear" w:color="auto" w:fill="auto"/>
            <w:noWrap/>
            <w:vAlign w:val="bottom"/>
            <w:hideMark/>
          </w:tcPr>
          <w:p w14:paraId="6DA9124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41.0 </w:t>
            </w:r>
          </w:p>
        </w:tc>
        <w:tc>
          <w:tcPr>
            <w:tcW w:w="4453" w:type="dxa"/>
            <w:tcBorders>
              <w:top w:val="nil"/>
              <w:left w:val="nil"/>
              <w:bottom w:val="nil"/>
              <w:right w:val="nil"/>
            </w:tcBorders>
            <w:shd w:val="clear" w:color="auto" w:fill="auto"/>
            <w:noWrap/>
            <w:vAlign w:val="bottom"/>
            <w:hideMark/>
          </w:tcPr>
          <w:p w14:paraId="0A2EC49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48.9 </w:t>
            </w:r>
          </w:p>
        </w:tc>
        <w:tc>
          <w:tcPr>
            <w:tcW w:w="1934" w:type="dxa"/>
            <w:tcBorders>
              <w:top w:val="nil"/>
              <w:left w:val="nil"/>
              <w:bottom w:val="nil"/>
              <w:right w:val="single" w:sz="4" w:space="0" w:color="auto"/>
            </w:tcBorders>
            <w:shd w:val="clear" w:color="auto" w:fill="auto"/>
            <w:noWrap/>
            <w:vAlign w:val="bottom"/>
            <w:hideMark/>
          </w:tcPr>
          <w:p w14:paraId="3F37F74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45.4 </w:t>
            </w:r>
          </w:p>
        </w:tc>
      </w:tr>
      <w:tr w:rsidR="00E43679" w:rsidRPr="00E43679" w14:paraId="0EB98C03"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1C88C4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5BAC4B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091914B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223C9CD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A593D8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C99DC4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55A3614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7D805C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562C8C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9BE907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254BCED"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F3D13F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Tax</w:t>
            </w:r>
          </w:p>
        </w:tc>
        <w:tc>
          <w:tcPr>
            <w:tcW w:w="266" w:type="dxa"/>
            <w:tcBorders>
              <w:top w:val="nil"/>
              <w:left w:val="nil"/>
              <w:bottom w:val="nil"/>
              <w:right w:val="nil"/>
            </w:tcBorders>
            <w:shd w:val="clear" w:color="auto" w:fill="auto"/>
            <w:noWrap/>
            <w:vAlign w:val="bottom"/>
            <w:hideMark/>
          </w:tcPr>
          <w:p w14:paraId="6533285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69F948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6310FF3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E1BBF9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657" w:type="dxa"/>
            <w:tcBorders>
              <w:top w:val="nil"/>
              <w:left w:val="nil"/>
              <w:bottom w:val="nil"/>
              <w:right w:val="nil"/>
            </w:tcBorders>
            <w:shd w:val="clear" w:color="auto" w:fill="auto"/>
            <w:noWrap/>
            <w:vAlign w:val="bottom"/>
            <w:hideMark/>
          </w:tcPr>
          <w:p w14:paraId="2992D3B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8.6 </w:t>
            </w:r>
          </w:p>
        </w:tc>
        <w:tc>
          <w:tcPr>
            <w:tcW w:w="1418" w:type="dxa"/>
            <w:tcBorders>
              <w:top w:val="nil"/>
              <w:left w:val="nil"/>
              <w:bottom w:val="nil"/>
              <w:right w:val="nil"/>
            </w:tcBorders>
            <w:shd w:val="clear" w:color="auto" w:fill="auto"/>
            <w:noWrap/>
            <w:vAlign w:val="bottom"/>
            <w:hideMark/>
          </w:tcPr>
          <w:p w14:paraId="00CFBEC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16.8 </w:t>
            </w:r>
          </w:p>
        </w:tc>
        <w:tc>
          <w:tcPr>
            <w:tcW w:w="1275" w:type="dxa"/>
            <w:tcBorders>
              <w:top w:val="nil"/>
              <w:left w:val="nil"/>
              <w:bottom w:val="nil"/>
              <w:right w:val="single" w:sz="4" w:space="0" w:color="auto"/>
            </w:tcBorders>
            <w:shd w:val="clear" w:color="auto" w:fill="auto"/>
            <w:noWrap/>
            <w:vAlign w:val="bottom"/>
            <w:hideMark/>
          </w:tcPr>
          <w:p w14:paraId="3CD5FEA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5.2 </w:t>
            </w:r>
          </w:p>
        </w:tc>
        <w:tc>
          <w:tcPr>
            <w:tcW w:w="4453" w:type="dxa"/>
            <w:tcBorders>
              <w:top w:val="nil"/>
              <w:left w:val="nil"/>
              <w:bottom w:val="nil"/>
              <w:right w:val="nil"/>
            </w:tcBorders>
            <w:shd w:val="clear" w:color="auto" w:fill="auto"/>
            <w:noWrap/>
            <w:vAlign w:val="bottom"/>
            <w:hideMark/>
          </w:tcPr>
          <w:p w14:paraId="789829C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27.6 </w:t>
            </w:r>
          </w:p>
        </w:tc>
        <w:tc>
          <w:tcPr>
            <w:tcW w:w="1934" w:type="dxa"/>
            <w:tcBorders>
              <w:top w:val="nil"/>
              <w:left w:val="nil"/>
              <w:bottom w:val="nil"/>
              <w:right w:val="single" w:sz="4" w:space="0" w:color="auto"/>
            </w:tcBorders>
            <w:shd w:val="clear" w:color="auto" w:fill="auto"/>
            <w:noWrap/>
            <w:vAlign w:val="bottom"/>
            <w:hideMark/>
          </w:tcPr>
          <w:p w14:paraId="0086E6E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32.2 </w:t>
            </w:r>
          </w:p>
        </w:tc>
      </w:tr>
      <w:tr w:rsidR="00E43679" w:rsidRPr="00E43679" w14:paraId="06D6429E"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7E0B2D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23A49F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1332F8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13B29EB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67EA79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3EF598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1049EFC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F7F679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55B54F8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7B9329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F23B0CD"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64C65B9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Amortisation</w:t>
            </w:r>
          </w:p>
        </w:tc>
        <w:tc>
          <w:tcPr>
            <w:tcW w:w="286" w:type="dxa"/>
            <w:tcBorders>
              <w:top w:val="nil"/>
              <w:left w:val="nil"/>
              <w:bottom w:val="nil"/>
              <w:right w:val="nil"/>
            </w:tcBorders>
            <w:shd w:val="clear" w:color="auto" w:fill="auto"/>
            <w:noWrap/>
            <w:vAlign w:val="bottom"/>
            <w:hideMark/>
          </w:tcPr>
          <w:p w14:paraId="28B5D3C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628969A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CA7240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Notes</w:t>
            </w:r>
          </w:p>
        </w:tc>
        <w:tc>
          <w:tcPr>
            <w:tcW w:w="1657" w:type="dxa"/>
            <w:tcBorders>
              <w:top w:val="nil"/>
              <w:left w:val="nil"/>
              <w:bottom w:val="nil"/>
              <w:right w:val="nil"/>
            </w:tcBorders>
            <w:shd w:val="clear" w:color="auto" w:fill="auto"/>
            <w:noWrap/>
            <w:vAlign w:val="bottom"/>
            <w:hideMark/>
          </w:tcPr>
          <w:p w14:paraId="431D094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57.5 </w:t>
            </w:r>
          </w:p>
        </w:tc>
        <w:tc>
          <w:tcPr>
            <w:tcW w:w="1418" w:type="dxa"/>
            <w:tcBorders>
              <w:top w:val="nil"/>
              <w:left w:val="nil"/>
              <w:bottom w:val="nil"/>
              <w:right w:val="nil"/>
            </w:tcBorders>
            <w:shd w:val="clear" w:color="auto" w:fill="auto"/>
            <w:noWrap/>
            <w:vAlign w:val="bottom"/>
            <w:hideMark/>
          </w:tcPr>
          <w:p w14:paraId="4BF9337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55.0 </w:t>
            </w:r>
          </w:p>
        </w:tc>
        <w:tc>
          <w:tcPr>
            <w:tcW w:w="1275" w:type="dxa"/>
            <w:tcBorders>
              <w:top w:val="nil"/>
              <w:left w:val="nil"/>
              <w:bottom w:val="nil"/>
              <w:right w:val="single" w:sz="4" w:space="0" w:color="auto"/>
            </w:tcBorders>
            <w:shd w:val="clear" w:color="auto" w:fill="auto"/>
            <w:noWrap/>
            <w:vAlign w:val="bottom"/>
            <w:hideMark/>
          </w:tcPr>
          <w:p w14:paraId="323769A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41.3 </w:t>
            </w:r>
          </w:p>
        </w:tc>
        <w:tc>
          <w:tcPr>
            <w:tcW w:w="4453" w:type="dxa"/>
            <w:tcBorders>
              <w:top w:val="nil"/>
              <w:left w:val="nil"/>
              <w:bottom w:val="nil"/>
              <w:right w:val="nil"/>
            </w:tcBorders>
            <w:shd w:val="clear" w:color="auto" w:fill="auto"/>
            <w:noWrap/>
            <w:vAlign w:val="bottom"/>
            <w:hideMark/>
          </w:tcPr>
          <w:p w14:paraId="12DD830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32.3 </w:t>
            </w:r>
          </w:p>
        </w:tc>
        <w:tc>
          <w:tcPr>
            <w:tcW w:w="1934" w:type="dxa"/>
            <w:tcBorders>
              <w:top w:val="nil"/>
              <w:left w:val="nil"/>
              <w:bottom w:val="nil"/>
              <w:right w:val="single" w:sz="4" w:space="0" w:color="auto"/>
            </w:tcBorders>
            <w:shd w:val="clear" w:color="auto" w:fill="auto"/>
            <w:noWrap/>
            <w:vAlign w:val="bottom"/>
            <w:hideMark/>
          </w:tcPr>
          <w:p w14:paraId="56F7E54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21.0 </w:t>
            </w:r>
          </w:p>
        </w:tc>
      </w:tr>
      <w:tr w:rsidR="00E43679" w:rsidRPr="00E43679" w14:paraId="0267934B"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742AAC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39E42F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97C2A8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4B77DEB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0A73D3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3AE425B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5D86F8C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E02BF5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6A73264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E912C9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D24C857"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5A8A44D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Inventories</w:t>
            </w:r>
          </w:p>
        </w:tc>
        <w:tc>
          <w:tcPr>
            <w:tcW w:w="286" w:type="dxa"/>
            <w:tcBorders>
              <w:top w:val="nil"/>
              <w:left w:val="nil"/>
              <w:bottom w:val="nil"/>
              <w:right w:val="nil"/>
            </w:tcBorders>
            <w:shd w:val="clear" w:color="auto" w:fill="auto"/>
            <w:noWrap/>
            <w:vAlign w:val="bottom"/>
            <w:hideMark/>
          </w:tcPr>
          <w:p w14:paraId="057FC67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11EDDCB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6D37FF6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Notes</w:t>
            </w:r>
          </w:p>
        </w:tc>
        <w:tc>
          <w:tcPr>
            <w:tcW w:w="1657" w:type="dxa"/>
            <w:tcBorders>
              <w:top w:val="nil"/>
              <w:left w:val="nil"/>
              <w:bottom w:val="nil"/>
              <w:right w:val="nil"/>
            </w:tcBorders>
            <w:shd w:val="clear" w:color="auto" w:fill="auto"/>
            <w:noWrap/>
            <w:vAlign w:val="bottom"/>
            <w:hideMark/>
          </w:tcPr>
          <w:p w14:paraId="184E572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418" w:type="dxa"/>
            <w:tcBorders>
              <w:top w:val="nil"/>
              <w:left w:val="nil"/>
              <w:bottom w:val="nil"/>
              <w:right w:val="nil"/>
            </w:tcBorders>
            <w:shd w:val="clear" w:color="auto" w:fill="auto"/>
            <w:noWrap/>
            <w:vAlign w:val="bottom"/>
            <w:hideMark/>
          </w:tcPr>
          <w:p w14:paraId="1073594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275" w:type="dxa"/>
            <w:tcBorders>
              <w:top w:val="nil"/>
              <w:left w:val="nil"/>
              <w:bottom w:val="nil"/>
              <w:right w:val="single" w:sz="4" w:space="0" w:color="auto"/>
            </w:tcBorders>
            <w:shd w:val="clear" w:color="auto" w:fill="auto"/>
            <w:noWrap/>
            <w:vAlign w:val="bottom"/>
            <w:hideMark/>
          </w:tcPr>
          <w:p w14:paraId="3433C86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0.1 </w:t>
            </w:r>
          </w:p>
        </w:tc>
        <w:tc>
          <w:tcPr>
            <w:tcW w:w="4453" w:type="dxa"/>
            <w:tcBorders>
              <w:top w:val="nil"/>
              <w:left w:val="nil"/>
              <w:bottom w:val="nil"/>
              <w:right w:val="nil"/>
            </w:tcBorders>
            <w:shd w:val="clear" w:color="auto" w:fill="auto"/>
            <w:noWrap/>
            <w:vAlign w:val="bottom"/>
            <w:hideMark/>
          </w:tcPr>
          <w:p w14:paraId="419C4E0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0.1 </w:t>
            </w:r>
          </w:p>
        </w:tc>
        <w:tc>
          <w:tcPr>
            <w:tcW w:w="1934" w:type="dxa"/>
            <w:tcBorders>
              <w:top w:val="nil"/>
              <w:left w:val="nil"/>
              <w:bottom w:val="nil"/>
              <w:right w:val="single" w:sz="4" w:space="0" w:color="auto"/>
            </w:tcBorders>
            <w:shd w:val="clear" w:color="auto" w:fill="auto"/>
            <w:noWrap/>
            <w:vAlign w:val="bottom"/>
            <w:hideMark/>
          </w:tcPr>
          <w:p w14:paraId="2469E28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0.2 </w:t>
            </w:r>
          </w:p>
        </w:tc>
      </w:tr>
      <w:tr w:rsidR="00E43679" w:rsidRPr="00E43679" w14:paraId="2E046D53"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57265CE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5C7566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B4A554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6DB676E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BFC94B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73E1589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2710703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CAE0CC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7C2C1DF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387062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0657829"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7AE2CA7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Depreciation</w:t>
            </w:r>
          </w:p>
        </w:tc>
        <w:tc>
          <w:tcPr>
            <w:tcW w:w="286" w:type="dxa"/>
            <w:tcBorders>
              <w:top w:val="nil"/>
              <w:left w:val="nil"/>
              <w:bottom w:val="nil"/>
              <w:right w:val="nil"/>
            </w:tcBorders>
            <w:shd w:val="clear" w:color="auto" w:fill="auto"/>
            <w:noWrap/>
            <w:vAlign w:val="bottom"/>
            <w:hideMark/>
          </w:tcPr>
          <w:p w14:paraId="697F063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491F0A2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6D4882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Notes</w:t>
            </w:r>
          </w:p>
        </w:tc>
        <w:tc>
          <w:tcPr>
            <w:tcW w:w="1657" w:type="dxa"/>
            <w:tcBorders>
              <w:top w:val="nil"/>
              <w:left w:val="nil"/>
              <w:bottom w:val="nil"/>
              <w:right w:val="nil"/>
            </w:tcBorders>
            <w:shd w:val="clear" w:color="auto" w:fill="auto"/>
            <w:noWrap/>
            <w:vAlign w:val="bottom"/>
            <w:hideMark/>
          </w:tcPr>
          <w:p w14:paraId="6277224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30.1 </w:t>
            </w:r>
          </w:p>
        </w:tc>
        <w:tc>
          <w:tcPr>
            <w:tcW w:w="1418" w:type="dxa"/>
            <w:tcBorders>
              <w:top w:val="nil"/>
              <w:left w:val="nil"/>
              <w:bottom w:val="nil"/>
              <w:right w:val="nil"/>
            </w:tcBorders>
            <w:shd w:val="clear" w:color="auto" w:fill="auto"/>
            <w:noWrap/>
            <w:vAlign w:val="bottom"/>
            <w:hideMark/>
          </w:tcPr>
          <w:p w14:paraId="0F6B7BF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31.6 </w:t>
            </w:r>
          </w:p>
        </w:tc>
        <w:tc>
          <w:tcPr>
            <w:tcW w:w="1275" w:type="dxa"/>
            <w:tcBorders>
              <w:top w:val="nil"/>
              <w:left w:val="nil"/>
              <w:bottom w:val="nil"/>
              <w:right w:val="single" w:sz="4" w:space="0" w:color="auto"/>
            </w:tcBorders>
            <w:shd w:val="clear" w:color="auto" w:fill="auto"/>
            <w:noWrap/>
            <w:vAlign w:val="bottom"/>
            <w:hideMark/>
          </w:tcPr>
          <w:p w14:paraId="297EF7E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32.2 </w:t>
            </w:r>
          </w:p>
        </w:tc>
        <w:tc>
          <w:tcPr>
            <w:tcW w:w="4453" w:type="dxa"/>
            <w:tcBorders>
              <w:top w:val="nil"/>
              <w:left w:val="nil"/>
              <w:bottom w:val="nil"/>
              <w:right w:val="nil"/>
            </w:tcBorders>
            <w:shd w:val="clear" w:color="auto" w:fill="auto"/>
            <w:noWrap/>
            <w:vAlign w:val="bottom"/>
            <w:hideMark/>
          </w:tcPr>
          <w:p w14:paraId="06F98F4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33.5 </w:t>
            </w:r>
          </w:p>
        </w:tc>
        <w:tc>
          <w:tcPr>
            <w:tcW w:w="1934" w:type="dxa"/>
            <w:tcBorders>
              <w:top w:val="nil"/>
              <w:left w:val="nil"/>
              <w:bottom w:val="nil"/>
              <w:right w:val="single" w:sz="4" w:space="0" w:color="auto"/>
            </w:tcBorders>
            <w:shd w:val="clear" w:color="auto" w:fill="auto"/>
            <w:noWrap/>
            <w:vAlign w:val="bottom"/>
            <w:hideMark/>
          </w:tcPr>
          <w:p w14:paraId="2EFB0E6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34.3 </w:t>
            </w:r>
          </w:p>
        </w:tc>
      </w:tr>
      <w:tr w:rsidR="00E43679" w:rsidRPr="00E43679" w14:paraId="03D45D58"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FBFB3C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861C9D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A8A100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7D94E5C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440075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37658A5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4D79E6C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896533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1A02CA9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823788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3F155A9"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050D9B5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Total Staff Costs (including wages &amp; salaries)</w:t>
            </w:r>
          </w:p>
        </w:tc>
        <w:tc>
          <w:tcPr>
            <w:tcW w:w="828" w:type="dxa"/>
            <w:tcBorders>
              <w:top w:val="nil"/>
              <w:left w:val="single" w:sz="4" w:space="0" w:color="auto"/>
              <w:bottom w:val="nil"/>
              <w:right w:val="single" w:sz="4" w:space="0" w:color="auto"/>
            </w:tcBorders>
            <w:shd w:val="clear" w:color="auto" w:fill="auto"/>
            <w:noWrap/>
            <w:vAlign w:val="bottom"/>
            <w:hideMark/>
          </w:tcPr>
          <w:p w14:paraId="760E009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Notes</w:t>
            </w:r>
          </w:p>
        </w:tc>
        <w:tc>
          <w:tcPr>
            <w:tcW w:w="1657" w:type="dxa"/>
            <w:tcBorders>
              <w:top w:val="nil"/>
              <w:left w:val="nil"/>
              <w:bottom w:val="nil"/>
              <w:right w:val="nil"/>
            </w:tcBorders>
            <w:shd w:val="clear" w:color="auto" w:fill="auto"/>
            <w:noWrap/>
            <w:vAlign w:val="bottom"/>
            <w:hideMark/>
          </w:tcPr>
          <w:p w14:paraId="1238CD5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339.0 </w:t>
            </w:r>
          </w:p>
        </w:tc>
        <w:tc>
          <w:tcPr>
            <w:tcW w:w="1418" w:type="dxa"/>
            <w:tcBorders>
              <w:top w:val="nil"/>
              <w:left w:val="nil"/>
              <w:bottom w:val="nil"/>
              <w:right w:val="nil"/>
            </w:tcBorders>
            <w:shd w:val="clear" w:color="auto" w:fill="auto"/>
            <w:noWrap/>
            <w:vAlign w:val="bottom"/>
            <w:hideMark/>
          </w:tcPr>
          <w:p w14:paraId="28293BA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366.7 </w:t>
            </w:r>
          </w:p>
        </w:tc>
        <w:tc>
          <w:tcPr>
            <w:tcW w:w="1275" w:type="dxa"/>
            <w:tcBorders>
              <w:top w:val="nil"/>
              <w:left w:val="nil"/>
              <w:bottom w:val="nil"/>
              <w:right w:val="single" w:sz="4" w:space="0" w:color="auto"/>
            </w:tcBorders>
            <w:shd w:val="clear" w:color="auto" w:fill="auto"/>
            <w:noWrap/>
            <w:vAlign w:val="bottom"/>
            <w:hideMark/>
          </w:tcPr>
          <w:p w14:paraId="50E3058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336.3 </w:t>
            </w:r>
          </w:p>
        </w:tc>
        <w:tc>
          <w:tcPr>
            <w:tcW w:w="4453" w:type="dxa"/>
            <w:tcBorders>
              <w:top w:val="nil"/>
              <w:left w:val="nil"/>
              <w:bottom w:val="nil"/>
              <w:right w:val="nil"/>
            </w:tcBorders>
            <w:shd w:val="clear" w:color="auto" w:fill="auto"/>
            <w:noWrap/>
            <w:vAlign w:val="bottom"/>
            <w:hideMark/>
          </w:tcPr>
          <w:p w14:paraId="305725C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312.9 </w:t>
            </w:r>
          </w:p>
        </w:tc>
        <w:tc>
          <w:tcPr>
            <w:tcW w:w="1934" w:type="dxa"/>
            <w:tcBorders>
              <w:top w:val="nil"/>
              <w:left w:val="nil"/>
              <w:bottom w:val="nil"/>
              <w:right w:val="single" w:sz="4" w:space="0" w:color="auto"/>
            </w:tcBorders>
            <w:shd w:val="clear" w:color="auto" w:fill="auto"/>
            <w:noWrap/>
            <w:vAlign w:val="bottom"/>
            <w:hideMark/>
          </w:tcPr>
          <w:p w14:paraId="1A50AC5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330.9 </w:t>
            </w:r>
          </w:p>
        </w:tc>
      </w:tr>
      <w:tr w:rsidR="00E43679" w:rsidRPr="00E43679" w14:paraId="215539FC"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C70011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FE7DC1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2CF3A33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19C86F3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396021D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3800300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7A3EF8A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CD5C10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0F5C44A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1C36DB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E129559"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5D9E41F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Other Administrative expenses</w:t>
            </w:r>
          </w:p>
        </w:tc>
        <w:tc>
          <w:tcPr>
            <w:tcW w:w="2618" w:type="dxa"/>
            <w:tcBorders>
              <w:top w:val="nil"/>
              <w:left w:val="nil"/>
              <w:bottom w:val="nil"/>
              <w:right w:val="nil"/>
            </w:tcBorders>
            <w:shd w:val="clear" w:color="auto" w:fill="auto"/>
            <w:noWrap/>
            <w:vAlign w:val="bottom"/>
            <w:hideMark/>
          </w:tcPr>
          <w:p w14:paraId="1B55EDF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A96BD8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Notes</w:t>
            </w:r>
          </w:p>
        </w:tc>
        <w:tc>
          <w:tcPr>
            <w:tcW w:w="1657" w:type="dxa"/>
            <w:tcBorders>
              <w:top w:val="nil"/>
              <w:left w:val="nil"/>
              <w:bottom w:val="nil"/>
              <w:right w:val="nil"/>
            </w:tcBorders>
            <w:shd w:val="clear" w:color="auto" w:fill="auto"/>
            <w:noWrap/>
            <w:vAlign w:val="bottom"/>
            <w:hideMark/>
          </w:tcPr>
          <w:p w14:paraId="13F2932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923.4 </w:t>
            </w:r>
          </w:p>
        </w:tc>
        <w:tc>
          <w:tcPr>
            <w:tcW w:w="1418" w:type="dxa"/>
            <w:tcBorders>
              <w:top w:val="nil"/>
              <w:left w:val="nil"/>
              <w:bottom w:val="nil"/>
              <w:right w:val="nil"/>
            </w:tcBorders>
            <w:shd w:val="clear" w:color="auto" w:fill="auto"/>
            <w:noWrap/>
            <w:vAlign w:val="bottom"/>
            <w:hideMark/>
          </w:tcPr>
          <w:p w14:paraId="5C0328B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881.4 </w:t>
            </w:r>
          </w:p>
        </w:tc>
        <w:tc>
          <w:tcPr>
            <w:tcW w:w="1275" w:type="dxa"/>
            <w:tcBorders>
              <w:top w:val="nil"/>
              <w:left w:val="nil"/>
              <w:bottom w:val="nil"/>
              <w:right w:val="single" w:sz="4" w:space="0" w:color="auto"/>
            </w:tcBorders>
            <w:shd w:val="clear" w:color="auto" w:fill="auto"/>
            <w:noWrap/>
            <w:vAlign w:val="bottom"/>
            <w:hideMark/>
          </w:tcPr>
          <w:p w14:paraId="003DB22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850.8 </w:t>
            </w:r>
          </w:p>
        </w:tc>
        <w:tc>
          <w:tcPr>
            <w:tcW w:w="4453" w:type="dxa"/>
            <w:tcBorders>
              <w:top w:val="nil"/>
              <w:left w:val="nil"/>
              <w:bottom w:val="nil"/>
              <w:right w:val="nil"/>
            </w:tcBorders>
            <w:shd w:val="clear" w:color="auto" w:fill="auto"/>
            <w:noWrap/>
            <w:vAlign w:val="bottom"/>
            <w:hideMark/>
          </w:tcPr>
          <w:p w14:paraId="59E8221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877.8 </w:t>
            </w:r>
          </w:p>
        </w:tc>
        <w:tc>
          <w:tcPr>
            <w:tcW w:w="1934" w:type="dxa"/>
            <w:tcBorders>
              <w:top w:val="nil"/>
              <w:left w:val="nil"/>
              <w:bottom w:val="nil"/>
              <w:right w:val="single" w:sz="4" w:space="0" w:color="auto"/>
            </w:tcBorders>
            <w:shd w:val="clear" w:color="auto" w:fill="auto"/>
            <w:noWrap/>
            <w:vAlign w:val="bottom"/>
            <w:hideMark/>
          </w:tcPr>
          <w:p w14:paraId="39708E5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833.0 </w:t>
            </w:r>
          </w:p>
        </w:tc>
      </w:tr>
      <w:tr w:rsidR="00E43679" w:rsidRPr="00E43679" w14:paraId="4219E611"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9F8521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671551A"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24DABB1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7648F3E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67C1600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08E8DB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77DE974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15DEEF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7BA6127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D20103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0EE83C4"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769BF1D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NCFO (Net CashFlow from Operating Activities)</w:t>
            </w:r>
          </w:p>
        </w:tc>
        <w:tc>
          <w:tcPr>
            <w:tcW w:w="828" w:type="dxa"/>
            <w:tcBorders>
              <w:top w:val="nil"/>
              <w:left w:val="single" w:sz="4" w:space="0" w:color="auto"/>
              <w:bottom w:val="nil"/>
              <w:right w:val="single" w:sz="4" w:space="0" w:color="auto"/>
            </w:tcBorders>
            <w:shd w:val="clear" w:color="auto" w:fill="auto"/>
            <w:noWrap/>
            <w:vAlign w:val="bottom"/>
            <w:hideMark/>
          </w:tcPr>
          <w:p w14:paraId="5799B2E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657" w:type="dxa"/>
            <w:tcBorders>
              <w:top w:val="nil"/>
              <w:left w:val="nil"/>
              <w:bottom w:val="nil"/>
              <w:right w:val="nil"/>
            </w:tcBorders>
            <w:shd w:val="clear" w:color="auto" w:fill="auto"/>
            <w:noWrap/>
            <w:vAlign w:val="bottom"/>
            <w:hideMark/>
          </w:tcPr>
          <w:p w14:paraId="3E70194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290.1 </w:t>
            </w:r>
          </w:p>
        </w:tc>
        <w:tc>
          <w:tcPr>
            <w:tcW w:w="1418" w:type="dxa"/>
            <w:tcBorders>
              <w:top w:val="nil"/>
              <w:left w:val="nil"/>
              <w:bottom w:val="nil"/>
              <w:right w:val="nil"/>
            </w:tcBorders>
            <w:shd w:val="clear" w:color="auto" w:fill="auto"/>
            <w:noWrap/>
            <w:vAlign w:val="bottom"/>
            <w:hideMark/>
          </w:tcPr>
          <w:p w14:paraId="6D85E9A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265.9 </w:t>
            </w:r>
          </w:p>
        </w:tc>
        <w:tc>
          <w:tcPr>
            <w:tcW w:w="1275" w:type="dxa"/>
            <w:tcBorders>
              <w:top w:val="nil"/>
              <w:left w:val="nil"/>
              <w:bottom w:val="nil"/>
              <w:right w:val="single" w:sz="4" w:space="0" w:color="auto"/>
            </w:tcBorders>
            <w:shd w:val="clear" w:color="auto" w:fill="auto"/>
            <w:noWrap/>
            <w:vAlign w:val="bottom"/>
            <w:hideMark/>
          </w:tcPr>
          <w:p w14:paraId="4562262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300.9 </w:t>
            </w:r>
          </w:p>
        </w:tc>
        <w:tc>
          <w:tcPr>
            <w:tcW w:w="4453" w:type="dxa"/>
            <w:tcBorders>
              <w:top w:val="nil"/>
              <w:left w:val="nil"/>
              <w:bottom w:val="nil"/>
              <w:right w:val="nil"/>
            </w:tcBorders>
            <w:shd w:val="clear" w:color="auto" w:fill="auto"/>
            <w:noWrap/>
            <w:vAlign w:val="bottom"/>
            <w:hideMark/>
          </w:tcPr>
          <w:p w14:paraId="615E88B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368.2 </w:t>
            </w:r>
          </w:p>
        </w:tc>
        <w:tc>
          <w:tcPr>
            <w:tcW w:w="1934" w:type="dxa"/>
            <w:tcBorders>
              <w:top w:val="nil"/>
              <w:left w:val="nil"/>
              <w:bottom w:val="nil"/>
              <w:right w:val="single" w:sz="4" w:space="0" w:color="auto"/>
            </w:tcBorders>
            <w:shd w:val="clear" w:color="auto" w:fill="auto"/>
            <w:noWrap/>
            <w:vAlign w:val="bottom"/>
            <w:hideMark/>
          </w:tcPr>
          <w:p w14:paraId="02AF0F6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267.6 </w:t>
            </w:r>
          </w:p>
        </w:tc>
      </w:tr>
      <w:tr w:rsidR="00E43679" w:rsidRPr="00E43679" w14:paraId="133991D7"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2941A32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Cash Flow from Operations</w:t>
            </w:r>
          </w:p>
        </w:tc>
        <w:tc>
          <w:tcPr>
            <w:tcW w:w="2618" w:type="dxa"/>
            <w:tcBorders>
              <w:top w:val="nil"/>
              <w:left w:val="nil"/>
              <w:bottom w:val="nil"/>
              <w:right w:val="nil"/>
            </w:tcBorders>
            <w:shd w:val="clear" w:color="auto" w:fill="auto"/>
            <w:noWrap/>
            <w:vAlign w:val="bottom"/>
            <w:hideMark/>
          </w:tcPr>
          <w:p w14:paraId="561D4C23"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3CFEB84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657" w:type="dxa"/>
            <w:tcBorders>
              <w:top w:val="nil"/>
              <w:left w:val="nil"/>
              <w:bottom w:val="nil"/>
              <w:right w:val="nil"/>
            </w:tcBorders>
            <w:shd w:val="clear" w:color="auto" w:fill="auto"/>
            <w:noWrap/>
            <w:vAlign w:val="bottom"/>
            <w:hideMark/>
          </w:tcPr>
          <w:p w14:paraId="12F136C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354.8 </w:t>
            </w:r>
          </w:p>
        </w:tc>
        <w:tc>
          <w:tcPr>
            <w:tcW w:w="1418" w:type="dxa"/>
            <w:tcBorders>
              <w:top w:val="nil"/>
              <w:left w:val="nil"/>
              <w:bottom w:val="nil"/>
              <w:right w:val="nil"/>
            </w:tcBorders>
            <w:shd w:val="clear" w:color="auto" w:fill="auto"/>
            <w:noWrap/>
            <w:vAlign w:val="bottom"/>
            <w:hideMark/>
          </w:tcPr>
          <w:p w14:paraId="4ACFD4E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335.6 </w:t>
            </w:r>
          </w:p>
        </w:tc>
        <w:tc>
          <w:tcPr>
            <w:tcW w:w="1275" w:type="dxa"/>
            <w:tcBorders>
              <w:top w:val="nil"/>
              <w:left w:val="nil"/>
              <w:bottom w:val="nil"/>
              <w:right w:val="single" w:sz="4" w:space="0" w:color="auto"/>
            </w:tcBorders>
            <w:shd w:val="clear" w:color="auto" w:fill="auto"/>
            <w:noWrap/>
            <w:vAlign w:val="bottom"/>
            <w:hideMark/>
          </w:tcPr>
          <w:p w14:paraId="22275C8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380.3 </w:t>
            </w:r>
          </w:p>
        </w:tc>
        <w:tc>
          <w:tcPr>
            <w:tcW w:w="4453" w:type="dxa"/>
            <w:tcBorders>
              <w:top w:val="nil"/>
              <w:left w:val="nil"/>
              <w:bottom w:val="nil"/>
              <w:right w:val="nil"/>
            </w:tcBorders>
            <w:shd w:val="clear" w:color="auto" w:fill="auto"/>
            <w:noWrap/>
            <w:vAlign w:val="bottom"/>
            <w:hideMark/>
          </w:tcPr>
          <w:p w14:paraId="5B14E91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446.3 </w:t>
            </w:r>
          </w:p>
        </w:tc>
        <w:tc>
          <w:tcPr>
            <w:tcW w:w="1934" w:type="dxa"/>
            <w:tcBorders>
              <w:top w:val="nil"/>
              <w:left w:val="nil"/>
              <w:bottom w:val="nil"/>
              <w:right w:val="single" w:sz="4" w:space="0" w:color="auto"/>
            </w:tcBorders>
            <w:shd w:val="clear" w:color="auto" w:fill="auto"/>
            <w:noWrap/>
            <w:vAlign w:val="bottom"/>
            <w:hideMark/>
          </w:tcPr>
          <w:p w14:paraId="4C3E75C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364.8 </w:t>
            </w:r>
          </w:p>
        </w:tc>
      </w:tr>
      <w:tr w:rsidR="00E43679" w:rsidRPr="00E43679" w14:paraId="663C49B2"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29C953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C15039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D38BDC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04D5856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E6AF7D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38B1C00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1620A1B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CE9974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285DE49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35179F0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6522CF2"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1E42B6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Tax Paid</w:t>
            </w:r>
          </w:p>
        </w:tc>
        <w:tc>
          <w:tcPr>
            <w:tcW w:w="266" w:type="dxa"/>
            <w:tcBorders>
              <w:top w:val="nil"/>
              <w:left w:val="nil"/>
              <w:bottom w:val="nil"/>
              <w:right w:val="nil"/>
            </w:tcBorders>
            <w:shd w:val="clear" w:color="auto" w:fill="auto"/>
            <w:noWrap/>
            <w:vAlign w:val="bottom"/>
            <w:hideMark/>
          </w:tcPr>
          <w:p w14:paraId="1962AE7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9CB079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7CEEB37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6C68FD5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657" w:type="dxa"/>
            <w:tcBorders>
              <w:top w:val="nil"/>
              <w:left w:val="nil"/>
              <w:bottom w:val="nil"/>
              <w:right w:val="nil"/>
            </w:tcBorders>
            <w:shd w:val="clear" w:color="auto" w:fill="auto"/>
            <w:noWrap/>
            <w:vAlign w:val="bottom"/>
            <w:hideMark/>
          </w:tcPr>
          <w:p w14:paraId="12CC6D6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28.4 </w:t>
            </w:r>
          </w:p>
        </w:tc>
        <w:tc>
          <w:tcPr>
            <w:tcW w:w="1418" w:type="dxa"/>
            <w:tcBorders>
              <w:top w:val="nil"/>
              <w:left w:val="nil"/>
              <w:bottom w:val="nil"/>
              <w:right w:val="nil"/>
            </w:tcBorders>
            <w:shd w:val="clear" w:color="auto" w:fill="auto"/>
            <w:noWrap/>
            <w:vAlign w:val="bottom"/>
            <w:hideMark/>
          </w:tcPr>
          <w:p w14:paraId="478D6D5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24.6 </w:t>
            </w:r>
          </w:p>
        </w:tc>
        <w:tc>
          <w:tcPr>
            <w:tcW w:w="1275" w:type="dxa"/>
            <w:tcBorders>
              <w:top w:val="nil"/>
              <w:left w:val="nil"/>
              <w:bottom w:val="nil"/>
              <w:right w:val="single" w:sz="4" w:space="0" w:color="auto"/>
            </w:tcBorders>
            <w:shd w:val="clear" w:color="auto" w:fill="auto"/>
            <w:noWrap/>
            <w:vAlign w:val="bottom"/>
            <w:hideMark/>
          </w:tcPr>
          <w:p w14:paraId="17A9996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39.4 </w:t>
            </w:r>
          </w:p>
        </w:tc>
        <w:tc>
          <w:tcPr>
            <w:tcW w:w="4453" w:type="dxa"/>
            <w:tcBorders>
              <w:top w:val="nil"/>
              <w:left w:val="nil"/>
              <w:bottom w:val="nil"/>
              <w:right w:val="nil"/>
            </w:tcBorders>
            <w:shd w:val="clear" w:color="auto" w:fill="auto"/>
            <w:noWrap/>
            <w:vAlign w:val="bottom"/>
            <w:hideMark/>
          </w:tcPr>
          <w:p w14:paraId="606EA74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34.5 </w:t>
            </w:r>
          </w:p>
        </w:tc>
        <w:tc>
          <w:tcPr>
            <w:tcW w:w="1934" w:type="dxa"/>
            <w:tcBorders>
              <w:top w:val="nil"/>
              <w:left w:val="nil"/>
              <w:bottom w:val="nil"/>
              <w:right w:val="single" w:sz="4" w:space="0" w:color="auto"/>
            </w:tcBorders>
            <w:shd w:val="clear" w:color="auto" w:fill="auto"/>
            <w:noWrap/>
            <w:vAlign w:val="bottom"/>
            <w:hideMark/>
          </w:tcPr>
          <w:p w14:paraId="10137A9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55.9 </w:t>
            </w:r>
          </w:p>
        </w:tc>
      </w:tr>
      <w:tr w:rsidR="00E43679" w:rsidRPr="00E43679" w14:paraId="304144F4"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29932E0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Dividends Paid</w:t>
            </w:r>
          </w:p>
        </w:tc>
        <w:tc>
          <w:tcPr>
            <w:tcW w:w="286" w:type="dxa"/>
            <w:tcBorders>
              <w:top w:val="nil"/>
              <w:left w:val="nil"/>
              <w:bottom w:val="nil"/>
              <w:right w:val="nil"/>
            </w:tcBorders>
            <w:shd w:val="clear" w:color="auto" w:fill="auto"/>
            <w:noWrap/>
            <w:vAlign w:val="bottom"/>
            <w:hideMark/>
          </w:tcPr>
          <w:p w14:paraId="0E5ACFB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4CE05AC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6076B5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657" w:type="dxa"/>
            <w:tcBorders>
              <w:top w:val="nil"/>
              <w:left w:val="nil"/>
              <w:bottom w:val="nil"/>
              <w:right w:val="nil"/>
            </w:tcBorders>
            <w:shd w:val="clear" w:color="auto" w:fill="auto"/>
            <w:noWrap/>
            <w:vAlign w:val="bottom"/>
            <w:hideMark/>
          </w:tcPr>
          <w:p w14:paraId="75ACF94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108.1 </w:t>
            </w:r>
          </w:p>
        </w:tc>
        <w:tc>
          <w:tcPr>
            <w:tcW w:w="1418" w:type="dxa"/>
            <w:tcBorders>
              <w:top w:val="nil"/>
              <w:left w:val="nil"/>
              <w:bottom w:val="nil"/>
              <w:right w:val="nil"/>
            </w:tcBorders>
            <w:shd w:val="clear" w:color="auto" w:fill="auto"/>
            <w:noWrap/>
            <w:vAlign w:val="bottom"/>
            <w:hideMark/>
          </w:tcPr>
          <w:p w14:paraId="07E35C5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109.0 </w:t>
            </w:r>
          </w:p>
        </w:tc>
        <w:tc>
          <w:tcPr>
            <w:tcW w:w="1275" w:type="dxa"/>
            <w:tcBorders>
              <w:top w:val="nil"/>
              <w:left w:val="nil"/>
              <w:bottom w:val="nil"/>
              <w:right w:val="single" w:sz="4" w:space="0" w:color="auto"/>
            </w:tcBorders>
            <w:shd w:val="clear" w:color="auto" w:fill="auto"/>
            <w:noWrap/>
            <w:vAlign w:val="bottom"/>
            <w:hideMark/>
          </w:tcPr>
          <w:p w14:paraId="3859C60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108.4 </w:t>
            </w:r>
          </w:p>
        </w:tc>
        <w:tc>
          <w:tcPr>
            <w:tcW w:w="4453" w:type="dxa"/>
            <w:tcBorders>
              <w:top w:val="nil"/>
              <w:left w:val="nil"/>
              <w:bottom w:val="nil"/>
              <w:right w:val="nil"/>
            </w:tcBorders>
            <w:shd w:val="clear" w:color="auto" w:fill="auto"/>
            <w:noWrap/>
            <w:vAlign w:val="bottom"/>
            <w:hideMark/>
          </w:tcPr>
          <w:p w14:paraId="670EC74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104.0 </w:t>
            </w:r>
          </w:p>
        </w:tc>
        <w:tc>
          <w:tcPr>
            <w:tcW w:w="1934" w:type="dxa"/>
            <w:tcBorders>
              <w:top w:val="nil"/>
              <w:left w:val="nil"/>
              <w:bottom w:val="nil"/>
              <w:right w:val="single" w:sz="4" w:space="0" w:color="auto"/>
            </w:tcBorders>
            <w:shd w:val="clear" w:color="auto" w:fill="auto"/>
            <w:noWrap/>
            <w:vAlign w:val="bottom"/>
            <w:hideMark/>
          </w:tcPr>
          <w:p w14:paraId="3CFF7BE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87.1 </w:t>
            </w:r>
          </w:p>
        </w:tc>
      </w:tr>
      <w:tr w:rsidR="00E43679" w:rsidRPr="00E43679" w14:paraId="662B73E1"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52FF1E0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lastRenderedPageBreak/>
              <w:t>Interest Paid</w:t>
            </w:r>
          </w:p>
        </w:tc>
        <w:tc>
          <w:tcPr>
            <w:tcW w:w="286" w:type="dxa"/>
            <w:tcBorders>
              <w:top w:val="nil"/>
              <w:left w:val="nil"/>
              <w:bottom w:val="nil"/>
              <w:right w:val="nil"/>
            </w:tcBorders>
            <w:shd w:val="clear" w:color="auto" w:fill="auto"/>
            <w:noWrap/>
            <w:vAlign w:val="bottom"/>
            <w:hideMark/>
          </w:tcPr>
          <w:p w14:paraId="202FE72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68C2CF1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4900AC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657" w:type="dxa"/>
            <w:tcBorders>
              <w:top w:val="nil"/>
              <w:left w:val="nil"/>
              <w:bottom w:val="nil"/>
              <w:right w:val="nil"/>
            </w:tcBorders>
            <w:shd w:val="clear" w:color="auto" w:fill="auto"/>
            <w:noWrap/>
            <w:vAlign w:val="bottom"/>
            <w:hideMark/>
          </w:tcPr>
          <w:p w14:paraId="74FAA1E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36.3 </w:t>
            </w:r>
          </w:p>
        </w:tc>
        <w:tc>
          <w:tcPr>
            <w:tcW w:w="1418" w:type="dxa"/>
            <w:tcBorders>
              <w:top w:val="nil"/>
              <w:left w:val="nil"/>
              <w:bottom w:val="nil"/>
              <w:right w:val="nil"/>
            </w:tcBorders>
            <w:shd w:val="clear" w:color="auto" w:fill="auto"/>
            <w:noWrap/>
            <w:vAlign w:val="bottom"/>
            <w:hideMark/>
          </w:tcPr>
          <w:p w14:paraId="4E21EF7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45.1 </w:t>
            </w:r>
          </w:p>
        </w:tc>
        <w:tc>
          <w:tcPr>
            <w:tcW w:w="1275" w:type="dxa"/>
            <w:tcBorders>
              <w:top w:val="nil"/>
              <w:left w:val="nil"/>
              <w:bottom w:val="nil"/>
              <w:right w:val="single" w:sz="4" w:space="0" w:color="auto"/>
            </w:tcBorders>
            <w:shd w:val="clear" w:color="auto" w:fill="auto"/>
            <w:noWrap/>
            <w:vAlign w:val="bottom"/>
            <w:hideMark/>
          </w:tcPr>
          <w:p w14:paraId="06EB715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40.0 </w:t>
            </w:r>
          </w:p>
        </w:tc>
        <w:tc>
          <w:tcPr>
            <w:tcW w:w="4453" w:type="dxa"/>
            <w:tcBorders>
              <w:top w:val="nil"/>
              <w:left w:val="nil"/>
              <w:bottom w:val="nil"/>
              <w:right w:val="nil"/>
            </w:tcBorders>
            <w:shd w:val="clear" w:color="auto" w:fill="auto"/>
            <w:noWrap/>
            <w:vAlign w:val="bottom"/>
            <w:hideMark/>
          </w:tcPr>
          <w:p w14:paraId="116794F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43.6 </w:t>
            </w:r>
          </w:p>
        </w:tc>
        <w:tc>
          <w:tcPr>
            <w:tcW w:w="1934" w:type="dxa"/>
            <w:tcBorders>
              <w:top w:val="nil"/>
              <w:left w:val="nil"/>
              <w:bottom w:val="nil"/>
              <w:right w:val="single" w:sz="4" w:space="0" w:color="auto"/>
            </w:tcBorders>
            <w:shd w:val="clear" w:color="auto" w:fill="auto"/>
            <w:noWrap/>
            <w:vAlign w:val="bottom"/>
            <w:hideMark/>
          </w:tcPr>
          <w:p w14:paraId="4DCA54F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41.3 </w:t>
            </w:r>
          </w:p>
        </w:tc>
      </w:tr>
      <w:tr w:rsidR="00E43679" w:rsidRPr="00E43679" w14:paraId="3744FD7B"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2C09764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Merger Fee</w:t>
            </w:r>
          </w:p>
        </w:tc>
        <w:tc>
          <w:tcPr>
            <w:tcW w:w="286" w:type="dxa"/>
            <w:tcBorders>
              <w:top w:val="nil"/>
              <w:left w:val="nil"/>
              <w:bottom w:val="nil"/>
              <w:right w:val="nil"/>
            </w:tcBorders>
            <w:shd w:val="clear" w:color="auto" w:fill="auto"/>
            <w:noWrap/>
            <w:vAlign w:val="bottom"/>
            <w:hideMark/>
          </w:tcPr>
          <w:p w14:paraId="020A443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5EE829C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B97A6C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657" w:type="dxa"/>
            <w:tcBorders>
              <w:top w:val="nil"/>
              <w:left w:val="nil"/>
              <w:bottom w:val="nil"/>
              <w:right w:val="nil"/>
            </w:tcBorders>
            <w:shd w:val="clear" w:color="auto" w:fill="auto"/>
            <w:noWrap/>
            <w:vAlign w:val="bottom"/>
            <w:hideMark/>
          </w:tcPr>
          <w:p w14:paraId="53E668A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418" w:type="dxa"/>
            <w:tcBorders>
              <w:top w:val="nil"/>
              <w:left w:val="nil"/>
              <w:bottom w:val="nil"/>
              <w:right w:val="nil"/>
            </w:tcBorders>
            <w:shd w:val="clear" w:color="auto" w:fill="auto"/>
            <w:noWrap/>
            <w:vAlign w:val="bottom"/>
            <w:hideMark/>
          </w:tcPr>
          <w:p w14:paraId="49499D4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275" w:type="dxa"/>
            <w:tcBorders>
              <w:top w:val="nil"/>
              <w:left w:val="nil"/>
              <w:bottom w:val="nil"/>
              <w:right w:val="single" w:sz="4" w:space="0" w:color="auto"/>
            </w:tcBorders>
            <w:shd w:val="clear" w:color="auto" w:fill="auto"/>
            <w:noWrap/>
            <w:vAlign w:val="bottom"/>
            <w:hideMark/>
          </w:tcPr>
          <w:p w14:paraId="2823284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4453" w:type="dxa"/>
            <w:tcBorders>
              <w:top w:val="nil"/>
              <w:left w:val="nil"/>
              <w:bottom w:val="nil"/>
              <w:right w:val="nil"/>
            </w:tcBorders>
            <w:shd w:val="clear" w:color="auto" w:fill="auto"/>
            <w:noWrap/>
            <w:vAlign w:val="bottom"/>
            <w:hideMark/>
          </w:tcPr>
          <w:p w14:paraId="67CDC95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934" w:type="dxa"/>
            <w:tcBorders>
              <w:top w:val="nil"/>
              <w:left w:val="nil"/>
              <w:bottom w:val="nil"/>
              <w:right w:val="single" w:sz="4" w:space="0" w:color="auto"/>
            </w:tcBorders>
            <w:shd w:val="clear" w:color="auto" w:fill="auto"/>
            <w:noWrap/>
            <w:vAlign w:val="bottom"/>
            <w:hideMark/>
          </w:tcPr>
          <w:p w14:paraId="5CB217B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r>
      <w:tr w:rsidR="00E43679" w:rsidRPr="00E43679" w14:paraId="5D94FA9F"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6CBD396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Proceeds from issue of new shares</w:t>
            </w:r>
          </w:p>
        </w:tc>
        <w:tc>
          <w:tcPr>
            <w:tcW w:w="2618" w:type="dxa"/>
            <w:tcBorders>
              <w:top w:val="nil"/>
              <w:left w:val="nil"/>
              <w:bottom w:val="nil"/>
              <w:right w:val="nil"/>
            </w:tcBorders>
            <w:shd w:val="clear" w:color="auto" w:fill="auto"/>
            <w:noWrap/>
            <w:vAlign w:val="bottom"/>
            <w:hideMark/>
          </w:tcPr>
          <w:p w14:paraId="324F85C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FCBCBA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657" w:type="dxa"/>
            <w:tcBorders>
              <w:top w:val="nil"/>
              <w:left w:val="nil"/>
              <w:bottom w:val="nil"/>
              <w:right w:val="nil"/>
            </w:tcBorders>
            <w:shd w:val="clear" w:color="auto" w:fill="auto"/>
            <w:noWrap/>
            <w:vAlign w:val="bottom"/>
            <w:hideMark/>
          </w:tcPr>
          <w:p w14:paraId="3851A86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0.1 </w:t>
            </w:r>
          </w:p>
        </w:tc>
        <w:tc>
          <w:tcPr>
            <w:tcW w:w="1418" w:type="dxa"/>
            <w:tcBorders>
              <w:top w:val="nil"/>
              <w:left w:val="nil"/>
              <w:bottom w:val="nil"/>
              <w:right w:val="nil"/>
            </w:tcBorders>
            <w:shd w:val="clear" w:color="auto" w:fill="auto"/>
            <w:noWrap/>
            <w:vAlign w:val="bottom"/>
            <w:hideMark/>
          </w:tcPr>
          <w:p w14:paraId="2FB566B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1.3 </w:t>
            </w:r>
          </w:p>
        </w:tc>
        <w:tc>
          <w:tcPr>
            <w:tcW w:w="1275" w:type="dxa"/>
            <w:tcBorders>
              <w:top w:val="nil"/>
              <w:left w:val="nil"/>
              <w:bottom w:val="nil"/>
              <w:right w:val="single" w:sz="4" w:space="0" w:color="auto"/>
            </w:tcBorders>
            <w:shd w:val="clear" w:color="auto" w:fill="auto"/>
            <w:noWrap/>
            <w:vAlign w:val="bottom"/>
            <w:hideMark/>
          </w:tcPr>
          <w:p w14:paraId="5D32F77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3.6 </w:t>
            </w:r>
          </w:p>
        </w:tc>
        <w:tc>
          <w:tcPr>
            <w:tcW w:w="4453" w:type="dxa"/>
            <w:tcBorders>
              <w:top w:val="nil"/>
              <w:left w:val="nil"/>
              <w:bottom w:val="nil"/>
              <w:right w:val="nil"/>
            </w:tcBorders>
            <w:shd w:val="clear" w:color="auto" w:fill="auto"/>
            <w:noWrap/>
            <w:vAlign w:val="bottom"/>
            <w:hideMark/>
          </w:tcPr>
          <w:p w14:paraId="074B65E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2.7 </w:t>
            </w:r>
          </w:p>
        </w:tc>
        <w:tc>
          <w:tcPr>
            <w:tcW w:w="1934" w:type="dxa"/>
            <w:tcBorders>
              <w:top w:val="nil"/>
              <w:left w:val="nil"/>
              <w:bottom w:val="nil"/>
              <w:right w:val="single" w:sz="4" w:space="0" w:color="auto"/>
            </w:tcBorders>
            <w:shd w:val="clear" w:color="auto" w:fill="auto"/>
            <w:noWrap/>
            <w:vAlign w:val="bottom"/>
            <w:hideMark/>
          </w:tcPr>
          <w:p w14:paraId="7291C73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386.1 </w:t>
            </w:r>
          </w:p>
        </w:tc>
      </w:tr>
      <w:tr w:rsidR="00E43679" w:rsidRPr="00E43679" w14:paraId="3DCCF77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75F9E0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A3E141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A965E6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25B03BE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4F8013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69544A9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61BE5CF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F0269D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7AA2663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3375BE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72F2292"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B3F896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F87B63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246769C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2E51B76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FF6E36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D7DFA1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34EF6BB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00429E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1AC7E49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01989F9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E97EFA7"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464E162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Non Current Assets</w:t>
            </w:r>
          </w:p>
        </w:tc>
        <w:tc>
          <w:tcPr>
            <w:tcW w:w="286" w:type="dxa"/>
            <w:tcBorders>
              <w:top w:val="nil"/>
              <w:left w:val="nil"/>
              <w:bottom w:val="nil"/>
              <w:right w:val="nil"/>
            </w:tcBorders>
            <w:shd w:val="clear" w:color="auto" w:fill="auto"/>
            <w:noWrap/>
            <w:vAlign w:val="bottom"/>
            <w:hideMark/>
          </w:tcPr>
          <w:p w14:paraId="3CB4B6AD"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7BD0E2E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79D08B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7E641DD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1,968.6 </w:t>
            </w:r>
          </w:p>
        </w:tc>
        <w:tc>
          <w:tcPr>
            <w:tcW w:w="1418" w:type="dxa"/>
            <w:tcBorders>
              <w:top w:val="nil"/>
              <w:left w:val="nil"/>
              <w:bottom w:val="nil"/>
              <w:right w:val="nil"/>
            </w:tcBorders>
            <w:shd w:val="clear" w:color="auto" w:fill="auto"/>
            <w:noWrap/>
            <w:vAlign w:val="bottom"/>
            <w:hideMark/>
          </w:tcPr>
          <w:p w14:paraId="61D96DE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2,151.0 </w:t>
            </w:r>
          </w:p>
        </w:tc>
        <w:tc>
          <w:tcPr>
            <w:tcW w:w="1275" w:type="dxa"/>
            <w:tcBorders>
              <w:top w:val="nil"/>
              <w:left w:val="nil"/>
              <w:bottom w:val="nil"/>
              <w:right w:val="single" w:sz="4" w:space="0" w:color="auto"/>
            </w:tcBorders>
            <w:shd w:val="clear" w:color="auto" w:fill="auto"/>
            <w:noWrap/>
            <w:vAlign w:val="bottom"/>
            <w:hideMark/>
          </w:tcPr>
          <w:p w14:paraId="6D5A757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2,003.8 </w:t>
            </w:r>
          </w:p>
        </w:tc>
        <w:tc>
          <w:tcPr>
            <w:tcW w:w="4453" w:type="dxa"/>
            <w:tcBorders>
              <w:top w:val="nil"/>
              <w:left w:val="nil"/>
              <w:bottom w:val="nil"/>
              <w:right w:val="nil"/>
            </w:tcBorders>
            <w:shd w:val="clear" w:color="auto" w:fill="auto"/>
            <w:noWrap/>
            <w:vAlign w:val="bottom"/>
            <w:hideMark/>
          </w:tcPr>
          <w:p w14:paraId="4259065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2,098.4 </w:t>
            </w:r>
          </w:p>
        </w:tc>
        <w:tc>
          <w:tcPr>
            <w:tcW w:w="1934" w:type="dxa"/>
            <w:tcBorders>
              <w:top w:val="nil"/>
              <w:left w:val="nil"/>
              <w:bottom w:val="nil"/>
              <w:right w:val="single" w:sz="4" w:space="0" w:color="auto"/>
            </w:tcBorders>
            <w:shd w:val="clear" w:color="auto" w:fill="auto"/>
            <w:noWrap/>
            <w:vAlign w:val="bottom"/>
            <w:hideMark/>
          </w:tcPr>
          <w:p w14:paraId="6C54DC6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2,141.2 </w:t>
            </w:r>
          </w:p>
        </w:tc>
      </w:tr>
      <w:tr w:rsidR="00E43679" w:rsidRPr="00E43679" w14:paraId="30884245"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5D18EF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3659303"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AC59D7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3A3629E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AF371B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785D722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33F1671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F0C88E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2EEC5AC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3C62ACB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AF7DE3E"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7663127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Cash &amp; Cash Equivalents</w:t>
            </w:r>
          </w:p>
        </w:tc>
        <w:tc>
          <w:tcPr>
            <w:tcW w:w="2618" w:type="dxa"/>
            <w:tcBorders>
              <w:top w:val="nil"/>
              <w:left w:val="nil"/>
              <w:bottom w:val="nil"/>
              <w:right w:val="nil"/>
            </w:tcBorders>
            <w:shd w:val="clear" w:color="auto" w:fill="auto"/>
            <w:noWrap/>
            <w:vAlign w:val="bottom"/>
            <w:hideMark/>
          </w:tcPr>
          <w:p w14:paraId="51C8C21D"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DCBACA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29AC300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317.0 </w:t>
            </w:r>
          </w:p>
        </w:tc>
        <w:tc>
          <w:tcPr>
            <w:tcW w:w="1418" w:type="dxa"/>
            <w:tcBorders>
              <w:top w:val="nil"/>
              <w:left w:val="nil"/>
              <w:bottom w:val="nil"/>
              <w:right w:val="nil"/>
            </w:tcBorders>
            <w:shd w:val="clear" w:color="auto" w:fill="auto"/>
            <w:noWrap/>
            <w:vAlign w:val="bottom"/>
            <w:hideMark/>
          </w:tcPr>
          <w:p w14:paraId="4DBB6BD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215.5 </w:t>
            </w:r>
          </w:p>
        </w:tc>
        <w:tc>
          <w:tcPr>
            <w:tcW w:w="1275" w:type="dxa"/>
            <w:tcBorders>
              <w:top w:val="nil"/>
              <w:left w:val="nil"/>
              <w:bottom w:val="nil"/>
              <w:right w:val="single" w:sz="4" w:space="0" w:color="auto"/>
            </w:tcBorders>
            <w:shd w:val="clear" w:color="auto" w:fill="auto"/>
            <w:noWrap/>
            <w:vAlign w:val="bottom"/>
            <w:hideMark/>
          </w:tcPr>
          <w:p w14:paraId="2A23DA4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282.1 </w:t>
            </w:r>
          </w:p>
        </w:tc>
        <w:tc>
          <w:tcPr>
            <w:tcW w:w="4453" w:type="dxa"/>
            <w:tcBorders>
              <w:top w:val="nil"/>
              <w:left w:val="nil"/>
              <w:bottom w:val="nil"/>
              <w:right w:val="nil"/>
            </w:tcBorders>
            <w:shd w:val="clear" w:color="auto" w:fill="auto"/>
            <w:noWrap/>
            <w:vAlign w:val="bottom"/>
            <w:hideMark/>
          </w:tcPr>
          <w:p w14:paraId="3C7A068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222.1 </w:t>
            </w:r>
          </w:p>
        </w:tc>
        <w:tc>
          <w:tcPr>
            <w:tcW w:w="1934" w:type="dxa"/>
            <w:tcBorders>
              <w:top w:val="nil"/>
              <w:left w:val="nil"/>
              <w:bottom w:val="nil"/>
              <w:right w:val="single" w:sz="4" w:space="0" w:color="auto"/>
            </w:tcBorders>
            <w:shd w:val="clear" w:color="auto" w:fill="auto"/>
            <w:noWrap/>
            <w:vAlign w:val="bottom"/>
            <w:hideMark/>
          </w:tcPr>
          <w:p w14:paraId="305A158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206.7 </w:t>
            </w:r>
          </w:p>
        </w:tc>
      </w:tr>
      <w:tr w:rsidR="00E43679" w:rsidRPr="00E43679" w14:paraId="26B6F394"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215A4F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366C3FD"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4879B17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7F99826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3F2BE23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19302B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4FDC2E6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CECEBE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823BA0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DA3F9E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F1D99DA"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53AB346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Current Assets</w:t>
            </w:r>
          </w:p>
        </w:tc>
        <w:tc>
          <w:tcPr>
            <w:tcW w:w="286" w:type="dxa"/>
            <w:tcBorders>
              <w:top w:val="nil"/>
              <w:left w:val="nil"/>
              <w:bottom w:val="nil"/>
              <w:right w:val="nil"/>
            </w:tcBorders>
            <w:shd w:val="clear" w:color="auto" w:fill="auto"/>
            <w:noWrap/>
            <w:vAlign w:val="bottom"/>
            <w:hideMark/>
          </w:tcPr>
          <w:p w14:paraId="6A054F3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68BDEDD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95A35A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74C9651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393.4 </w:t>
            </w:r>
          </w:p>
        </w:tc>
        <w:tc>
          <w:tcPr>
            <w:tcW w:w="1418" w:type="dxa"/>
            <w:tcBorders>
              <w:top w:val="nil"/>
              <w:left w:val="nil"/>
              <w:bottom w:val="nil"/>
              <w:right w:val="nil"/>
            </w:tcBorders>
            <w:shd w:val="clear" w:color="auto" w:fill="auto"/>
            <w:noWrap/>
            <w:vAlign w:val="bottom"/>
            <w:hideMark/>
          </w:tcPr>
          <w:p w14:paraId="6D38153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291.7 </w:t>
            </w:r>
          </w:p>
        </w:tc>
        <w:tc>
          <w:tcPr>
            <w:tcW w:w="1275" w:type="dxa"/>
            <w:tcBorders>
              <w:top w:val="nil"/>
              <w:left w:val="nil"/>
              <w:bottom w:val="nil"/>
              <w:right w:val="single" w:sz="4" w:space="0" w:color="auto"/>
            </w:tcBorders>
            <w:shd w:val="clear" w:color="auto" w:fill="auto"/>
            <w:noWrap/>
            <w:vAlign w:val="bottom"/>
            <w:hideMark/>
          </w:tcPr>
          <w:p w14:paraId="1B93EF5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342.9 </w:t>
            </w:r>
          </w:p>
        </w:tc>
        <w:tc>
          <w:tcPr>
            <w:tcW w:w="4453" w:type="dxa"/>
            <w:tcBorders>
              <w:top w:val="nil"/>
              <w:left w:val="nil"/>
              <w:bottom w:val="nil"/>
              <w:right w:val="nil"/>
            </w:tcBorders>
            <w:shd w:val="clear" w:color="auto" w:fill="auto"/>
            <w:noWrap/>
            <w:vAlign w:val="bottom"/>
            <w:hideMark/>
          </w:tcPr>
          <w:p w14:paraId="15510A1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282.2 </w:t>
            </w:r>
          </w:p>
        </w:tc>
        <w:tc>
          <w:tcPr>
            <w:tcW w:w="1934" w:type="dxa"/>
            <w:tcBorders>
              <w:top w:val="nil"/>
              <w:left w:val="nil"/>
              <w:bottom w:val="nil"/>
              <w:right w:val="single" w:sz="4" w:space="0" w:color="auto"/>
            </w:tcBorders>
            <w:shd w:val="clear" w:color="auto" w:fill="auto"/>
            <w:noWrap/>
            <w:vAlign w:val="bottom"/>
            <w:hideMark/>
          </w:tcPr>
          <w:p w14:paraId="60FDAE8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272.7 </w:t>
            </w:r>
          </w:p>
        </w:tc>
      </w:tr>
      <w:tr w:rsidR="00E43679" w:rsidRPr="00E43679" w14:paraId="0F254392"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2DA4497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2A32B1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8B877B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77D6162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6B1BB79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21601B1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7EFD04F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BB48B5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68525C2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3AA60BF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ECEE2A4"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239DE6C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Assets</w:t>
            </w:r>
          </w:p>
        </w:tc>
        <w:tc>
          <w:tcPr>
            <w:tcW w:w="286" w:type="dxa"/>
            <w:tcBorders>
              <w:top w:val="nil"/>
              <w:left w:val="nil"/>
              <w:bottom w:val="nil"/>
              <w:right w:val="nil"/>
            </w:tcBorders>
            <w:shd w:val="clear" w:color="auto" w:fill="auto"/>
            <w:noWrap/>
            <w:vAlign w:val="bottom"/>
            <w:hideMark/>
          </w:tcPr>
          <w:p w14:paraId="7BABE0C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0BDADC6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6646388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2EF470F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2,362.0 </w:t>
            </w:r>
          </w:p>
        </w:tc>
        <w:tc>
          <w:tcPr>
            <w:tcW w:w="1418" w:type="dxa"/>
            <w:tcBorders>
              <w:top w:val="nil"/>
              <w:left w:val="nil"/>
              <w:bottom w:val="nil"/>
              <w:right w:val="nil"/>
            </w:tcBorders>
            <w:shd w:val="clear" w:color="auto" w:fill="auto"/>
            <w:noWrap/>
            <w:vAlign w:val="bottom"/>
            <w:hideMark/>
          </w:tcPr>
          <w:p w14:paraId="729E4AE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2,442.7 </w:t>
            </w:r>
          </w:p>
        </w:tc>
        <w:tc>
          <w:tcPr>
            <w:tcW w:w="1275" w:type="dxa"/>
            <w:tcBorders>
              <w:top w:val="nil"/>
              <w:left w:val="nil"/>
              <w:bottom w:val="nil"/>
              <w:right w:val="single" w:sz="4" w:space="0" w:color="auto"/>
            </w:tcBorders>
            <w:shd w:val="clear" w:color="auto" w:fill="auto"/>
            <w:noWrap/>
            <w:vAlign w:val="bottom"/>
            <w:hideMark/>
          </w:tcPr>
          <w:p w14:paraId="3DAB9ED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2,346.7 </w:t>
            </w:r>
          </w:p>
        </w:tc>
        <w:tc>
          <w:tcPr>
            <w:tcW w:w="4453" w:type="dxa"/>
            <w:tcBorders>
              <w:top w:val="nil"/>
              <w:left w:val="nil"/>
              <w:bottom w:val="nil"/>
              <w:right w:val="nil"/>
            </w:tcBorders>
            <w:shd w:val="clear" w:color="auto" w:fill="auto"/>
            <w:noWrap/>
            <w:vAlign w:val="bottom"/>
            <w:hideMark/>
          </w:tcPr>
          <w:p w14:paraId="7BF85BD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2,380.6 </w:t>
            </w:r>
          </w:p>
        </w:tc>
        <w:tc>
          <w:tcPr>
            <w:tcW w:w="1934" w:type="dxa"/>
            <w:tcBorders>
              <w:top w:val="nil"/>
              <w:left w:val="nil"/>
              <w:bottom w:val="nil"/>
              <w:right w:val="single" w:sz="4" w:space="0" w:color="auto"/>
            </w:tcBorders>
            <w:shd w:val="clear" w:color="auto" w:fill="auto"/>
            <w:noWrap/>
            <w:vAlign w:val="bottom"/>
            <w:hideMark/>
          </w:tcPr>
          <w:p w14:paraId="01E73AF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2,413.9 </w:t>
            </w:r>
          </w:p>
        </w:tc>
      </w:tr>
      <w:tr w:rsidR="00E43679" w:rsidRPr="00E43679" w14:paraId="58BBE639"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1D9622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B985CD3"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F2DC38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49B2D75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6CFC164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DEF43F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7F0F079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EA3E44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707A6F4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40B189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1E499F7"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3B7BF27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Working Capital (Net Current Assets) calculated</w:t>
            </w:r>
          </w:p>
        </w:tc>
        <w:tc>
          <w:tcPr>
            <w:tcW w:w="828" w:type="dxa"/>
            <w:tcBorders>
              <w:top w:val="nil"/>
              <w:left w:val="single" w:sz="4" w:space="0" w:color="auto"/>
              <w:bottom w:val="nil"/>
              <w:right w:val="single" w:sz="4" w:space="0" w:color="auto"/>
            </w:tcBorders>
            <w:shd w:val="clear" w:color="auto" w:fill="auto"/>
            <w:noWrap/>
            <w:vAlign w:val="bottom"/>
            <w:hideMark/>
          </w:tcPr>
          <w:p w14:paraId="1D11D6A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5064EEE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-84.5 </w:t>
            </w:r>
          </w:p>
        </w:tc>
        <w:tc>
          <w:tcPr>
            <w:tcW w:w="1418" w:type="dxa"/>
            <w:tcBorders>
              <w:top w:val="nil"/>
              <w:left w:val="nil"/>
              <w:bottom w:val="nil"/>
              <w:right w:val="nil"/>
            </w:tcBorders>
            <w:shd w:val="clear" w:color="auto" w:fill="auto"/>
            <w:noWrap/>
            <w:vAlign w:val="bottom"/>
            <w:hideMark/>
          </w:tcPr>
          <w:p w14:paraId="4B2E082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-118.4 </w:t>
            </w:r>
          </w:p>
        </w:tc>
        <w:tc>
          <w:tcPr>
            <w:tcW w:w="1275" w:type="dxa"/>
            <w:tcBorders>
              <w:top w:val="nil"/>
              <w:left w:val="nil"/>
              <w:bottom w:val="nil"/>
              <w:right w:val="single" w:sz="4" w:space="0" w:color="auto"/>
            </w:tcBorders>
            <w:shd w:val="clear" w:color="auto" w:fill="auto"/>
            <w:noWrap/>
            <w:vAlign w:val="bottom"/>
            <w:hideMark/>
          </w:tcPr>
          <w:p w14:paraId="3FFACFA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-320.3 </w:t>
            </w:r>
          </w:p>
        </w:tc>
        <w:tc>
          <w:tcPr>
            <w:tcW w:w="4453" w:type="dxa"/>
            <w:tcBorders>
              <w:top w:val="nil"/>
              <w:left w:val="nil"/>
              <w:bottom w:val="nil"/>
              <w:right w:val="nil"/>
            </w:tcBorders>
            <w:shd w:val="clear" w:color="auto" w:fill="auto"/>
            <w:noWrap/>
            <w:vAlign w:val="bottom"/>
            <w:hideMark/>
          </w:tcPr>
          <w:p w14:paraId="13FC0DB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-87.6 </w:t>
            </w:r>
          </w:p>
        </w:tc>
        <w:tc>
          <w:tcPr>
            <w:tcW w:w="1934" w:type="dxa"/>
            <w:tcBorders>
              <w:top w:val="nil"/>
              <w:left w:val="nil"/>
              <w:bottom w:val="nil"/>
              <w:right w:val="single" w:sz="4" w:space="0" w:color="auto"/>
            </w:tcBorders>
            <w:shd w:val="clear" w:color="auto" w:fill="auto"/>
            <w:noWrap/>
            <w:vAlign w:val="bottom"/>
            <w:hideMark/>
          </w:tcPr>
          <w:p w14:paraId="47A6B7C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-55.9 </w:t>
            </w:r>
          </w:p>
        </w:tc>
      </w:tr>
      <w:tr w:rsidR="00E43679" w:rsidRPr="00E43679" w14:paraId="28196F88"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9F388A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ECF169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9A1514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1CB6F44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31C5C3B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AF3579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3473461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553E5B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E9FD09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412963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CBD83D4"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72D88D0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Trade Receivables</w:t>
            </w:r>
          </w:p>
        </w:tc>
        <w:tc>
          <w:tcPr>
            <w:tcW w:w="286" w:type="dxa"/>
            <w:tcBorders>
              <w:top w:val="nil"/>
              <w:left w:val="nil"/>
              <w:bottom w:val="nil"/>
              <w:right w:val="nil"/>
            </w:tcBorders>
            <w:shd w:val="clear" w:color="auto" w:fill="auto"/>
            <w:noWrap/>
            <w:vAlign w:val="bottom"/>
            <w:hideMark/>
          </w:tcPr>
          <w:p w14:paraId="78A7DAA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5A7B213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0B6F76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463E06E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72.9 </w:t>
            </w:r>
          </w:p>
        </w:tc>
        <w:tc>
          <w:tcPr>
            <w:tcW w:w="1418" w:type="dxa"/>
            <w:tcBorders>
              <w:top w:val="nil"/>
              <w:left w:val="nil"/>
              <w:bottom w:val="nil"/>
              <w:right w:val="nil"/>
            </w:tcBorders>
            <w:shd w:val="clear" w:color="auto" w:fill="auto"/>
            <w:noWrap/>
            <w:vAlign w:val="bottom"/>
            <w:hideMark/>
          </w:tcPr>
          <w:p w14:paraId="549AC51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72.7 </w:t>
            </w:r>
          </w:p>
        </w:tc>
        <w:tc>
          <w:tcPr>
            <w:tcW w:w="1275" w:type="dxa"/>
            <w:tcBorders>
              <w:top w:val="nil"/>
              <w:left w:val="nil"/>
              <w:bottom w:val="nil"/>
              <w:right w:val="single" w:sz="4" w:space="0" w:color="auto"/>
            </w:tcBorders>
            <w:shd w:val="clear" w:color="auto" w:fill="auto"/>
            <w:noWrap/>
            <w:vAlign w:val="bottom"/>
            <w:hideMark/>
          </w:tcPr>
          <w:p w14:paraId="508918D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56.2 </w:t>
            </w:r>
          </w:p>
        </w:tc>
        <w:tc>
          <w:tcPr>
            <w:tcW w:w="4453" w:type="dxa"/>
            <w:tcBorders>
              <w:top w:val="nil"/>
              <w:left w:val="nil"/>
              <w:bottom w:val="nil"/>
              <w:right w:val="nil"/>
            </w:tcBorders>
            <w:shd w:val="clear" w:color="auto" w:fill="auto"/>
            <w:noWrap/>
            <w:vAlign w:val="bottom"/>
            <w:hideMark/>
          </w:tcPr>
          <w:p w14:paraId="368BD7F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55.3 </w:t>
            </w:r>
          </w:p>
        </w:tc>
        <w:tc>
          <w:tcPr>
            <w:tcW w:w="1934" w:type="dxa"/>
            <w:tcBorders>
              <w:top w:val="nil"/>
              <w:left w:val="nil"/>
              <w:bottom w:val="nil"/>
              <w:right w:val="single" w:sz="4" w:space="0" w:color="auto"/>
            </w:tcBorders>
            <w:shd w:val="clear" w:color="auto" w:fill="auto"/>
            <w:noWrap/>
            <w:vAlign w:val="bottom"/>
            <w:hideMark/>
          </w:tcPr>
          <w:p w14:paraId="2DE9C87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56.4 </w:t>
            </w:r>
          </w:p>
        </w:tc>
      </w:tr>
      <w:tr w:rsidR="00E43679" w:rsidRPr="00E43679" w14:paraId="0C592679"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D77581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67B892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C488CD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46508D8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B52DB2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54AD14F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0F0B413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DD1DF3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76DA4C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0456ADE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7D54DDD"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532596F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Trade Payables</w:t>
            </w:r>
          </w:p>
        </w:tc>
        <w:tc>
          <w:tcPr>
            <w:tcW w:w="286" w:type="dxa"/>
            <w:tcBorders>
              <w:top w:val="nil"/>
              <w:left w:val="nil"/>
              <w:bottom w:val="nil"/>
              <w:right w:val="nil"/>
            </w:tcBorders>
            <w:shd w:val="clear" w:color="auto" w:fill="auto"/>
            <w:noWrap/>
            <w:vAlign w:val="bottom"/>
            <w:hideMark/>
          </w:tcPr>
          <w:p w14:paraId="641E807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0133282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299231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67E4BE1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455.5 </w:t>
            </w:r>
          </w:p>
        </w:tc>
        <w:tc>
          <w:tcPr>
            <w:tcW w:w="1418" w:type="dxa"/>
            <w:tcBorders>
              <w:top w:val="nil"/>
              <w:left w:val="nil"/>
              <w:bottom w:val="nil"/>
              <w:right w:val="nil"/>
            </w:tcBorders>
            <w:shd w:val="clear" w:color="auto" w:fill="auto"/>
            <w:noWrap/>
            <w:vAlign w:val="bottom"/>
            <w:hideMark/>
          </w:tcPr>
          <w:p w14:paraId="4D5C6FC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370.4 </w:t>
            </w:r>
          </w:p>
        </w:tc>
        <w:tc>
          <w:tcPr>
            <w:tcW w:w="1275" w:type="dxa"/>
            <w:tcBorders>
              <w:top w:val="nil"/>
              <w:left w:val="nil"/>
              <w:bottom w:val="nil"/>
              <w:right w:val="single" w:sz="4" w:space="0" w:color="auto"/>
            </w:tcBorders>
            <w:shd w:val="clear" w:color="auto" w:fill="auto"/>
            <w:noWrap/>
            <w:vAlign w:val="bottom"/>
            <w:hideMark/>
          </w:tcPr>
          <w:p w14:paraId="6E39D08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325.8 </w:t>
            </w:r>
          </w:p>
        </w:tc>
        <w:tc>
          <w:tcPr>
            <w:tcW w:w="4453" w:type="dxa"/>
            <w:tcBorders>
              <w:top w:val="nil"/>
              <w:left w:val="nil"/>
              <w:bottom w:val="nil"/>
              <w:right w:val="nil"/>
            </w:tcBorders>
            <w:shd w:val="clear" w:color="auto" w:fill="auto"/>
            <w:noWrap/>
            <w:vAlign w:val="bottom"/>
            <w:hideMark/>
          </w:tcPr>
          <w:p w14:paraId="3B02C38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314.6 </w:t>
            </w:r>
          </w:p>
        </w:tc>
        <w:tc>
          <w:tcPr>
            <w:tcW w:w="1934" w:type="dxa"/>
            <w:tcBorders>
              <w:top w:val="nil"/>
              <w:left w:val="nil"/>
              <w:bottom w:val="nil"/>
              <w:right w:val="single" w:sz="4" w:space="0" w:color="auto"/>
            </w:tcBorders>
            <w:shd w:val="clear" w:color="auto" w:fill="auto"/>
            <w:noWrap/>
            <w:vAlign w:val="bottom"/>
            <w:hideMark/>
          </w:tcPr>
          <w:p w14:paraId="7415150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278.7 </w:t>
            </w:r>
          </w:p>
        </w:tc>
      </w:tr>
      <w:tr w:rsidR="00E43679" w:rsidRPr="00E43679" w14:paraId="4E5B078E"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7D1915B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661EB3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58859C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4AE993E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DDC69A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BCEDA6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199C8E7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2612FD5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418CF73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7F4332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F22287B"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53DA8C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97FC99A"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66622D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075267C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F64B59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5597D38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3C99A76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DB7BBF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CB39AC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1456AE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765B50E"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0C77E25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Current Liabilities</w:t>
            </w:r>
          </w:p>
        </w:tc>
        <w:tc>
          <w:tcPr>
            <w:tcW w:w="286" w:type="dxa"/>
            <w:tcBorders>
              <w:top w:val="nil"/>
              <w:left w:val="nil"/>
              <w:bottom w:val="nil"/>
              <w:right w:val="nil"/>
            </w:tcBorders>
            <w:shd w:val="clear" w:color="auto" w:fill="auto"/>
            <w:noWrap/>
            <w:vAlign w:val="bottom"/>
            <w:hideMark/>
          </w:tcPr>
          <w:p w14:paraId="6E3397A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4C4D85E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517F85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13A0001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477.9 </w:t>
            </w:r>
          </w:p>
        </w:tc>
        <w:tc>
          <w:tcPr>
            <w:tcW w:w="1418" w:type="dxa"/>
            <w:tcBorders>
              <w:top w:val="nil"/>
              <w:left w:val="nil"/>
              <w:bottom w:val="nil"/>
              <w:right w:val="nil"/>
            </w:tcBorders>
            <w:shd w:val="clear" w:color="auto" w:fill="auto"/>
            <w:noWrap/>
            <w:vAlign w:val="bottom"/>
            <w:hideMark/>
          </w:tcPr>
          <w:p w14:paraId="7C31742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410.1 </w:t>
            </w:r>
          </w:p>
        </w:tc>
        <w:tc>
          <w:tcPr>
            <w:tcW w:w="1275" w:type="dxa"/>
            <w:tcBorders>
              <w:top w:val="nil"/>
              <w:left w:val="nil"/>
              <w:bottom w:val="nil"/>
              <w:right w:val="single" w:sz="4" w:space="0" w:color="auto"/>
            </w:tcBorders>
            <w:shd w:val="clear" w:color="auto" w:fill="auto"/>
            <w:noWrap/>
            <w:vAlign w:val="bottom"/>
            <w:hideMark/>
          </w:tcPr>
          <w:p w14:paraId="10422D0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663.2 </w:t>
            </w:r>
          </w:p>
        </w:tc>
        <w:tc>
          <w:tcPr>
            <w:tcW w:w="4453" w:type="dxa"/>
            <w:tcBorders>
              <w:top w:val="nil"/>
              <w:left w:val="nil"/>
              <w:bottom w:val="nil"/>
              <w:right w:val="nil"/>
            </w:tcBorders>
            <w:shd w:val="clear" w:color="auto" w:fill="auto"/>
            <w:noWrap/>
            <w:vAlign w:val="bottom"/>
            <w:hideMark/>
          </w:tcPr>
          <w:p w14:paraId="55C5264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369.8 </w:t>
            </w:r>
          </w:p>
        </w:tc>
        <w:tc>
          <w:tcPr>
            <w:tcW w:w="1934" w:type="dxa"/>
            <w:tcBorders>
              <w:top w:val="nil"/>
              <w:left w:val="nil"/>
              <w:bottom w:val="nil"/>
              <w:right w:val="single" w:sz="4" w:space="0" w:color="auto"/>
            </w:tcBorders>
            <w:shd w:val="clear" w:color="auto" w:fill="auto"/>
            <w:noWrap/>
            <w:vAlign w:val="bottom"/>
            <w:hideMark/>
          </w:tcPr>
          <w:p w14:paraId="0759498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328.6 </w:t>
            </w:r>
          </w:p>
        </w:tc>
      </w:tr>
      <w:tr w:rsidR="00E43679" w:rsidRPr="00E43679" w14:paraId="7B9DC07B"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3DF8FB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299FB3D"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84801C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3D78954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60436F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7ABD579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4CD69FC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0BCD12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46B013D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BF6F18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0FAA612"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6DEE1E1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Non Current Liabilities</w:t>
            </w:r>
          </w:p>
        </w:tc>
        <w:tc>
          <w:tcPr>
            <w:tcW w:w="2618" w:type="dxa"/>
            <w:tcBorders>
              <w:top w:val="nil"/>
              <w:left w:val="nil"/>
              <w:bottom w:val="nil"/>
              <w:right w:val="nil"/>
            </w:tcBorders>
            <w:shd w:val="clear" w:color="auto" w:fill="auto"/>
            <w:noWrap/>
            <w:vAlign w:val="bottom"/>
            <w:hideMark/>
          </w:tcPr>
          <w:p w14:paraId="6305A92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6B382C8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65119A6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821.4 </w:t>
            </w:r>
          </w:p>
        </w:tc>
        <w:tc>
          <w:tcPr>
            <w:tcW w:w="1418" w:type="dxa"/>
            <w:tcBorders>
              <w:top w:val="nil"/>
              <w:left w:val="nil"/>
              <w:bottom w:val="nil"/>
              <w:right w:val="nil"/>
            </w:tcBorders>
            <w:shd w:val="clear" w:color="auto" w:fill="auto"/>
            <w:noWrap/>
            <w:vAlign w:val="bottom"/>
            <w:hideMark/>
          </w:tcPr>
          <w:p w14:paraId="6F5C329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807.1 </w:t>
            </w:r>
          </w:p>
        </w:tc>
        <w:tc>
          <w:tcPr>
            <w:tcW w:w="1275" w:type="dxa"/>
            <w:tcBorders>
              <w:top w:val="nil"/>
              <w:left w:val="nil"/>
              <w:bottom w:val="nil"/>
              <w:right w:val="single" w:sz="4" w:space="0" w:color="auto"/>
            </w:tcBorders>
            <w:shd w:val="clear" w:color="auto" w:fill="auto"/>
            <w:noWrap/>
            <w:vAlign w:val="bottom"/>
            <w:hideMark/>
          </w:tcPr>
          <w:p w14:paraId="3F0E6D6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467.7 </w:t>
            </w:r>
          </w:p>
        </w:tc>
        <w:tc>
          <w:tcPr>
            <w:tcW w:w="4453" w:type="dxa"/>
            <w:tcBorders>
              <w:top w:val="nil"/>
              <w:left w:val="nil"/>
              <w:bottom w:val="nil"/>
              <w:right w:val="nil"/>
            </w:tcBorders>
            <w:shd w:val="clear" w:color="auto" w:fill="auto"/>
            <w:noWrap/>
            <w:vAlign w:val="bottom"/>
            <w:hideMark/>
          </w:tcPr>
          <w:p w14:paraId="2788D80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850.5 </w:t>
            </w:r>
          </w:p>
        </w:tc>
        <w:tc>
          <w:tcPr>
            <w:tcW w:w="1934" w:type="dxa"/>
            <w:tcBorders>
              <w:top w:val="nil"/>
              <w:left w:val="nil"/>
              <w:bottom w:val="nil"/>
              <w:right w:val="single" w:sz="4" w:space="0" w:color="auto"/>
            </w:tcBorders>
            <w:shd w:val="clear" w:color="auto" w:fill="auto"/>
            <w:noWrap/>
            <w:vAlign w:val="bottom"/>
            <w:hideMark/>
          </w:tcPr>
          <w:p w14:paraId="47D4277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1,062.0 </w:t>
            </w:r>
          </w:p>
        </w:tc>
      </w:tr>
      <w:tr w:rsidR="00E43679" w:rsidRPr="00E43679" w14:paraId="16C77324"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AC1CFF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853FEE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966213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0E15BB5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2BFAE9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3E9A08D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3650D65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63B01E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0C5976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74ED82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F366E93"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7C98E22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Liabilities</w:t>
            </w:r>
          </w:p>
        </w:tc>
        <w:tc>
          <w:tcPr>
            <w:tcW w:w="286" w:type="dxa"/>
            <w:tcBorders>
              <w:top w:val="nil"/>
              <w:left w:val="nil"/>
              <w:bottom w:val="nil"/>
              <w:right w:val="nil"/>
            </w:tcBorders>
            <w:shd w:val="clear" w:color="auto" w:fill="auto"/>
            <w:noWrap/>
            <w:vAlign w:val="bottom"/>
            <w:hideMark/>
          </w:tcPr>
          <w:p w14:paraId="1029B7B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2B7A639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14C605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3A18CF6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1,299.3 </w:t>
            </w:r>
          </w:p>
        </w:tc>
        <w:tc>
          <w:tcPr>
            <w:tcW w:w="1418" w:type="dxa"/>
            <w:tcBorders>
              <w:top w:val="nil"/>
              <w:left w:val="nil"/>
              <w:bottom w:val="nil"/>
              <w:right w:val="nil"/>
            </w:tcBorders>
            <w:shd w:val="clear" w:color="auto" w:fill="auto"/>
            <w:noWrap/>
            <w:vAlign w:val="bottom"/>
            <w:hideMark/>
          </w:tcPr>
          <w:p w14:paraId="64DAA96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1,217.2 </w:t>
            </w:r>
          </w:p>
        </w:tc>
        <w:tc>
          <w:tcPr>
            <w:tcW w:w="1275" w:type="dxa"/>
            <w:tcBorders>
              <w:top w:val="nil"/>
              <w:left w:val="nil"/>
              <w:bottom w:val="nil"/>
              <w:right w:val="single" w:sz="4" w:space="0" w:color="auto"/>
            </w:tcBorders>
            <w:shd w:val="clear" w:color="auto" w:fill="auto"/>
            <w:noWrap/>
            <w:vAlign w:val="bottom"/>
            <w:hideMark/>
          </w:tcPr>
          <w:p w14:paraId="33A159E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1,130.9 </w:t>
            </w:r>
          </w:p>
        </w:tc>
        <w:tc>
          <w:tcPr>
            <w:tcW w:w="4453" w:type="dxa"/>
            <w:tcBorders>
              <w:top w:val="nil"/>
              <w:left w:val="nil"/>
              <w:bottom w:val="nil"/>
              <w:right w:val="nil"/>
            </w:tcBorders>
            <w:shd w:val="clear" w:color="auto" w:fill="auto"/>
            <w:noWrap/>
            <w:vAlign w:val="bottom"/>
            <w:hideMark/>
          </w:tcPr>
          <w:p w14:paraId="50023D4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1,220.3 </w:t>
            </w:r>
          </w:p>
        </w:tc>
        <w:tc>
          <w:tcPr>
            <w:tcW w:w="1934" w:type="dxa"/>
            <w:tcBorders>
              <w:top w:val="nil"/>
              <w:left w:val="nil"/>
              <w:bottom w:val="nil"/>
              <w:right w:val="single" w:sz="4" w:space="0" w:color="auto"/>
            </w:tcBorders>
            <w:shd w:val="clear" w:color="auto" w:fill="auto"/>
            <w:noWrap/>
            <w:vAlign w:val="bottom"/>
            <w:hideMark/>
          </w:tcPr>
          <w:p w14:paraId="00F557D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1,390.6 </w:t>
            </w:r>
          </w:p>
        </w:tc>
      </w:tr>
      <w:tr w:rsidR="00E43679" w:rsidRPr="00E43679" w14:paraId="5741EBA9"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463CD71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71482E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8EF4AF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6F1C88A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34B43A9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138F33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00D6A96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62E490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78B5ABF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C92CFF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0161728"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16FA88A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Net Assets</w:t>
            </w:r>
          </w:p>
        </w:tc>
        <w:tc>
          <w:tcPr>
            <w:tcW w:w="286" w:type="dxa"/>
            <w:tcBorders>
              <w:top w:val="nil"/>
              <w:left w:val="nil"/>
              <w:bottom w:val="nil"/>
              <w:right w:val="nil"/>
            </w:tcBorders>
            <w:shd w:val="clear" w:color="auto" w:fill="auto"/>
            <w:noWrap/>
            <w:vAlign w:val="bottom"/>
            <w:hideMark/>
          </w:tcPr>
          <w:p w14:paraId="2458B1A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79A5193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DC5CF0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38A48DF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1,062.7 </w:t>
            </w:r>
          </w:p>
        </w:tc>
        <w:tc>
          <w:tcPr>
            <w:tcW w:w="1418" w:type="dxa"/>
            <w:tcBorders>
              <w:top w:val="nil"/>
              <w:left w:val="nil"/>
              <w:bottom w:val="nil"/>
              <w:right w:val="nil"/>
            </w:tcBorders>
            <w:shd w:val="clear" w:color="auto" w:fill="auto"/>
            <w:noWrap/>
            <w:vAlign w:val="bottom"/>
            <w:hideMark/>
          </w:tcPr>
          <w:p w14:paraId="1BE74D0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1,225.5 </w:t>
            </w:r>
          </w:p>
        </w:tc>
        <w:tc>
          <w:tcPr>
            <w:tcW w:w="1275" w:type="dxa"/>
            <w:tcBorders>
              <w:top w:val="nil"/>
              <w:left w:val="nil"/>
              <w:bottom w:val="nil"/>
              <w:right w:val="single" w:sz="4" w:space="0" w:color="auto"/>
            </w:tcBorders>
            <w:shd w:val="clear" w:color="auto" w:fill="auto"/>
            <w:noWrap/>
            <w:vAlign w:val="bottom"/>
            <w:hideMark/>
          </w:tcPr>
          <w:p w14:paraId="138372B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1,215.8 </w:t>
            </w:r>
          </w:p>
        </w:tc>
        <w:tc>
          <w:tcPr>
            <w:tcW w:w="4453" w:type="dxa"/>
            <w:tcBorders>
              <w:top w:val="nil"/>
              <w:left w:val="nil"/>
              <w:bottom w:val="nil"/>
              <w:right w:val="nil"/>
            </w:tcBorders>
            <w:shd w:val="clear" w:color="auto" w:fill="auto"/>
            <w:noWrap/>
            <w:vAlign w:val="bottom"/>
            <w:hideMark/>
          </w:tcPr>
          <w:p w14:paraId="34D3C60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1,160.3 </w:t>
            </w:r>
          </w:p>
        </w:tc>
        <w:tc>
          <w:tcPr>
            <w:tcW w:w="1934" w:type="dxa"/>
            <w:tcBorders>
              <w:top w:val="nil"/>
              <w:left w:val="nil"/>
              <w:bottom w:val="nil"/>
              <w:right w:val="single" w:sz="4" w:space="0" w:color="auto"/>
            </w:tcBorders>
            <w:shd w:val="clear" w:color="auto" w:fill="auto"/>
            <w:noWrap/>
            <w:vAlign w:val="bottom"/>
            <w:hideMark/>
          </w:tcPr>
          <w:p w14:paraId="3B607FD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1,023.3 </w:t>
            </w:r>
          </w:p>
        </w:tc>
      </w:tr>
      <w:tr w:rsidR="00E43679" w:rsidRPr="00E43679" w14:paraId="796A685D"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A83132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1828CC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4860361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2E08E5B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661FFB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89AEB1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0A39974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E6CD13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0FA3DA3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BF74DA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384EA1D"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0232A52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Equity attributable to equity holders of the parent</w:t>
            </w:r>
          </w:p>
        </w:tc>
        <w:tc>
          <w:tcPr>
            <w:tcW w:w="828" w:type="dxa"/>
            <w:tcBorders>
              <w:top w:val="nil"/>
              <w:left w:val="single" w:sz="4" w:space="0" w:color="auto"/>
              <w:bottom w:val="nil"/>
              <w:right w:val="single" w:sz="4" w:space="0" w:color="auto"/>
            </w:tcBorders>
            <w:shd w:val="clear" w:color="auto" w:fill="auto"/>
            <w:noWrap/>
            <w:vAlign w:val="bottom"/>
            <w:hideMark/>
          </w:tcPr>
          <w:p w14:paraId="6BF7B70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1935F8F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1,062.7 </w:t>
            </w:r>
          </w:p>
        </w:tc>
        <w:tc>
          <w:tcPr>
            <w:tcW w:w="1418" w:type="dxa"/>
            <w:tcBorders>
              <w:top w:val="nil"/>
              <w:left w:val="nil"/>
              <w:bottom w:val="nil"/>
              <w:right w:val="nil"/>
            </w:tcBorders>
            <w:shd w:val="clear" w:color="auto" w:fill="auto"/>
            <w:noWrap/>
            <w:vAlign w:val="bottom"/>
            <w:hideMark/>
          </w:tcPr>
          <w:p w14:paraId="469CEFB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1,225.5 </w:t>
            </w:r>
          </w:p>
        </w:tc>
        <w:tc>
          <w:tcPr>
            <w:tcW w:w="1275" w:type="dxa"/>
            <w:tcBorders>
              <w:top w:val="nil"/>
              <w:left w:val="nil"/>
              <w:bottom w:val="nil"/>
              <w:right w:val="single" w:sz="4" w:space="0" w:color="auto"/>
            </w:tcBorders>
            <w:shd w:val="clear" w:color="auto" w:fill="auto"/>
            <w:noWrap/>
            <w:vAlign w:val="bottom"/>
            <w:hideMark/>
          </w:tcPr>
          <w:p w14:paraId="0DA57DC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1,215.8 </w:t>
            </w:r>
          </w:p>
        </w:tc>
        <w:tc>
          <w:tcPr>
            <w:tcW w:w="4453" w:type="dxa"/>
            <w:tcBorders>
              <w:top w:val="nil"/>
              <w:left w:val="nil"/>
              <w:bottom w:val="nil"/>
              <w:right w:val="nil"/>
            </w:tcBorders>
            <w:shd w:val="clear" w:color="auto" w:fill="auto"/>
            <w:noWrap/>
            <w:vAlign w:val="bottom"/>
            <w:hideMark/>
          </w:tcPr>
          <w:p w14:paraId="20D7E30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1,160.3 </w:t>
            </w:r>
          </w:p>
        </w:tc>
        <w:tc>
          <w:tcPr>
            <w:tcW w:w="1934" w:type="dxa"/>
            <w:tcBorders>
              <w:top w:val="nil"/>
              <w:left w:val="nil"/>
              <w:bottom w:val="nil"/>
              <w:right w:val="single" w:sz="4" w:space="0" w:color="auto"/>
            </w:tcBorders>
            <w:shd w:val="clear" w:color="auto" w:fill="auto"/>
            <w:noWrap/>
            <w:vAlign w:val="bottom"/>
            <w:hideMark/>
          </w:tcPr>
          <w:p w14:paraId="152DA7A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1,023.3 </w:t>
            </w:r>
          </w:p>
        </w:tc>
      </w:tr>
      <w:tr w:rsidR="00E43679" w:rsidRPr="00E43679" w14:paraId="66E59369"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D16227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535177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60D1B07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676B40E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8A509C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E74CB7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31AD981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BAFEB9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56ECEB4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A0AAEE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05E597C"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105510C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Non Controlling Interest</w:t>
            </w:r>
          </w:p>
        </w:tc>
        <w:tc>
          <w:tcPr>
            <w:tcW w:w="2618" w:type="dxa"/>
            <w:tcBorders>
              <w:top w:val="nil"/>
              <w:left w:val="nil"/>
              <w:bottom w:val="nil"/>
              <w:right w:val="nil"/>
            </w:tcBorders>
            <w:shd w:val="clear" w:color="auto" w:fill="auto"/>
            <w:noWrap/>
            <w:vAlign w:val="bottom"/>
            <w:hideMark/>
          </w:tcPr>
          <w:p w14:paraId="2A70FF1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BF66DD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47E1C20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418" w:type="dxa"/>
            <w:tcBorders>
              <w:top w:val="nil"/>
              <w:left w:val="nil"/>
              <w:bottom w:val="nil"/>
              <w:right w:val="nil"/>
            </w:tcBorders>
            <w:shd w:val="clear" w:color="auto" w:fill="auto"/>
            <w:noWrap/>
            <w:vAlign w:val="bottom"/>
            <w:hideMark/>
          </w:tcPr>
          <w:p w14:paraId="3ADE55D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275" w:type="dxa"/>
            <w:tcBorders>
              <w:top w:val="nil"/>
              <w:left w:val="nil"/>
              <w:bottom w:val="nil"/>
              <w:right w:val="single" w:sz="4" w:space="0" w:color="auto"/>
            </w:tcBorders>
            <w:shd w:val="clear" w:color="auto" w:fill="auto"/>
            <w:noWrap/>
            <w:vAlign w:val="bottom"/>
            <w:hideMark/>
          </w:tcPr>
          <w:p w14:paraId="7E90399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4453" w:type="dxa"/>
            <w:tcBorders>
              <w:top w:val="nil"/>
              <w:left w:val="nil"/>
              <w:bottom w:val="nil"/>
              <w:right w:val="nil"/>
            </w:tcBorders>
            <w:shd w:val="clear" w:color="auto" w:fill="auto"/>
            <w:noWrap/>
            <w:vAlign w:val="bottom"/>
            <w:hideMark/>
          </w:tcPr>
          <w:p w14:paraId="7DFEA5A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934" w:type="dxa"/>
            <w:tcBorders>
              <w:top w:val="nil"/>
              <w:left w:val="nil"/>
              <w:bottom w:val="nil"/>
              <w:right w:val="single" w:sz="4" w:space="0" w:color="auto"/>
            </w:tcBorders>
            <w:shd w:val="clear" w:color="auto" w:fill="auto"/>
            <w:noWrap/>
            <w:vAlign w:val="bottom"/>
            <w:hideMark/>
          </w:tcPr>
          <w:p w14:paraId="2D2505D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r>
      <w:tr w:rsidR="00E43679" w:rsidRPr="00E43679" w14:paraId="2453A9CE"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E9BA2F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3C8C5E9"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785D697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32A4C55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63367D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2D2420D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5E0BA6E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00EAF8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4E6FBB8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F7B32A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D492B37"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38A61BF4" w14:textId="77777777" w:rsidR="00E43679" w:rsidRPr="00E43679" w:rsidRDefault="00E43679" w:rsidP="00E43679">
            <w:pPr>
              <w:spacing w:after="0" w:line="240" w:lineRule="auto"/>
              <w:rPr>
                <w:rFonts w:ascii="Calibri" w:eastAsia="Times New Roman" w:hAnsi="Calibri" w:cs="Calibri"/>
                <w:b/>
                <w:bCs/>
                <w:color w:val="auto"/>
                <w:sz w:val="22"/>
                <w:szCs w:val="22"/>
                <w:lang w:val="en-GB" w:eastAsia="en-GB"/>
              </w:rPr>
            </w:pPr>
            <w:r w:rsidRPr="00E43679">
              <w:rPr>
                <w:rFonts w:ascii="Calibri" w:eastAsia="Times New Roman" w:hAnsi="Calibri" w:cs="Calibri"/>
                <w:b/>
                <w:bCs/>
                <w:color w:val="auto"/>
                <w:sz w:val="22"/>
                <w:szCs w:val="22"/>
                <w:lang w:val="en-GB" w:eastAsia="en-GB"/>
              </w:rPr>
              <w:t>Total Equity</w:t>
            </w:r>
          </w:p>
        </w:tc>
        <w:tc>
          <w:tcPr>
            <w:tcW w:w="286" w:type="dxa"/>
            <w:tcBorders>
              <w:top w:val="nil"/>
              <w:left w:val="nil"/>
              <w:bottom w:val="nil"/>
              <w:right w:val="nil"/>
            </w:tcBorders>
            <w:shd w:val="clear" w:color="auto" w:fill="auto"/>
            <w:noWrap/>
            <w:vAlign w:val="bottom"/>
            <w:hideMark/>
          </w:tcPr>
          <w:p w14:paraId="578B2A7E" w14:textId="77777777" w:rsidR="00E43679" w:rsidRPr="00E43679" w:rsidRDefault="00E43679" w:rsidP="00E43679">
            <w:pPr>
              <w:spacing w:after="0" w:line="240" w:lineRule="auto"/>
              <w:rPr>
                <w:rFonts w:ascii="Calibri" w:eastAsia="Times New Roman" w:hAnsi="Calibri" w:cs="Calibri"/>
                <w:b/>
                <w:bCs/>
                <w:color w:val="auto"/>
                <w:sz w:val="22"/>
                <w:szCs w:val="22"/>
                <w:lang w:val="en-GB" w:eastAsia="en-GB"/>
              </w:rPr>
            </w:pPr>
          </w:p>
        </w:tc>
        <w:tc>
          <w:tcPr>
            <w:tcW w:w="2618" w:type="dxa"/>
            <w:tcBorders>
              <w:top w:val="nil"/>
              <w:left w:val="nil"/>
              <w:bottom w:val="nil"/>
              <w:right w:val="nil"/>
            </w:tcBorders>
            <w:shd w:val="clear" w:color="auto" w:fill="auto"/>
            <w:noWrap/>
            <w:vAlign w:val="bottom"/>
            <w:hideMark/>
          </w:tcPr>
          <w:p w14:paraId="10EA0F3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E56C35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618FCA7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1,062.7 </w:t>
            </w:r>
          </w:p>
        </w:tc>
        <w:tc>
          <w:tcPr>
            <w:tcW w:w="1418" w:type="dxa"/>
            <w:tcBorders>
              <w:top w:val="nil"/>
              <w:left w:val="nil"/>
              <w:bottom w:val="nil"/>
              <w:right w:val="nil"/>
            </w:tcBorders>
            <w:shd w:val="clear" w:color="auto" w:fill="auto"/>
            <w:noWrap/>
            <w:vAlign w:val="bottom"/>
            <w:hideMark/>
          </w:tcPr>
          <w:p w14:paraId="6456775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1,225.5 </w:t>
            </w:r>
          </w:p>
        </w:tc>
        <w:tc>
          <w:tcPr>
            <w:tcW w:w="1275" w:type="dxa"/>
            <w:tcBorders>
              <w:top w:val="nil"/>
              <w:left w:val="nil"/>
              <w:bottom w:val="nil"/>
              <w:right w:val="nil"/>
            </w:tcBorders>
            <w:shd w:val="clear" w:color="auto" w:fill="auto"/>
            <w:noWrap/>
            <w:vAlign w:val="bottom"/>
            <w:hideMark/>
          </w:tcPr>
          <w:p w14:paraId="642C3A9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1,215.8 </w:t>
            </w:r>
          </w:p>
        </w:tc>
        <w:tc>
          <w:tcPr>
            <w:tcW w:w="4453" w:type="dxa"/>
            <w:tcBorders>
              <w:top w:val="nil"/>
              <w:left w:val="single" w:sz="4" w:space="0" w:color="auto"/>
              <w:bottom w:val="nil"/>
              <w:right w:val="nil"/>
            </w:tcBorders>
            <w:shd w:val="clear" w:color="auto" w:fill="auto"/>
            <w:noWrap/>
            <w:vAlign w:val="bottom"/>
            <w:hideMark/>
          </w:tcPr>
          <w:p w14:paraId="0FD0765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1,160.3 </w:t>
            </w:r>
          </w:p>
        </w:tc>
        <w:tc>
          <w:tcPr>
            <w:tcW w:w="1934" w:type="dxa"/>
            <w:tcBorders>
              <w:top w:val="nil"/>
              <w:left w:val="nil"/>
              <w:bottom w:val="nil"/>
              <w:right w:val="single" w:sz="4" w:space="0" w:color="auto"/>
            </w:tcBorders>
            <w:shd w:val="clear" w:color="auto" w:fill="auto"/>
            <w:noWrap/>
            <w:vAlign w:val="bottom"/>
            <w:hideMark/>
          </w:tcPr>
          <w:p w14:paraId="4B59C0E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1,023.3 </w:t>
            </w:r>
          </w:p>
        </w:tc>
      </w:tr>
      <w:tr w:rsidR="00E43679" w:rsidRPr="00E43679" w14:paraId="06BADEE0"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B0BAEA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A38160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4B30BA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53D3B79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C375AE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72A7F09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2FC6B1F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4A739F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4E67604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EE5F37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0780D86"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4A04F08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Capital Employed (Equity + NCL)(TA-CL)(NCA+NCA)</w:t>
            </w:r>
          </w:p>
        </w:tc>
        <w:tc>
          <w:tcPr>
            <w:tcW w:w="828" w:type="dxa"/>
            <w:tcBorders>
              <w:top w:val="nil"/>
              <w:left w:val="single" w:sz="4" w:space="0" w:color="auto"/>
              <w:bottom w:val="nil"/>
              <w:right w:val="single" w:sz="4" w:space="0" w:color="auto"/>
            </w:tcBorders>
            <w:shd w:val="clear" w:color="auto" w:fill="auto"/>
            <w:noWrap/>
            <w:vAlign w:val="bottom"/>
            <w:hideMark/>
          </w:tcPr>
          <w:p w14:paraId="3A8CF50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CSFP</w:t>
            </w:r>
          </w:p>
        </w:tc>
        <w:tc>
          <w:tcPr>
            <w:tcW w:w="1657" w:type="dxa"/>
            <w:tcBorders>
              <w:top w:val="nil"/>
              <w:left w:val="nil"/>
              <w:bottom w:val="nil"/>
              <w:right w:val="nil"/>
            </w:tcBorders>
            <w:shd w:val="clear" w:color="auto" w:fill="auto"/>
            <w:noWrap/>
            <w:vAlign w:val="bottom"/>
            <w:hideMark/>
          </w:tcPr>
          <w:p w14:paraId="4CA153B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1,884.1 </w:t>
            </w:r>
          </w:p>
        </w:tc>
        <w:tc>
          <w:tcPr>
            <w:tcW w:w="1418" w:type="dxa"/>
            <w:tcBorders>
              <w:top w:val="nil"/>
              <w:left w:val="nil"/>
              <w:bottom w:val="nil"/>
              <w:right w:val="nil"/>
            </w:tcBorders>
            <w:shd w:val="clear" w:color="auto" w:fill="auto"/>
            <w:noWrap/>
            <w:vAlign w:val="bottom"/>
            <w:hideMark/>
          </w:tcPr>
          <w:p w14:paraId="6415F14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2,032.6 </w:t>
            </w:r>
          </w:p>
        </w:tc>
        <w:tc>
          <w:tcPr>
            <w:tcW w:w="1275" w:type="dxa"/>
            <w:tcBorders>
              <w:top w:val="nil"/>
              <w:left w:val="nil"/>
              <w:bottom w:val="nil"/>
              <w:right w:val="single" w:sz="4" w:space="0" w:color="auto"/>
            </w:tcBorders>
            <w:shd w:val="clear" w:color="auto" w:fill="auto"/>
            <w:noWrap/>
            <w:vAlign w:val="bottom"/>
            <w:hideMark/>
          </w:tcPr>
          <w:p w14:paraId="38D5B0B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1,683.5 </w:t>
            </w:r>
          </w:p>
        </w:tc>
        <w:tc>
          <w:tcPr>
            <w:tcW w:w="4453" w:type="dxa"/>
            <w:tcBorders>
              <w:top w:val="nil"/>
              <w:left w:val="nil"/>
              <w:bottom w:val="nil"/>
              <w:right w:val="nil"/>
            </w:tcBorders>
            <w:shd w:val="clear" w:color="auto" w:fill="auto"/>
            <w:noWrap/>
            <w:vAlign w:val="bottom"/>
            <w:hideMark/>
          </w:tcPr>
          <w:p w14:paraId="78E955B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2,010.8 </w:t>
            </w:r>
          </w:p>
        </w:tc>
        <w:tc>
          <w:tcPr>
            <w:tcW w:w="1934" w:type="dxa"/>
            <w:tcBorders>
              <w:top w:val="nil"/>
              <w:left w:val="nil"/>
              <w:bottom w:val="nil"/>
              <w:right w:val="single" w:sz="4" w:space="0" w:color="auto"/>
            </w:tcBorders>
            <w:shd w:val="clear" w:color="auto" w:fill="auto"/>
            <w:noWrap/>
            <w:vAlign w:val="bottom"/>
            <w:hideMark/>
          </w:tcPr>
          <w:p w14:paraId="2A8A234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2,085.3 </w:t>
            </w:r>
          </w:p>
        </w:tc>
      </w:tr>
      <w:tr w:rsidR="00E43679" w:rsidRPr="00E43679" w14:paraId="4BDA8C25"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8AB800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65B8F2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18F48E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00ED4E5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AE339D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6A2DFB7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1,884.1 </w:t>
            </w:r>
          </w:p>
        </w:tc>
        <w:tc>
          <w:tcPr>
            <w:tcW w:w="1418" w:type="dxa"/>
            <w:tcBorders>
              <w:top w:val="nil"/>
              <w:left w:val="nil"/>
              <w:bottom w:val="nil"/>
              <w:right w:val="nil"/>
            </w:tcBorders>
            <w:shd w:val="clear" w:color="auto" w:fill="auto"/>
            <w:noWrap/>
            <w:vAlign w:val="bottom"/>
            <w:hideMark/>
          </w:tcPr>
          <w:p w14:paraId="0113EE5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2,032.6 </w:t>
            </w:r>
          </w:p>
        </w:tc>
        <w:tc>
          <w:tcPr>
            <w:tcW w:w="1275" w:type="dxa"/>
            <w:tcBorders>
              <w:top w:val="nil"/>
              <w:left w:val="nil"/>
              <w:bottom w:val="nil"/>
              <w:right w:val="single" w:sz="4" w:space="0" w:color="auto"/>
            </w:tcBorders>
            <w:shd w:val="clear" w:color="auto" w:fill="auto"/>
            <w:noWrap/>
            <w:vAlign w:val="bottom"/>
            <w:hideMark/>
          </w:tcPr>
          <w:p w14:paraId="74AB37F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1,683.5 </w:t>
            </w:r>
          </w:p>
        </w:tc>
        <w:tc>
          <w:tcPr>
            <w:tcW w:w="4453" w:type="dxa"/>
            <w:tcBorders>
              <w:top w:val="nil"/>
              <w:left w:val="nil"/>
              <w:bottom w:val="nil"/>
              <w:right w:val="nil"/>
            </w:tcBorders>
            <w:shd w:val="clear" w:color="auto" w:fill="auto"/>
            <w:noWrap/>
            <w:vAlign w:val="bottom"/>
            <w:hideMark/>
          </w:tcPr>
          <w:p w14:paraId="678E55E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2,010.8 </w:t>
            </w:r>
          </w:p>
        </w:tc>
        <w:tc>
          <w:tcPr>
            <w:tcW w:w="1934" w:type="dxa"/>
            <w:tcBorders>
              <w:top w:val="nil"/>
              <w:left w:val="nil"/>
              <w:bottom w:val="nil"/>
              <w:right w:val="single" w:sz="4" w:space="0" w:color="auto"/>
            </w:tcBorders>
            <w:shd w:val="clear" w:color="auto" w:fill="auto"/>
            <w:noWrap/>
            <w:vAlign w:val="bottom"/>
            <w:hideMark/>
          </w:tcPr>
          <w:p w14:paraId="5A8217D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2,085.3 </w:t>
            </w:r>
          </w:p>
        </w:tc>
      </w:tr>
      <w:tr w:rsidR="00E43679" w:rsidRPr="00E43679" w14:paraId="1FE73192"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A3F41E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7CF37C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339C458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0D2443A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3434D6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7FE5BE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1,884.1 </w:t>
            </w:r>
          </w:p>
        </w:tc>
        <w:tc>
          <w:tcPr>
            <w:tcW w:w="1418" w:type="dxa"/>
            <w:tcBorders>
              <w:top w:val="nil"/>
              <w:left w:val="nil"/>
              <w:bottom w:val="nil"/>
              <w:right w:val="nil"/>
            </w:tcBorders>
            <w:shd w:val="clear" w:color="auto" w:fill="auto"/>
            <w:noWrap/>
            <w:vAlign w:val="bottom"/>
            <w:hideMark/>
          </w:tcPr>
          <w:p w14:paraId="4418E98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2,032.6 </w:t>
            </w:r>
          </w:p>
        </w:tc>
        <w:tc>
          <w:tcPr>
            <w:tcW w:w="1275" w:type="dxa"/>
            <w:tcBorders>
              <w:top w:val="nil"/>
              <w:left w:val="nil"/>
              <w:bottom w:val="nil"/>
              <w:right w:val="single" w:sz="4" w:space="0" w:color="auto"/>
            </w:tcBorders>
            <w:shd w:val="clear" w:color="auto" w:fill="auto"/>
            <w:noWrap/>
            <w:vAlign w:val="bottom"/>
            <w:hideMark/>
          </w:tcPr>
          <w:p w14:paraId="0AC327B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1,683.5 </w:t>
            </w:r>
          </w:p>
        </w:tc>
        <w:tc>
          <w:tcPr>
            <w:tcW w:w="4453" w:type="dxa"/>
            <w:tcBorders>
              <w:top w:val="nil"/>
              <w:left w:val="nil"/>
              <w:bottom w:val="nil"/>
              <w:right w:val="nil"/>
            </w:tcBorders>
            <w:shd w:val="clear" w:color="auto" w:fill="auto"/>
            <w:noWrap/>
            <w:vAlign w:val="bottom"/>
            <w:hideMark/>
          </w:tcPr>
          <w:p w14:paraId="7BD6C11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2,010.8 </w:t>
            </w:r>
          </w:p>
        </w:tc>
        <w:tc>
          <w:tcPr>
            <w:tcW w:w="1934" w:type="dxa"/>
            <w:tcBorders>
              <w:top w:val="nil"/>
              <w:left w:val="nil"/>
              <w:bottom w:val="nil"/>
              <w:right w:val="single" w:sz="4" w:space="0" w:color="auto"/>
            </w:tcBorders>
            <w:shd w:val="clear" w:color="auto" w:fill="auto"/>
            <w:noWrap/>
            <w:vAlign w:val="bottom"/>
            <w:hideMark/>
          </w:tcPr>
          <w:p w14:paraId="78BA58A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2,085.3 </w:t>
            </w:r>
          </w:p>
        </w:tc>
      </w:tr>
      <w:tr w:rsidR="00E43679" w:rsidRPr="00E43679" w14:paraId="18C94646"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365651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3E4D06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C1C6C4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49724CE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0FD692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54B8B7B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4D6CD58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349558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0F638EB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967A8F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0806AE0"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7C99B6B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EBITDA (calculated)</w:t>
            </w:r>
          </w:p>
        </w:tc>
        <w:tc>
          <w:tcPr>
            <w:tcW w:w="286" w:type="dxa"/>
            <w:tcBorders>
              <w:top w:val="nil"/>
              <w:left w:val="nil"/>
              <w:bottom w:val="nil"/>
              <w:right w:val="nil"/>
            </w:tcBorders>
            <w:shd w:val="clear" w:color="auto" w:fill="auto"/>
            <w:noWrap/>
            <w:vAlign w:val="bottom"/>
            <w:hideMark/>
          </w:tcPr>
          <w:p w14:paraId="300412D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2753224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3B56369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7579E97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43.9 </w:t>
            </w:r>
          </w:p>
        </w:tc>
        <w:tc>
          <w:tcPr>
            <w:tcW w:w="1418" w:type="dxa"/>
            <w:tcBorders>
              <w:top w:val="nil"/>
              <w:left w:val="single" w:sz="4" w:space="0" w:color="auto"/>
              <w:bottom w:val="nil"/>
              <w:right w:val="nil"/>
            </w:tcBorders>
            <w:shd w:val="clear" w:color="auto" w:fill="auto"/>
            <w:noWrap/>
            <w:vAlign w:val="bottom"/>
            <w:hideMark/>
          </w:tcPr>
          <w:p w14:paraId="60FD8E0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312.2 </w:t>
            </w:r>
          </w:p>
        </w:tc>
        <w:tc>
          <w:tcPr>
            <w:tcW w:w="1275" w:type="dxa"/>
            <w:tcBorders>
              <w:top w:val="nil"/>
              <w:left w:val="single" w:sz="4" w:space="0" w:color="auto"/>
              <w:bottom w:val="nil"/>
              <w:right w:val="nil"/>
            </w:tcBorders>
            <w:shd w:val="clear" w:color="auto" w:fill="auto"/>
            <w:noWrap/>
            <w:vAlign w:val="bottom"/>
            <w:hideMark/>
          </w:tcPr>
          <w:p w14:paraId="7A3EBE0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297.8 </w:t>
            </w:r>
          </w:p>
        </w:tc>
        <w:tc>
          <w:tcPr>
            <w:tcW w:w="4453" w:type="dxa"/>
            <w:tcBorders>
              <w:top w:val="nil"/>
              <w:left w:val="single" w:sz="4" w:space="0" w:color="auto"/>
              <w:bottom w:val="nil"/>
              <w:right w:val="nil"/>
            </w:tcBorders>
            <w:shd w:val="clear" w:color="auto" w:fill="auto"/>
            <w:noWrap/>
            <w:vAlign w:val="bottom"/>
            <w:hideMark/>
          </w:tcPr>
          <w:p w14:paraId="540C9BF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347.6 </w:t>
            </w:r>
          </w:p>
        </w:tc>
        <w:tc>
          <w:tcPr>
            <w:tcW w:w="1934" w:type="dxa"/>
            <w:tcBorders>
              <w:top w:val="nil"/>
              <w:left w:val="single" w:sz="4" w:space="0" w:color="auto"/>
              <w:bottom w:val="nil"/>
              <w:right w:val="nil"/>
            </w:tcBorders>
            <w:shd w:val="clear" w:color="auto" w:fill="auto"/>
            <w:noWrap/>
            <w:vAlign w:val="bottom"/>
            <w:hideMark/>
          </w:tcPr>
          <w:p w14:paraId="02C8E83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379.4 </w:t>
            </w:r>
          </w:p>
        </w:tc>
      </w:tr>
      <w:tr w:rsidR="00E43679" w:rsidRPr="00E43679" w14:paraId="40378DD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99113B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lastRenderedPageBreak/>
              <w:t> </w:t>
            </w:r>
          </w:p>
        </w:tc>
        <w:tc>
          <w:tcPr>
            <w:tcW w:w="266" w:type="dxa"/>
            <w:tcBorders>
              <w:top w:val="nil"/>
              <w:left w:val="nil"/>
              <w:bottom w:val="nil"/>
              <w:right w:val="nil"/>
            </w:tcBorders>
            <w:shd w:val="clear" w:color="auto" w:fill="auto"/>
            <w:noWrap/>
            <w:vAlign w:val="bottom"/>
            <w:hideMark/>
          </w:tcPr>
          <w:p w14:paraId="1DAEBD2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39C7C2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3553DA5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6CEBB38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2952911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5F95EE5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5E61DA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80D896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A5C410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0E0414D"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2E4A863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Enterprise Value</w:t>
            </w:r>
          </w:p>
        </w:tc>
        <w:tc>
          <w:tcPr>
            <w:tcW w:w="286" w:type="dxa"/>
            <w:tcBorders>
              <w:top w:val="nil"/>
              <w:left w:val="nil"/>
              <w:bottom w:val="nil"/>
              <w:right w:val="nil"/>
            </w:tcBorders>
            <w:shd w:val="clear" w:color="auto" w:fill="auto"/>
            <w:noWrap/>
            <w:vAlign w:val="bottom"/>
            <w:hideMark/>
          </w:tcPr>
          <w:p w14:paraId="7C0CD761"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13AFA2C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40517A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6268DCD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3,161.7 </w:t>
            </w:r>
          </w:p>
        </w:tc>
        <w:tc>
          <w:tcPr>
            <w:tcW w:w="1418" w:type="dxa"/>
            <w:tcBorders>
              <w:top w:val="nil"/>
              <w:left w:val="single" w:sz="4" w:space="0" w:color="auto"/>
              <w:bottom w:val="nil"/>
              <w:right w:val="nil"/>
            </w:tcBorders>
            <w:shd w:val="clear" w:color="auto" w:fill="auto"/>
            <w:noWrap/>
            <w:vAlign w:val="bottom"/>
            <w:hideMark/>
          </w:tcPr>
          <w:p w14:paraId="6BEE3F3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3,201.9 </w:t>
            </w:r>
          </w:p>
        </w:tc>
        <w:tc>
          <w:tcPr>
            <w:tcW w:w="1275" w:type="dxa"/>
            <w:tcBorders>
              <w:top w:val="nil"/>
              <w:left w:val="single" w:sz="4" w:space="0" w:color="auto"/>
              <w:bottom w:val="nil"/>
              <w:right w:val="nil"/>
            </w:tcBorders>
            <w:shd w:val="clear" w:color="auto" w:fill="auto"/>
            <w:noWrap/>
            <w:vAlign w:val="bottom"/>
            <w:hideMark/>
          </w:tcPr>
          <w:p w14:paraId="2DFCD40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4,261.6 </w:t>
            </w:r>
          </w:p>
        </w:tc>
        <w:tc>
          <w:tcPr>
            <w:tcW w:w="4453" w:type="dxa"/>
            <w:tcBorders>
              <w:top w:val="nil"/>
              <w:left w:val="single" w:sz="4" w:space="0" w:color="auto"/>
              <w:bottom w:val="nil"/>
              <w:right w:val="nil"/>
            </w:tcBorders>
            <w:shd w:val="clear" w:color="auto" w:fill="auto"/>
            <w:noWrap/>
            <w:vAlign w:val="bottom"/>
            <w:hideMark/>
          </w:tcPr>
          <w:p w14:paraId="575F453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3,914.9 </w:t>
            </w:r>
          </w:p>
        </w:tc>
        <w:tc>
          <w:tcPr>
            <w:tcW w:w="1934" w:type="dxa"/>
            <w:tcBorders>
              <w:top w:val="nil"/>
              <w:left w:val="single" w:sz="4" w:space="0" w:color="auto"/>
              <w:bottom w:val="nil"/>
              <w:right w:val="nil"/>
            </w:tcBorders>
            <w:shd w:val="clear" w:color="auto" w:fill="auto"/>
            <w:noWrap/>
            <w:vAlign w:val="bottom"/>
            <w:hideMark/>
          </w:tcPr>
          <w:p w14:paraId="7CEE668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5,080.3 </w:t>
            </w:r>
          </w:p>
        </w:tc>
      </w:tr>
      <w:tr w:rsidR="00E43679" w:rsidRPr="00E43679" w14:paraId="5F50A409"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636155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3DD99CD"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762163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68FB973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6E52B9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70C711E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2007C6E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6565837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02719BB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B6F7E6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BFE90B5"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33B1D8B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Market Cap</w:t>
            </w:r>
          </w:p>
        </w:tc>
        <w:tc>
          <w:tcPr>
            <w:tcW w:w="286" w:type="dxa"/>
            <w:tcBorders>
              <w:top w:val="nil"/>
              <w:left w:val="nil"/>
              <w:bottom w:val="nil"/>
              <w:right w:val="nil"/>
            </w:tcBorders>
            <w:shd w:val="clear" w:color="auto" w:fill="auto"/>
            <w:noWrap/>
            <w:vAlign w:val="bottom"/>
            <w:hideMark/>
          </w:tcPr>
          <w:p w14:paraId="48D3D07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2618" w:type="dxa"/>
            <w:tcBorders>
              <w:top w:val="nil"/>
              <w:left w:val="nil"/>
              <w:bottom w:val="nil"/>
              <w:right w:val="nil"/>
            </w:tcBorders>
            <w:shd w:val="clear" w:color="auto" w:fill="auto"/>
            <w:noWrap/>
            <w:vAlign w:val="bottom"/>
            <w:hideMark/>
          </w:tcPr>
          <w:p w14:paraId="00F0C22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F559EC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02B9D44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2,179.4 </w:t>
            </w:r>
          </w:p>
        </w:tc>
        <w:tc>
          <w:tcPr>
            <w:tcW w:w="1418" w:type="dxa"/>
            <w:tcBorders>
              <w:top w:val="nil"/>
              <w:left w:val="single" w:sz="4" w:space="0" w:color="auto"/>
              <w:bottom w:val="nil"/>
              <w:right w:val="nil"/>
            </w:tcBorders>
            <w:shd w:val="clear" w:color="auto" w:fill="auto"/>
            <w:noWrap/>
            <w:vAlign w:val="bottom"/>
            <w:hideMark/>
          </w:tcPr>
          <w:p w14:paraId="2E11507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2,200.2 </w:t>
            </w:r>
          </w:p>
        </w:tc>
        <w:tc>
          <w:tcPr>
            <w:tcW w:w="1275" w:type="dxa"/>
            <w:tcBorders>
              <w:top w:val="nil"/>
              <w:left w:val="single" w:sz="4" w:space="0" w:color="auto"/>
              <w:bottom w:val="nil"/>
              <w:right w:val="nil"/>
            </w:tcBorders>
            <w:shd w:val="clear" w:color="auto" w:fill="auto"/>
            <w:noWrap/>
            <w:vAlign w:val="bottom"/>
            <w:hideMark/>
          </w:tcPr>
          <w:p w14:paraId="6947DA6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3,412.8 </w:t>
            </w:r>
          </w:p>
        </w:tc>
        <w:tc>
          <w:tcPr>
            <w:tcW w:w="4453" w:type="dxa"/>
            <w:tcBorders>
              <w:top w:val="nil"/>
              <w:left w:val="single" w:sz="4" w:space="0" w:color="auto"/>
              <w:bottom w:val="nil"/>
              <w:right w:val="nil"/>
            </w:tcBorders>
            <w:shd w:val="clear" w:color="auto" w:fill="auto"/>
            <w:noWrap/>
            <w:vAlign w:val="bottom"/>
            <w:hideMark/>
          </w:tcPr>
          <w:p w14:paraId="049378D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2,916.7 </w:t>
            </w:r>
          </w:p>
        </w:tc>
        <w:tc>
          <w:tcPr>
            <w:tcW w:w="1934" w:type="dxa"/>
            <w:tcBorders>
              <w:top w:val="nil"/>
              <w:left w:val="single" w:sz="4" w:space="0" w:color="auto"/>
              <w:bottom w:val="nil"/>
              <w:right w:val="nil"/>
            </w:tcBorders>
            <w:shd w:val="clear" w:color="auto" w:fill="auto"/>
            <w:noWrap/>
            <w:vAlign w:val="bottom"/>
            <w:hideMark/>
          </w:tcPr>
          <w:p w14:paraId="28901EE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3,896.4 </w:t>
            </w:r>
          </w:p>
        </w:tc>
      </w:tr>
      <w:tr w:rsidR="00E43679" w:rsidRPr="00E43679" w14:paraId="4901CD10"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002553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48BA9D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5CFFAA4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5733FAF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030F1F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70C0393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1960100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553E05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4DD256D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95ABC9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B65E131"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524C157" w14:textId="77777777" w:rsidR="00E43679" w:rsidRPr="00E43679" w:rsidRDefault="00E43679" w:rsidP="00E43679">
            <w:pPr>
              <w:spacing w:after="0" w:line="240" w:lineRule="auto"/>
              <w:rPr>
                <w:rFonts w:ascii="Calibri" w:eastAsia="Times New Roman" w:hAnsi="Calibri" w:cs="Calibri"/>
                <w:b/>
                <w:bCs/>
                <w:color w:val="FF0000"/>
                <w:sz w:val="22"/>
                <w:szCs w:val="22"/>
                <w:lang w:val="en-GB" w:eastAsia="en-GB"/>
              </w:rPr>
            </w:pPr>
            <w:r w:rsidRPr="00E43679">
              <w:rPr>
                <w:rFonts w:ascii="Calibri" w:eastAsia="Times New Roman" w:hAnsi="Calibri" w:cs="Calibri"/>
                <w:b/>
                <w:bCs/>
                <w:color w:val="FF0000"/>
                <w:sz w:val="22"/>
                <w:szCs w:val="22"/>
                <w:lang w:val="en-GB" w:eastAsia="en-GB"/>
              </w:rPr>
              <w:t> </w:t>
            </w:r>
          </w:p>
        </w:tc>
        <w:tc>
          <w:tcPr>
            <w:tcW w:w="266" w:type="dxa"/>
            <w:tcBorders>
              <w:top w:val="nil"/>
              <w:left w:val="nil"/>
              <w:bottom w:val="nil"/>
              <w:right w:val="nil"/>
            </w:tcBorders>
            <w:shd w:val="clear" w:color="auto" w:fill="auto"/>
            <w:noWrap/>
            <w:vAlign w:val="bottom"/>
            <w:hideMark/>
          </w:tcPr>
          <w:p w14:paraId="4E1A2156" w14:textId="77777777" w:rsidR="00E43679" w:rsidRPr="00E43679" w:rsidRDefault="00E43679" w:rsidP="00E43679">
            <w:pPr>
              <w:spacing w:after="0" w:line="240" w:lineRule="auto"/>
              <w:rPr>
                <w:rFonts w:ascii="Calibri" w:eastAsia="Times New Roman" w:hAnsi="Calibri" w:cs="Calibri"/>
                <w:b/>
                <w:bCs/>
                <w:color w:val="FF0000"/>
                <w:sz w:val="22"/>
                <w:szCs w:val="22"/>
                <w:lang w:val="en-GB" w:eastAsia="en-GB"/>
              </w:rPr>
            </w:pPr>
          </w:p>
        </w:tc>
        <w:tc>
          <w:tcPr>
            <w:tcW w:w="286" w:type="dxa"/>
            <w:tcBorders>
              <w:top w:val="nil"/>
              <w:left w:val="nil"/>
              <w:bottom w:val="nil"/>
              <w:right w:val="nil"/>
            </w:tcBorders>
            <w:shd w:val="clear" w:color="auto" w:fill="auto"/>
            <w:noWrap/>
            <w:vAlign w:val="bottom"/>
            <w:hideMark/>
          </w:tcPr>
          <w:p w14:paraId="5B7DCE4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0460A66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ADBD6D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2ECDDCC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2A9AD27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089373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7B16EDF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39B54D5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8AE60B7"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E7D1109" w14:textId="77777777" w:rsidR="00E43679" w:rsidRPr="00E43679" w:rsidRDefault="00E43679" w:rsidP="00E43679">
            <w:pPr>
              <w:spacing w:after="0" w:line="240" w:lineRule="auto"/>
              <w:rPr>
                <w:rFonts w:ascii="Calibri" w:eastAsia="Times New Roman" w:hAnsi="Calibri" w:cs="Calibri"/>
                <w:b/>
                <w:bCs/>
                <w:color w:val="FF0000"/>
                <w:sz w:val="22"/>
                <w:szCs w:val="22"/>
                <w:lang w:val="en-GB" w:eastAsia="en-GB"/>
              </w:rPr>
            </w:pPr>
            <w:r w:rsidRPr="00E43679">
              <w:rPr>
                <w:rFonts w:ascii="Calibri" w:eastAsia="Times New Roman" w:hAnsi="Calibri" w:cs="Calibri"/>
                <w:b/>
                <w:bCs/>
                <w:color w:val="FF0000"/>
                <w:sz w:val="22"/>
                <w:szCs w:val="22"/>
                <w:lang w:val="en-GB" w:eastAsia="en-GB"/>
              </w:rPr>
              <w:t> </w:t>
            </w:r>
          </w:p>
        </w:tc>
        <w:tc>
          <w:tcPr>
            <w:tcW w:w="266" w:type="dxa"/>
            <w:tcBorders>
              <w:top w:val="nil"/>
              <w:left w:val="nil"/>
              <w:bottom w:val="nil"/>
              <w:right w:val="nil"/>
            </w:tcBorders>
            <w:shd w:val="clear" w:color="auto" w:fill="auto"/>
            <w:noWrap/>
            <w:vAlign w:val="bottom"/>
            <w:hideMark/>
          </w:tcPr>
          <w:p w14:paraId="6F034009" w14:textId="77777777" w:rsidR="00E43679" w:rsidRPr="00E43679" w:rsidRDefault="00E43679" w:rsidP="00E43679">
            <w:pPr>
              <w:spacing w:after="0" w:line="240" w:lineRule="auto"/>
              <w:rPr>
                <w:rFonts w:ascii="Calibri" w:eastAsia="Times New Roman" w:hAnsi="Calibri" w:cs="Calibri"/>
                <w:b/>
                <w:bCs/>
                <w:color w:val="FF0000"/>
                <w:sz w:val="22"/>
                <w:szCs w:val="22"/>
                <w:lang w:val="en-GB" w:eastAsia="en-GB"/>
              </w:rPr>
            </w:pPr>
          </w:p>
        </w:tc>
        <w:tc>
          <w:tcPr>
            <w:tcW w:w="286" w:type="dxa"/>
            <w:tcBorders>
              <w:top w:val="nil"/>
              <w:left w:val="nil"/>
              <w:bottom w:val="nil"/>
              <w:right w:val="nil"/>
            </w:tcBorders>
            <w:shd w:val="clear" w:color="auto" w:fill="auto"/>
            <w:noWrap/>
            <w:vAlign w:val="bottom"/>
            <w:hideMark/>
          </w:tcPr>
          <w:p w14:paraId="6ABC9B3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609AA5C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7D7A51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6E5CB6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08B9436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65A979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1C771E6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20D724E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1A19674"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54C14749" w14:textId="77777777" w:rsidR="00E43679" w:rsidRPr="00E43679" w:rsidRDefault="00E43679" w:rsidP="00E43679">
            <w:pPr>
              <w:spacing w:after="0" w:line="240" w:lineRule="auto"/>
              <w:rPr>
                <w:rFonts w:ascii="Calibri" w:eastAsia="Times New Roman" w:hAnsi="Calibri" w:cs="Calibri"/>
                <w:b/>
                <w:bCs/>
                <w:color w:val="FF0000"/>
                <w:sz w:val="22"/>
                <w:szCs w:val="22"/>
                <w:lang w:val="en-GB" w:eastAsia="en-GB"/>
              </w:rPr>
            </w:pPr>
            <w:r w:rsidRPr="00E43679">
              <w:rPr>
                <w:rFonts w:ascii="Calibri" w:eastAsia="Times New Roman" w:hAnsi="Calibri" w:cs="Calibri"/>
                <w:b/>
                <w:bCs/>
                <w:color w:val="FF0000"/>
                <w:sz w:val="22"/>
                <w:szCs w:val="22"/>
                <w:lang w:val="en-GB" w:eastAsia="en-GB"/>
              </w:rPr>
              <w:t>Market Price of Share on the 7th July        ( £ )</w:t>
            </w:r>
          </w:p>
        </w:tc>
        <w:tc>
          <w:tcPr>
            <w:tcW w:w="828" w:type="dxa"/>
            <w:tcBorders>
              <w:top w:val="nil"/>
              <w:left w:val="single" w:sz="4" w:space="0" w:color="auto"/>
              <w:bottom w:val="nil"/>
              <w:right w:val="single" w:sz="4" w:space="0" w:color="auto"/>
            </w:tcBorders>
            <w:shd w:val="clear" w:color="auto" w:fill="auto"/>
            <w:noWrap/>
            <w:vAlign w:val="bottom"/>
            <w:hideMark/>
          </w:tcPr>
          <w:p w14:paraId="15D8B0A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34FD0D0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 </w:t>
            </w:r>
          </w:p>
        </w:tc>
        <w:tc>
          <w:tcPr>
            <w:tcW w:w="1418" w:type="dxa"/>
            <w:tcBorders>
              <w:top w:val="nil"/>
              <w:left w:val="nil"/>
              <w:bottom w:val="nil"/>
              <w:right w:val="nil"/>
            </w:tcBorders>
            <w:shd w:val="clear" w:color="auto" w:fill="auto"/>
            <w:noWrap/>
            <w:vAlign w:val="bottom"/>
            <w:hideMark/>
          </w:tcPr>
          <w:p w14:paraId="6AE94E4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 </w:t>
            </w:r>
          </w:p>
        </w:tc>
        <w:tc>
          <w:tcPr>
            <w:tcW w:w="1275" w:type="dxa"/>
            <w:tcBorders>
              <w:top w:val="nil"/>
              <w:left w:val="nil"/>
              <w:bottom w:val="nil"/>
              <w:right w:val="single" w:sz="4" w:space="0" w:color="auto"/>
            </w:tcBorders>
            <w:shd w:val="clear" w:color="auto" w:fill="auto"/>
            <w:noWrap/>
            <w:vAlign w:val="bottom"/>
            <w:hideMark/>
          </w:tcPr>
          <w:p w14:paraId="136E103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3.9 </w:t>
            </w:r>
          </w:p>
        </w:tc>
        <w:tc>
          <w:tcPr>
            <w:tcW w:w="4453" w:type="dxa"/>
            <w:tcBorders>
              <w:top w:val="nil"/>
              <w:left w:val="nil"/>
              <w:bottom w:val="nil"/>
              <w:right w:val="nil"/>
            </w:tcBorders>
            <w:shd w:val="clear" w:color="auto" w:fill="auto"/>
            <w:noWrap/>
            <w:vAlign w:val="bottom"/>
            <w:hideMark/>
          </w:tcPr>
          <w:p w14:paraId="00707D2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 </w:t>
            </w:r>
          </w:p>
        </w:tc>
        <w:tc>
          <w:tcPr>
            <w:tcW w:w="1934" w:type="dxa"/>
            <w:tcBorders>
              <w:top w:val="nil"/>
              <w:left w:val="nil"/>
              <w:bottom w:val="nil"/>
              <w:right w:val="single" w:sz="4" w:space="0" w:color="auto"/>
            </w:tcBorders>
            <w:shd w:val="clear" w:color="auto" w:fill="auto"/>
            <w:noWrap/>
            <w:vAlign w:val="bottom"/>
            <w:hideMark/>
          </w:tcPr>
          <w:p w14:paraId="767CED1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4.6 </w:t>
            </w:r>
          </w:p>
        </w:tc>
      </w:tr>
      <w:tr w:rsidR="00E43679" w:rsidRPr="00E43679" w14:paraId="6FBE843A"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F15BD9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0169DA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EAABCB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1715FF3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1ED835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4FD401E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1359292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5E8D504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6E4E999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866830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53F49FD"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7AE3A498"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KEY STATISTICS:</w:t>
            </w:r>
          </w:p>
        </w:tc>
        <w:tc>
          <w:tcPr>
            <w:tcW w:w="286" w:type="dxa"/>
            <w:tcBorders>
              <w:top w:val="nil"/>
              <w:left w:val="nil"/>
              <w:bottom w:val="nil"/>
              <w:right w:val="nil"/>
            </w:tcBorders>
            <w:shd w:val="clear" w:color="auto" w:fill="auto"/>
            <w:noWrap/>
            <w:vAlign w:val="bottom"/>
            <w:hideMark/>
          </w:tcPr>
          <w:p w14:paraId="0A2E616B"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2618" w:type="dxa"/>
            <w:tcBorders>
              <w:top w:val="nil"/>
              <w:left w:val="nil"/>
              <w:bottom w:val="nil"/>
              <w:right w:val="nil"/>
            </w:tcBorders>
            <w:shd w:val="clear" w:color="auto" w:fill="auto"/>
            <w:noWrap/>
            <w:vAlign w:val="bottom"/>
            <w:hideMark/>
          </w:tcPr>
          <w:p w14:paraId="305C05A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55107CB" w14:textId="77777777" w:rsidR="00E43679" w:rsidRPr="00E43679" w:rsidRDefault="00E43679" w:rsidP="00E43679">
            <w:pPr>
              <w:spacing w:after="0" w:line="240" w:lineRule="auto"/>
              <w:rPr>
                <w:rFonts w:ascii="Calibri" w:eastAsia="Times New Roman" w:hAnsi="Calibri" w:cs="Calibri"/>
                <w:color w:val="7030A0"/>
                <w:sz w:val="22"/>
                <w:szCs w:val="22"/>
                <w:lang w:val="en-GB" w:eastAsia="en-GB"/>
              </w:rPr>
            </w:pPr>
            <w:r w:rsidRPr="00E43679">
              <w:rPr>
                <w:rFonts w:ascii="Calibri" w:eastAsia="Times New Roman" w:hAnsi="Calibri" w:cs="Calibri"/>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20A4DED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7005039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B67A7E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22A0052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FF1AB2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F2D4209"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08063486"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Adjusted Operating Profit</w:t>
            </w:r>
          </w:p>
        </w:tc>
        <w:tc>
          <w:tcPr>
            <w:tcW w:w="2618" w:type="dxa"/>
            <w:tcBorders>
              <w:top w:val="nil"/>
              <w:left w:val="nil"/>
              <w:bottom w:val="nil"/>
              <w:right w:val="nil"/>
            </w:tcBorders>
            <w:shd w:val="clear" w:color="auto" w:fill="auto"/>
            <w:noWrap/>
            <w:vAlign w:val="bottom"/>
            <w:hideMark/>
          </w:tcPr>
          <w:p w14:paraId="7119A256"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F75BD24"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62E610A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291.3 </w:t>
            </w:r>
          </w:p>
        </w:tc>
        <w:tc>
          <w:tcPr>
            <w:tcW w:w="1418" w:type="dxa"/>
            <w:tcBorders>
              <w:top w:val="nil"/>
              <w:left w:val="nil"/>
              <w:bottom w:val="nil"/>
              <w:right w:val="nil"/>
            </w:tcBorders>
            <w:shd w:val="clear" w:color="auto" w:fill="auto"/>
            <w:noWrap/>
            <w:vAlign w:val="bottom"/>
            <w:hideMark/>
          </w:tcPr>
          <w:p w14:paraId="2F1AADC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261.5 </w:t>
            </w:r>
          </w:p>
        </w:tc>
        <w:tc>
          <w:tcPr>
            <w:tcW w:w="1275" w:type="dxa"/>
            <w:tcBorders>
              <w:top w:val="nil"/>
              <w:left w:val="nil"/>
              <w:bottom w:val="nil"/>
              <w:right w:val="single" w:sz="4" w:space="0" w:color="auto"/>
            </w:tcBorders>
            <w:shd w:val="clear" w:color="auto" w:fill="auto"/>
            <w:noWrap/>
            <w:vAlign w:val="bottom"/>
            <w:hideMark/>
          </w:tcPr>
          <w:p w14:paraId="2D8907C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291.4 </w:t>
            </w:r>
          </w:p>
        </w:tc>
        <w:tc>
          <w:tcPr>
            <w:tcW w:w="4453" w:type="dxa"/>
            <w:tcBorders>
              <w:top w:val="nil"/>
              <w:left w:val="nil"/>
              <w:bottom w:val="nil"/>
              <w:right w:val="nil"/>
            </w:tcBorders>
            <w:shd w:val="clear" w:color="auto" w:fill="auto"/>
            <w:noWrap/>
            <w:vAlign w:val="bottom"/>
            <w:hideMark/>
          </w:tcPr>
          <w:p w14:paraId="7CFC336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372.2 </w:t>
            </w:r>
          </w:p>
        </w:tc>
        <w:tc>
          <w:tcPr>
            <w:tcW w:w="1934" w:type="dxa"/>
            <w:tcBorders>
              <w:top w:val="nil"/>
              <w:left w:val="nil"/>
              <w:bottom w:val="nil"/>
              <w:right w:val="single" w:sz="4" w:space="0" w:color="auto"/>
            </w:tcBorders>
            <w:shd w:val="clear" w:color="auto" w:fill="auto"/>
            <w:noWrap/>
            <w:vAlign w:val="bottom"/>
            <w:hideMark/>
          </w:tcPr>
          <w:p w14:paraId="724C2B7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335.0 </w:t>
            </w:r>
          </w:p>
        </w:tc>
      </w:tr>
      <w:tr w:rsidR="00E43679" w:rsidRPr="00E43679" w14:paraId="1E5B981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64B3534"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266" w:type="dxa"/>
            <w:tcBorders>
              <w:top w:val="nil"/>
              <w:left w:val="nil"/>
              <w:bottom w:val="nil"/>
              <w:right w:val="nil"/>
            </w:tcBorders>
            <w:shd w:val="clear" w:color="auto" w:fill="auto"/>
            <w:noWrap/>
            <w:vAlign w:val="bottom"/>
            <w:hideMark/>
          </w:tcPr>
          <w:p w14:paraId="7E44CEF3"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286" w:type="dxa"/>
            <w:tcBorders>
              <w:top w:val="nil"/>
              <w:left w:val="nil"/>
              <w:bottom w:val="nil"/>
              <w:right w:val="nil"/>
            </w:tcBorders>
            <w:shd w:val="clear" w:color="auto" w:fill="auto"/>
            <w:noWrap/>
            <w:vAlign w:val="bottom"/>
            <w:hideMark/>
          </w:tcPr>
          <w:p w14:paraId="30C42FE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716F3D1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387525A"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096F2D2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0922E3B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1A86BB1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DC3885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152538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85AFF41"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3AE79F93"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Adjusted Basic Earnings Per Share</w:t>
            </w:r>
          </w:p>
        </w:tc>
        <w:tc>
          <w:tcPr>
            <w:tcW w:w="2618" w:type="dxa"/>
            <w:tcBorders>
              <w:top w:val="nil"/>
              <w:left w:val="nil"/>
              <w:bottom w:val="nil"/>
              <w:right w:val="nil"/>
            </w:tcBorders>
            <w:shd w:val="clear" w:color="auto" w:fill="auto"/>
            <w:noWrap/>
            <w:vAlign w:val="bottom"/>
            <w:hideMark/>
          </w:tcPr>
          <w:p w14:paraId="62E19AB9"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3F9A0A0"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1A93BF7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27.6p</w:t>
            </w:r>
          </w:p>
        </w:tc>
        <w:tc>
          <w:tcPr>
            <w:tcW w:w="1418" w:type="dxa"/>
            <w:tcBorders>
              <w:top w:val="nil"/>
              <w:left w:val="nil"/>
              <w:bottom w:val="nil"/>
              <w:right w:val="nil"/>
            </w:tcBorders>
            <w:shd w:val="clear" w:color="auto" w:fill="auto"/>
            <w:noWrap/>
            <w:vAlign w:val="bottom"/>
            <w:hideMark/>
          </w:tcPr>
          <w:p w14:paraId="3124171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22.3p</w:t>
            </w:r>
          </w:p>
        </w:tc>
        <w:tc>
          <w:tcPr>
            <w:tcW w:w="1275" w:type="dxa"/>
            <w:tcBorders>
              <w:top w:val="nil"/>
              <w:left w:val="nil"/>
              <w:bottom w:val="nil"/>
              <w:right w:val="single" w:sz="4" w:space="0" w:color="auto"/>
            </w:tcBorders>
            <w:shd w:val="clear" w:color="auto" w:fill="auto"/>
            <w:noWrap/>
            <w:vAlign w:val="bottom"/>
            <w:hideMark/>
          </w:tcPr>
          <w:p w14:paraId="50957F7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24.7p</w:t>
            </w:r>
          </w:p>
        </w:tc>
        <w:tc>
          <w:tcPr>
            <w:tcW w:w="4453" w:type="dxa"/>
            <w:tcBorders>
              <w:top w:val="nil"/>
              <w:left w:val="nil"/>
              <w:bottom w:val="nil"/>
              <w:right w:val="nil"/>
            </w:tcBorders>
            <w:shd w:val="clear" w:color="auto" w:fill="auto"/>
            <w:noWrap/>
            <w:vAlign w:val="bottom"/>
            <w:hideMark/>
          </w:tcPr>
          <w:p w14:paraId="1247594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29.9p</w:t>
            </w:r>
          </w:p>
        </w:tc>
        <w:tc>
          <w:tcPr>
            <w:tcW w:w="1934" w:type="dxa"/>
            <w:tcBorders>
              <w:top w:val="nil"/>
              <w:left w:val="nil"/>
              <w:bottom w:val="nil"/>
              <w:right w:val="single" w:sz="4" w:space="0" w:color="auto"/>
            </w:tcBorders>
            <w:shd w:val="clear" w:color="auto" w:fill="auto"/>
            <w:noWrap/>
            <w:vAlign w:val="bottom"/>
            <w:hideMark/>
          </w:tcPr>
          <w:p w14:paraId="56391EA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28.8p</w:t>
            </w:r>
          </w:p>
        </w:tc>
      </w:tr>
      <w:tr w:rsidR="00E43679" w:rsidRPr="00E43679" w14:paraId="7064F880"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5FF5F19"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266" w:type="dxa"/>
            <w:tcBorders>
              <w:top w:val="nil"/>
              <w:left w:val="nil"/>
              <w:bottom w:val="nil"/>
              <w:right w:val="nil"/>
            </w:tcBorders>
            <w:shd w:val="clear" w:color="auto" w:fill="auto"/>
            <w:noWrap/>
            <w:vAlign w:val="bottom"/>
            <w:hideMark/>
          </w:tcPr>
          <w:p w14:paraId="30EFE693"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286" w:type="dxa"/>
            <w:tcBorders>
              <w:top w:val="nil"/>
              <w:left w:val="nil"/>
              <w:bottom w:val="nil"/>
              <w:right w:val="nil"/>
            </w:tcBorders>
            <w:shd w:val="clear" w:color="auto" w:fill="auto"/>
            <w:noWrap/>
            <w:vAlign w:val="bottom"/>
            <w:hideMark/>
          </w:tcPr>
          <w:p w14:paraId="7E6D5A7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4435330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7F316EA"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53C2EF8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786B72F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D27648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7B48320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1BB4567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2B0D0B9"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6C9E4354"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Diluted (Loss)/ Earnings Per Share</w:t>
            </w:r>
          </w:p>
        </w:tc>
        <w:tc>
          <w:tcPr>
            <w:tcW w:w="2618" w:type="dxa"/>
            <w:tcBorders>
              <w:top w:val="nil"/>
              <w:left w:val="nil"/>
              <w:bottom w:val="nil"/>
              <w:right w:val="nil"/>
            </w:tcBorders>
            <w:shd w:val="clear" w:color="auto" w:fill="auto"/>
            <w:noWrap/>
            <w:vAlign w:val="bottom"/>
            <w:hideMark/>
          </w:tcPr>
          <w:p w14:paraId="0E89DF09"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A3E16F0"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1B02D7A5" w14:textId="77777777" w:rsidR="00E43679" w:rsidRPr="00E43679" w:rsidRDefault="00E43679" w:rsidP="00E43679">
            <w:pPr>
              <w:spacing w:after="0" w:line="240" w:lineRule="auto"/>
              <w:jc w:val="right"/>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(9.7p)</w:t>
            </w:r>
          </w:p>
        </w:tc>
        <w:tc>
          <w:tcPr>
            <w:tcW w:w="1418" w:type="dxa"/>
            <w:tcBorders>
              <w:top w:val="nil"/>
              <w:left w:val="nil"/>
              <w:bottom w:val="nil"/>
              <w:right w:val="nil"/>
            </w:tcBorders>
            <w:shd w:val="clear" w:color="auto" w:fill="auto"/>
            <w:noWrap/>
            <w:vAlign w:val="bottom"/>
            <w:hideMark/>
          </w:tcPr>
          <w:p w14:paraId="5717A25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18.8p</w:t>
            </w:r>
          </w:p>
        </w:tc>
        <w:tc>
          <w:tcPr>
            <w:tcW w:w="1275" w:type="dxa"/>
            <w:tcBorders>
              <w:top w:val="nil"/>
              <w:left w:val="nil"/>
              <w:bottom w:val="nil"/>
              <w:right w:val="single" w:sz="4" w:space="0" w:color="auto"/>
            </w:tcBorders>
            <w:shd w:val="clear" w:color="auto" w:fill="auto"/>
            <w:noWrap/>
            <w:vAlign w:val="bottom"/>
            <w:hideMark/>
          </w:tcPr>
          <w:p w14:paraId="40BBD5C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21.5p</w:t>
            </w:r>
          </w:p>
        </w:tc>
        <w:tc>
          <w:tcPr>
            <w:tcW w:w="4453" w:type="dxa"/>
            <w:tcBorders>
              <w:top w:val="nil"/>
              <w:left w:val="nil"/>
              <w:bottom w:val="nil"/>
              <w:right w:val="nil"/>
            </w:tcBorders>
            <w:shd w:val="clear" w:color="auto" w:fill="auto"/>
            <w:noWrap/>
            <w:vAlign w:val="bottom"/>
            <w:hideMark/>
          </w:tcPr>
          <w:p w14:paraId="0105C60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23.4p</w:t>
            </w:r>
          </w:p>
        </w:tc>
        <w:tc>
          <w:tcPr>
            <w:tcW w:w="1934" w:type="dxa"/>
            <w:tcBorders>
              <w:top w:val="nil"/>
              <w:left w:val="nil"/>
              <w:bottom w:val="nil"/>
              <w:right w:val="single" w:sz="4" w:space="0" w:color="auto"/>
            </w:tcBorders>
            <w:shd w:val="clear" w:color="auto" w:fill="auto"/>
            <w:noWrap/>
            <w:vAlign w:val="bottom"/>
            <w:hideMark/>
          </w:tcPr>
          <w:p w14:paraId="558BE3D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24.7p</w:t>
            </w:r>
          </w:p>
        </w:tc>
      </w:tr>
      <w:tr w:rsidR="00E43679" w:rsidRPr="00E43679" w14:paraId="5AA6E0B6"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4444D29"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266" w:type="dxa"/>
            <w:tcBorders>
              <w:top w:val="nil"/>
              <w:left w:val="nil"/>
              <w:bottom w:val="nil"/>
              <w:right w:val="nil"/>
            </w:tcBorders>
            <w:shd w:val="clear" w:color="auto" w:fill="auto"/>
            <w:noWrap/>
            <w:vAlign w:val="bottom"/>
            <w:hideMark/>
          </w:tcPr>
          <w:p w14:paraId="4B50CC6D"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286" w:type="dxa"/>
            <w:tcBorders>
              <w:top w:val="nil"/>
              <w:left w:val="nil"/>
              <w:bottom w:val="nil"/>
              <w:right w:val="nil"/>
            </w:tcBorders>
            <w:shd w:val="clear" w:color="auto" w:fill="auto"/>
            <w:noWrap/>
            <w:vAlign w:val="bottom"/>
            <w:hideMark/>
          </w:tcPr>
          <w:p w14:paraId="75BF43B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4595C6A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DF3DD26"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2F77CFC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226AB80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7322708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0B43EDA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8009D7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3276206"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4F077C36"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Dividends Per Share (Paid)</w:t>
            </w:r>
          </w:p>
        </w:tc>
        <w:tc>
          <w:tcPr>
            <w:tcW w:w="2618" w:type="dxa"/>
            <w:tcBorders>
              <w:top w:val="nil"/>
              <w:left w:val="nil"/>
              <w:bottom w:val="nil"/>
              <w:right w:val="nil"/>
            </w:tcBorders>
            <w:shd w:val="clear" w:color="auto" w:fill="auto"/>
            <w:noWrap/>
            <w:vAlign w:val="bottom"/>
            <w:hideMark/>
          </w:tcPr>
          <w:p w14:paraId="6D34F224"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33A36B5"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0B51795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12.7p</w:t>
            </w:r>
          </w:p>
        </w:tc>
        <w:tc>
          <w:tcPr>
            <w:tcW w:w="1418" w:type="dxa"/>
            <w:tcBorders>
              <w:top w:val="nil"/>
              <w:left w:val="nil"/>
              <w:bottom w:val="nil"/>
              <w:right w:val="nil"/>
            </w:tcBorders>
            <w:shd w:val="clear" w:color="auto" w:fill="auto"/>
            <w:noWrap/>
            <w:vAlign w:val="bottom"/>
            <w:hideMark/>
          </w:tcPr>
          <w:p w14:paraId="4FA8282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12.5p</w:t>
            </w:r>
          </w:p>
        </w:tc>
        <w:tc>
          <w:tcPr>
            <w:tcW w:w="1275" w:type="dxa"/>
            <w:tcBorders>
              <w:top w:val="nil"/>
              <w:left w:val="nil"/>
              <w:bottom w:val="nil"/>
              <w:right w:val="single" w:sz="4" w:space="0" w:color="auto"/>
            </w:tcBorders>
            <w:shd w:val="clear" w:color="auto" w:fill="auto"/>
            <w:noWrap/>
            <w:vAlign w:val="bottom"/>
            <w:hideMark/>
          </w:tcPr>
          <w:p w14:paraId="0118AF6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12.3p</w:t>
            </w:r>
          </w:p>
        </w:tc>
        <w:tc>
          <w:tcPr>
            <w:tcW w:w="4453" w:type="dxa"/>
            <w:tcBorders>
              <w:top w:val="nil"/>
              <w:left w:val="nil"/>
              <w:bottom w:val="nil"/>
              <w:right w:val="nil"/>
            </w:tcBorders>
            <w:shd w:val="clear" w:color="auto" w:fill="auto"/>
            <w:noWrap/>
            <w:vAlign w:val="bottom"/>
            <w:hideMark/>
          </w:tcPr>
          <w:p w14:paraId="2B0D5FA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11.9p</w:t>
            </w:r>
          </w:p>
        </w:tc>
        <w:tc>
          <w:tcPr>
            <w:tcW w:w="1934" w:type="dxa"/>
            <w:tcBorders>
              <w:top w:val="nil"/>
              <w:left w:val="nil"/>
              <w:bottom w:val="nil"/>
              <w:right w:val="single" w:sz="4" w:space="0" w:color="auto"/>
            </w:tcBorders>
            <w:shd w:val="clear" w:color="auto" w:fill="auto"/>
            <w:noWrap/>
            <w:vAlign w:val="bottom"/>
            <w:hideMark/>
          </w:tcPr>
          <w:p w14:paraId="3B1B58B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10.9p</w:t>
            </w:r>
          </w:p>
        </w:tc>
      </w:tr>
      <w:tr w:rsidR="00E43679" w:rsidRPr="00E43679" w14:paraId="11B51A61"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38E853CD"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266" w:type="dxa"/>
            <w:tcBorders>
              <w:top w:val="nil"/>
              <w:left w:val="nil"/>
              <w:bottom w:val="nil"/>
              <w:right w:val="nil"/>
            </w:tcBorders>
            <w:shd w:val="clear" w:color="auto" w:fill="auto"/>
            <w:noWrap/>
            <w:vAlign w:val="bottom"/>
            <w:hideMark/>
          </w:tcPr>
          <w:p w14:paraId="43E3AE39"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286" w:type="dxa"/>
            <w:tcBorders>
              <w:top w:val="nil"/>
              <w:left w:val="nil"/>
              <w:bottom w:val="nil"/>
              <w:right w:val="nil"/>
            </w:tcBorders>
            <w:shd w:val="clear" w:color="auto" w:fill="auto"/>
            <w:noWrap/>
            <w:vAlign w:val="bottom"/>
            <w:hideMark/>
          </w:tcPr>
          <w:p w14:paraId="109F96E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556BE4D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737FC28"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29D1466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5C8695E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2320A3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44BE185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4BB8F5A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E4F12D1"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6BC1C7BD"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Share Price - High</w:t>
            </w:r>
          </w:p>
        </w:tc>
        <w:tc>
          <w:tcPr>
            <w:tcW w:w="286" w:type="dxa"/>
            <w:tcBorders>
              <w:top w:val="nil"/>
              <w:left w:val="nil"/>
              <w:bottom w:val="nil"/>
              <w:right w:val="nil"/>
            </w:tcBorders>
            <w:shd w:val="clear" w:color="auto" w:fill="auto"/>
            <w:noWrap/>
            <w:vAlign w:val="bottom"/>
            <w:hideMark/>
          </w:tcPr>
          <w:p w14:paraId="041888F6"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2618" w:type="dxa"/>
            <w:tcBorders>
              <w:top w:val="nil"/>
              <w:left w:val="nil"/>
              <w:bottom w:val="nil"/>
              <w:right w:val="nil"/>
            </w:tcBorders>
            <w:shd w:val="clear" w:color="auto" w:fill="auto"/>
            <w:noWrap/>
            <w:vAlign w:val="bottom"/>
            <w:hideMark/>
          </w:tcPr>
          <w:p w14:paraId="3C4AFD0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23DA40E6"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06F8905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£3.18</w:t>
            </w:r>
          </w:p>
        </w:tc>
        <w:tc>
          <w:tcPr>
            <w:tcW w:w="1418" w:type="dxa"/>
            <w:tcBorders>
              <w:top w:val="nil"/>
              <w:left w:val="nil"/>
              <w:bottom w:val="nil"/>
              <w:right w:val="nil"/>
            </w:tcBorders>
            <w:shd w:val="clear" w:color="auto" w:fill="auto"/>
            <w:noWrap/>
            <w:vAlign w:val="bottom"/>
            <w:hideMark/>
          </w:tcPr>
          <w:p w14:paraId="08C6632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£4.16</w:t>
            </w:r>
          </w:p>
        </w:tc>
        <w:tc>
          <w:tcPr>
            <w:tcW w:w="1275" w:type="dxa"/>
            <w:tcBorders>
              <w:top w:val="nil"/>
              <w:left w:val="nil"/>
              <w:bottom w:val="nil"/>
              <w:right w:val="single" w:sz="4" w:space="0" w:color="auto"/>
            </w:tcBorders>
            <w:shd w:val="clear" w:color="auto" w:fill="auto"/>
            <w:noWrap/>
            <w:vAlign w:val="bottom"/>
            <w:hideMark/>
          </w:tcPr>
          <w:p w14:paraId="3DD77BB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£4.32</w:t>
            </w:r>
          </w:p>
        </w:tc>
        <w:tc>
          <w:tcPr>
            <w:tcW w:w="4453" w:type="dxa"/>
            <w:tcBorders>
              <w:top w:val="nil"/>
              <w:left w:val="nil"/>
              <w:bottom w:val="nil"/>
              <w:right w:val="nil"/>
            </w:tcBorders>
            <w:shd w:val="clear" w:color="auto" w:fill="auto"/>
            <w:noWrap/>
            <w:vAlign w:val="bottom"/>
            <w:hideMark/>
          </w:tcPr>
          <w:p w14:paraId="0EB197B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£4.12</w:t>
            </w:r>
          </w:p>
        </w:tc>
        <w:tc>
          <w:tcPr>
            <w:tcW w:w="1934" w:type="dxa"/>
            <w:tcBorders>
              <w:top w:val="nil"/>
              <w:left w:val="nil"/>
              <w:bottom w:val="nil"/>
              <w:right w:val="single" w:sz="4" w:space="0" w:color="auto"/>
            </w:tcBorders>
            <w:shd w:val="clear" w:color="auto" w:fill="auto"/>
            <w:noWrap/>
            <w:vAlign w:val="bottom"/>
            <w:hideMark/>
          </w:tcPr>
          <w:p w14:paraId="4E16DDF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£4.95</w:t>
            </w:r>
          </w:p>
        </w:tc>
      </w:tr>
      <w:tr w:rsidR="00E43679" w:rsidRPr="00E43679" w14:paraId="160F28B5"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1A91C8F3"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266" w:type="dxa"/>
            <w:tcBorders>
              <w:top w:val="nil"/>
              <w:left w:val="nil"/>
              <w:bottom w:val="nil"/>
              <w:right w:val="nil"/>
            </w:tcBorders>
            <w:shd w:val="clear" w:color="auto" w:fill="auto"/>
            <w:noWrap/>
            <w:vAlign w:val="bottom"/>
            <w:hideMark/>
          </w:tcPr>
          <w:p w14:paraId="65D6D0C4"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286" w:type="dxa"/>
            <w:tcBorders>
              <w:top w:val="nil"/>
              <w:left w:val="nil"/>
              <w:bottom w:val="nil"/>
              <w:right w:val="nil"/>
            </w:tcBorders>
            <w:shd w:val="clear" w:color="auto" w:fill="auto"/>
            <w:noWrap/>
            <w:vAlign w:val="bottom"/>
            <w:hideMark/>
          </w:tcPr>
          <w:p w14:paraId="7D13DBC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7DE31C5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0CC2EE2E"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2D38139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5B540FC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2EEE8B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6261912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409C67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D53DAC2" w14:textId="77777777" w:rsidTr="00E43679">
        <w:trPr>
          <w:trHeight w:val="300"/>
        </w:trPr>
        <w:tc>
          <w:tcPr>
            <w:tcW w:w="2119" w:type="dxa"/>
            <w:gridSpan w:val="2"/>
            <w:tcBorders>
              <w:top w:val="nil"/>
              <w:left w:val="single" w:sz="4" w:space="0" w:color="auto"/>
              <w:bottom w:val="nil"/>
              <w:right w:val="nil"/>
            </w:tcBorders>
            <w:shd w:val="clear" w:color="auto" w:fill="auto"/>
            <w:noWrap/>
            <w:vAlign w:val="bottom"/>
            <w:hideMark/>
          </w:tcPr>
          <w:p w14:paraId="5E99760D"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Share Price - Low</w:t>
            </w:r>
          </w:p>
        </w:tc>
        <w:tc>
          <w:tcPr>
            <w:tcW w:w="286" w:type="dxa"/>
            <w:tcBorders>
              <w:top w:val="nil"/>
              <w:left w:val="nil"/>
              <w:bottom w:val="nil"/>
              <w:right w:val="nil"/>
            </w:tcBorders>
            <w:shd w:val="clear" w:color="auto" w:fill="auto"/>
            <w:noWrap/>
            <w:vAlign w:val="bottom"/>
            <w:hideMark/>
          </w:tcPr>
          <w:p w14:paraId="4052C9CF"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2618" w:type="dxa"/>
            <w:tcBorders>
              <w:top w:val="nil"/>
              <w:left w:val="nil"/>
              <w:bottom w:val="nil"/>
              <w:right w:val="nil"/>
            </w:tcBorders>
            <w:shd w:val="clear" w:color="auto" w:fill="auto"/>
            <w:noWrap/>
            <w:vAlign w:val="bottom"/>
            <w:hideMark/>
          </w:tcPr>
          <w:p w14:paraId="4314D20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0CB4459"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657" w:type="dxa"/>
            <w:tcBorders>
              <w:top w:val="nil"/>
              <w:left w:val="nil"/>
              <w:bottom w:val="nil"/>
              <w:right w:val="nil"/>
            </w:tcBorders>
            <w:shd w:val="clear" w:color="auto" w:fill="auto"/>
            <w:noWrap/>
            <w:vAlign w:val="bottom"/>
            <w:hideMark/>
          </w:tcPr>
          <w:p w14:paraId="6109B4F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£2.39</w:t>
            </w:r>
          </w:p>
        </w:tc>
        <w:tc>
          <w:tcPr>
            <w:tcW w:w="1418" w:type="dxa"/>
            <w:tcBorders>
              <w:top w:val="nil"/>
              <w:left w:val="nil"/>
              <w:bottom w:val="nil"/>
              <w:right w:val="nil"/>
            </w:tcBorders>
            <w:shd w:val="clear" w:color="auto" w:fill="auto"/>
            <w:noWrap/>
            <w:vAlign w:val="bottom"/>
            <w:hideMark/>
          </w:tcPr>
          <w:p w14:paraId="4C704F2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£2.36</w:t>
            </w:r>
          </w:p>
        </w:tc>
        <w:tc>
          <w:tcPr>
            <w:tcW w:w="1275" w:type="dxa"/>
            <w:tcBorders>
              <w:top w:val="nil"/>
              <w:left w:val="nil"/>
              <w:bottom w:val="nil"/>
              <w:right w:val="single" w:sz="4" w:space="0" w:color="auto"/>
            </w:tcBorders>
            <w:shd w:val="clear" w:color="auto" w:fill="auto"/>
            <w:noWrap/>
            <w:vAlign w:val="bottom"/>
            <w:hideMark/>
          </w:tcPr>
          <w:p w14:paraId="0B98984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£3.12</w:t>
            </w:r>
          </w:p>
        </w:tc>
        <w:tc>
          <w:tcPr>
            <w:tcW w:w="4453" w:type="dxa"/>
            <w:tcBorders>
              <w:top w:val="nil"/>
              <w:left w:val="nil"/>
              <w:bottom w:val="nil"/>
              <w:right w:val="nil"/>
            </w:tcBorders>
            <w:shd w:val="clear" w:color="auto" w:fill="auto"/>
            <w:noWrap/>
            <w:vAlign w:val="bottom"/>
            <w:hideMark/>
          </w:tcPr>
          <w:p w14:paraId="7817B0B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£3.15</w:t>
            </w:r>
          </w:p>
        </w:tc>
        <w:tc>
          <w:tcPr>
            <w:tcW w:w="1934" w:type="dxa"/>
            <w:tcBorders>
              <w:top w:val="nil"/>
              <w:left w:val="nil"/>
              <w:bottom w:val="nil"/>
              <w:right w:val="single" w:sz="4" w:space="0" w:color="auto"/>
            </w:tcBorders>
            <w:shd w:val="clear" w:color="auto" w:fill="auto"/>
            <w:noWrap/>
            <w:vAlign w:val="bottom"/>
            <w:hideMark/>
          </w:tcPr>
          <w:p w14:paraId="3FE3482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£3.39</w:t>
            </w:r>
          </w:p>
        </w:tc>
      </w:tr>
      <w:tr w:rsidR="00E43679" w:rsidRPr="00E43679" w14:paraId="6A3308CF"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4FC0F1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4DC555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03C32FA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7208820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4B70DDE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43FE73F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13B46EC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0C0B89A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1ACF46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532915B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58B4F08"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42E5ECA7"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Weighted average number of shares (million) BASIC</w:t>
            </w:r>
          </w:p>
        </w:tc>
        <w:tc>
          <w:tcPr>
            <w:tcW w:w="828" w:type="dxa"/>
            <w:tcBorders>
              <w:top w:val="nil"/>
              <w:left w:val="single" w:sz="4" w:space="0" w:color="auto"/>
              <w:bottom w:val="nil"/>
              <w:right w:val="single" w:sz="4" w:space="0" w:color="auto"/>
            </w:tcBorders>
            <w:shd w:val="clear" w:color="auto" w:fill="auto"/>
            <w:noWrap/>
            <w:vAlign w:val="bottom"/>
            <w:hideMark/>
          </w:tcPr>
          <w:p w14:paraId="09B49B6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70B9DAD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856.9 </w:t>
            </w:r>
          </w:p>
        </w:tc>
        <w:tc>
          <w:tcPr>
            <w:tcW w:w="1418" w:type="dxa"/>
            <w:tcBorders>
              <w:top w:val="nil"/>
              <w:left w:val="nil"/>
              <w:bottom w:val="nil"/>
              <w:right w:val="nil"/>
            </w:tcBorders>
            <w:shd w:val="clear" w:color="auto" w:fill="auto"/>
            <w:noWrap/>
            <w:vAlign w:val="bottom"/>
            <w:hideMark/>
          </w:tcPr>
          <w:p w14:paraId="250D349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871.8 </w:t>
            </w:r>
          </w:p>
        </w:tc>
        <w:tc>
          <w:tcPr>
            <w:tcW w:w="1275" w:type="dxa"/>
            <w:tcBorders>
              <w:top w:val="nil"/>
              <w:left w:val="nil"/>
              <w:bottom w:val="nil"/>
              <w:right w:val="nil"/>
            </w:tcBorders>
            <w:shd w:val="clear" w:color="auto" w:fill="auto"/>
            <w:noWrap/>
            <w:vAlign w:val="bottom"/>
            <w:hideMark/>
          </w:tcPr>
          <w:p w14:paraId="06A7274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880.9</w:t>
            </w:r>
          </w:p>
        </w:tc>
        <w:tc>
          <w:tcPr>
            <w:tcW w:w="4453" w:type="dxa"/>
            <w:tcBorders>
              <w:top w:val="nil"/>
              <w:left w:val="single" w:sz="4" w:space="0" w:color="auto"/>
              <w:bottom w:val="nil"/>
              <w:right w:val="nil"/>
            </w:tcBorders>
            <w:shd w:val="clear" w:color="auto" w:fill="auto"/>
            <w:noWrap/>
            <w:vAlign w:val="bottom"/>
            <w:hideMark/>
          </w:tcPr>
          <w:p w14:paraId="5599840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873.2 </w:t>
            </w:r>
          </w:p>
        </w:tc>
        <w:tc>
          <w:tcPr>
            <w:tcW w:w="1934" w:type="dxa"/>
            <w:tcBorders>
              <w:top w:val="nil"/>
              <w:left w:val="nil"/>
              <w:bottom w:val="nil"/>
              <w:right w:val="single" w:sz="4" w:space="0" w:color="auto"/>
            </w:tcBorders>
            <w:shd w:val="clear" w:color="auto" w:fill="auto"/>
            <w:noWrap/>
            <w:vAlign w:val="bottom"/>
            <w:hideMark/>
          </w:tcPr>
          <w:p w14:paraId="7D6B398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838.3 </w:t>
            </w:r>
          </w:p>
        </w:tc>
      </w:tr>
      <w:tr w:rsidR="00E43679" w:rsidRPr="00E43679" w14:paraId="2D59F431"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1C63AEF7"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Weighted average number of shares (million) DILUTED</w:t>
            </w:r>
          </w:p>
        </w:tc>
        <w:tc>
          <w:tcPr>
            <w:tcW w:w="828" w:type="dxa"/>
            <w:tcBorders>
              <w:top w:val="nil"/>
              <w:left w:val="single" w:sz="4" w:space="0" w:color="auto"/>
              <w:bottom w:val="nil"/>
              <w:right w:val="single" w:sz="4" w:space="0" w:color="auto"/>
            </w:tcBorders>
            <w:shd w:val="clear" w:color="auto" w:fill="auto"/>
            <w:noWrap/>
            <w:vAlign w:val="bottom"/>
            <w:hideMark/>
          </w:tcPr>
          <w:p w14:paraId="373BF10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19A755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861.7 </w:t>
            </w:r>
          </w:p>
        </w:tc>
        <w:tc>
          <w:tcPr>
            <w:tcW w:w="1418" w:type="dxa"/>
            <w:tcBorders>
              <w:top w:val="nil"/>
              <w:left w:val="nil"/>
              <w:bottom w:val="nil"/>
              <w:right w:val="nil"/>
            </w:tcBorders>
            <w:shd w:val="clear" w:color="auto" w:fill="auto"/>
            <w:noWrap/>
            <w:vAlign w:val="bottom"/>
            <w:hideMark/>
          </w:tcPr>
          <w:p w14:paraId="6D9404E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874.8 </w:t>
            </w:r>
          </w:p>
        </w:tc>
        <w:tc>
          <w:tcPr>
            <w:tcW w:w="1275" w:type="dxa"/>
            <w:tcBorders>
              <w:top w:val="nil"/>
              <w:left w:val="nil"/>
              <w:bottom w:val="nil"/>
              <w:right w:val="nil"/>
            </w:tcBorders>
            <w:shd w:val="clear" w:color="auto" w:fill="auto"/>
            <w:noWrap/>
            <w:vAlign w:val="bottom"/>
            <w:hideMark/>
          </w:tcPr>
          <w:p w14:paraId="628D3FF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885.2</w:t>
            </w:r>
          </w:p>
        </w:tc>
        <w:tc>
          <w:tcPr>
            <w:tcW w:w="4453" w:type="dxa"/>
            <w:tcBorders>
              <w:top w:val="nil"/>
              <w:left w:val="single" w:sz="4" w:space="0" w:color="auto"/>
              <w:bottom w:val="nil"/>
              <w:right w:val="nil"/>
            </w:tcBorders>
            <w:shd w:val="clear" w:color="auto" w:fill="auto"/>
            <w:noWrap/>
            <w:vAlign w:val="bottom"/>
            <w:hideMark/>
          </w:tcPr>
          <w:p w14:paraId="5FDC31D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881.4 </w:t>
            </w:r>
          </w:p>
        </w:tc>
        <w:tc>
          <w:tcPr>
            <w:tcW w:w="1934" w:type="dxa"/>
            <w:tcBorders>
              <w:top w:val="nil"/>
              <w:left w:val="nil"/>
              <w:bottom w:val="nil"/>
              <w:right w:val="single" w:sz="4" w:space="0" w:color="auto"/>
            </w:tcBorders>
            <w:shd w:val="clear" w:color="auto" w:fill="auto"/>
            <w:noWrap/>
            <w:vAlign w:val="bottom"/>
            <w:hideMark/>
          </w:tcPr>
          <w:p w14:paraId="1D71AF2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853.6 </w:t>
            </w:r>
          </w:p>
        </w:tc>
      </w:tr>
      <w:tr w:rsidR="00E43679" w:rsidRPr="00E43679" w14:paraId="7CB12676"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6EF9C108"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 </w:t>
            </w:r>
          </w:p>
        </w:tc>
        <w:tc>
          <w:tcPr>
            <w:tcW w:w="266" w:type="dxa"/>
            <w:tcBorders>
              <w:top w:val="nil"/>
              <w:left w:val="nil"/>
              <w:bottom w:val="nil"/>
              <w:right w:val="nil"/>
            </w:tcBorders>
            <w:shd w:val="clear" w:color="auto" w:fill="auto"/>
            <w:noWrap/>
            <w:vAlign w:val="bottom"/>
            <w:hideMark/>
          </w:tcPr>
          <w:p w14:paraId="7E6F49D0"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p>
        </w:tc>
        <w:tc>
          <w:tcPr>
            <w:tcW w:w="286" w:type="dxa"/>
            <w:tcBorders>
              <w:top w:val="nil"/>
              <w:left w:val="nil"/>
              <w:bottom w:val="nil"/>
              <w:right w:val="nil"/>
            </w:tcBorders>
            <w:shd w:val="clear" w:color="auto" w:fill="auto"/>
            <w:noWrap/>
            <w:vAlign w:val="bottom"/>
            <w:hideMark/>
          </w:tcPr>
          <w:p w14:paraId="0E6F9EC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6B2B3FF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7542A4E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8BC08C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00AAA22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nil"/>
            </w:tcBorders>
            <w:shd w:val="clear" w:color="auto" w:fill="auto"/>
            <w:noWrap/>
            <w:vAlign w:val="bottom"/>
            <w:hideMark/>
          </w:tcPr>
          <w:p w14:paraId="2D1C5BE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4453" w:type="dxa"/>
            <w:tcBorders>
              <w:top w:val="nil"/>
              <w:left w:val="single" w:sz="4" w:space="0" w:color="auto"/>
              <w:bottom w:val="nil"/>
              <w:right w:val="nil"/>
            </w:tcBorders>
            <w:shd w:val="clear" w:color="auto" w:fill="auto"/>
            <w:noWrap/>
            <w:vAlign w:val="bottom"/>
            <w:hideMark/>
          </w:tcPr>
          <w:p w14:paraId="33FFB38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7396D68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E37AB94"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331D79A0"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Average Number of Employees per year (circa)</w:t>
            </w:r>
          </w:p>
        </w:tc>
        <w:tc>
          <w:tcPr>
            <w:tcW w:w="828" w:type="dxa"/>
            <w:tcBorders>
              <w:top w:val="nil"/>
              <w:left w:val="single" w:sz="4" w:space="0" w:color="auto"/>
              <w:bottom w:val="nil"/>
              <w:right w:val="single" w:sz="4" w:space="0" w:color="auto"/>
            </w:tcBorders>
            <w:shd w:val="clear" w:color="auto" w:fill="auto"/>
            <w:noWrap/>
            <w:vAlign w:val="bottom"/>
            <w:hideMark/>
          </w:tcPr>
          <w:p w14:paraId="0CCFB33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71BE2E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16,186 </w:t>
            </w:r>
          </w:p>
        </w:tc>
        <w:tc>
          <w:tcPr>
            <w:tcW w:w="1418" w:type="dxa"/>
            <w:tcBorders>
              <w:top w:val="nil"/>
              <w:left w:val="nil"/>
              <w:bottom w:val="nil"/>
              <w:right w:val="nil"/>
            </w:tcBorders>
            <w:shd w:val="clear" w:color="auto" w:fill="auto"/>
            <w:noWrap/>
            <w:vAlign w:val="bottom"/>
            <w:hideMark/>
          </w:tcPr>
          <w:p w14:paraId="23DCBD8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16,000 </w:t>
            </w:r>
          </w:p>
        </w:tc>
        <w:tc>
          <w:tcPr>
            <w:tcW w:w="1275" w:type="dxa"/>
            <w:tcBorders>
              <w:top w:val="nil"/>
              <w:left w:val="nil"/>
              <w:bottom w:val="nil"/>
              <w:right w:val="single" w:sz="4" w:space="0" w:color="auto"/>
            </w:tcBorders>
            <w:shd w:val="clear" w:color="auto" w:fill="auto"/>
            <w:noWrap/>
            <w:vAlign w:val="bottom"/>
            <w:hideMark/>
          </w:tcPr>
          <w:p w14:paraId="665F459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16,000 </w:t>
            </w:r>
          </w:p>
        </w:tc>
        <w:tc>
          <w:tcPr>
            <w:tcW w:w="4453" w:type="dxa"/>
            <w:tcBorders>
              <w:top w:val="nil"/>
              <w:left w:val="nil"/>
              <w:bottom w:val="nil"/>
              <w:right w:val="nil"/>
            </w:tcBorders>
            <w:shd w:val="clear" w:color="auto" w:fill="auto"/>
            <w:noWrap/>
            <w:vAlign w:val="bottom"/>
            <w:hideMark/>
          </w:tcPr>
          <w:p w14:paraId="6FFEC85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16,000 </w:t>
            </w:r>
          </w:p>
        </w:tc>
        <w:tc>
          <w:tcPr>
            <w:tcW w:w="1934" w:type="dxa"/>
            <w:tcBorders>
              <w:top w:val="nil"/>
              <w:left w:val="nil"/>
              <w:bottom w:val="nil"/>
              <w:right w:val="single" w:sz="4" w:space="0" w:color="auto"/>
            </w:tcBorders>
            <w:shd w:val="clear" w:color="auto" w:fill="auto"/>
            <w:noWrap/>
            <w:vAlign w:val="bottom"/>
            <w:hideMark/>
          </w:tcPr>
          <w:p w14:paraId="1C589AC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17,000 </w:t>
            </w:r>
          </w:p>
        </w:tc>
      </w:tr>
      <w:tr w:rsidR="00E43679" w:rsidRPr="00E43679" w14:paraId="2933552A"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08BDFEF9"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 </w:t>
            </w:r>
          </w:p>
        </w:tc>
        <w:tc>
          <w:tcPr>
            <w:tcW w:w="266" w:type="dxa"/>
            <w:tcBorders>
              <w:top w:val="nil"/>
              <w:left w:val="nil"/>
              <w:bottom w:val="nil"/>
              <w:right w:val="nil"/>
            </w:tcBorders>
            <w:shd w:val="clear" w:color="auto" w:fill="auto"/>
            <w:noWrap/>
            <w:vAlign w:val="bottom"/>
            <w:hideMark/>
          </w:tcPr>
          <w:p w14:paraId="7BEB3E64"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p>
        </w:tc>
        <w:tc>
          <w:tcPr>
            <w:tcW w:w="286" w:type="dxa"/>
            <w:tcBorders>
              <w:top w:val="nil"/>
              <w:left w:val="nil"/>
              <w:bottom w:val="nil"/>
              <w:right w:val="nil"/>
            </w:tcBorders>
            <w:shd w:val="clear" w:color="auto" w:fill="auto"/>
            <w:noWrap/>
            <w:vAlign w:val="bottom"/>
            <w:hideMark/>
          </w:tcPr>
          <w:p w14:paraId="0AC57B6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551C595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3B9D260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6C944F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4268ABA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448ED8C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371FF8D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609AAED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59840F9" w14:textId="77777777" w:rsidTr="00E43679">
        <w:trPr>
          <w:trHeight w:val="300"/>
        </w:trPr>
        <w:tc>
          <w:tcPr>
            <w:tcW w:w="2405" w:type="dxa"/>
            <w:gridSpan w:val="3"/>
            <w:tcBorders>
              <w:top w:val="nil"/>
              <w:left w:val="single" w:sz="4" w:space="0" w:color="auto"/>
              <w:bottom w:val="nil"/>
              <w:right w:val="nil"/>
            </w:tcBorders>
            <w:shd w:val="clear" w:color="auto" w:fill="auto"/>
            <w:noWrap/>
            <w:vAlign w:val="bottom"/>
            <w:hideMark/>
          </w:tcPr>
          <w:p w14:paraId="3156EFE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Average number of stores</w:t>
            </w:r>
          </w:p>
        </w:tc>
        <w:tc>
          <w:tcPr>
            <w:tcW w:w="2618" w:type="dxa"/>
            <w:tcBorders>
              <w:top w:val="nil"/>
              <w:left w:val="nil"/>
              <w:bottom w:val="nil"/>
              <w:right w:val="nil"/>
            </w:tcBorders>
            <w:shd w:val="clear" w:color="auto" w:fill="auto"/>
            <w:noWrap/>
            <w:vAlign w:val="bottom"/>
            <w:hideMark/>
          </w:tcPr>
          <w:p w14:paraId="6F3EE50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AE55B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2C02262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2,372 </w:t>
            </w:r>
          </w:p>
        </w:tc>
        <w:tc>
          <w:tcPr>
            <w:tcW w:w="1418" w:type="dxa"/>
            <w:tcBorders>
              <w:top w:val="nil"/>
              <w:left w:val="nil"/>
              <w:bottom w:val="nil"/>
              <w:right w:val="nil"/>
            </w:tcBorders>
            <w:shd w:val="clear" w:color="auto" w:fill="auto"/>
            <w:noWrap/>
            <w:vAlign w:val="bottom"/>
            <w:hideMark/>
          </w:tcPr>
          <w:p w14:paraId="697E32C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2,375 </w:t>
            </w:r>
          </w:p>
        </w:tc>
        <w:tc>
          <w:tcPr>
            <w:tcW w:w="1275" w:type="dxa"/>
            <w:tcBorders>
              <w:top w:val="nil"/>
              <w:left w:val="nil"/>
              <w:bottom w:val="nil"/>
              <w:right w:val="single" w:sz="4" w:space="0" w:color="auto"/>
            </w:tcBorders>
            <w:shd w:val="clear" w:color="auto" w:fill="auto"/>
            <w:noWrap/>
            <w:vAlign w:val="bottom"/>
            <w:hideMark/>
          </w:tcPr>
          <w:p w14:paraId="296E03B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2,371 </w:t>
            </w:r>
          </w:p>
        </w:tc>
        <w:tc>
          <w:tcPr>
            <w:tcW w:w="4453" w:type="dxa"/>
            <w:tcBorders>
              <w:top w:val="nil"/>
              <w:left w:val="nil"/>
              <w:bottom w:val="nil"/>
              <w:right w:val="nil"/>
            </w:tcBorders>
            <w:shd w:val="clear" w:color="auto" w:fill="auto"/>
            <w:noWrap/>
            <w:vAlign w:val="bottom"/>
            <w:hideMark/>
          </w:tcPr>
          <w:p w14:paraId="7C92132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2,362 </w:t>
            </w:r>
          </w:p>
        </w:tc>
        <w:tc>
          <w:tcPr>
            <w:tcW w:w="1934" w:type="dxa"/>
            <w:tcBorders>
              <w:top w:val="nil"/>
              <w:left w:val="nil"/>
              <w:bottom w:val="nil"/>
              <w:right w:val="single" w:sz="4" w:space="0" w:color="auto"/>
            </w:tcBorders>
            <w:shd w:val="clear" w:color="auto" w:fill="auto"/>
            <w:noWrap/>
            <w:vAlign w:val="bottom"/>
            <w:hideMark/>
          </w:tcPr>
          <w:p w14:paraId="0AF64A9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2,432 </w:t>
            </w:r>
          </w:p>
        </w:tc>
      </w:tr>
      <w:tr w:rsidR="00E43679" w:rsidRPr="00E43679" w14:paraId="5F1E47B0" w14:textId="77777777" w:rsidTr="00E43679">
        <w:trPr>
          <w:trHeight w:val="300"/>
        </w:trPr>
        <w:tc>
          <w:tcPr>
            <w:tcW w:w="1853" w:type="dxa"/>
            <w:tcBorders>
              <w:top w:val="nil"/>
              <w:left w:val="single" w:sz="4" w:space="0" w:color="auto"/>
              <w:bottom w:val="nil"/>
              <w:right w:val="nil"/>
            </w:tcBorders>
            <w:shd w:val="clear" w:color="auto" w:fill="auto"/>
            <w:noWrap/>
            <w:vAlign w:val="bottom"/>
            <w:hideMark/>
          </w:tcPr>
          <w:p w14:paraId="5D015A2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7EDB31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6" w:type="dxa"/>
            <w:tcBorders>
              <w:top w:val="nil"/>
              <w:left w:val="nil"/>
              <w:bottom w:val="nil"/>
              <w:right w:val="nil"/>
            </w:tcBorders>
            <w:shd w:val="clear" w:color="auto" w:fill="auto"/>
            <w:noWrap/>
            <w:vAlign w:val="bottom"/>
            <w:hideMark/>
          </w:tcPr>
          <w:p w14:paraId="14FC300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18" w:type="dxa"/>
            <w:tcBorders>
              <w:top w:val="nil"/>
              <w:left w:val="nil"/>
              <w:bottom w:val="nil"/>
              <w:right w:val="nil"/>
            </w:tcBorders>
            <w:shd w:val="clear" w:color="auto" w:fill="auto"/>
            <w:noWrap/>
            <w:vAlign w:val="bottom"/>
            <w:hideMark/>
          </w:tcPr>
          <w:p w14:paraId="29CC537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1EABCA6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3F80FC7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nil"/>
              <w:right w:val="nil"/>
            </w:tcBorders>
            <w:shd w:val="clear" w:color="auto" w:fill="auto"/>
            <w:noWrap/>
            <w:vAlign w:val="bottom"/>
            <w:hideMark/>
          </w:tcPr>
          <w:p w14:paraId="5262C87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275" w:type="dxa"/>
            <w:tcBorders>
              <w:top w:val="nil"/>
              <w:left w:val="nil"/>
              <w:bottom w:val="nil"/>
              <w:right w:val="single" w:sz="4" w:space="0" w:color="auto"/>
            </w:tcBorders>
            <w:shd w:val="clear" w:color="auto" w:fill="auto"/>
            <w:noWrap/>
            <w:vAlign w:val="bottom"/>
            <w:hideMark/>
          </w:tcPr>
          <w:p w14:paraId="32B11F2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nil"/>
              <w:right w:val="nil"/>
            </w:tcBorders>
            <w:shd w:val="clear" w:color="auto" w:fill="auto"/>
            <w:noWrap/>
            <w:vAlign w:val="bottom"/>
            <w:hideMark/>
          </w:tcPr>
          <w:p w14:paraId="5005BFB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nil"/>
              <w:right w:val="single" w:sz="4" w:space="0" w:color="auto"/>
            </w:tcBorders>
            <w:shd w:val="clear" w:color="auto" w:fill="auto"/>
            <w:noWrap/>
            <w:vAlign w:val="bottom"/>
            <w:hideMark/>
          </w:tcPr>
          <w:p w14:paraId="0797A19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E429229" w14:textId="77777777" w:rsidTr="00E43679">
        <w:trPr>
          <w:trHeight w:val="300"/>
        </w:trPr>
        <w:tc>
          <w:tcPr>
            <w:tcW w:w="5023" w:type="dxa"/>
            <w:gridSpan w:val="4"/>
            <w:tcBorders>
              <w:top w:val="nil"/>
              <w:left w:val="single" w:sz="4" w:space="0" w:color="auto"/>
              <w:bottom w:val="nil"/>
              <w:right w:val="nil"/>
            </w:tcBorders>
            <w:shd w:val="clear" w:color="auto" w:fill="auto"/>
            <w:noWrap/>
            <w:vAlign w:val="bottom"/>
            <w:hideMark/>
          </w:tcPr>
          <w:p w14:paraId="27B10920" w14:textId="77777777" w:rsidR="00E43679" w:rsidRPr="00E43679" w:rsidRDefault="00E43679" w:rsidP="00E43679">
            <w:pPr>
              <w:spacing w:after="0" w:line="240" w:lineRule="auto"/>
              <w:rPr>
                <w:rFonts w:ascii="Calibri" w:eastAsia="Times New Roman" w:hAnsi="Calibri" w:cs="Calibri"/>
                <w:color w:val="FF0000"/>
                <w:sz w:val="22"/>
                <w:szCs w:val="22"/>
                <w:lang w:val="en-GB" w:eastAsia="en-GB"/>
              </w:rPr>
            </w:pPr>
            <w:r w:rsidRPr="00E43679">
              <w:rPr>
                <w:rFonts w:ascii="Calibri" w:eastAsia="Times New Roman" w:hAnsi="Calibri" w:cs="Calibri"/>
                <w:color w:val="FF0000"/>
                <w:sz w:val="22"/>
                <w:szCs w:val="22"/>
                <w:lang w:val="en-GB" w:eastAsia="en-GB"/>
              </w:rPr>
              <w:t>Licensed Betting Offices (LBOs) in the UK</w:t>
            </w:r>
          </w:p>
        </w:tc>
        <w:tc>
          <w:tcPr>
            <w:tcW w:w="828" w:type="dxa"/>
            <w:tcBorders>
              <w:top w:val="nil"/>
              <w:left w:val="single" w:sz="4" w:space="0" w:color="auto"/>
              <w:bottom w:val="nil"/>
              <w:right w:val="single" w:sz="4" w:space="0" w:color="auto"/>
            </w:tcBorders>
            <w:shd w:val="clear" w:color="auto" w:fill="auto"/>
            <w:noWrap/>
            <w:vAlign w:val="bottom"/>
            <w:hideMark/>
          </w:tcPr>
          <w:p w14:paraId="4DB7D07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nil"/>
              <w:right w:val="nil"/>
            </w:tcBorders>
            <w:shd w:val="clear" w:color="auto" w:fill="auto"/>
            <w:noWrap/>
            <w:vAlign w:val="bottom"/>
            <w:hideMark/>
          </w:tcPr>
          <w:p w14:paraId="1FC535C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28%</w:t>
            </w:r>
          </w:p>
        </w:tc>
        <w:tc>
          <w:tcPr>
            <w:tcW w:w="1418" w:type="dxa"/>
            <w:tcBorders>
              <w:top w:val="nil"/>
              <w:left w:val="nil"/>
              <w:bottom w:val="nil"/>
              <w:right w:val="nil"/>
            </w:tcBorders>
            <w:shd w:val="clear" w:color="auto" w:fill="auto"/>
            <w:noWrap/>
            <w:vAlign w:val="bottom"/>
            <w:hideMark/>
          </w:tcPr>
          <w:p w14:paraId="6BACF73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27%</w:t>
            </w:r>
          </w:p>
        </w:tc>
        <w:tc>
          <w:tcPr>
            <w:tcW w:w="1275" w:type="dxa"/>
            <w:tcBorders>
              <w:top w:val="nil"/>
              <w:left w:val="nil"/>
              <w:bottom w:val="nil"/>
              <w:right w:val="single" w:sz="4" w:space="0" w:color="auto"/>
            </w:tcBorders>
            <w:shd w:val="clear" w:color="auto" w:fill="auto"/>
            <w:noWrap/>
            <w:vAlign w:val="bottom"/>
            <w:hideMark/>
          </w:tcPr>
          <w:p w14:paraId="6596119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26%</w:t>
            </w:r>
          </w:p>
        </w:tc>
        <w:tc>
          <w:tcPr>
            <w:tcW w:w="4453" w:type="dxa"/>
            <w:tcBorders>
              <w:top w:val="nil"/>
              <w:left w:val="nil"/>
              <w:bottom w:val="nil"/>
              <w:right w:val="nil"/>
            </w:tcBorders>
            <w:shd w:val="clear" w:color="auto" w:fill="auto"/>
            <w:noWrap/>
            <w:vAlign w:val="bottom"/>
            <w:hideMark/>
          </w:tcPr>
          <w:p w14:paraId="492CADE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26%</w:t>
            </w:r>
          </w:p>
        </w:tc>
        <w:tc>
          <w:tcPr>
            <w:tcW w:w="1934" w:type="dxa"/>
            <w:tcBorders>
              <w:top w:val="nil"/>
              <w:left w:val="nil"/>
              <w:bottom w:val="nil"/>
              <w:right w:val="single" w:sz="4" w:space="0" w:color="auto"/>
            </w:tcBorders>
            <w:shd w:val="clear" w:color="auto" w:fill="auto"/>
            <w:noWrap/>
            <w:vAlign w:val="bottom"/>
            <w:hideMark/>
          </w:tcPr>
          <w:p w14:paraId="5217988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26%</w:t>
            </w:r>
          </w:p>
        </w:tc>
      </w:tr>
      <w:tr w:rsidR="00E43679" w:rsidRPr="00E43679" w14:paraId="003C3C5D" w14:textId="77777777" w:rsidTr="00E43679">
        <w:trPr>
          <w:trHeight w:val="300"/>
        </w:trPr>
        <w:tc>
          <w:tcPr>
            <w:tcW w:w="1853" w:type="dxa"/>
            <w:tcBorders>
              <w:top w:val="nil"/>
              <w:left w:val="single" w:sz="4" w:space="0" w:color="auto"/>
              <w:bottom w:val="single" w:sz="4" w:space="0" w:color="auto"/>
              <w:right w:val="nil"/>
            </w:tcBorders>
            <w:shd w:val="clear" w:color="auto" w:fill="auto"/>
            <w:noWrap/>
            <w:vAlign w:val="bottom"/>
            <w:hideMark/>
          </w:tcPr>
          <w:p w14:paraId="0AEE0E0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single" w:sz="4" w:space="0" w:color="auto"/>
              <w:right w:val="nil"/>
            </w:tcBorders>
            <w:shd w:val="clear" w:color="auto" w:fill="auto"/>
            <w:noWrap/>
            <w:vAlign w:val="bottom"/>
            <w:hideMark/>
          </w:tcPr>
          <w:p w14:paraId="699DFCE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86" w:type="dxa"/>
            <w:tcBorders>
              <w:top w:val="nil"/>
              <w:left w:val="nil"/>
              <w:bottom w:val="single" w:sz="4" w:space="0" w:color="auto"/>
              <w:right w:val="nil"/>
            </w:tcBorders>
            <w:shd w:val="clear" w:color="auto" w:fill="auto"/>
            <w:noWrap/>
            <w:vAlign w:val="bottom"/>
            <w:hideMark/>
          </w:tcPr>
          <w:p w14:paraId="6CFD527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18" w:type="dxa"/>
            <w:tcBorders>
              <w:top w:val="nil"/>
              <w:left w:val="nil"/>
              <w:bottom w:val="single" w:sz="4" w:space="0" w:color="auto"/>
              <w:right w:val="nil"/>
            </w:tcBorders>
            <w:shd w:val="clear" w:color="auto" w:fill="auto"/>
            <w:noWrap/>
            <w:vAlign w:val="bottom"/>
            <w:hideMark/>
          </w:tcPr>
          <w:p w14:paraId="4D51597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single" w:sz="4" w:space="0" w:color="auto"/>
              <w:bottom w:val="single" w:sz="4" w:space="0" w:color="auto"/>
              <w:right w:val="single" w:sz="4" w:space="0" w:color="auto"/>
            </w:tcBorders>
            <w:shd w:val="clear" w:color="auto" w:fill="auto"/>
            <w:noWrap/>
            <w:vAlign w:val="bottom"/>
            <w:hideMark/>
          </w:tcPr>
          <w:p w14:paraId="44E16F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657" w:type="dxa"/>
            <w:tcBorders>
              <w:top w:val="nil"/>
              <w:left w:val="nil"/>
              <w:bottom w:val="single" w:sz="4" w:space="0" w:color="auto"/>
              <w:right w:val="nil"/>
            </w:tcBorders>
            <w:shd w:val="clear" w:color="auto" w:fill="auto"/>
            <w:noWrap/>
            <w:vAlign w:val="bottom"/>
            <w:hideMark/>
          </w:tcPr>
          <w:p w14:paraId="178D380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418" w:type="dxa"/>
            <w:tcBorders>
              <w:top w:val="nil"/>
              <w:left w:val="nil"/>
              <w:bottom w:val="single" w:sz="4" w:space="0" w:color="auto"/>
              <w:right w:val="nil"/>
            </w:tcBorders>
            <w:shd w:val="clear" w:color="auto" w:fill="auto"/>
            <w:noWrap/>
            <w:vAlign w:val="bottom"/>
            <w:hideMark/>
          </w:tcPr>
          <w:p w14:paraId="1FAADD4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275" w:type="dxa"/>
            <w:tcBorders>
              <w:top w:val="nil"/>
              <w:left w:val="nil"/>
              <w:bottom w:val="single" w:sz="4" w:space="0" w:color="auto"/>
              <w:right w:val="single" w:sz="4" w:space="0" w:color="auto"/>
            </w:tcBorders>
            <w:shd w:val="clear" w:color="auto" w:fill="auto"/>
            <w:noWrap/>
            <w:vAlign w:val="bottom"/>
            <w:hideMark/>
          </w:tcPr>
          <w:p w14:paraId="78F7AEE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4453" w:type="dxa"/>
            <w:tcBorders>
              <w:top w:val="nil"/>
              <w:left w:val="nil"/>
              <w:bottom w:val="single" w:sz="4" w:space="0" w:color="auto"/>
              <w:right w:val="nil"/>
            </w:tcBorders>
            <w:shd w:val="clear" w:color="auto" w:fill="auto"/>
            <w:noWrap/>
            <w:vAlign w:val="bottom"/>
            <w:hideMark/>
          </w:tcPr>
          <w:p w14:paraId="50FCCF8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934" w:type="dxa"/>
            <w:tcBorders>
              <w:top w:val="nil"/>
              <w:left w:val="nil"/>
              <w:bottom w:val="single" w:sz="4" w:space="0" w:color="auto"/>
              <w:right w:val="single" w:sz="4" w:space="0" w:color="auto"/>
            </w:tcBorders>
            <w:shd w:val="clear" w:color="auto" w:fill="auto"/>
            <w:noWrap/>
            <w:vAlign w:val="bottom"/>
            <w:hideMark/>
          </w:tcPr>
          <w:p w14:paraId="0DB1FCCF" w14:textId="28E3DB98"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bl>
    <w:p w14:paraId="30AACAC6" w14:textId="12C7CF96" w:rsidR="5C7EFC97" w:rsidRDefault="6395FD93" w:rsidP="6395FD93">
      <w:pPr>
        <w:pStyle w:val="ListBullet"/>
        <w:numPr>
          <w:ilvl w:val="0"/>
          <w:numId w:val="0"/>
        </w:numPr>
        <w:rPr>
          <w:rFonts w:eastAsiaTheme="minorEastAsia"/>
          <w:b/>
          <w:bCs/>
          <w:sz w:val="24"/>
          <w:szCs w:val="24"/>
          <w:lang w:val="en-GB"/>
        </w:rPr>
      </w:pPr>
      <w:r w:rsidRPr="6395FD93">
        <w:rPr>
          <w:rFonts w:eastAsiaTheme="minorEastAsia"/>
          <w:b/>
          <w:bCs/>
          <w:sz w:val="24"/>
          <w:szCs w:val="24"/>
          <w:lang w:val="en-GB"/>
        </w:rPr>
        <w:t>Appendix 1: William Hill plc Financial Ratios</w:t>
      </w:r>
    </w:p>
    <w:p w14:paraId="16737427" w14:textId="5DE08A08" w:rsidR="00E43679" w:rsidRDefault="00E43679" w:rsidP="6395FD93">
      <w:pPr>
        <w:pStyle w:val="ListBullet"/>
        <w:numPr>
          <w:ilvl w:val="0"/>
          <w:numId w:val="0"/>
        </w:numPr>
        <w:rPr>
          <w:rFonts w:eastAsiaTheme="minorEastAsia"/>
          <w:b/>
          <w:bCs/>
          <w:sz w:val="24"/>
          <w:szCs w:val="24"/>
          <w:lang w:val="en-GB"/>
        </w:rPr>
      </w:pPr>
    </w:p>
    <w:p w14:paraId="0A1C4B39" w14:textId="77777777" w:rsidR="00E43679" w:rsidRDefault="00E43679" w:rsidP="6395FD93">
      <w:pPr>
        <w:pStyle w:val="ListBullet"/>
        <w:numPr>
          <w:ilvl w:val="0"/>
          <w:numId w:val="0"/>
        </w:numPr>
        <w:rPr>
          <w:rFonts w:eastAsiaTheme="minorEastAsia"/>
          <w:b/>
          <w:bCs/>
          <w:sz w:val="24"/>
          <w:szCs w:val="24"/>
          <w:lang w:val="en-GB"/>
        </w:rPr>
      </w:pPr>
    </w:p>
    <w:p w14:paraId="070F925E" w14:textId="7AB9DCEA" w:rsidR="00F504DD" w:rsidRDefault="6395FD93" w:rsidP="6395FD93">
      <w:pPr>
        <w:pStyle w:val="ListBullet"/>
        <w:numPr>
          <w:ilvl w:val="0"/>
          <w:numId w:val="0"/>
        </w:numPr>
        <w:rPr>
          <w:rFonts w:eastAsiaTheme="minorEastAsia"/>
          <w:b/>
          <w:bCs/>
          <w:color w:val="0070C0"/>
          <w:sz w:val="32"/>
          <w:szCs w:val="32"/>
          <w:lang w:val="en-GB"/>
        </w:rPr>
      </w:pPr>
      <w:r w:rsidRPr="7119C804">
        <w:rPr>
          <w:rFonts w:eastAsiaTheme="minorEastAsia"/>
          <w:b/>
          <w:bCs/>
          <w:color w:val="0070C0"/>
          <w:sz w:val="32"/>
          <w:szCs w:val="32"/>
          <w:lang w:val="en-GB"/>
        </w:rPr>
        <w:t>Appendix 2: Paddy Power BetFair plc Financial Ratios</w:t>
      </w:r>
    </w:p>
    <w:tbl>
      <w:tblPr>
        <w:tblW w:w="12589" w:type="dxa"/>
        <w:tblLook w:val="04A0" w:firstRow="1" w:lastRow="0" w:firstColumn="1" w:lastColumn="0" w:noHBand="0" w:noVBand="1"/>
      </w:tblPr>
      <w:tblGrid>
        <w:gridCol w:w="1934"/>
        <w:gridCol w:w="266"/>
        <w:gridCol w:w="1459"/>
        <w:gridCol w:w="1520"/>
        <w:gridCol w:w="1322"/>
        <w:gridCol w:w="828"/>
        <w:gridCol w:w="1052"/>
        <w:gridCol w:w="1052"/>
        <w:gridCol w:w="1052"/>
        <w:gridCol w:w="1052"/>
        <w:gridCol w:w="1052"/>
      </w:tblGrid>
      <w:tr w:rsidR="00E43679" w:rsidRPr="00E43679" w14:paraId="15B7D740" w14:textId="77777777" w:rsidTr="00E43679">
        <w:trPr>
          <w:trHeight w:val="315"/>
        </w:trPr>
        <w:tc>
          <w:tcPr>
            <w:tcW w:w="2200" w:type="dxa"/>
            <w:gridSpan w:val="2"/>
            <w:tcBorders>
              <w:top w:val="single" w:sz="4" w:space="0" w:color="auto"/>
              <w:left w:val="single" w:sz="4" w:space="0" w:color="auto"/>
              <w:bottom w:val="single" w:sz="4" w:space="0" w:color="auto"/>
              <w:right w:val="nil"/>
            </w:tcBorders>
            <w:shd w:val="clear" w:color="auto" w:fill="auto"/>
            <w:noWrap/>
            <w:vAlign w:val="bottom"/>
            <w:hideMark/>
          </w:tcPr>
          <w:p w14:paraId="147C4B58"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lastRenderedPageBreak/>
              <w:t>RATIO GROUP</w:t>
            </w:r>
          </w:p>
        </w:tc>
        <w:tc>
          <w:tcPr>
            <w:tcW w:w="1459" w:type="dxa"/>
            <w:tcBorders>
              <w:top w:val="single" w:sz="4" w:space="0" w:color="auto"/>
              <w:left w:val="nil"/>
              <w:bottom w:val="single" w:sz="4" w:space="0" w:color="auto"/>
              <w:right w:val="nil"/>
            </w:tcBorders>
            <w:shd w:val="clear" w:color="auto" w:fill="auto"/>
            <w:noWrap/>
            <w:vAlign w:val="bottom"/>
            <w:hideMark/>
          </w:tcPr>
          <w:p w14:paraId="7F631AE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520" w:type="dxa"/>
            <w:tcBorders>
              <w:top w:val="single" w:sz="4" w:space="0" w:color="auto"/>
              <w:left w:val="single" w:sz="4" w:space="0" w:color="auto"/>
              <w:bottom w:val="single" w:sz="4" w:space="0" w:color="auto"/>
              <w:right w:val="nil"/>
            </w:tcBorders>
            <w:shd w:val="clear" w:color="auto" w:fill="auto"/>
            <w:noWrap/>
            <w:vAlign w:val="bottom"/>
            <w:hideMark/>
          </w:tcPr>
          <w:p w14:paraId="180AEE27"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FORMULA</w:t>
            </w:r>
          </w:p>
        </w:tc>
        <w:tc>
          <w:tcPr>
            <w:tcW w:w="1322" w:type="dxa"/>
            <w:tcBorders>
              <w:top w:val="nil"/>
              <w:left w:val="nil"/>
              <w:bottom w:val="nil"/>
              <w:right w:val="nil"/>
            </w:tcBorders>
            <w:shd w:val="clear" w:color="auto" w:fill="auto"/>
            <w:noWrap/>
            <w:vAlign w:val="bottom"/>
            <w:hideMark/>
          </w:tcPr>
          <w:p w14:paraId="765EFB7F"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828" w:type="dxa"/>
            <w:tcBorders>
              <w:top w:val="nil"/>
              <w:left w:val="nil"/>
              <w:bottom w:val="nil"/>
              <w:right w:val="nil"/>
            </w:tcBorders>
            <w:shd w:val="clear" w:color="auto" w:fill="auto"/>
            <w:noWrap/>
            <w:vAlign w:val="bottom"/>
            <w:hideMark/>
          </w:tcPr>
          <w:p w14:paraId="34E3333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single" w:sz="4" w:space="0" w:color="auto"/>
              <w:left w:val="single" w:sz="4" w:space="0" w:color="auto"/>
              <w:bottom w:val="single" w:sz="4" w:space="0" w:color="auto"/>
              <w:right w:val="nil"/>
            </w:tcBorders>
            <w:shd w:val="clear" w:color="auto" w:fill="auto"/>
            <w:noWrap/>
            <w:vAlign w:val="bottom"/>
            <w:hideMark/>
          </w:tcPr>
          <w:p w14:paraId="0B30BD65"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2017</w:t>
            </w:r>
          </w:p>
        </w:tc>
        <w:tc>
          <w:tcPr>
            <w:tcW w:w="1052" w:type="dxa"/>
            <w:tcBorders>
              <w:top w:val="single" w:sz="4" w:space="0" w:color="auto"/>
              <w:left w:val="nil"/>
              <w:bottom w:val="single" w:sz="4" w:space="0" w:color="auto"/>
              <w:right w:val="nil"/>
            </w:tcBorders>
            <w:shd w:val="clear" w:color="auto" w:fill="auto"/>
            <w:noWrap/>
            <w:vAlign w:val="bottom"/>
            <w:hideMark/>
          </w:tcPr>
          <w:p w14:paraId="67DE7B32"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2016</w:t>
            </w:r>
          </w:p>
        </w:tc>
        <w:tc>
          <w:tcPr>
            <w:tcW w:w="1052" w:type="dxa"/>
            <w:tcBorders>
              <w:top w:val="single" w:sz="4" w:space="0" w:color="auto"/>
              <w:left w:val="nil"/>
              <w:bottom w:val="single" w:sz="4" w:space="0" w:color="auto"/>
              <w:right w:val="single" w:sz="4" w:space="0" w:color="auto"/>
            </w:tcBorders>
            <w:shd w:val="clear" w:color="auto" w:fill="auto"/>
            <w:noWrap/>
            <w:vAlign w:val="bottom"/>
            <w:hideMark/>
          </w:tcPr>
          <w:p w14:paraId="5D290D25"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2015</w:t>
            </w:r>
          </w:p>
        </w:tc>
        <w:tc>
          <w:tcPr>
            <w:tcW w:w="1052" w:type="dxa"/>
            <w:tcBorders>
              <w:top w:val="single" w:sz="4" w:space="0" w:color="auto"/>
              <w:left w:val="nil"/>
              <w:bottom w:val="single" w:sz="4" w:space="0" w:color="auto"/>
              <w:right w:val="nil"/>
            </w:tcBorders>
            <w:shd w:val="clear" w:color="auto" w:fill="auto"/>
            <w:noWrap/>
            <w:vAlign w:val="bottom"/>
            <w:hideMark/>
          </w:tcPr>
          <w:p w14:paraId="0AEA386F"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2014</w:t>
            </w:r>
          </w:p>
        </w:tc>
        <w:tc>
          <w:tcPr>
            <w:tcW w:w="1052" w:type="dxa"/>
            <w:tcBorders>
              <w:top w:val="single" w:sz="4" w:space="0" w:color="auto"/>
              <w:left w:val="nil"/>
              <w:bottom w:val="single" w:sz="4" w:space="0" w:color="auto"/>
              <w:right w:val="single" w:sz="4" w:space="0" w:color="auto"/>
            </w:tcBorders>
            <w:shd w:val="clear" w:color="auto" w:fill="auto"/>
            <w:noWrap/>
            <w:vAlign w:val="bottom"/>
            <w:hideMark/>
          </w:tcPr>
          <w:p w14:paraId="5683B4B1" w14:textId="77777777" w:rsidR="00E43679" w:rsidRPr="00E43679" w:rsidRDefault="00E43679" w:rsidP="00E43679">
            <w:pPr>
              <w:spacing w:after="0" w:line="240" w:lineRule="auto"/>
              <w:jc w:val="right"/>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2013</w:t>
            </w:r>
          </w:p>
        </w:tc>
      </w:tr>
      <w:tr w:rsidR="00E43679" w:rsidRPr="00E43679" w14:paraId="3BCA35B6" w14:textId="77777777" w:rsidTr="00E43679">
        <w:trPr>
          <w:trHeight w:val="315"/>
        </w:trPr>
        <w:tc>
          <w:tcPr>
            <w:tcW w:w="3659" w:type="dxa"/>
            <w:gridSpan w:val="3"/>
            <w:tcBorders>
              <w:top w:val="nil"/>
              <w:left w:val="single" w:sz="4" w:space="0" w:color="auto"/>
              <w:bottom w:val="nil"/>
              <w:right w:val="nil"/>
            </w:tcBorders>
            <w:shd w:val="clear" w:color="auto" w:fill="auto"/>
            <w:noWrap/>
            <w:vAlign w:val="bottom"/>
            <w:hideMark/>
          </w:tcPr>
          <w:p w14:paraId="48C969C6"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PROFITABILITY RATIOS</w:t>
            </w:r>
          </w:p>
        </w:tc>
        <w:tc>
          <w:tcPr>
            <w:tcW w:w="1520" w:type="dxa"/>
            <w:tcBorders>
              <w:top w:val="nil"/>
              <w:left w:val="single" w:sz="4" w:space="0" w:color="auto"/>
              <w:bottom w:val="nil"/>
              <w:right w:val="nil"/>
            </w:tcBorders>
            <w:shd w:val="clear" w:color="auto" w:fill="auto"/>
            <w:noWrap/>
            <w:vAlign w:val="bottom"/>
            <w:hideMark/>
          </w:tcPr>
          <w:p w14:paraId="71EB9B41"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 </w:t>
            </w:r>
          </w:p>
        </w:tc>
        <w:tc>
          <w:tcPr>
            <w:tcW w:w="1322" w:type="dxa"/>
            <w:tcBorders>
              <w:top w:val="nil"/>
              <w:left w:val="nil"/>
              <w:bottom w:val="nil"/>
              <w:right w:val="nil"/>
            </w:tcBorders>
            <w:shd w:val="clear" w:color="auto" w:fill="auto"/>
            <w:noWrap/>
            <w:vAlign w:val="bottom"/>
            <w:hideMark/>
          </w:tcPr>
          <w:p w14:paraId="76B01401"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828" w:type="dxa"/>
            <w:tcBorders>
              <w:top w:val="nil"/>
              <w:left w:val="nil"/>
              <w:bottom w:val="nil"/>
              <w:right w:val="nil"/>
            </w:tcBorders>
            <w:shd w:val="clear" w:color="auto" w:fill="auto"/>
            <w:noWrap/>
            <w:vAlign w:val="bottom"/>
            <w:hideMark/>
          </w:tcPr>
          <w:p w14:paraId="5BFC734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EDE7F6B" w14:textId="77777777" w:rsidR="00E43679" w:rsidRPr="00E43679" w:rsidRDefault="00E43679" w:rsidP="00E43679">
            <w:pPr>
              <w:spacing w:after="0" w:line="240" w:lineRule="auto"/>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 </w:t>
            </w:r>
          </w:p>
        </w:tc>
        <w:tc>
          <w:tcPr>
            <w:tcW w:w="1052" w:type="dxa"/>
            <w:tcBorders>
              <w:top w:val="nil"/>
              <w:left w:val="nil"/>
              <w:bottom w:val="nil"/>
              <w:right w:val="nil"/>
            </w:tcBorders>
            <w:shd w:val="clear" w:color="auto" w:fill="auto"/>
            <w:noWrap/>
            <w:vAlign w:val="bottom"/>
            <w:hideMark/>
          </w:tcPr>
          <w:p w14:paraId="38CB20E9" w14:textId="77777777" w:rsidR="00E43679" w:rsidRPr="00E43679" w:rsidRDefault="00E43679" w:rsidP="00E43679">
            <w:pPr>
              <w:spacing w:after="0" w:line="240" w:lineRule="auto"/>
              <w:rPr>
                <w:rFonts w:ascii="Calibri" w:eastAsia="Times New Roman" w:hAnsi="Calibri" w:cs="Calibri"/>
                <w:color w:val="auto"/>
                <w:sz w:val="24"/>
                <w:szCs w:val="24"/>
                <w:lang w:val="en-GB" w:eastAsia="en-GB"/>
              </w:rPr>
            </w:pPr>
          </w:p>
        </w:tc>
        <w:tc>
          <w:tcPr>
            <w:tcW w:w="1052" w:type="dxa"/>
            <w:tcBorders>
              <w:top w:val="nil"/>
              <w:left w:val="nil"/>
              <w:bottom w:val="nil"/>
              <w:right w:val="single" w:sz="4" w:space="0" w:color="auto"/>
            </w:tcBorders>
            <w:shd w:val="clear" w:color="auto" w:fill="auto"/>
            <w:noWrap/>
            <w:vAlign w:val="bottom"/>
            <w:hideMark/>
          </w:tcPr>
          <w:p w14:paraId="63BA59FE" w14:textId="77777777" w:rsidR="00E43679" w:rsidRPr="00E43679" w:rsidRDefault="00E43679" w:rsidP="00E43679">
            <w:pPr>
              <w:spacing w:after="0" w:line="240" w:lineRule="auto"/>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 </w:t>
            </w:r>
          </w:p>
        </w:tc>
        <w:tc>
          <w:tcPr>
            <w:tcW w:w="1052" w:type="dxa"/>
            <w:tcBorders>
              <w:top w:val="nil"/>
              <w:left w:val="nil"/>
              <w:bottom w:val="nil"/>
              <w:right w:val="nil"/>
            </w:tcBorders>
            <w:shd w:val="clear" w:color="auto" w:fill="auto"/>
            <w:noWrap/>
            <w:vAlign w:val="bottom"/>
            <w:hideMark/>
          </w:tcPr>
          <w:p w14:paraId="7F1B4CD2" w14:textId="77777777" w:rsidR="00E43679" w:rsidRPr="00E43679" w:rsidRDefault="00E43679" w:rsidP="00E43679">
            <w:pPr>
              <w:spacing w:after="0" w:line="240" w:lineRule="auto"/>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55F158A" w14:textId="77777777" w:rsidR="00E43679" w:rsidRPr="00E43679" w:rsidRDefault="00E43679" w:rsidP="00E43679">
            <w:pPr>
              <w:spacing w:after="0" w:line="240" w:lineRule="auto"/>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 </w:t>
            </w:r>
          </w:p>
        </w:tc>
      </w:tr>
      <w:tr w:rsidR="00E43679" w:rsidRPr="00E43679" w14:paraId="2E023AA7"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577B542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Return On Capital Employed</w:t>
            </w:r>
          </w:p>
        </w:tc>
        <w:tc>
          <w:tcPr>
            <w:tcW w:w="3670" w:type="dxa"/>
            <w:gridSpan w:val="3"/>
            <w:tcBorders>
              <w:top w:val="nil"/>
              <w:left w:val="single" w:sz="4" w:space="0" w:color="auto"/>
              <w:bottom w:val="nil"/>
              <w:right w:val="nil"/>
            </w:tcBorders>
            <w:shd w:val="clear" w:color="auto" w:fill="auto"/>
            <w:noWrap/>
            <w:vAlign w:val="bottom"/>
            <w:hideMark/>
          </w:tcPr>
          <w:p w14:paraId="3157DECB"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Profit Before Interest &amp; Tax</w:t>
            </w:r>
            <w:r w:rsidRPr="5CE60E2F">
              <w:rPr>
                <w:rFonts w:ascii="Calibri" w:eastAsia="Times New Roman" w:hAnsi="Calibri" w:cs="Calibri"/>
                <w:b/>
                <w:color w:val="000000" w:themeColor="text1"/>
                <w:sz w:val="22"/>
                <w:szCs w:val="22"/>
                <w:lang w:val="en-GB" w:eastAsia="en-GB"/>
              </w:rPr>
              <w:t xml:space="preserve">  * 100</w:t>
            </w:r>
          </w:p>
        </w:tc>
        <w:tc>
          <w:tcPr>
            <w:tcW w:w="1052" w:type="dxa"/>
            <w:tcBorders>
              <w:top w:val="nil"/>
              <w:left w:val="single" w:sz="4" w:space="0" w:color="auto"/>
              <w:bottom w:val="nil"/>
              <w:right w:val="nil"/>
            </w:tcBorders>
            <w:shd w:val="clear" w:color="auto" w:fill="auto"/>
            <w:noWrap/>
            <w:vAlign w:val="bottom"/>
            <w:hideMark/>
          </w:tcPr>
          <w:p w14:paraId="130AD2F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8.6%</w:t>
            </w:r>
          </w:p>
        </w:tc>
        <w:tc>
          <w:tcPr>
            <w:tcW w:w="1052" w:type="dxa"/>
            <w:tcBorders>
              <w:top w:val="nil"/>
              <w:left w:val="nil"/>
              <w:bottom w:val="nil"/>
              <w:right w:val="nil"/>
            </w:tcBorders>
            <w:shd w:val="clear" w:color="auto" w:fill="auto"/>
            <w:noWrap/>
            <w:vAlign w:val="bottom"/>
            <w:hideMark/>
          </w:tcPr>
          <w:p w14:paraId="214AF5B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6.9%</w:t>
            </w:r>
          </w:p>
        </w:tc>
        <w:tc>
          <w:tcPr>
            <w:tcW w:w="1052" w:type="dxa"/>
            <w:tcBorders>
              <w:top w:val="nil"/>
              <w:left w:val="nil"/>
              <w:bottom w:val="nil"/>
              <w:right w:val="nil"/>
            </w:tcBorders>
            <w:shd w:val="clear" w:color="auto" w:fill="auto"/>
            <w:noWrap/>
            <w:vAlign w:val="bottom"/>
            <w:hideMark/>
          </w:tcPr>
          <w:p w14:paraId="53C12D9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65.7%</w:t>
            </w:r>
          </w:p>
        </w:tc>
        <w:tc>
          <w:tcPr>
            <w:tcW w:w="1052" w:type="dxa"/>
            <w:tcBorders>
              <w:top w:val="nil"/>
              <w:left w:val="single" w:sz="4" w:space="0" w:color="auto"/>
              <w:bottom w:val="nil"/>
              <w:right w:val="nil"/>
            </w:tcBorders>
            <w:shd w:val="clear" w:color="auto" w:fill="auto"/>
            <w:noWrap/>
            <w:vAlign w:val="bottom"/>
            <w:hideMark/>
          </w:tcPr>
          <w:p w14:paraId="34FFF2D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41.2%</w:t>
            </w:r>
          </w:p>
        </w:tc>
        <w:tc>
          <w:tcPr>
            <w:tcW w:w="1052" w:type="dxa"/>
            <w:tcBorders>
              <w:top w:val="nil"/>
              <w:left w:val="nil"/>
              <w:bottom w:val="nil"/>
              <w:right w:val="single" w:sz="4" w:space="0" w:color="auto"/>
            </w:tcBorders>
            <w:shd w:val="clear" w:color="auto" w:fill="auto"/>
            <w:noWrap/>
            <w:vAlign w:val="bottom"/>
            <w:hideMark/>
          </w:tcPr>
          <w:p w14:paraId="5A1335C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41.9%</w:t>
            </w:r>
          </w:p>
        </w:tc>
      </w:tr>
      <w:tr w:rsidR="00E43679" w:rsidRPr="00E43679" w14:paraId="06B45D89"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690F71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2638F03"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0722A4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16CCA48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Capital Employed</w:t>
            </w:r>
          </w:p>
        </w:tc>
        <w:tc>
          <w:tcPr>
            <w:tcW w:w="828" w:type="dxa"/>
            <w:tcBorders>
              <w:top w:val="nil"/>
              <w:left w:val="nil"/>
              <w:bottom w:val="nil"/>
              <w:right w:val="nil"/>
            </w:tcBorders>
            <w:shd w:val="clear" w:color="auto" w:fill="auto"/>
            <w:noWrap/>
            <w:vAlign w:val="bottom"/>
            <w:hideMark/>
          </w:tcPr>
          <w:p w14:paraId="43CFEA5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1A5DE0A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E80205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466646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725B9D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D57A72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5CED560"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075067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486F2A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818CE0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2AA5EEE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3ACB5C34"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269CFE8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6FDD270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22F3B4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901862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A83857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72A317A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1879417"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1ADCCC2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Operating Margin</w:t>
            </w:r>
          </w:p>
        </w:tc>
        <w:tc>
          <w:tcPr>
            <w:tcW w:w="1459" w:type="dxa"/>
            <w:tcBorders>
              <w:top w:val="nil"/>
              <w:left w:val="nil"/>
              <w:bottom w:val="nil"/>
              <w:right w:val="nil"/>
            </w:tcBorders>
            <w:shd w:val="clear" w:color="auto" w:fill="auto"/>
            <w:noWrap/>
            <w:vAlign w:val="bottom"/>
            <w:hideMark/>
          </w:tcPr>
          <w:p w14:paraId="2391770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670" w:type="dxa"/>
            <w:gridSpan w:val="3"/>
            <w:tcBorders>
              <w:top w:val="nil"/>
              <w:left w:val="single" w:sz="4" w:space="0" w:color="auto"/>
              <w:bottom w:val="nil"/>
              <w:right w:val="nil"/>
            </w:tcBorders>
            <w:shd w:val="clear" w:color="auto" w:fill="auto"/>
            <w:noWrap/>
            <w:vAlign w:val="bottom"/>
            <w:hideMark/>
          </w:tcPr>
          <w:p w14:paraId="1E90D0A4"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Profit Before Interest &amp; Tax</w:t>
            </w:r>
            <w:r w:rsidRPr="5CE60E2F">
              <w:rPr>
                <w:rFonts w:ascii="Calibri" w:eastAsia="Times New Roman" w:hAnsi="Calibri" w:cs="Calibri"/>
                <w:b/>
                <w:color w:val="000000" w:themeColor="text1"/>
                <w:sz w:val="22"/>
                <w:szCs w:val="22"/>
                <w:lang w:val="en-GB" w:eastAsia="en-GB"/>
              </w:rPr>
              <w:t xml:space="preserve">  * 100</w:t>
            </w:r>
          </w:p>
        </w:tc>
        <w:tc>
          <w:tcPr>
            <w:tcW w:w="1052" w:type="dxa"/>
            <w:tcBorders>
              <w:top w:val="nil"/>
              <w:left w:val="single" w:sz="4" w:space="0" w:color="auto"/>
              <w:bottom w:val="nil"/>
              <w:right w:val="nil"/>
            </w:tcBorders>
            <w:shd w:val="clear" w:color="auto" w:fill="auto"/>
            <w:noWrap/>
            <w:vAlign w:val="bottom"/>
            <w:hideMark/>
          </w:tcPr>
          <w:p w14:paraId="34A0EFC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22.5%</w:t>
            </w:r>
          </w:p>
        </w:tc>
        <w:tc>
          <w:tcPr>
            <w:tcW w:w="1052" w:type="dxa"/>
            <w:tcBorders>
              <w:top w:val="nil"/>
              <w:left w:val="nil"/>
              <w:bottom w:val="nil"/>
              <w:right w:val="nil"/>
            </w:tcBorders>
            <w:shd w:val="clear" w:color="auto" w:fill="auto"/>
            <w:noWrap/>
            <w:vAlign w:val="bottom"/>
            <w:hideMark/>
          </w:tcPr>
          <w:p w14:paraId="1D1B9B1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21.3%</w:t>
            </w:r>
          </w:p>
        </w:tc>
        <w:tc>
          <w:tcPr>
            <w:tcW w:w="1052" w:type="dxa"/>
            <w:tcBorders>
              <w:top w:val="nil"/>
              <w:left w:val="nil"/>
              <w:bottom w:val="nil"/>
              <w:right w:val="nil"/>
            </w:tcBorders>
            <w:shd w:val="clear" w:color="auto" w:fill="auto"/>
            <w:noWrap/>
            <w:vAlign w:val="bottom"/>
            <w:hideMark/>
          </w:tcPr>
          <w:p w14:paraId="47193CC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16.5%</w:t>
            </w:r>
          </w:p>
        </w:tc>
        <w:tc>
          <w:tcPr>
            <w:tcW w:w="1052" w:type="dxa"/>
            <w:tcBorders>
              <w:top w:val="nil"/>
              <w:left w:val="single" w:sz="4" w:space="0" w:color="auto"/>
              <w:bottom w:val="nil"/>
              <w:right w:val="nil"/>
            </w:tcBorders>
            <w:shd w:val="clear" w:color="auto" w:fill="auto"/>
            <w:noWrap/>
            <w:vAlign w:val="bottom"/>
            <w:hideMark/>
          </w:tcPr>
          <w:p w14:paraId="2E3DC1C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18.6%</w:t>
            </w:r>
          </w:p>
        </w:tc>
        <w:tc>
          <w:tcPr>
            <w:tcW w:w="1052" w:type="dxa"/>
            <w:tcBorders>
              <w:top w:val="nil"/>
              <w:left w:val="nil"/>
              <w:bottom w:val="nil"/>
              <w:right w:val="single" w:sz="4" w:space="0" w:color="auto"/>
            </w:tcBorders>
            <w:shd w:val="clear" w:color="auto" w:fill="auto"/>
            <w:noWrap/>
            <w:vAlign w:val="bottom"/>
            <w:hideMark/>
          </w:tcPr>
          <w:p w14:paraId="124022E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18.4%</w:t>
            </w:r>
          </w:p>
        </w:tc>
      </w:tr>
      <w:tr w:rsidR="00E43679" w:rsidRPr="00E43679" w14:paraId="048D08CE"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09491B9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4B40C2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A440D8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3FC73B6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1322" w:type="dxa"/>
            <w:tcBorders>
              <w:top w:val="nil"/>
              <w:left w:val="nil"/>
              <w:bottom w:val="nil"/>
              <w:right w:val="nil"/>
            </w:tcBorders>
            <w:shd w:val="clear" w:color="auto" w:fill="auto"/>
            <w:noWrap/>
            <w:vAlign w:val="bottom"/>
            <w:hideMark/>
          </w:tcPr>
          <w:p w14:paraId="593E859B"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4E98651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76A549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53C9BD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132952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C90555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8273E4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A5F88F2"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197869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D138B8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1DC7BC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5284806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403F5287"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584DCDB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3BDA136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826AD5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ED5679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BF38BB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69436AA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159744E"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1E15848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Gross Profit Margin</w:t>
            </w:r>
          </w:p>
        </w:tc>
        <w:tc>
          <w:tcPr>
            <w:tcW w:w="1459" w:type="dxa"/>
            <w:tcBorders>
              <w:top w:val="nil"/>
              <w:left w:val="nil"/>
              <w:bottom w:val="nil"/>
              <w:right w:val="nil"/>
            </w:tcBorders>
            <w:shd w:val="clear" w:color="auto" w:fill="auto"/>
            <w:noWrap/>
            <w:vAlign w:val="bottom"/>
            <w:hideMark/>
          </w:tcPr>
          <w:p w14:paraId="3A8B10D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0412702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u w:val="single"/>
                <w:lang w:val="en-GB" w:eastAsia="en-GB"/>
              </w:rPr>
              <w:t>Gross Profit</w:t>
            </w:r>
            <w:r w:rsidRPr="5CE60E2F">
              <w:rPr>
                <w:rFonts w:ascii="Calibri" w:eastAsia="Times New Roman" w:hAnsi="Calibri" w:cs="Calibri"/>
                <w:b/>
                <w:color w:val="000000" w:themeColor="text1"/>
                <w:sz w:val="22"/>
                <w:szCs w:val="22"/>
                <w:lang w:val="en-GB" w:eastAsia="en-GB"/>
              </w:rPr>
              <w:t xml:space="preserve">  * 100</w:t>
            </w:r>
          </w:p>
        </w:tc>
        <w:tc>
          <w:tcPr>
            <w:tcW w:w="828" w:type="dxa"/>
            <w:tcBorders>
              <w:top w:val="nil"/>
              <w:left w:val="nil"/>
              <w:bottom w:val="nil"/>
              <w:right w:val="nil"/>
            </w:tcBorders>
            <w:shd w:val="clear" w:color="auto" w:fill="auto"/>
            <w:noWrap/>
            <w:vAlign w:val="bottom"/>
            <w:hideMark/>
          </w:tcPr>
          <w:p w14:paraId="52659D2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1F49B25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76.8%</w:t>
            </w:r>
          </w:p>
        </w:tc>
        <w:tc>
          <w:tcPr>
            <w:tcW w:w="1052" w:type="dxa"/>
            <w:tcBorders>
              <w:top w:val="nil"/>
              <w:left w:val="nil"/>
              <w:bottom w:val="nil"/>
              <w:right w:val="nil"/>
            </w:tcBorders>
            <w:shd w:val="clear" w:color="auto" w:fill="auto"/>
            <w:noWrap/>
            <w:vAlign w:val="bottom"/>
            <w:hideMark/>
          </w:tcPr>
          <w:p w14:paraId="694C562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76.9%</w:t>
            </w:r>
          </w:p>
        </w:tc>
        <w:tc>
          <w:tcPr>
            <w:tcW w:w="1052" w:type="dxa"/>
            <w:tcBorders>
              <w:top w:val="nil"/>
              <w:left w:val="nil"/>
              <w:bottom w:val="nil"/>
              <w:right w:val="nil"/>
            </w:tcBorders>
            <w:shd w:val="clear" w:color="auto" w:fill="auto"/>
            <w:noWrap/>
            <w:vAlign w:val="bottom"/>
            <w:hideMark/>
          </w:tcPr>
          <w:p w14:paraId="3092E5A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74.7%</w:t>
            </w:r>
          </w:p>
        </w:tc>
        <w:tc>
          <w:tcPr>
            <w:tcW w:w="1052" w:type="dxa"/>
            <w:tcBorders>
              <w:top w:val="nil"/>
              <w:left w:val="single" w:sz="4" w:space="0" w:color="auto"/>
              <w:bottom w:val="nil"/>
              <w:right w:val="nil"/>
            </w:tcBorders>
            <w:shd w:val="clear" w:color="auto" w:fill="auto"/>
            <w:noWrap/>
            <w:vAlign w:val="bottom"/>
            <w:hideMark/>
          </w:tcPr>
          <w:p w14:paraId="0E7FE67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81.0%</w:t>
            </w:r>
          </w:p>
        </w:tc>
        <w:tc>
          <w:tcPr>
            <w:tcW w:w="1052" w:type="dxa"/>
            <w:tcBorders>
              <w:top w:val="nil"/>
              <w:left w:val="nil"/>
              <w:bottom w:val="nil"/>
              <w:right w:val="single" w:sz="4" w:space="0" w:color="auto"/>
            </w:tcBorders>
            <w:shd w:val="clear" w:color="auto" w:fill="auto"/>
            <w:noWrap/>
            <w:vAlign w:val="bottom"/>
            <w:hideMark/>
          </w:tcPr>
          <w:p w14:paraId="5BB95E0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82.8%</w:t>
            </w:r>
          </w:p>
        </w:tc>
      </w:tr>
      <w:tr w:rsidR="00E43679" w:rsidRPr="00E43679" w14:paraId="11D5A159"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0FCFC9E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181563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9D6729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42F81F6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1322" w:type="dxa"/>
            <w:tcBorders>
              <w:top w:val="nil"/>
              <w:left w:val="nil"/>
              <w:bottom w:val="nil"/>
              <w:right w:val="nil"/>
            </w:tcBorders>
            <w:shd w:val="clear" w:color="auto" w:fill="auto"/>
            <w:noWrap/>
            <w:vAlign w:val="bottom"/>
            <w:hideMark/>
          </w:tcPr>
          <w:p w14:paraId="43D9332B"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7E8CCB6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A6496B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FF607C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C9614E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4AD664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B3A2CC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FB978D7"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B9B83E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81F69E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582F16A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21855DB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1469D74E"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3B75954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8ED1C7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B68C56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6D69327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7C2E93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B79839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1C76C92"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195DB32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Net profit Margin</w:t>
            </w:r>
          </w:p>
        </w:tc>
        <w:tc>
          <w:tcPr>
            <w:tcW w:w="1459" w:type="dxa"/>
            <w:tcBorders>
              <w:top w:val="nil"/>
              <w:left w:val="nil"/>
              <w:bottom w:val="nil"/>
              <w:right w:val="nil"/>
            </w:tcBorders>
            <w:shd w:val="clear" w:color="auto" w:fill="auto"/>
            <w:noWrap/>
            <w:vAlign w:val="bottom"/>
            <w:hideMark/>
          </w:tcPr>
          <w:p w14:paraId="3AAF0AA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6839866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u w:val="single"/>
                <w:lang w:val="en-GB" w:eastAsia="en-GB"/>
              </w:rPr>
              <w:t>Net Profit</w:t>
            </w:r>
            <w:r w:rsidRPr="5CE60E2F">
              <w:rPr>
                <w:rFonts w:ascii="Calibri" w:eastAsia="Times New Roman" w:hAnsi="Calibri" w:cs="Calibri"/>
                <w:b/>
                <w:color w:val="000000" w:themeColor="text1"/>
                <w:sz w:val="22"/>
                <w:szCs w:val="22"/>
                <w:lang w:val="en-GB" w:eastAsia="en-GB"/>
              </w:rPr>
              <w:t xml:space="preserve">  * 100</w:t>
            </w:r>
          </w:p>
        </w:tc>
        <w:tc>
          <w:tcPr>
            <w:tcW w:w="828" w:type="dxa"/>
            <w:tcBorders>
              <w:top w:val="nil"/>
              <w:left w:val="nil"/>
              <w:bottom w:val="nil"/>
              <w:right w:val="nil"/>
            </w:tcBorders>
            <w:shd w:val="clear" w:color="auto" w:fill="auto"/>
            <w:noWrap/>
            <w:vAlign w:val="bottom"/>
            <w:hideMark/>
          </w:tcPr>
          <w:p w14:paraId="01E7264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1BB3E5A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19.3%</w:t>
            </w:r>
          </w:p>
        </w:tc>
        <w:tc>
          <w:tcPr>
            <w:tcW w:w="1052" w:type="dxa"/>
            <w:tcBorders>
              <w:top w:val="nil"/>
              <w:left w:val="nil"/>
              <w:bottom w:val="nil"/>
              <w:right w:val="nil"/>
            </w:tcBorders>
            <w:shd w:val="clear" w:color="auto" w:fill="auto"/>
            <w:noWrap/>
            <w:vAlign w:val="bottom"/>
            <w:hideMark/>
          </w:tcPr>
          <w:p w14:paraId="5F7E278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17.8%</w:t>
            </w:r>
          </w:p>
        </w:tc>
        <w:tc>
          <w:tcPr>
            <w:tcW w:w="1052" w:type="dxa"/>
            <w:tcBorders>
              <w:top w:val="nil"/>
              <w:left w:val="nil"/>
              <w:bottom w:val="nil"/>
              <w:right w:val="nil"/>
            </w:tcBorders>
            <w:shd w:val="clear" w:color="auto" w:fill="auto"/>
            <w:noWrap/>
            <w:vAlign w:val="bottom"/>
            <w:hideMark/>
          </w:tcPr>
          <w:p w14:paraId="05BFAAE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14.0%</w:t>
            </w:r>
          </w:p>
        </w:tc>
        <w:tc>
          <w:tcPr>
            <w:tcW w:w="1052" w:type="dxa"/>
            <w:tcBorders>
              <w:top w:val="nil"/>
              <w:left w:val="single" w:sz="4" w:space="0" w:color="auto"/>
              <w:bottom w:val="nil"/>
              <w:right w:val="nil"/>
            </w:tcBorders>
            <w:shd w:val="clear" w:color="auto" w:fill="auto"/>
            <w:noWrap/>
            <w:vAlign w:val="bottom"/>
            <w:hideMark/>
          </w:tcPr>
          <w:p w14:paraId="250B5A1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16.4%</w:t>
            </w:r>
          </w:p>
        </w:tc>
        <w:tc>
          <w:tcPr>
            <w:tcW w:w="1052" w:type="dxa"/>
            <w:tcBorders>
              <w:top w:val="nil"/>
              <w:left w:val="nil"/>
              <w:bottom w:val="nil"/>
              <w:right w:val="single" w:sz="4" w:space="0" w:color="auto"/>
            </w:tcBorders>
            <w:shd w:val="clear" w:color="auto" w:fill="auto"/>
            <w:noWrap/>
            <w:vAlign w:val="bottom"/>
            <w:hideMark/>
          </w:tcPr>
          <w:p w14:paraId="3F8C3B3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16.5%</w:t>
            </w:r>
          </w:p>
        </w:tc>
      </w:tr>
      <w:tr w:rsidR="00E43679" w:rsidRPr="00E43679" w14:paraId="2BD98B12"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A9CBF21"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A5D47A1"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7791D8E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313A376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xml:space="preserve">     Sales</w:t>
            </w:r>
          </w:p>
        </w:tc>
        <w:tc>
          <w:tcPr>
            <w:tcW w:w="1322" w:type="dxa"/>
            <w:tcBorders>
              <w:top w:val="nil"/>
              <w:left w:val="nil"/>
              <w:bottom w:val="nil"/>
              <w:right w:val="nil"/>
            </w:tcBorders>
            <w:shd w:val="clear" w:color="auto" w:fill="auto"/>
            <w:noWrap/>
            <w:vAlign w:val="bottom"/>
            <w:hideMark/>
          </w:tcPr>
          <w:p w14:paraId="216D755E"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7F3C5B0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97D317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2DFDAA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40D32D0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072430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A8217D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7C485DC"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3B8E90F"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7D1D523"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7EAA71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1019BFB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46DC30C3"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0847708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37B57E2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8B683F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CF0E7E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0FE697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B2078B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E7B0A68"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5950204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Cost to Sales Ratio</w:t>
            </w:r>
          </w:p>
        </w:tc>
        <w:tc>
          <w:tcPr>
            <w:tcW w:w="1459" w:type="dxa"/>
            <w:tcBorders>
              <w:top w:val="nil"/>
              <w:left w:val="nil"/>
              <w:bottom w:val="nil"/>
              <w:right w:val="nil"/>
            </w:tcBorders>
            <w:shd w:val="clear" w:color="auto" w:fill="auto"/>
            <w:noWrap/>
            <w:vAlign w:val="bottom"/>
            <w:hideMark/>
          </w:tcPr>
          <w:p w14:paraId="71F388C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26D3289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u w:val="single"/>
                <w:lang w:val="en-GB" w:eastAsia="en-GB"/>
              </w:rPr>
              <w:t>Operating cost</w:t>
            </w:r>
            <w:r w:rsidRPr="5CE60E2F">
              <w:rPr>
                <w:rFonts w:ascii="Calibri" w:eastAsia="Times New Roman" w:hAnsi="Calibri" w:cs="Calibri"/>
                <w:b/>
                <w:color w:val="000000" w:themeColor="text1"/>
                <w:sz w:val="22"/>
                <w:szCs w:val="22"/>
                <w:lang w:val="en-GB" w:eastAsia="en-GB"/>
              </w:rPr>
              <w:t xml:space="preserve">  * 100</w:t>
            </w:r>
          </w:p>
        </w:tc>
        <w:tc>
          <w:tcPr>
            <w:tcW w:w="828" w:type="dxa"/>
            <w:tcBorders>
              <w:top w:val="nil"/>
              <w:left w:val="nil"/>
              <w:bottom w:val="nil"/>
              <w:right w:val="nil"/>
            </w:tcBorders>
            <w:shd w:val="clear" w:color="auto" w:fill="auto"/>
            <w:noWrap/>
            <w:vAlign w:val="bottom"/>
            <w:hideMark/>
          </w:tcPr>
          <w:p w14:paraId="0DC8EAB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6FE161B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23.2%</w:t>
            </w:r>
          </w:p>
        </w:tc>
        <w:tc>
          <w:tcPr>
            <w:tcW w:w="1052" w:type="dxa"/>
            <w:tcBorders>
              <w:top w:val="nil"/>
              <w:left w:val="nil"/>
              <w:bottom w:val="nil"/>
              <w:right w:val="nil"/>
            </w:tcBorders>
            <w:shd w:val="clear" w:color="auto" w:fill="auto"/>
            <w:noWrap/>
            <w:vAlign w:val="bottom"/>
            <w:hideMark/>
          </w:tcPr>
          <w:p w14:paraId="346EB79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23.1%</w:t>
            </w:r>
          </w:p>
        </w:tc>
        <w:tc>
          <w:tcPr>
            <w:tcW w:w="1052" w:type="dxa"/>
            <w:tcBorders>
              <w:top w:val="nil"/>
              <w:left w:val="nil"/>
              <w:bottom w:val="nil"/>
              <w:right w:val="nil"/>
            </w:tcBorders>
            <w:shd w:val="clear" w:color="auto" w:fill="auto"/>
            <w:noWrap/>
            <w:vAlign w:val="bottom"/>
            <w:hideMark/>
          </w:tcPr>
          <w:p w14:paraId="1687184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25.3%</w:t>
            </w:r>
          </w:p>
        </w:tc>
        <w:tc>
          <w:tcPr>
            <w:tcW w:w="1052" w:type="dxa"/>
            <w:tcBorders>
              <w:top w:val="nil"/>
              <w:left w:val="single" w:sz="4" w:space="0" w:color="auto"/>
              <w:bottom w:val="nil"/>
              <w:right w:val="nil"/>
            </w:tcBorders>
            <w:shd w:val="clear" w:color="auto" w:fill="auto"/>
            <w:noWrap/>
            <w:vAlign w:val="bottom"/>
            <w:hideMark/>
          </w:tcPr>
          <w:p w14:paraId="57BAC9C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19.0%</w:t>
            </w:r>
          </w:p>
        </w:tc>
        <w:tc>
          <w:tcPr>
            <w:tcW w:w="1052" w:type="dxa"/>
            <w:tcBorders>
              <w:top w:val="nil"/>
              <w:left w:val="nil"/>
              <w:bottom w:val="nil"/>
              <w:right w:val="single" w:sz="4" w:space="0" w:color="auto"/>
            </w:tcBorders>
            <w:shd w:val="clear" w:color="auto" w:fill="auto"/>
            <w:noWrap/>
            <w:vAlign w:val="bottom"/>
            <w:hideMark/>
          </w:tcPr>
          <w:p w14:paraId="33DCF3A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17.2%</w:t>
            </w:r>
          </w:p>
        </w:tc>
      </w:tr>
      <w:tr w:rsidR="00E43679" w:rsidRPr="00E43679" w14:paraId="70A6ACBD"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14B03FD"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5E4A9FA"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0597D9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7434C6C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xml:space="preserve">         Sales</w:t>
            </w:r>
          </w:p>
        </w:tc>
        <w:tc>
          <w:tcPr>
            <w:tcW w:w="1322" w:type="dxa"/>
            <w:tcBorders>
              <w:top w:val="nil"/>
              <w:left w:val="nil"/>
              <w:bottom w:val="nil"/>
              <w:right w:val="nil"/>
            </w:tcBorders>
            <w:shd w:val="clear" w:color="auto" w:fill="auto"/>
            <w:noWrap/>
            <w:vAlign w:val="bottom"/>
            <w:hideMark/>
          </w:tcPr>
          <w:p w14:paraId="27BB8D5A"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612A784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3556348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72A2A5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7A6F26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AAED02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F746DD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9370D7F"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53DD47B"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00D5C68"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B9EE6E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2A0E410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7FE294F1"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3278E01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623A3DB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F5E10A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6B2F1C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9F3126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D16A7F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0BEA0E7"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00D754A" w14:textId="77777777" w:rsidR="00E43679" w:rsidRPr="00E43679" w:rsidRDefault="00E43679" w:rsidP="00E43679">
            <w:pPr>
              <w:spacing w:after="0" w:line="240" w:lineRule="auto"/>
              <w:rPr>
                <w:rFonts w:ascii="Calibri" w:eastAsia="Times New Roman" w:hAnsi="Calibri" w:cs="Calibri"/>
                <w:i/>
                <w:color w:val="000000" w:themeColor="text1"/>
                <w:sz w:val="22"/>
                <w:szCs w:val="22"/>
                <w:lang w:val="en-GB" w:eastAsia="en-GB"/>
              </w:rPr>
            </w:pPr>
            <w:r w:rsidRPr="5CE60E2F">
              <w:rPr>
                <w:rFonts w:ascii="Calibri" w:eastAsia="Times New Roman" w:hAnsi="Calibri" w:cs="Calibri"/>
                <w: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F595B8B" w14:textId="77777777" w:rsidR="00E43679" w:rsidRPr="00E43679" w:rsidRDefault="00E43679" w:rsidP="00E43679">
            <w:pPr>
              <w:spacing w:after="0" w:line="240" w:lineRule="auto"/>
              <w:rPr>
                <w:rFonts w:ascii="Calibri" w:eastAsia="Times New Roman" w:hAnsi="Calibri" w:cs="Calibri"/>
                <w:i/>
                <w:i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219BE2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10A0FC7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0B034033"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16C2908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12EBCF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914459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59BEA75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226AD9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0DF474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89BA565" w14:textId="77777777" w:rsidTr="00E43679">
        <w:trPr>
          <w:trHeight w:val="315"/>
        </w:trPr>
        <w:tc>
          <w:tcPr>
            <w:tcW w:w="2200" w:type="dxa"/>
            <w:gridSpan w:val="2"/>
            <w:tcBorders>
              <w:top w:val="nil"/>
              <w:left w:val="single" w:sz="4" w:space="0" w:color="auto"/>
              <w:bottom w:val="nil"/>
              <w:right w:val="nil"/>
            </w:tcBorders>
            <w:shd w:val="clear" w:color="auto" w:fill="auto"/>
            <w:noWrap/>
            <w:vAlign w:val="bottom"/>
            <w:hideMark/>
          </w:tcPr>
          <w:p w14:paraId="1C2F7F2F"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LIQUIDITY RATIO</w:t>
            </w:r>
          </w:p>
        </w:tc>
        <w:tc>
          <w:tcPr>
            <w:tcW w:w="1459" w:type="dxa"/>
            <w:tcBorders>
              <w:top w:val="nil"/>
              <w:left w:val="nil"/>
              <w:bottom w:val="nil"/>
              <w:right w:val="nil"/>
            </w:tcBorders>
            <w:shd w:val="clear" w:color="auto" w:fill="auto"/>
            <w:noWrap/>
            <w:vAlign w:val="bottom"/>
            <w:hideMark/>
          </w:tcPr>
          <w:p w14:paraId="652EE991"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1520" w:type="dxa"/>
            <w:tcBorders>
              <w:top w:val="nil"/>
              <w:left w:val="single" w:sz="4" w:space="0" w:color="auto"/>
              <w:bottom w:val="nil"/>
              <w:right w:val="nil"/>
            </w:tcBorders>
            <w:shd w:val="clear" w:color="auto" w:fill="auto"/>
            <w:noWrap/>
            <w:vAlign w:val="bottom"/>
            <w:hideMark/>
          </w:tcPr>
          <w:p w14:paraId="53C3420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04C9FFE3"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546A510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0DB4324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4FA478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096EF8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97077B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AAEA27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96F796D"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7624D85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Current Ratio</w:t>
            </w:r>
          </w:p>
        </w:tc>
        <w:tc>
          <w:tcPr>
            <w:tcW w:w="1459" w:type="dxa"/>
            <w:tcBorders>
              <w:top w:val="nil"/>
              <w:left w:val="nil"/>
              <w:bottom w:val="nil"/>
              <w:right w:val="nil"/>
            </w:tcBorders>
            <w:shd w:val="clear" w:color="auto" w:fill="auto"/>
            <w:noWrap/>
            <w:vAlign w:val="bottom"/>
            <w:hideMark/>
          </w:tcPr>
          <w:p w14:paraId="7E8BD0A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54D165AC"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Current Assets</w:t>
            </w:r>
          </w:p>
        </w:tc>
        <w:tc>
          <w:tcPr>
            <w:tcW w:w="828" w:type="dxa"/>
            <w:tcBorders>
              <w:top w:val="nil"/>
              <w:left w:val="nil"/>
              <w:bottom w:val="nil"/>
              <w:right w:val="nil"/>
            </w:tcBorders>
            <w:shd w:val="clear" w:color="auto" w:fill="auto"/>
            <w:noWrap/>
            <w:vAlign w:val="bottom"/>
            <w:hideMark/>
          </w:tcPr>
          <w:p w14:paraId="003655D3" w14:textId="77777777" w:rsidR="00E43679" w:rsidRPr="00E43679" w:rsidRDefault="00E43679" w:rsidP="00E43679">
            <w:pPr>
              <w:spacing w:after="0" w:line="240" w:lineRule="auto"/>
              <w:rPr>
                <w:rFonts w:ascii="Calibri" w:eastAsia="Times New Roman" w:hAnsi="Calibri" w:cs="Calibri"/>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3F87271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1.12</w:t>
            </w:r>
          </w:p>
        </w:tc>
        <w:tc>
          <w:tcPr>
            <w:tcW w:w="1052" w:type="dxa"/>
            <w:tcBorders>
              <w:top w:val="nil"/>
              <w:left w:val="nil"/>
              <w:bottom w:val="nil"/>
              <w:right w:val="nil"/>
            </w:tcBorders>
            <w:shd w:val="clear" w:color="auto" w:fill="auto"/>
            <w:noWrap/>
            <w:vAlign w:val="bottom"/>
            <w:hideMark/>
          </w:tcPr>
          <w:p w14:paraId="3EF27F7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0.99</w:t>
            </w:r>
          </w:p>
        </w:tc>
        <w:tc>
          <w:tcPr>
            <w:tcW w:w="1052" w:type="dxa"/>
            <w:tcBorders>
              <w:top w:val="nil"/>
              <w:left w:val="nil"/>
              <w:bottom w:val="nil"/>
              <w:right w:val="nil"/>
            </w:tcBorders>
            <w:shd w:val="clear" w:color="auto" w:fill="auto"/>
            <w:noWrap/>
            <w:vAlign w:val="bottom"/>
            <w:hideMark/>
          </w:tcPr>
          <w:p w14:paraId="781184C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0.82</w:t>
            </w:r>
          </w:p>
        </w:tc>
        <w:tc>
          <w:tcPr>
            <w:tcW w:w="1052" w:type="dxa"/>
            <w:tcBorders>
              <w:top w:val="nil"/>
              <w:left w:val="single" w:sz="4" w:space="0" w:color="auto"/>
              <w:bottom w:val="nil"/>
              <w:right w:val="nil"/>
            </w:tcBorders>
            <w:shd w:val="clear" w:color="auto" w:fill="auto"/>
            <w:noWrap/>
            <w:vAlign w:val="bottom"/>
            <w:hideMark/>
          </w:tcPr>
          <w:p w14:paraId="531F79C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1.34</w:t>
            </w:r>
          </w:p>
        </w:tc>
        <w:tc>
          <w:tcPr>
            <w:tcW w:w="1052" w:type="dxa"/>
            <w:tcBorders>
              <w:top w:val="nil"/>
              <w:left w:val="nil"/>
              <w:bottom w:val="nil"/>
              <w:right w:val="single" w:sz="4" w:space="0" w:color="auto"/>
            </w:tcBorders>
            <w:shd w:val="clear" w:color="auto" w:fill="auto"/>
            <w:noWrap/>
            <w:vAlign w:val="bottom"/>
            <w:hideMark/>
          </w:tcPr>
          <w:p w14:paraId="798F4C4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1.17</w:t>
            </w:r>
          </w:p>
        </w:tc>
      </w:tr>
      <w:tr w:rsidR="00E43679" w:rsidRPr="00E43679" w14:paraId="2DECE527"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491EE7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D770B7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B00078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6B2DDFC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Current Liabilities</w:t>
            </w:r>
          </w:p>
        </w:tc>
        <w:tc>
          <w:tcPr>
            <w:tcW w:w="828" w:type="dxa"/>
            <w:tcBorders>
              <w:top w:val="nil"/>
              <w:left w:val="nil"/>
              <w:bottom w:val="nil"/>
              <w:right w:val="nil"/>
            </w:tcBorders>
            <w:shd w:val="clear" w:color="auto" w:fill="auto"/>
            <w:noWrap/>
            <w:vAlign w:val="bottom"/>
            <w:hideMark/>
          </w:tcPr>
          <w:p w14:paraId="59EF647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4FEDC42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F8A07D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D5BCBD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5A830B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061405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AF3DBDC"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41FC37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19A7A3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E5006B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7F1EA02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54F2DF4E"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046DA18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CDBA5D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176207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7BC85CB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0995FA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6F8341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A6920FF"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1846378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Acid Test Ratio</w:t>
            </w:r>
          </w:p>
        </w:tc>
        <w:tc>
          <w:tcPr>
            <w:tcW w:w="1459" w:type="dxa"/>
            <w:tcBorders>
              <w:top w:val="nil"/>
              <w:left w:val="nil"/>
              <w:bottom w:val="nil"/>
              <w:right w:val="nil"/>
            </w:tcBorders>
            <w:shd w:val="clear" w:color="auto" w:fill="auto"/>
            <w:noWrap/>
            <w:vAlign w:val="bottom"/>
            <w:hideMark/>
          </w:tcPr>
          <w:p w14:paraId="58CDF1A4"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670" w:type="dxa"/>
            <w:gridSpan w:val="3"/>
            <w:tcBorders>
              <w:top w:val="nil"/>
              <w:left w:val="single" w:sz="4" w:space="0" w:color="auto"/>
              <w:bottom w:val="nil"/>
              <w:right w:val="nil"/>
            </w:tcBorders>
            <w:shd w:val="clear" w:color="auto" w:fill="auto"/>
            <w:noWrap/>
            <w:vAlign w:val="bottom"/>
            <w:hideMark/>
          </w:tcPr>
          <w:p w14:paraId="6FBBFD1D"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Current Assets minus Inventories</w:t>
            </w:r>
          </w:p>
        </w:tc>
        <w:tc>
          <w:tcPr>
            <w:tcW w:w="1052" w:type="dxa"/>
            <w:tcBorders>
              <w:top w:val="nil"/>
              <w:left w:val="single" w:sz="4" w:space="0" w:color="auto"/>
              <w:bottom w:val="nil"/>
              <w:right w:val="nil"/>
            </w:tcBorders>
            <w:shd w:val="clear" w:color="auto" w:fill="auto"/>
            <w:noWrap/>
            <w:vAlign w:val="bottom"/>
            <w:hideMark/>
          </w:tcPr>
          <w:p w14:paraId="19EA27E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1.12</w:t>
            </w:r>
          </w:p>
        </w:tc>
        <w:tc>
          <w:tcPr>
            <w:tcW w:w="1052" w:type="dxa"/>
            <w:tcBorders>
              <w:top w:val="nil"/>
              <w:left w:val="nil"/>
              <w:bottom w:val="nil"/>
              <w:right w:val="nil"/>
            </w:tcBorders>
            <w:shd w:val="clear" w:color="auto" w:fill="auto"/>
            <w:noWrap/>
            <w:vAlign w:val="bottom"/>
            <w:hideMark/>
          </w:tcPr>
          <w:p w14:paraId="47090E1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0.99</w:t>
            </w:r>
          </w:p>
        </w:tc>
        <w:tc>
          <w:tcPr>
            <w:tcW w:w="1052" w:type="dxa"/>
            <w:tcBorders>
              <w:top w:val="nil"/>
              <w:left w:val="nil"/>
              <w:bottom w:val="nil"/>
              <w:right w:val="nil"/>
            </w:tcBorders>
            <w:shd w:val="clear" w:color="auto" w:fill="auto"/>
            <w:noWrap/>
            <w:vAlign w:val="bottom"/>
            <w:hideMark/>
          </w:tcPr>
          <w:p w14:paraId="416EBEB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0.82</w:t>
            </w:r>
          </w:p>
        </w:tc>
        <w:tc>
          <w:tcPr>
            <w:tcW w:w="1052" w:type="dxa"/>
            <w:tcBorders>
              <w:top w:val="nil"/>
              <w:left w:val="single" w:sz="4" w:space="0" w:color="auto"/>
              <w:bottom w:val="nil"/>
              <w:right w:val="nil"/>
            </w:tcBorders>
            <w:shd w:val="clear" w:color="auto" w:fill="auto"/>
            <w:noWrap/>
            <w:vAlign w:val="bottom"/>
            <w:hideMark/>
          </w:tcPr>
          <w:p w14:paraId="5097EA1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1.34</w:t>
            </w:r>
          </w:p>
        </w:tc>
        <w:tc>
          <w:tcPr>
            <w:tcW w:w="1052" w:type="dxa"/>
            <w:tcBorders>
              <w:top w:val="nil"/>
              <w:left w:val="nil"/>
              <w:bottom w:val="nil"/>
              <w:right w:val="single" w:sz="4" w:space="0" w:color="auto"/>
            </w:tcBorders>
            <w:shd w:val="clear" w:color="auto" w:fill="auto"/>
            <w:noWrap/>
            <w:vAlign w:val="bottom"/>
            <w:hideMark/>
          </w:tcPr>
          <w:p w14:paraId="6EFD671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1.17</w:t>
            </w:r>
          </w:p>
        </w:tc>
      </w:tr>
      <w:tr w:rsidR="00E43679" w:rsidRPr="00E43679" w14:paraId="0F0472ED"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E23944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5FD3A9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EBEA7E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033CF17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Current Liabilities</w:t>
            </w:r>
          </w:p>
        </w:tc>
        <w:tc>
          <w:tcPr>
            <w:tcW w:w="828" w:type="dxa"/>
            <w:tcBorders>
              <w:top w:val="nil"/>
              <w:left w:val="nil"/>
              <w:bottom w:val="nil"/>
              <w:right w:val="nil"/>
            </w:tcBorders>
            <w:shd w:val="clear" w:color="auto" w:fill="auto"/>
            <w:noWrap/>
            <w:vAlign w:val="bottom"/>
            <w:hideMark/>
          </w:tcPr>
          <w:p w14:paraId="5408F95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7752498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ADBEFD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528C509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BFC69A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D6DF95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2001BDE"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8B9B78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7C2902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0E22224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4E8906E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79D9DBD2"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35D311A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D5A2CE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77A95C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4D1D6A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12598B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A5FA31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CFB29EE"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393A04A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Cash Ratio</w:t>
            </w:r>
          </w:p>
        </w:tc>
        <w:tc>
          <w:tcPr>
            <w:tcW w:w="1459" w:type="dxa"/>
            <w:tcBorders>
              <w:top w:val="nil"/>
              <w:left w:val="nil"/>
              <w:bottom w:val="nil"/>
              <w:right w:val="nil"/>
            </w:tcBorders>
            <w:shd w:val="clear" w:color="auto" w:fill="auto"/>
            <w:noWrap/>
            <w:vAlign w:val="bottom"/>
            <w:hideMark/>
          </w:tcPr>
          <w:p w14:paraId="01D24E1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7C0AC21C"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Cash &amp; Cash Equivalents</w:t>
            </w:r>
          </w:p>
        </w:tc>
        <w:tc>
          <w:tcPr>
            <w:tcW w:w="828" w:type="dxa"/>
            <w:tcBorders>
              <w:top w:val="nil"/>
              <w:left w:val="nil"/>
              <w:bottom w:val="nil"/>
              <w:right w:val="nil"/>
            </w:tcBorders>
            <w:shd w:val="clear" w:color="auto" w:fill="auto"/>
            <w:noWrap/>
            <w:vAlign w:val="bottom"/>
            <w:hideMark/>
          </w:tcPr>
          <w:p w14:paraId="43C5B2BF"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12671CA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0.80</w:t>
            </w:r>
          </w:p>
        </w:tc>
        <w:tc>
          <w:tcPr>
            <w:tcW w:w="1052" w:type="dxa"/>
            <w:tcBorders>
              <w:top w:val="nil"/>
              <w:left w:val="nil"/>
              <w:bottom w:val="nil"/>
              <w:right w:val="nil"/>
            </w:tcBorders>
            <w:shd w:val="clear" w:color="auto" w:fill="auto"/>
            <w:noWrap/>
            <w:vAlign w:val="bottom"/>
            <w:hideMark/>
          </w:tcPr>
          <w:p w14:paraId="18C2452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0.67</w:t>
            </w:r>
          </w:p>
        </w:tc>
        <w:tc>
          <w:tcPr>
            <w:tcW w:w="1052" w:type="dxa"/>
            <w:tcBorders>
              <w:top w:val="nil"/>
              <w:left w:val="nil"/>
              <w:bottom w:val="nil"/>
              <w:right w:val="nil"/>
            </w:tcBorders>
            <w:shd w:val="clear" w:color="auto" w:fill="auto"/>
            <w:noWrap/>
            <w:vAlign w:val="bottom"/>
            <w:hideMark/>
          </w:tcPr>
          <w:p w14:paraId="6FE2A10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0.54</w:t>
            </w:r>
          </w:p>
        </w:tc>
        <w:tc>
          <w:tcPr>
            <w:tcW w:w="1052" w:type="dxa"/>
            <w:tcBorders>
              <w:top w:val="nil"/>
              <w:left w:val="single" w:sz="4" w:space="0" w:color="auto"/>
              <w:bottom w:val="nil"/>
              <w:right w:val="nil"/>
            </w:tcBorders>
            <w:shd w:val="clear" w:color="auto" w:fill="auto"/>
            <w:noWrap/>
            <w:vAlign w:val="bottom"/>
            <w:hideMark/>
          </w:tcPr>
          <w:p w14:paraId="6448A9E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1.04</w:t>
            </w:r>
          </w:p>
        </w:tc>
        <w:tc>
          <w:tcPr>
            <w:tcW w:w="1052" w:type="dxa"/>
            <w:tcBorders>
              <w:top w:val="nil"/>
              <w:left w:val="nil"/>
              <w:bottom w:val="nil"/>
              <w:right w:val="single" w:sz="4" w:space="0" w:color="auto"/>
            </w:tcBorders>
            <w:shd w:val="clear" w:color="auto" w:fill="auto"/>
            <w:noWrap/>
            <w:vAlign w:val="bottom"/>
            <w:hideMark/>
          </w:tcPr>
          <w:p w14:paraId="52AA5E9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0.80</w:t>
            </w:r>
          </w:p>
        </w:tc>
      </w:tr>
      <w:tr w:rsidR="00E43679" w:rsidRPr="00E43679" w14:paraId="1EE71D7C"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A848B5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9E1860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BDEBDA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5B1DF7E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Current Liabilities</w:t>
            </w:r>
          </w:p>
        </w:tc>
        <w:tc>
          <w:tcPr>
            <w:tcW w:w="828" w:type="dxa"/>
            <w:tcBorders>
              <w:top w:val="nil"/>
              <w:left w:val="nil"/>
              <w:bottom w:val="nil"/>
              <w:right w:val="nil"/>
            </w:tcBorders>
            <w:shd w:val="clear" w:color="auto" w:fill="auto"/>
            <w:noWrap/>
            <w:vAlign w:val="bottom"/>
            <w:hideMark/>
          </w:tcPr>
          <w:p w14:paraId="27BCED2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15E3CC6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F24C12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01341E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DD2EB2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F93A9D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F025002" w14:textId="77777777" w:rsidTr="00E43679">
        <w:trPr>
          <w:trHeight w:val="315"/>
        </w:trPr>
        <w:tc>
          <w:tcPr>
            <w:tcW w:w="1934" w:type="dxa"/>
            <w:tcBorders>
              <w:top w:val="nil"/>
              <w:left w:val="single" w:sz="4" w:space="0" w:color="auto"/>
              <w:bottom w:val="nil"/>
              <w:right w:val="nil"/>
            </w:tcBorders>
            <w:shd w:val="clear" w:color="auto" w:fill="auto"/>
            <w:noWrap/>
            <w:vAlign w:val="bottom"/>
            <w:hideMark/>
          </w:tcPr>
          <w:p w14:paraId="2362CE0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085B96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5278C3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193B49B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1286BCC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56040D7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485171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0D2F80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881694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7B088A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A767F6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0F13F96"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6C4426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23455E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CD0CC7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3140147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025E1E6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6FC0407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3D75C4D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A0C372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71ACB9F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A67410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6366C9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64E7680" w14:textId="77777777" w:rsidTr="00E43679">
        <w:trPr>
          <w:trHeight w:val="315"/>
        </w:trPr>
        <w:tc>
          <w:tcPr>
            <w:tcW w:w="3659" w:type="dxa"/>
            <w:gridSpan w:val="3"/>
            <w:tcBorders>
              <w:top w:val="nil"/>
              <w:left w:val="single" w:sz="4" w:space="0" w:color="auto"/>
              <w:bottom w:val="nil"/>
              <w:right w:val="nil"/>
            </w:tcBorders>
            <w:shd w:val="clear" w:color="auto" w:fill="auto"/>
            <w:noWrap/>
            <w:vAlign w:val="bottom"/>
            <w:hideMark/>
          </w:tcPr>
          <w:p w14:paraId="2221500F"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EFFICIENCY RATIOS</w:t>
            </w:r>
          </w:p>
        </w:tc>
        <w:tc>
          <w:tcPr>
            <w:tcW w:w="1520" w:type="dxa"/>
            <w:tcBorders>
              <w:top w:val="nil"/>
              <w:left w:val="single" w:sz="4" w:space="0" w:color="auto"/>
              <w:bottom w:val="nil"/>
              <w:right w:val="nil"/>
            </w:tcBorders>
            <w:shd w:val="clear" w:color="auto" w:fill="auto"/>
            <w:noWrap/>
            <w:vAlign w:val="bottom"/>
            <w:hideMark/>
          </w:tcPr>
          <w:p w14:paraId="73091ED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3FF23F8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4B7C1B3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32E2DB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D9D43B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53B82C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715923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1982EF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0EE79B0"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5B24CBE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00E43679">
              <w:rPr>
                <w:rFonts w:ascii="Calibri" w:eastAsia="Times New Roman" w:hAnsi="Calibri" w:cs="Calibri"/>
                <w:color w:val="000000" w:themeColor="text1"/>
                <w:sz w:val="22"/>
                <w:szCs w:val="22"/>
                <w:lang w:val="en-GB" w:eastAsia="en-GB"/>
              </w:rPr>
              <w:t>Asset Turnover Ratio</w:t>
            </w:r>
          </w:p>
        </w:tc>
        <w:tc>
          <w:tcPr>
            <w:tcW w:w="3670" w:type="dxa"/>
            <w:gridSpan w:val="3"/>
            <w:tcBorders>
              <w:top w:val="nil"/>
              <w:left w:val="single" w:sz="4" w:space="0" w:color="auto"/>
              <w:bottom w:val="nil"/>
              <w:right w:val="nil"/>
            </w:tcBorders>
            <w:shd w:val="clear" w:color="auto" w:fill="auto"/>
            <w:noWrap/>
            <w:vAlign w:val="bottom"/>
            <w:hideMark/>
          </w:tcPr>
          <w:p w14:paraId="2DAEB6EE"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Sales</w:t>
            </w:r>
            <w:r w:rsidRPr="5CE60E2F">
              <w:rPr>
                <w:rFonts w:ascii="Calibri" w:eastAsia="Times New Roman" w:hAnsi="Calibri" w:cs="Calibri"/>
                <w:b/>
                <w:color w:val="000000" w:themeColor="text1"/>
                <w:sz w:val="22"/>
                <w:szCs w:val="22"/>
                <w:lang w:val="en-GB" w:eastAsia="en-GB"/>
              </w:rPr>
              <w:t xml:space="preserve">                                          (times)</w:t>
            </w:r>
          </w:p>
        </w:tc>
        <w:tc>
          <w:tcPr>
            <w:tcW w:w="1052" w:type="dxa"/>
            <w:tcBorders>
              <w:top w:val="nil"/>
              <w:left w:val="single" w:sz="4" w:space="0" w:color="auto"/>
              <w:bottom w:val="nil"/>
              <w:right w:val="nil"/>
            </w:tcBorders>
            <w:shd w:val="clear" w:color="auto" w:fill="auto"/>
            <w:noWrap/>
            <w:vAlign w:val="bottom"/>
            <w:hideMark/>
          </w:tcPr>
          <w:p w14:paraId="22AC9EC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0.38</w:t>
            </w:r>
          </w:p>
        </w:tc>
        <w:tc>
          <w:tcPr>
            <w:tcW w:w="1052" w:type="dxa"/>
            <w:tcBorders>
              <w:top w:val="nil"/>
              <w:left w:val="nil"/>
              <w:bottom w:val="nil"/>
              <w:right w:val="nil"/>
            </w:tcBorders>
            <w:shd w:val="clear" w:color="auto" w:fill="auto"/>
            <w:noWrap/>
            <w:vAlign w:val="bottom"/>
            <w:hideMark/>
          </w:tcPr>
          <w:p w14:paraId="53541BB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0.32</w:t>
            </w:r>
          </w:p>
        </w:tc>
        <w:tc>
          <w:tcPr>
            <w:tcW w:w="1052" w:type="dxa"/>
            <w:tcBorders>
              <w:top w:val="nil"/>
              <w:left w:val="nil"/>
              <w:bottom w:val="nil"/>
              <w:right w:val="nil"/>
            </w:tcBorders>
            <w:shd w:val="clear" w:color="auto" w:fill="auto"/>
            <w:noWrap/>
            <w:vAlign w:val="bottom"/>
            <w:hideMark/>
          </w:tcPr>
          <w:p w14:paraId="5CB8637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3.98</w:t>
            </w:r>
          </w:p>
        </w:tc>
        <w:tc>
          <w:tcPr>
            <w:tcW w:w="1052" w:type="dxa"/>
            <w:tcBorders>
              <w:top w:val="nil"/>
              <w:left w:val="single" w:sz="4" w:space="0" w:color="auto"/>
              <w:bottom w:val="nil"/>
              <w:right w:val="nil"/>
            </w:tcBorders>
            <w:shd w:val="clear" w:color="auto" w:fill="auto"/>
            <w:noWrap/>
            <w:vAlign w:val="bottom"/>
            <w:hideMark/>
          </w:tcPr>
          <w:p w14:paraId="28CCD59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2.22</w:t>
            </w:r>
          </w:p>
        </w:tc>
        <w:tc>
          <w:tcPr>
            <w:tcW w:w="1052" w:type="dxa"/>
            <w:tcBorders>
              <w:top w:val="nil"/>
              <w:left w:val="nil"/>
              <w:bottom w:val="nil"/>
              <w:right w:val="single" w:sz="4" w:space="0" w:color="auto"/>
            </w:tcBorders>
            <w:shd w:val="clear" w:color="auto" w:fill="auto"/>
            <w:noWrap/>
            <w:vAlign w:val="bottom"/>
            <w:hideMark/>
          </w:tcPr>
          <w:p w14:paraId="552A403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2.27</w:t>
            </w:r>
          </w:p>
        </w:tc>
      </w:tr>
      <w:tr w:rsidR="00E43679" w:rsidRPr="00E43679" w14:paraId="6E9E8A8A"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7BF2A8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BCE815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2C449E5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5F7BC1E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Capital Employed</w:t>
            </w:r>
          </w:p>
        </w:tc>
        <w:tc>
          <w:tcPr>
            <w:tcW w:w="828" w:type="dxa"/>
            <w:tcBorders>
              <w:top w:val="nil"/>
              <w:left w:val="nil"/>
              <w:bottom w:val="nil"/>
              <w:right w:val="nil"/>
            </w:tcBorders>
            <w:shd w:val="clear" w:color="auto" w:fill="auto"/>
            <w:noWrap/>
            <w:vAlign w:val="bottom"/>
            <w:hideMark/>
          </w:tcPr>
          <w:p w14:paraId="29CB9C2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0331819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D4480E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6810EC1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C3F041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88D450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506736B"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335BE4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FD1843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3CAAE7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0194D03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4503DF63"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409DAEE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C4BECB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7C4508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151A88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4BA1A7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7295B9D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9112A52"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1386D0A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Sales Per Employee</w:t>
            </w:r>
          </w:p>
        </w:tc>
        <w:tc>
          <w:tcPr>
            <w:tcW w:w="1459" w:type="dxa"/>
            <w:tcBorders>
              <w:top w:val="nil"/>
              <w:left w:val="nil"/>
              <w:bottom w:val="nil"/>
              <w:right w:val="nil"/>
            </w:tcBorders>
            <w:shd w:val="clear" w:color="auto" w:fill="auto"/>
            <w:noWrap/>
            <w:vAlign w:val="bottom"/>
            <w:hideMark/>
          </w:tcPr>
          <w:p w14:paraId="3600399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520" w:type="dxa"/>
            <w:tcBorders>
              <w:top w:val="nil"/>
              <w:left w:val="single" w:sz="4" w:space="0" w:color="auto"/>
              <w:bottom w:val="nil"/>
              <w:right w:val="nil"/>
            </w:tcBorders>
            <w:shd w:val="clear" w:color="auto" w:fill="auto"/>
            <w:noWrap/>
            <w:vAlign w:val="bottom"/>
            <w:hideMark/>
          </w:tcPr>
          <w:p w14:paraId="41AF21CA"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Sales</w:t>
            </w:r>
          </w:p>
        </w:tc>
        <w:tc>
          <w:tcPr>
            <w:tcW w:w="1322" w:type="dxa"/>
            <w:tcBorders>
              <w:top w:val="nil"/>
              <w:left w:val="nil"/>
              <w:bottom w:val="nil"/>
              <w:right w:val="nil"/>
            </w:tcBorders>
            <w:shd w:val="clear" w:color="auto" w:fill="auto"/>
            <w:noWrap/>
            <w:vAlign w:val="bottom"/>
            <w:hideMark/>
          </w:tcPr>
          <w:p w14:paraId="76B00F7B"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828" w:type="dxa"/>
            <w:tcBorders>
              <w:top w:val="nil"/>
              <w:left w:val="nil"/>
              <w:bottom w:val="nil"/>
              <w:right w:val="nil"/>
            </w:tcBorders>
            <w:shd w:val="clear" w:color="auto" w:fill="auto"/>
            <w:noWrap/>
            <w:vAlign w:val="bottom"/>
            <w:hideMark/>
          </w:tcPr>
          <w:p w14:paraId="5B4EDE5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BB5793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£228,455</w:t>
            </w:r>
          </w:p>
        </w:tc>
        <w:tc>
          <w:tcPr>
            <w:tcW w:w="1052" w:type="dxa"/>
            <w:tcBorders>
              <w:top w:val="nil"/>
              <w:left w:val="nil"/>
              <w:bottom w:val="nil"/>
              <w:right w:val="nil"/>
            </w:tcBorders>
            <w:shd w:val="clear" w:color="auto" w:fill="auto"/>
            <w:noWrap/>
            <w:vAlign w:val="bottom"/>
            <w:hideMark/>
          </w:tcPr>
          <w:p w14:paraId="7BF80E3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£198,597</w:t>
            </w:r>
          </w:p>
        </w:tc>
        <w:tc>
          <w:tcPr>
            <w:tcW w:w="1052" w:type="dxa"/>
            <w:tcBorders>
              <w:top w:val="nil"/>
              <w:left w:val="nil"/>
              <w:bottom w:val="nil"/>
              <w:right w:val="nil"/>
            </w:tcBorders>
            <w:shd w:val="clear" w:color="auto" w:fill="auto"/>
            <w:noWrap/>
            <w:vAlign w:val="bottom"/>
            <w:hideMark/>
          </w:tcPr>
          <w:p w14:paraId="764743A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£215,812</w:t>
            </w:r>
          </w:p>
        </w:tc>
        <w:tc>
          <w:tcPr>
            <w:tcW w:w="1052" w:type="dxa"/>
            <w:tcBorders>
              <w:top w:val="nil"/>
              <w:left w:val="single" w:sz="4" w:space="0" w:color="auto"/>
              <w:bottom w:val="nil"/>
              <w:right w:val="nil"/>
            </w:tcBorders>
            <w:shd w:val="clear" w:color="auto" w:fill="auto"/>
            <w:noWrap/>
            <w:vAlign w:val="bottom"/>
            <w:hideMark/>
          </w:tcPr>
          <w:p w14:paraId="26FB437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£181,557</w:t>
            </w:r>
          </w:p>
        </w:tc>
        <w:tc>
          <w:tcPr>
            <w:tcW w:w="1052" w:type="dxa"/>
            <w:tcBorders>
              <w:top w:val="nil"/>
              <w:left w:val="nil"/>
              <w:bottom w:val="nil"/>
              <w:right w:val="single" w:sz="4" w:space="0" w:color="auto"/>
            </w:tcBorders>
            <w:shd w:val="clear" w:color="auto" w:fill="auto"/>
            <w:noWrap/>
            <w:vAlign w:val="bottom"/>
            <w:hideMark/>
          </w:tcPr>
          <w:p w14:paraId="1059334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£179,306</w:t>
            </w:r>
          </w:p>
        </w:tc>
      </w:tr>
      <w:tr w:rsidR="00E43679" w:rsidRPr="00E43679" w14:paraId="0F2AC914"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2916B7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FD4D913"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739878C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670" w:type="dxa"/>
            <w:gridSpan w:val="3"/>
            <w:tcBorders>
              <w:top w:val="nil"/>
              <w:left w:val="single" w:sz="4" w:space="0" w:color="auto"/>
              <w:bottom w:val="nil"/>
              <w:right w:val="nil"/>
            </w:tcBorders>
            <w:shd w:val="clear" w:color="auto" w:fill="auto"/>
            <w:noWrap/>
            <w:vAlign w:val="bottom"/>
            <w:hideMark/>
          </w:tcPr>
          <w:p w14:paraId="3B5D6F9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Average Employees Per Year</w:t>
            </w:r>
          </w:p>
        </w:tc>
        <w:tc>
          <w:tcPr>
            <w:tcW w:w="1052" w:type="dxa"/>
            <w:tcBorders>
              <w:top w:val="nil"/>
              <w:left w:val="single" w:sz="4" w:space="0" w:color="auto"/>
              <w:bottom w:val="nil"/>
              <w:right w:val="nil"/>
            </w:tcBorders>
            <w:shd w:val="clear" w:color="auto" w:fill="auto"/>
            <w:noWrap/>
            <w:vAlign w:val="bottom"/>
            <w:hideMark/>
          </w:tcPr>
          <w:p w14:paraId="0A8DAD1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835697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41D24C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D19831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6C7198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34B26A0"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770BBD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AE3DE9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52DED71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49EF5D5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7EDC71F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6A0E47F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0EB79D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4AD0B6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D9B95B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4CC17E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4BEB5A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275A3BA"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65159DF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Net Income Per Employee</w:t>
            </w:r>
          </w:p>
        </w:tc>
        <w:tc>
          <w:tcPr>
            <w:tcW w:w="2842" w:type="dxa"/>
            <w:gridSpan w:val="2"/>
            <w:tcBorders>
              <w:top w:val="nil"/>
              <w:left w:val="single" w:sz="4" w:space="0" w:color="auto"/>
              <w:bottom w:val="nil"/>
              <w:right w:val="nil"/>
            </w:tcBorders>
            <w:shd w:val="clear" w:color="auto" w:fill="auto"/>
            <w:noWrap/>
            <w:vAlign w:val="bottom"/>
            <w:hideMark/>
          </w:tcPr>
          <w:p w14:paraId="095AF943"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Net Income (PAT)</w:t>
            </w:r>
          </w:p>
        </w:tc>
        <w:tc>
          <w:tcPr>
            <w:tcW w:w="828" w:type="dxa"/>
            <w:tcBorders>
              <w:top w:val="nil"/>
              <w:left w:val="nil"/>
              <w:bottom w:val="nil"/>
              <w:right w:val="nil"/>
            </w:tcBorders>
            <w:shd w:val="clear" w:color="auto" w:fill="auto"/>
            <w:noWrap/>
            <w:vAlign w:val="bottom"/>
            <w:hideMark/>
          </w:tcPr>
          <w:p w14:paraId="0219269B"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19EAC2A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£43,979</w:t>
            </w:r>
          </w:p>
        </w:tc>
        <w:tc>
          <w:tcPr>
            <w:tcW w:w="1052" w:type="dxa"/>
            <w:tcBorders>
              <w:top w:val="nil"/>
              <w:left w:val="nil"/>
              <w:bottom w:val="nil"/>
              <w:right w:val="nil"/>
            </w:tcBorders>
            <w:shd w:val="clear" w:color="auto" w:fill="auto"/>
            <w:noWrap/>
            <w:vAlign w:val="bottom"/>
            <w:hideMark/>
          </w:tcPr>
          <w:p w14:paraId="5E3B53C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£35,279</w:t>
            </w:r>
          </w:p>
        </w:tc>
        <w:tc>
          <w:tcPr>
            <w:tcW w:w="1052" w:type="dxa"/>
            <w:tcBorders>
              <w:top w:val="nil"/>
              <w:left w:val="nil"/>
              <w:bottom w:val="nil"/>
              <w:right w:val="nil"/>
            </w:tcBorders>
            <w:shd w:val="clear" w:color="auto" w:fill="auto"/>
            <w:noWrap/>
            <w:vAlign w:val="bottom"/>
            <w:hideMark/>
          </w:tcPr>
          <w:p w14:paraId="250A87A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£30,136</w:t>
            </w:r>
          </w:p>
        </w:tc>
        <w:tc>
          <w:tcPr>
            <w:tcW w:w="1052" w:type="dxa"/>
            <w:tcBorders>
              <w:top w:val="nil"/>
              <w:left w:val="single" w:sz="4" w:space="0" w:color="auto"/>
              <w:bottom w:val="nil"/>
              <w:right w:val="nil"/>
            </w:tcBorders>
            <w:shd w:val="clear" w:color="auto" w:fill="auto"/>
            <w:noWrap/>
            <w:vAlign w:val="bottom"/>
            <w:hideMark/>
          </w:tcPr>
          <w:p w14:paraId="2002397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£29,841</w:t>
            </w:r>
          </w:p>
        </w:tc>
        <w:tc>
          <w:tcPr>
            <w:tcW w:w="1052" w:type="dxa"/>
            <w:tcBorders>
              <w:top w:val="nil"/>
              <w:left w:val="nil"/>
              <w:bottom w:val="nil"/>
              <w:right w:val="single" w:sz="4" w:space="0" w:color="auto"/>
            </w:tcBorders>
            <w:shd w:val="clear" w:color="auto" w:fill="auto"/>
            <w:noWrap/>
            <w:vAlign w:val="bottom"/>
            <w:hideMark/>
          </w:tcPr>
          <w:p w14:paraId="1063DF2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£29,640</w:t>
            </w:r>
          </w:p>
        </w:tc>
      </w:tr>
      <w:tr w:rsidR="00E43679" w:rsidRPr="00E43679" w14:paraId="4A8F0418"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617035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BE8FD1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4427AA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670" w:type="dxa"/>
            <w:gridSpan w:val="3"/>
            <w:tcBorders>
              <w:top w:val="nil"/>
              <w:left w:val="single" w:sz="4" w:space="0" w:color="auto"/>
              <w:bottom w:val="nil"/>
              <w:right w:val="nil"/>
            </w:tcBorders>
            <w:shd w:val="clear" w:color="auto" w:fill="auto"/>
            <w:noWrap/>
            <w:vAlign w:val="bottom"/>
            <w:hideMark/>
          </w:tcPr>
          <w:p w14:paraId="456838F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Average Employees Per Year</w:t>
            </w:r>
          </w:p>
        </w:tc>
        <w:tc>
          <w:tcPr>
            <w:tcW w:w="1052" w:type="dxa"/>
            <w:tcBorders>
              <w:top w:val="nil"/>
              <w:left w:val="single" w:sz="4" w:space="0" w:color="auto"/>
              <w:bottom w:val="nil"/>
              <w:right w:val="nil"/>
            </w:tcBorders>
            <w:shd w:val="clear" w:color="auto" w:fill="auto"/>
            <w:noWrap/>
            <w:vAlign w:val="bottom"/>
            <w:hideMark/>
          </w:tcPr>
          <w:p w14:paraId="4A5DABC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693C18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6D74B99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200329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CA0A96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3A0DB7B"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B9CF15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EE3BAF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0189B69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1B2D516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3498EB3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698523B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33B80D8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6EC586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40919A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C29DD2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D1617E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16E0A62"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D10C53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76BA0E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708C5C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5697AFB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143DE71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25D61EE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26BCEA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CE3642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5A86590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F123D1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9BF0D4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92D123C" w14:textId="77777777" w:rsidTr="00E43679">
        <w:trPr>
          <w:trHeight w:val="315"/>
        </w:trPr>
        <w:tc>
          <w:tcPr>
            <w:tcW w:w="2200" w:type="dxa"/>
            <w:gridSpan w:val="2"/>
            <w:tcBorders>
              <w:top w:val="nil"/>
              <w:left w:val="single" w:sz="4" w:space="0" w:color="auto"/>
              <w:bottom w:val="nil"/>
              <w:right w:val="nil"/>
            </w:tcBorders>
            <w:shd w:val="clear" w:color="auto" w:fill="auto"/>
            <w:noWrap/>
            <w:vAlign w:val="bottom"/>
            <w:hideMark/>
          </w:tcPr>
          <w:p w14:paraId="1591090D"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GEARING RATIOS</w:t>
            </w:r>
          </w:p>
        </w:tc>
        <w:tc>
          <w:tcPr>
            <w:tcW w:w="1459" w:type="dxa"/>
            <w:tcBorders>
              <w:top w:val="nil"/>
              <w:left w:val="nil"/>
              <w:bottom w:val="nil"/>
              <w:right w:val="nil"/>
            </w:tcBorders>
            <w:shd w:val="clear" w:color="auto" w:fill="auto"/>
            <w:noWrap/>
            <w:vAlign w:val="bottom"/>
            <w:hideMark/>
          </w:tcPr>
          <w:p w14:paraId="7814FB15"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1520" w:type="dxa"/>
            <w:tcBorders>
              <w:top w:val="nil"/>
              <w:left w:val="single" w:sz="4" w:space="0" w:color="auto"/>
              <w:bottom w:val="nil"/>
              <w:right w:val="nil"/>
            </w:tcBorders>
            <w:shd w:val="clear" w:color="auto" w:fill="auto"/>
            <w:noWrap/>
            <w:vAlign w:val="bottom"/>
            <w:hideMark/>
          </w:tcPr>
          <w:p w14:paraId="57F139C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5C428FE3"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0096D65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35A9065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0652FC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4E74B2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83BBB5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68DCE3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086F8BD"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3121641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lastRenderedPageBreak/>
              <w:t>Gearing Ratio - Debt to Equity</w:t>
            </w:r>
          </w:p>
        </w:tc>
        <w:tc>
          <w:tcPr>
            <w:tcW w:w="1520" w:type="dxa"/>
            <w:tcBorders>
              <w:top w:val="nil"/>
              <w:left w:val="single" w:sz="4" w:space="0" w:color="auto"/>
              <w:bottom w:val="nil"/>
              <w:right w:val="nil"/>
            </w:tcBorders>
            <w:shd w:val="clear" w:color="auto" w:fill="auto"/>
            <w:noWrap/>
            <w:vAlign w:val="bottom"/>
            <w:hideMark/>
          </w:tcPr>
          <w:p w14:paraId="690A579E"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Debt</w:t>
            </w:r>
          </w:p>
        </w:tc>
        <w:tc>
          <w:tcPr>
            <w:tcW w:w="1322" w:type="dxa"/>
            <w:tcBorders>
              <w:top w:val="nil"/>
              <w:left w:val="nil"/>
              <w:bottom w:val="nil"/>
              <w:right w:val="nil"/>
            </w:tcBorders>
            <w:shd w:val="clear" w:color="auto" w:fill="auto"/>
            <w:noWrap/>
            <w:vAlign w:val="bottom"/>
            <w:hideMark/>
          </w:tcPr>
          <w:p w14:paraId="4CD0333F" w14:textId="77777777" w:rsidR="00E43679" w:rsidRPr="00E43679" w:rsidRDefault="00E43679" w:rsidP="00E43679">
            <w:pPr>
              <w:spacing w:after="0" w:line="240" w:lineRule="auto"/>
              <w:rPr>
                <w:rFonts w:ascii="Calibri" w:eastAsia="Times New Roman" w:hAnsi="Calibri" w:cs="Calibri"/>
                <w:b/>
                <w:color w:val="000000"/>
                <w:sz w:val="22"/>
                <w:szCs w:val="22"/>
                <w:u w:val="single"/>
                <w:lang w:val="en-GB" w:eastAsia="en-GB"/>
              </w:rPr>
            </w:pPr>
          </w:p>
        </w:tc>
        <w:tc>
          <w:tcPr>
            <w:tcW w:w="828" w:type="dxa"/>
            <w:tcBorders>
              <w:top w:val="nil"/>
              <w:left w:val="nil"/>
              <w:bottom w:val="nil"/>
              <w:right w:val="nil"/>
            </w:tcBorders>
            <w:shd w:val="clear" w:color="auto" w:fill="auto"/>
            <w:noWrap/>
            <w:vAlign w:val="bottom"/>
            <w:hideMark/>
          </w:tcPr>
          <w:p w14:paraId="6A4AD279"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53795CF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3.40%</w:t>
            </w:r>
          </w:p>
        </w:tc>
        <w:tc>
          <w:tcPr>
            <w:tcW w:w="1052" w:type="dxa"/>
            <w:tcBorders>
              <w:top w:val="nil"/>
              <w:left w:val="nil"/>
              <w:bottom w:val="nil"/>
              <w:right w:val="nil"/>
            </w:tcBorders>
            <w:shd w:val="clear" w:color="auto" w:fill="auto"/>
            <w:noWrap/>
            <w:vAlign w:val="bottom"/>
            <w:hideMark/>
          </w:tcPr>
          <w:p w14:paraId="71EFACD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7.01%</w:t>
            </w:r>
          </w:p>
        </w:tc>
        <w:tc>
          <w:tcPr>
            <w:tcW w:w="1052" w:type="dxa"/>
            <w:tcBorders>
              <w:top w:val="nil"/>
              <w:left w:val="nil"/>
              <w:bottom w:val="nil"/>
              <w:right w:val="nil"/>
            </w:tcBorders>
            <w:shd w:val="clear" w:color="auto" w:fill="auto"/>
            <w:noWrap/>
            <w:vAlign w:val="bottom"/>
            <w:hideMark/>
          </w:tcPr>
          <w:p w14:paraId="12C5C64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296.28%</w:t>
            </w:r>
          </w:p>
        </w:tc>
        <w:tc>
          <w:tcPr>
            <w:tcW w:w="1052" w:type="dxa"/>
            <w:tcBorders>
              <w:top w:val="nil"/>
              <w:left w:val="single" w:sz="4" w:space="0" w:color="auto"/>
              <w:bottom w:val="nil"/>
              <w:right w:val="nil"/>
            </w:tcBorders>
            <w:shd w:val="clear" w:color="auto" w:fill="auto"/>
            <w:noWrap/>
            <w:vAlign w:val="bottom"/>
            <w:hideMark/>
          </w:tcPr>
          <w:p w14:paraId="4853C76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2.66%</w:t>
            </w:r>
          </w:p>
        </w:tc>
        <w:tc>
          <w:tcPr>
            <w:tcW w:w="1052" w:type="dxa"/>
            <w:tcBorders>
              <w:top w:val="nil"/>
              <w:left w:val="nil"/>
              <w:bottom w:val="nil"/>
              <w:right w:val="single" w:sz="4" w:space="0" w:color="auto"/>
            </w:tcBorders>
            <w:shd w:val="clear" w:color="auto" w:fill="auto"/>
            <w:noWrap/>
            <w:vAlign w:val="bottom"/>
            <w:hideMark/>
          </w:tcPr>
          <w:p w14:paraId="5115130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5.46%</w:t>
            </w:r>
          </w:p>
        </w:tc>
      </w:tr>
      <w:tr w:rsidR="00E43679" w:rsidRPr="00E43679" w14:paraId="575F74F4"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501294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89A431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10DAF1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7501D87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Equity</w:t>
            </w:r>
          </w:p>
        </w:tc>
        <w:tc>
          <w:tcPr>
            <w:tcW w:w="1322" w:type="dxa"/>
            <w:tcBorders>
              <w:top w:val="nil"/>
              <w:left w:val="nil"/>
              <w:bottom w:val="nil"/>
              <w:right w:val="nil"/>
            </w:tcBorders>
            <w:shd w:val="clear" w:color="auto" w:fill="auto"/>
            <w:noWrap/>
            <w:vAlign w:val="bottom"/>
            <w:hideMark/>
          </w:tcPr>
          <w:p w14:paraId="62DB5840"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13D58078"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00AE40A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7F418D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A69005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93DE21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76167A5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B892B50"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0416947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14ACC02"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5D8151B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45282C4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31384B82"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57B58348"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697A3ED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1C8B3B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5BA33A8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00894E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445F9B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C1DB7AA"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284F430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Gearing Ratio - Debt to Capital</w:t>
            </w:r>
          </w:p>
        </w:tc>
        <w:tc>
          <w:tcPr>
            <w:tcW w:w="1520" w:type="dxa"/>
            <w:tcBorders>
              <w:top w:val="nil"/>
              <w:left w:val="single" w:sz="4" w:space="0" w:color="auto"/>
              <w:bottom w:val="nil"/>
              <w:right w:val="nil"/>
            </w:tcBorders>
            <w:shd w:val="clear" w:color="auto" w:fill="auto"/>
            <w:noWrap/>
            <w:vAlign w:val="bottom"/>
            <w:hideMark/>
          </w:tcPr>
          <w:p w14:paraId="03CB2868"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Debt</w:t>
            </w:r>
          </w:p>
        </w:tc>
        <w:tc>
          <w:tcPr>
            <w:tcW w:w="1322" w:type="dxa"/>
            <w:tcBorders>
              <w:top w:val="nil"/>
              <w:left w:val="nil"/>
              <w:bottom w:val="nil"/>
              <w:right w:val="nil"/>
            </w:tcBorders>
            <w:shd w:val="clear" w:color="auto" w:fill="auto"/>
            <w:noWrap/>
            <w:vAlign w:val="bottom"/>
            <w:hideMark/>
          </w:tcPr>
          <w:p w14:paraId="23D9CE7D" w14:textId="77777777" w:rsidR="00E43679" w:rsidRPr="00E43679" w:rsidRDefault="00E43679" w:rsidP="00E43679">
            <w:pPr>
              <w:spacing w:after="0" w:line="240" w:lineRule="auto"/>
              <w:rPr>
                <w:rFonts w:ascii="Calibri" w:eastAsia="Times New Roman" w:hAnsi="Calibri" w:cs="Calibri"/>
                <w:b/>
                <w:color w:val="000000"/>
                <w:sz w:val="22"/>
                <w:szCs w:val="22"/>
                <w:u w:val="single"/>
                <w:lang w:val="en-GB" w:eastAsia="en-GB"/>
              </w:rPr>
            </w:pPr>
          </w:p>
        </w:tc>
        <w:tc>
          <w:tcPr>
            <w:tcW w:w="828" w:type="dxa"/>
            <w:tcBorders>
              <w:top w:val="nil"/>
              <w:left w:val="nil"/>
              <w:bottom w:val="nil"/>
              <w:right w:val="nil"/>
            </w:tcBorders>
            <w:shd w:val="clear" w:color="auto" w:fill="auto"/>
            <w:noWrap/>
            <w:vAlign w:val="bottom"/>
            <w:hideMark/>
          </w:tcPr>
          <w:p w14:paraId="75D3476E"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56845B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3.29%</w:t>
            </w:r>
          </w:p>
        </w:tc>
        <w:tc>
          <w:tcPr>
            <w:tcW w:w="1052" w:type="dxa"/>
            <w:tcBorders>
              <w:top w:val="nil"/>
              <w:left w:val="nil"/>
              <w:bottom w:val="nil"/>
              <w:right w:val="nil"/>
            </w:tcBorders>
            <w:shd w:val="clear" w:color="auto" w:fill="auto"/>
            <w:noWrap/>
            <w:vAlign w:val="bottom"/>
            <w:hideMark/>
          </w:tcPr>
          <w:p w14:paraId="4C484A6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6.55%</w:t>
            </w:r>
          </w:p>
        </w:tc>
        <w:tc>
          <w:tcPr>
            <w:tcW w:w="1052" w:type="dxa"/>
            <w:tcBorders>
              <w:top w:val="nil"/>
              <w:left w:val="nil"/>
              <w:bottom w:val="nil"/>
              <w:right w:val="nil"/>
            </w:tcBorders>
            <w:shd w:val="clear" w:color="auto" w:fill="auto"/>
            <w:noWrap/>
            <w:vAlign w:val="bottom"/>
            <w:hideMark/>
          </w:tcPr>
          <w:p w14:paraId="0C5A92E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74.77%</w:t>
            </w:r>
          </w:p>
        </w:tc>
        <w:tc>
          <w:tcPr>
            <w:tcW w:w="1052" w:type="dxa"/>
            <w:tcBorders>
              <w:top w:val="nil"/>
              <w:left w:val="single" w:sz="4" w:space="0" w:color="auto"/>
              <w:bottom w:val="nil"/>
              <w:right w:val="nil"/>
            </w:tcBorders>
            <w:shd w:val="clear" w:color="auto" w:fill="auto"/>
            <w:noWrap/>
            <w:vAlign w:val="bottom"/>
            <w:hideMark/>
          </w:tcPr>
          <w:p w14:paraId="09C37B9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2.59%</w:t>
            </w:r>
          </w:p>
        </w:tc>
        <w:tc>
          <w:tcPr>
            <w:tcW w:w="1052" w:type="dxa"/>
            <w:tcBorders>
              <w:top w:val="nil"/>
              <w:left w:val="nil"/>
              <w:bottom w:val="nil"/>
              <w:right w:val="single" w:sz="4" w:space="0" w:color="auto"/>
            </w:tcBorders>
            <w:shd w:val="clear" w:color="auto" w:fill="auto"/>
            <w:noWrap/>
            <w:vAlign w:val="bottom"/>
            <w:hideMark/>
          </w:tcPr>
          <w:p w14:paraId="2B6851F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5.17%</w:t>
            </w:r>
          </w:p>
        </w:tc>
      </w:tr>
      <w:tr w:rsidR="00E43679" w:rsidRPr="00E43679" w14:paraId="7BE7894C"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B1BD86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64A244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55FE7C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1B4AB71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Debt + Equity</w:t>
            </w:r>
          </w:p>
        </w:tc>
        <w:tc>
          <w:tcPr>
            <w:tcW w:w="1322" w:type="dxa"/>
            <w:tcBorders>
              <w:top w:val="nil"/>
              <w:left w:val="nil"/>
              <w:bottom w:val="nil"/>
              <w:right w:val="nil"/>
            </w:tcBorders>
            <w:shd w:val="clear" w:color="auto" w:fill="auto"/>
            <w:noWrap/>
            <w:vAlign w:val="bottom"/>
            <w:hideMark/>
          </w:tcPr>
          <w:p w14:paraId="1C5F07B6"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04B78B7E"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106F00F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D85EE2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660E653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14E1CB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CB1611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EC9349B"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C8B1AC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F8FFD6A"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51F9CEB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777BD1B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64284845"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7869584E"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C6D8EF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213540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A8C765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9A434C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B8A96D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B48A651"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17F4063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Interest Cover</w:t>
            </w:r>
          </w:p>
        </w:tc>
        <w:tc>
          <w:tcPr>
            <w:tcW w:w="1459" w:type="dxa"/>
            <w:tcBorders>
              <w:top w:val="nil"/>
              <w:left w:val="nil"/>
              <w:bottom w:val="nil"/>
              <w:right w:val="nil"/>
            </w:tcBorders>
            <w:shd w:val="clear" w:color="auto" w:fill="auto"/>
            <w:noWrap/>
            <w:vAlign w:val="bottom"/>
            <w:hideMark/>
          </w:tcPr>
          <w:p w14:paraId="07A0032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3670" w:type="dxa"/>
            <w:gridSpan w:val="3"/>
            <w:tcBorders>
              <w:top w:val="nil"/>
              <w:left w:val="single" w:sz="4" w:space="0" w:color="auto"/>
              <w:bottom w:val="nil"/>
              <w:right w:val="nil"/>
            </w:tcBorders>
            <w:shd w:val="clear" w:color="auto" w:fill="auto"/>
            <w:noWrap/>
            <w:vAlign w:val="bottom"/>
            <w:hideMark/>
          </w:tcPr>
          <w:p w14:paraId="20A63428"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Profit Before Interest &amp; Tax</w:t>
            </w:r>
            <w:r w:rsidRPr="5CE60E2F">
              <w:rPr>
                <w:rFonts w:ascii="Calibri" w:eastAsia="Times New Roman" w:hAnsi="Calibri" w:cs="Calibri"/>
                <w:b/>
                <w:color w:val="000000" w:themeColor="text1"/>
                <w:sz w:val="22"/>
                <w:szCs w:val="22"/>
                <w:lang w:val="en-GB" w:eastAsia="en-GB"/>
              </w:rPr>
              <w:t xml:space="preserve">  (times)</w:t>
            </w:r>
          </w:p>
        </w:tc>
        <w:tc>
          <w:tcPr>
            <w:tcW w:w="1052" w:type="dxa"/>
            <w:tcBorders>
              <w:top w:val="nil"/>
              <w:left w:val="single" w:sz="4" w:space="0" w:color="auto"/>
              <w:bottom w:val="nil"/>
              <w:right w:val="nil"/>
            </w:tcBorders>
            <w:shd w:val="clear" w:color="auto" w:fill="auto"/>
            <w:noWrap/>
            <w:vAlign w:val="bottom"/>
            <w:hideMark/>
          </w:tcPr>
          <w:p w14:paraId="232BAA7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77</w:t>
            </w:r>
          </w:p>
        </w:tc>
        <w:tc>
          <w:tcPr>
            <w:tcW w:w="1052" w:type="dxa"/>
            <w:tcBorders>
              <w:top w:val="nil"/>
              <w:left w:val="nil"/>
              <w:bottom w:val="nil"/>
              <w:right w:val="nil"/>
            </w:tcBorders>
            <w:shd w:val="clear" w:color="auto" w:fill="auto"/>
            <w:noWrap/>
            <w:vAlign w:val="bottom"/>
            <w:hideMark/>
          </w:tcPr>
          <w:p w14:paraId="5D37591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64</w:t>
            </w:r>
          </w:p>
        </w:tc>
        <w:tc>
          <w:tcPr>
            <w:tcW w:w="1052" w:type="dxa"/>
            <w:tcBorders>
              <w:top w:val="nil"/>
              <w:left w:val="nil"/>
              <w:bottom w:val="nil"/>
              <w:right w:val="nil"/>
            </w:tcBorders>
            <w:shd w:val="clear" w:color="auto" w:fill="auto"/>
            <w:noWrap/>
            <w:vAlign w:val="bottom"/>
            <w:hideMark/>
          </w:tcPr>
          <w:p w14:paraId="2F61BA9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70</w:t>
            </w:r>
          </w:p>
        </w:tc>
        <w:tc>
          <w:tcPr>
            <w:tcW w:w="1052" w:type="dxa"/>
            <w:tcBorders>
              <w:top w:val="nil"/>
              <w:left w:val="single" w:sz="4" w:space="0" w:color="auto"/>
              <w:bottom w:val="nil"/>
              <w:right w:val="nil"/>
            </w:tcBorders>
            <w:shd w:val="clear" w:color="auto" w:fill="auto"/>
            <w:noWrap/>
            <w:vAlign w:val="bottom"/>
            <w:hideMark/>
          </w:tcPr>
          <w:p w14:paraId="534040F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987</w:t>
            </w:r>
          </w:p>
        </w:tc>
        <w:tc>
          <w:tcPr>
            <w:tcW w:w="1052" w:type="dxa"/>
            <w:tcBorders>
              <w:top w:val="nil"/>
              <w:left w:val="nil"/>
              <w:bottom w:val="nil"/>
              <w:right w:val="single" w:sz="4" w:space="0" w:color="auto"/>
            </w:tcBorders>
            <w:shd w:val="clear" w:color="auto" w:fill="auto"/>
            <w:noWrap/>
            <w:vAlign w:val="bottom"/>
            <w:hideMark/>
          </w:tcPr>
          <w:p w14:paraId="630A401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759</w:t>
            </w:r>
          </w:p>
        </w:tc>
      </w:tr>
      <w:tr w:rsidR="00E43679" w:rsidRPr="00E43679" w14:paraId="599ED4FA"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D21389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E85819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2C8DA7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5E72D17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Interest</w:t>
            </w:r>
          </w:p>
        </w:tc>
        <w:tc>
          <w:tcPr>
            <w:tcW w:w="1322" w:type="dxa"/>
            <w:tcBorders>
              <w:top w:val="nil"/>
              <w:left w:val="nil"/>
              <w:bottom w:val="nil"/>
              <w:right w:val="nil"/>
            </w:tcBorders>
            <w:shd w:val="clear" w:color="auto" w:fill="auto"/>
            <w:noWrap/>
            <w:vAlign w:val="bottom"/>
            <w:hideMark/>
          </w:tcPr>
          <w:p w14:paraId="75D9A255"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39357F41"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545FBB8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7A9040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A0B606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17EE2C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BCEDA7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EF147F0"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D5D4FF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FD0913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F5FBB7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56A72E2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66A16B6C"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59A2FA5B"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5C6B530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C5CB81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C100D7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EE0B13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CFC87C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B24B8AA"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1961A4F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Equity Ratio (Shareholders Ratio)</w:t>
            </w:r>
          </w:p>
        </w:tc>
        <w:tc>
          <w:tcPr>
            <w:tcW w:w="1520" w:type="dxa"/>
            <w:tcBorders>
              <w:top w:val="nil"/>
              <w:left w:val="single" w:sz="4" w:space="0" w:color="auto"/>
              <w:bottom w:val="nil"/>
              <w:right w:val="nil"/>
            </w:tcBorders>
            <w:shd w:val="clear" w:color="auto" w:fill="auto"/>
            <w:noWrap/>
            <w:vAlign w:val="bottom"/>
            <w:hideMark/>
          </w:tcPr>
          <w:p w14:paraId="52019AD3"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Equity</w:t>
            </w:r>
          </w:p>
        </w:tc>
        <w:tc>
          <w:tcPr>
            <w:tcW w:w="1322" w:type="dxa"/>
            <w:tcBorders>
              <w:top w:val="nil"/>
              <w:left w:val="nil"/>
              <w:bottom w:val="nil"/>
              <w:right w:val="nil"/>
            </w:tcBorders>
            <w:shd w:val="clear" w:color="auto" w:fill="auto"/>
            <w:noWrap/>
            <w:vAlign w:val="bottom"/>
            <w:hideMark/>
          </w:tcPr>
          <w:p w14:paraId="229D725C" w14:textId="77777777" w:rsidR="00E43679" w:rsidRPr="00E43679" w:rsidRDefault="00E43679" w:rsidP="00E43679">
            <w:pPr>
              <w:spacing w:after="0" w:line="240" w:lineRule="auto"/>
              <w:rPr>
                <w:rFonts w:ascii="Calibri" w:eastAsia="Times New Roman" w:hAnsi="Calibri" w:cs="Calibri"/>
                <w:b/>
                <w:color w:val="000000"/>
                <w:sz w:val="22"/>
                <w:szCs w:val="22"/>
                <w:u w:val="single"/>
                <w:lang w:val="en-GB" w:eastAsia="en-GB"/>
              </w:rPr>
            </w:pPr>
          </w:p>
        </w:tc>
        <w:tc>
          <w:tcPr>
            <w:tcW w:w="828" w:type="dxa"/>
            <w:tcBorders>
              <w:top w:val="nil"/>
              <w:left w:val="nil"/>
              <w:bottom w:val="nil"/>
              <w:right w:val="nil"/>
            </w:tcBorders>
            <w:shd w:val="clear" w:color="auto" w:fill="auto"/>
            <w:noWrap/>
            <w:vAlign w:val="bottom"/>
            <w:hideMark/>
          </w:tcPr>
          <w:p w14:paraId="0D3907DF"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5FEF9E5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96.7%</w:t>
            </w:r>
          </w:p>
        </w:tc>
        <w:tc>
          <w:tcPr>
            <w:tcW w:w="1052" w:type="dxa"/>
            <w:tcBorders>
              <w:top w:val="nil"/>
              <w:left w:val="nil"/>
              <w:bottom w:val="nil"/>
              <w:right w:val="nil"/>
            </w:tcBorders>
            <w:shd w:val="clear" w:color="auto" w:fill="auto"/>
            <w:noWrap/>
            <w:vAlign w:val="bottom"/>
            <w:hideMark/>
          </w:tcPr>
          <w:p w14:paraId="0699A55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93.4%</w:t>
            </w:r>
          </w:p>
        </w:tc>
        <w:tc>
          <w:tcPr>
            <w:tcW w:w="1052" w:type="dxa"/>
            <w:tcBorders>
              <w:top w:val="nil"/>
              <w:left w:val="nil"/>
              <w:bottom w:val="nil"/>
              <w:right w:val="nil"/>
            </w:tcBorders>
            <w:shd w:val="clear" w:color="auto" w:fill="auto"/>
            <w:noWrap/>
            <w:vAlign w:val="bottom"/>
            <w:hideMark/>
          </w:tcPr>
          <w:p w14:paraId="4F69474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25.2%</w:t>
            </w:r>
          </w:p>
        </w:tc>
        <w:tc>
          <w:tcPr>
            <w:tcW w:w="1052" w:type="dxa"/>
            <w:tcBorders>
              <w:top w:val="nil"/>
              <w:left w:val="single" w:sz="4" w:space="0" w:color="auto"/>
              <w:bottom w:val="nil"/>
              <w:right w:val="nil"/>
            </w:tcBorders>
            <w:shd w:val="clear" w:color="auto" w:fill="auto"/>
            <w:noWrap/>
            <w:vAlign w:val="bottom"/>
            <w:hideMark/>
          </w:tcPr>
          <w:p w14:paraId="14E184D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97.4%</w:t>
            </w:r>
          </w:p>
        </w:tc>
        <w:tc>
          <w:tcPr>
            <w:tcW w:w="1052" w:type="dxa"/>
            <w:tcBorders>
              <w:top w:val="nil"/>
              <w:left w:val="nil"/>
              <w:bottom w:val="nil"/>
              <w:right w:val="single" w:sz="4" w:space="0" w:color="auto"/>
            </w:tcBorders>
            <w:shd w:val="clear" w:color="auto" w:fill="auto"/>
            <w:noWrap/>
            <w:vAlign w:val="bottom"/>
            <w:hideMark/>
          </w:tcPr>
          <w:p w14:paraId="2AB19EC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94.8%</w:t>
            </w:r>
          </w:p>
        </w:tc>
      </w:tr>
      <w:tr w:rsidR="00E43679" w:rsidRPr="00E43679" w14:paraId="2B7BDFFF"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ACD4E7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147021E"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5C29142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2EF74BE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Assets</w:t>
            </w:r>
          </w:p>
        </w:tc>
        <w:tc>
          <w:tcPr>
            <w:tcW w:w="1322" w:type="dxa"/>
            <w:tcBorders>
              <w:top w:val="nil"/>
              <w:left w:val="nil"/>
              <w:bottom w:val="nil"/>
              <w:right w:val="nil"/>
            </w:tcBorders>
            <w:shd w:val="clear" w:color="auto" w:fill="auto"/>
            <w:noWrap/>
            <w:vAlign w:val="bottom"/>
            <w:hideMark/>
          </w:tcPr>
          <w:p w14:paraId="6026A830"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460F3525"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5076A20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232113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5CAAFA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BC0DF7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149137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3A75A40"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A4CFC7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67E88B3"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F4EED3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51EFBEB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75750504"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254E58AD"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9AC9FD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E7BECE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733BCA1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7C5619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A3D104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EE01775"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663E21E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Solvency Ratios</w:t>
            </w:r>
          </w:p>
        </w:tc>
        <w:tc>
          <w:tcPr>
            <w:tcW w:w="1459" w:type="dxa"/>
            <w:tcBorders>
              <w:top w:val="nil"/>
              <w:left w:val="nil"/>
              <w:bottom w:val="nil"/>
              <w:right w:val="nil"/>
            </w:tcBorders>
            <w:shd w:val="clear" w:color="auto" w:fill="auto"/>
            <w:noWrap/>
            <w:vAlign w:val="bottom"/>
            <w:hideMark/>
          </w:tcPr>
          <w:p w14:paraId="78A6FD1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394876AF"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PAT + Depreciation</w:t>
            </w:r>
          </w:p>
        </w:tc>
        <w:tc>
          <w:tcPr>
            <w:tcW w:w="828" w:type="dxa"/>
            <w:tcBorders>
              <w:top w:val="nil"/>
              <w:left w:val="nil"/>
              <w:bottom w:val="nil"/>
              <w:right w:val="nil"/>
            </w:tcBorders>
            <w:shd w:val="clear" w:color="auto" w:fill="auto"/>
            <w:noWrap/>
            <w:vAlign w:val="bottom"/>
            <w:hideMark/>
          </w:tcPr>
          <w:p w14:paraId="2BFDDFE2" w14:textId="77777777" w:rsidR="00E43679" w:rsidRPr="00E43679" w:rsidRDefault="00E43679" w:rsidP="00E43679">
            <w:pPr>
              <w:spacing w:after="0" w:line="240" w:lineRule="auto"/>
              <w:rPr>
                <w:rFonts w:ascii="Calibri" w:eastAsia="Times New Roman" w:hAnsi="Calibri" w:cs="Calibri"/>
                <w:b/>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45829F7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68.7%</w:t>
            </w:r>
          </w:p>
        </w:tc>
        <w:tc>
          <w:tcPr>
            <w:tcW w:w="1052" w:type="dxa"/>
            <w:tcBorders>
              <w:top w:val="nil"/>
              <w:left w:val="nil"/>
              <w:bottom w:val="nil"/>
              <w:right w:val="nil"/>
            </w:tcBorders>
            <w:shd w:val="clear" w:color="auto" w:fill="auto"/>
            <w:noWrap/>
            <w:vAlign w:val="bottom"/>
            <w:hideMark/>
          </w:tcPr>
          <w:p w14:paraId="3F2B90B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44.2%</w:t>
            </w:r>
          </w:p>
        </w:tc>
        <w:tc>
          <w:tcPr>
            <w:tcW w:w="1052" w:type="dxa"/>
            <w:tcBorders>
              <w:top w:val="nil"/>
              <w:left w:val="nil"/>
              <w:bottom w:val="nil"/>
              <w:right w:val="nil"/>
            </w:tcBorders>
            <w:shd w:val="clear" w:color="auto" w:fill="auto"/>
            <w:noWrap/>
            <w:vAlign w:val="bottom"/>
            <w:hideMark/>
          </w:tcPr>
          <w:p w14:paraId="055A733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37.8%</w:t>
            </w:r>
          </w:p>
        </w:tc>
        <w:tc>
          <w:tcPr>
            <w:tcW w:w="1052" w:type="dxa"/>
            <w:tcBorders>
              <w:top w:val="nil"/>
              <w:left w:val="single" w:sz="4" w:space="0" w:color="auto"/>
              <w:bottom w:val="nil"/>
              <w:right w:val="nil"/>
            </w:tcBorders>
            <w:shd w:val="clear" w:color="auto" w:fill="auto"/>
            <w:noWrap/>
            <w:vAlign w:val="bottom"/>
            <w:hideMark/>
          </w:tcPr>
          <w:p w14:paraId="7A032FE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72.4%</w:t>
            </w:r>
          </w:p>
        </w:tc>
        <w:tc>
          <w:tcPr>
            <w:tcW w:w="1052" w:type="dxa"/>
            <w:tcBorders>
              <w:top w:val="nil"/>
              <w:left w:val="nil"/>
              <w:bottom w:val="nil"/>
              <w:right w:val="single" w:sz="4" w:space="0" w:color="auto"/>
            </w:tcBorders>
            <w:shd w:val="clear" w:color="auto" w:fill="auto"/>
            <w:noWrap/>
            <w:vAlign w:val="bottom"/>
            <w:hideMark/>
          </w:tcPr>
          <w:p w14:paraId="6751240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66.7%</w:t>
            </w:r>
          </w:p>
        </w:tc>
      </w:tr>
      <w:tr w:rsidR="00E43679" w:rsidRPr="00E43679" w14:paraId="3803D282"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5F0A11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B60FB65"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2993E3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3BF391E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Liabilities</w:t>
            </w:r>
          </w:p>
        </w:tc>
        <w:tc>
          <w:tcPr>
            <w:tcW w:w="828" w:type="dxa"/>
            <w:tcBorders>
              <w:top w:val="nil"/>
              <w:left w:val="nil"/>
              <w:bottom w:val="nil"/>
              <w:right w:val="nil"/>
            </w:tcBorders>
            <w:shd w:val="clear" w:color="auto" w:fill="auto"/>
            <w:noWrap/>
            <w:vAlign w:val="bottom"/>
            <w:hideMark/>
          </w:tcPr>
          <w:p w14:paraId="0A30216F"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737F57B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7560B9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B08359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4FDAF1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331C94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704F8AE"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05AF88A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A1AA784"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2B9950E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33C1F24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32797740"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78E08EB7"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59CFF2B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99F80F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722804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1A1199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C60576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3D7FCD3"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4C5203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9730673"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5CCB437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7CE8165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6EAD7625"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0F9A5D5C"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FFC45E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C125A3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671C3C7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148492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D2BC95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03BB637" w14:textId="77777777" w:rsidTr="00E43679">
        <w:trPr>
          <w:trHeight w:val="315"/>
        </w:trPr>
        <w:tc>
          <w:tcPr>
            <w:tcW w:w="3659" w:type="dxa"/>
            <w:gridSpan w:val="3"/>
            <w:tcBorders>
              <w:top w:val="nil"/>
              <w:left w:val="single" w:sz="4" w:space="0" w:color="auto"/>
              <w:bottom w:val="nil"/>
              <w:right w:val="nil"/>
            </w:tcBorders>
            <w:shd w:val="clear" w:color="auto" w:fill="auto"/>
            <w:noWrap/>
            <w:vAlign w:val="bottom"/>
            <w:hideMark/>
          </w:tcPr>
          <w:p w14:paraId="700B0BE8"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t>INVESTOR/VALUATION RATIOS</w:t>
            </w:r>
          </w:p>
        </w:tc>
        <w:tc>
          <w:tcPr>
            <w:tcW w:w="1520" w:type="dxa"/>
            <w:tcBorders>
              <w:top w:val="nil"/>
              <w:left w:val="single" w:sz="4" w:space="0" w:color="auto"/>
              <w:bottom w:val="nil"/>
              <w:right w:val="nil"/>
            </w:tcBorders>
            <w:shd w:val="clear" w:color="auto" w:fill="auto"/>
            <w:noWrap/>
            <w:vAlign w:val="bottom"/>
            <w:hideMark/>
          </w:tcPr>
          <w:p w14:paraId="72D4BAA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66090D0D"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0446A616"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55E3ED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B9E3F7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70F64F6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451676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1F8C8C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A974920"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7DCA24B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Earnings Per Share (EPS)</w:t>
            </w:r>
          </w:p>
        </w:tc>
        <w:tc>
          <w:tcPr>
            <w:tcW w:w="3670" w:type="dxa"/>
            <w:gridSpan w:val="3"/>
            <w:tcBorders>
              <w:top w:val="nil"/>
              <w:left w:val="single" w:sz="4" w:space="0" w:color="auto"/>
              <w:bottom w:val="nil"/>
              <w:right w:val="nil"/>
            </w:tcBorders>
            <w:shd w:val="clear" w:color="auto" w:fill="auto"/>
            <w:noWrap/>
            <w:vAlign w:val="bottom"/>
            <w:hideMark/>
          </w:tcPr>
          <w:p w14:paraId="4EF02872"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PAT and Preference Dividends  (£ )</w:t>
            </w:r>
          </w:p>
        </w:tc>
        <w:tc>
          <w:tcPr>
            <w:tcW w:w="1052" w:type="dxa"/>
            <w:tcBorders>
              <w:top w:val="nil"/>
              <w:left w:val="single" w:sz="4" w:space="0" w:color="auto"/>
              <w:bottom w:val="nil"/>
              <w:right w:val="nil"/>
            </w:tcBorders>
            <w:shd w:val="clear" w:color="auto" w:fill="auto"/>
            <w:noWrap/>
            <w:vAlign w:val="bottom"/>
            <w:hideMark/>
          </w:tcPr>
          <w:p w14:paraId="6E4C89D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3.98</w:t>
            </w:r>
          </w:p>
        </w:tc>
        <w:tc>
          <w:tcPr>
            <w:tcW w:w="1052" w:type="dxa"/>
            <w:tcBorders>
              <w:top w:val="nil"/>
              <w:left w:val="nil"/>
              <w:bottom w:val="nil"/>
              <w:right w:val="nil"/>
            </w:tcBorders>
            <w:shd w:val="clear" w:color="auto" w:fill="auto"/>
            <w:noWrap/>
            <w:vAlign w:val="bottom"/>
            <w:hideMark/>
          </w:tcPr>
          <w:p w14:paraId="0950AA3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3.33</w:t>
            </w:r>
          </w:p>
        </w:tc>
        <w:tc>
          <w:tcPr>
            <w:tcW w:w="1052" w:type="dxa"/>
            <w:tcBorders>
              <w:top w:val="nil"/>
              <w:left w:val="nil"/>
              <w:bottom w:val="nil"/>
              <w:right w:val="nil"/>
            </w:tcBorders>
            <w:shd w:val="clear" w:color="auto" w:fill="auto"/>
            <w:noWrap/>
            <w:vAlign w:val="bottom"/>
            <w:hideMark/>
          </w:tcPr>
          <w:p w14:paraId="769EC0F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3.39</w:t>
            </w:r>
          </w:p>
        </w:tc>
        <w:tc>
          <w:tcPr>
            <w:tcW w:w="1052" w:type="dxa"/>
            <w:tcBorders>
              <w:top w:val="nil"/>
              <w:left w:val="single" w:sz="4" w:space="0" w:color="auto"/>
              <w:bottom w:val="nil"/>
              <w:right w:val="nil"/>
            </w:tcBorders>
            <w:shd w:val="clear" w:color="auto" w:fill="auto"/>
            <w:noWrap/>
            <w:vAlign w:val="bottom"/>
            <w:hideMark/>
          </w:tcPr>
          <w:p w14:paraId="435CC9E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3.01</w:t>
            </w:r>
          </w:p>
        </w:tc>
        <w:tc>
          <w:tcPr>
            <w:tcW w:w="1052" w:type="dxa"/>
            <w:tcBorders>
              <w:top w:val="nil"/>
              <w:left w:val="nil"/>
              <w:bottom w:val="nil"/>
              <w:right w:val="single" w:sz="4" w:space="0" w:color="auto"/>
            </w:tcBorders>
            <w:shd w:val="clear" w:color="auto" w:fill="auto"/>
            <w:noWrap/>
            <w:vAlign w:val="bottom"/>
            <w:hideMark/>
          </w:tcPr>
          <w:p w14:paraId="59BA493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2.57</w:t>
            </w:r>
          </w:p>
        </w:tc>
      </w:tr>
      <w:tr w:rsidR="00E43679" w:rsidRPr="00E43679" w14:paraId="0C990127"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8DD266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717AFE3"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2C3693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3670" w:type="dxa"/>
            <w:gridSpan w:val="3"/>
            <w:tcBorders>
              <w:top w:val="nil"/>
              <w:left w:val="single" w:sz="4" w:space="0" w:color="auto"/>
              <w:bottom w:val="nil"/>
              <w:right w:val="nil"/>
            </w:tcBorders>
            <w:shd w:val="clear" w:color="auto" w:fill="auto"/>
            <w:noWrap/>
            <w:vAlign w:val="bottom"/>
            <w:hideMark/>
          </w:tcPr>
          <w:p w14:paraId="5DA81CF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Number of Ordinary Shares</w:t>
            </w:r>
          </w:p>
        </w:tc>
        <w:tc>
          <w:tcPr>
            <w:tcW w:w="1052" w:type="dxa"/>
            <w:tcBorders>
              <w:top w:val="nil"/>
              <w:left w:val="single" w:sz="4" w:space="0" w:color="auto"/>
              <w:bottom w:val="nil"/>
              <w:right w:val="nil"/>
            </w:tcBorders>
            <w:shd w:val="clear" w:color="auto" w:fill="auto"/>
            <w:noWrap/>
            <w:vAlign w:val="bottom"/>
            <w:hideMark/>
          </w:tcPr>
          <w:p w14:paraId="156C6CE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B9B8C3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95F558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960E86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5C0480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5D85E60"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4CDF44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C205F9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0FF247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27273E4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278C069A" w14:textId="77777777" w:rsidR="00E43679" w:rsidRPr="00E43679" w:rsidRDefault="00E43679" w:rsidP="00E43679">
            <w:pPr>
              <w:spacing w:after="0" w:line="240" w:lineRule="auto"/>
              <w:rPr>
                <w:rFonts w:ascii="Calibri" w:eastAsia="Times New Roman" w:hAnsi="Calibri" w:cs="Calibri"/>
                <w:b/>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41E60442" w14:textId="77777777" w:rsidR="00E43679" w:rsidRPr="00E43679" w:rsidRDefault="00E43679" w:rsidP="00E43679">
            <w:pPr>
              <w:spacing w:after="0" w:line="240" w:lineRule="auto"/>
              <w:rPr>
                <w:rFonts w:ascii="Times New Roman" w:eastAsia="Times New Roman" w:hAnsi="Times New Roman" w:cs="Times New Roman"/>
                <w:b/>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303E284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B9CE10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C716ED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6B6B2E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79FB397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94FA399"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48A9621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Return On Equity</w:t>
            </w:r>
          </w:p>
        </w:tc>
        <w:tc>
          <w:tcPr>
            <w:tcW w:w="1459" w:type="dxa"/>
            <w:tcBorders>
              <w:top w:val="nil"/>
              <w:left w:val="nil"/>
              <w:bottom w:val="nil"/>
              <w:right w:val="nil"/>
            </w:tcBorders>
            <w:shd w:val="clear" w:color="auto" w:fill="auto"/>
            <w:noWrap/>
            <w:vAlign w:val="bottom"/>
            <w:hideMark/>
          </w:tcPr>
          <w:p w14:paraId="2525D93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3809DA6F"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 xml:space="preserve">PAT                                </w:t>
            </w:r>
            <w:r w:rsidRPr="5CE60E2F">
              <w:rPr>
                <w:rFonts w:ascii="Calibri" w:eastAsia="Times New Roman" w:hAnsi="Calibri" w:cs="Calibri"/>
                <w:b/>
                <w:color w:val="000000" w:themeColor="text1"/>
                <w:sz w:val="22"/>
                <w:szCs w:val="22"/>
                <w:lang w:val="en-GB" w:eastAsia="en-GB"/>
              </w:rPr>
              <w:t xml:space="preserve">   *  100</w:t>
            </w:r>
          </w:p>
        </w:tc>
        <w:tc>
          <w:tcPr>
            <w:tcW w:w="828" w:type="dxa"/>
            <w:tcBorders>
              <w:top w:val="nil"/>
              <w:left w:val="nil"/>
              <w:bottom w:val="nil"/>
              <w:right w:val="nil"/>
            </w:tcBorders>
            <w:shd w:val="clear" w:color="auto" w:fill="auto"/>
            <w:noWrap/>
            <w:vAlign w:val="bottom"/>
            <w:hideMark/>
          </w:tcPr>
          <w:p w14:paraId="6D0D9F8D"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3EAECC2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7.6%</w:t>
            </w:r>
          </w:p>
        </w:tc>
        <w:tc>
          <w:tcPr>
            <w:tcW w:w="1052" w:type="dxa"/>
            <w:tcBorders>
              <w:top w:val="nil"/>
              <w:left w:val="single" w:sz="4" w:space="0" w:color="auto"/>
              <w:bottom w:val="nil"/>
              <w:right w:val="nil"/>
            </w:tcBorders>
            <w:shd w:val="clear" w:color="auto" w:fill="auto"/>
            <w:noWrap/>
            <w:vAlign w:val="bottom"/>
            <w:hideMark/>
          </w:tcPr>
          <w:p w14:paraId="52DAA53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6.2%</w:t>
            </w:r>
          </w:p>
        </w:tc>
        <w:tc>
          <w:tcPr>
            <w:tcW w:w="1052" w:type="dxa"/>
            <w:tcBorders>
              <w:top w:val="nil"/>
              <w:left w:val="single" w:sz="4" w:space="0" w:color="auto"/>
              <w:bottom w:val="nil"/>
              <w:right w:val="nil"/>
            </w:tcBorders>
            <w:shd w:val="clear" w:color="auto" w:fill="auto"/>
            <w:noWrap/>
            <w:vAlign w:val="bottom"/>
            <w:hideMark/>
          </w:tcPr>
          <w:p w14:paraId="29023AC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220.5%</w:t>
            </w:r>
          </w:p>
        </w:tc>
        <w:tc>
          <w:tcPr>
            <w:tcW w:w="1052" w:type="dxa"/>
            <w:tcBorders>
              <w:top w:val="nil"/>
              <w:left w:val="single" w:sz="4" w:space="0" w:color="auto"/>
              <w:bottom w:val="nil"/>
              <w:right w:val="nil"/>
            </w:tcBorders>
            <w:shd w:val="clear" w:color="auto" w:fill="auto"/>
            <w:noWrap/>
            <w:vAlign w:val="bottom"/>
            <w:hideMark/>
          </w:tcPr>
          <w:p w14:paraId="5594C1E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37.4%</w:t>
            </w:r>
          </w:p>
        </w:tc>
        <w:tc>
          <w:tcPr>
            <w:tcW w:w="1052" w:type="dxa"/>
            <w:tcBorders>
              <w:top w:val="nil"/>
              <w:left w:val="single" w:sz="4" w:space="0" w:color="auto"/>
              <w:bottom w:val="nil"/>
              <w:right w:val="nil"/>
            </w:tcBorders>
            <w:shd w:val="clear" w:color="auto" w:fill="auto"/>
            <w:noWrap/>
            <w:vAlign w:val="bottom"/>
            <w:hideMark/>
          </w:tcPr>
          <w:p w14:paraId="46E0635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39.6%</w:t>
            </w:r>
          </w:p>
        </w:tc>
      </w:tr>
      <w:tr w:rsidR="00E43679" w:rsidRPr="00E43679" w14:paraId="48F66D96"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F43F7C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D84726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7D263B7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3EC4918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Shareholders Fund</w:t>
            </w:r>
          </w:p>
        </w:tc>
        <w:tc>
          <w:tcPr>
            <w:tcW w:w="828" w:type="dxa"/>
            <w:tcBorders>
              <w:top w:val="nil"/>
              <w:left w:val="nil"/>
              <w:bottom w:val="nil"/>
              <w:right w:val="nil"/>
            </w:tcBorders>
            <w:shd w:val="clear" w:color="auto" w:fill="auto"/>
            <w:noWrap/>
            <w:vAlign w:val="bottom"/>
            <w:hideMark/>
          </w:tcPr>
          <w:p w14:paraId="161002E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7F4CDC8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2B4AA6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7FA851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0D0A25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6EF1AFE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C9A1C8E"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0D6FBB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2838EB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C07109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46156D3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3F0ACAF1"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1C1846B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6A5E633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210919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0AF181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83B0A7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7C0D12E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C769E38"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27F63D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C264A6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04024CA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6742A13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022EB370"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54A692F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156138A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DC6E8C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62DD2E8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A4DC94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752F8E6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642860C"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2DA0A8F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Price Earnings Ratio</w:t>
            </w:r>
          </w:p>
        </w:tc>
        <w:tc>
          <w:tcPr>
            <w:tcW w:w="1459" w:type="dxa"/>
            <w:tcBorders>
              <w:top w:val="nil"/>
              <w:left w:val="nil"/>
              <w:bottom w:val="nil"/>
              <w:right w:val="nil"/>
            </w:tcBorders>
            <w:shd w:val="clear" w:color="auto" w:fill="auto"/>
            <w:noWrap/>
            <w:vAlign w:val="bottom"/>
            <w:hideMark/>
          </w:tcPr>
          <w:p w14:paraId="077F6879"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3DD7A1C7"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Market Value of Share</w:t>
            </w:r>
          </w:p>
        </w:tc>
        <w:tc>
          <w:tcPr>
            <w:tcW w:w="828" w:type="dxa"/>
            <w:tcBorders>
              <w:top w:val="nil"/>
              <w:left w:val="nil"/>
              <w:bottom w:val="nil"/>
              <w:right w:val="nil"/>
            </w:tcBorders>
            <w:shd w:val="clear" w:color="auto" w:fill="auto"/>
            <w:noWrap/>
            <w:vAlign w:val="bottom"/>
            <w:hideMark/>
          </w:tcPr>
          <w:p w14:paraId="14663580"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301F19B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20.3</w:t>
            </w:r>
          </w:p>
        </w:tc>
        <w:tc>
          <w:tcPr>
            <w:tcW w:w="1052" w:type="dxa"/>
            <w:tcBorders>
              <w:top w:val="nil"/>
              <w:left w:val="nil"/>
              <w:bottom w:val="nil"/>
              <w:right w:val="nil"/>
            </w:tcBorders>
            <w:shd w:val="clear" w:color="auto" w:fill="auto"/>
            <w:noWrap/>
            <w:vAlign w:val="bottom"/>
            <w:hideMark/>
          </w:tcPr>
          <w:p w14:paraId="3429328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24.1</w:t>
            </w:r>
          </w:p>
        </w:tc>
        <w:tc>
          <w:tcPr>
            <w:tcW w:w="1052" w:type="dxa"/>
            <w:tcBorders>
              <w:top w:val="nil"/>
              <w:left w:val="nil"/>
              <w:bottom w:val="nil"/>
              <w:right w:val="nil"/>
            </w:tcBorders>
            <w:shd w:val="clear" w:color="auto" w:fill="auto"/>
            <w:noWrap/>
            <w:vAlign w:val="bottom"/>
            <w:hideMark/>
          </w:tcPr>
          <w:p w14:paraId="2B844AB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17.1</w:t>
            </w:r>
          </w:p>
        </w:tc>
        <w:tc>
          <w:tcPr>
            <w:tcW w:w="1052" w:type="dxa"/>
            <w:tcBorders>
              <w:top w:val="nil"/>
              <w:left w:val="single" w:sz="4" w:space="0" w:color="auto"/>
              <w:bottom w:val="nil"/>
              <w:right w:val="nil"/>
            </w:tcBorders>
            <w:shd w:val="clear" w:color="auto" w:fill="auto"/>
            <w:noWrap/>
            <w:vAlign w:val="bottom"/>
            <w:hideMark/>
          </w:tcPr>
          <w:p w14:paraId="0D33615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12.2</w:t>
            </w:r>
          </w:p>
        </w:tc>
        <w:tc>
          <w:tcPr>
            <w:tcW w:w="1052" w:type="dxa"/>
            <w:tcBorders>
              <w:top w:val="nil"/>
              <w:left w:val="nil"/>
              <w:bottom w:val="nil"/>
              <w:right w:val="single" w:sz="4" w:space="0" w:color="auto"/>
            </w:tcBorders>
            <w:shd w:val="clear" w:color="auto" w:fill="auto"/>
            <w:noWrap/>
            <w:vAlign w:val="bottom"/>
            <w:hideMark/>
          </w:tcPr>
          <w:p w14:paraId="072A210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19.3</w:t>
            </w:r>
          </w:p>
        </w:tc>
      </w:tr>
      <w:tr w:rsidR="00E43679" w:rsidRPr="00E43679" w14:paraId="057BD697"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11D7F8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3B16F8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91044A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2027178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EPS</w:t>
            </w:r>
          </w:p>
        </w:tc>
        <w:tc>
          <w:tcPr>
            <w:tcW w:w="1322" w:type="dxa"/>
            <w:tcBorders>
              <w:top w:val="nil"/>
              <w:left w:val="nil"/>
              <w:bottom w:val="nil"/>
              <w:right w:val="nil"/>
            </w:tcBorders>
            <w:shd w:val="clear" w:color="auto" w:fill="auto"/>
            <w:noWrap/>
            <w:vAlign w:val="bottom"/>
            <w:hideMark/>
          </w:tcPr>
          <w:p w14:paraId="16BF8EB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4DD293B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279A4C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FB3433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B2604B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C8FF71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A06E49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D51D276"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AE403A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86CB1E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CF1A03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7C9B574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6E6F688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430AC08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0E8852F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EE3540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21B4DE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C88B46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637E3F5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BCFF2AC"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4703E67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Price to Sales Ratio</w:t>
            </w:r>
          </w:p>
        </w:tc>
        <w:tc>
          <w:tcPr>
            <w:tcW w:w="1459" w:type="dxa"/>
            <w:tcBorders>
              <w:top w:val="nil"/>
              <w:left w:val="nil"/>
              <w:bottom w:val="nil"/>
              <w:right w:val="nil"/>
            </w:tcBorders>
            <w:shd w:val="clear" w:color="auto" w:fill="auto"/>
            <w:noWrap/>
            <w:vAlign w:val="bottom"/>
            <w:hideMark/>
          </w:tcPr>
          <w:p w14:paraId="7BAE195B"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2842" w:type="dxa"/>
            <w:gridSpan w:val="2"/>
            <w:tcBorders>
              <w:top w:val="nil"/>
              <w:left w:val="single" w:sz="4" w:space="0" w:color="auto"/>
              <w:bottom w:val="nil"/>
              <w:right w:val="nil"/>
            </w:tcBorders>
            <w:shd w:val="clear" w:color="auto" w:fill="auto"/>
            <w:noWrap/>
            <w:vAlign w:val="bottom"/>
            <w:hideMark/>
          </w:tcPr>
          <w:p w14:paraId="610FB0FE"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Market Capitalisation</w:t>
            </w:r>
          </w:p>
        </w:tc>
        <w:tc>
          <w:tcPr>
            <w:tcW w:w="828" w:type="dxa"/>
            <w:tcBorders>
              <w:top w:val="nil"/>
              <w:left w:val="nil"/>
              <w:bottom w:val="nil"/>
              <w:right w:val="nil"/>
            </w:tcBorders>
            <w:shd w:val="clear" w:color="auto" w:fill="auto"/>
            <w:noWrap/>
            <w:vAlign w:val="bottom"/>
            <w:hideMark/>
          </w:tcPr>
          <w:p w14:paraId="3205E0B5"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268A50D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3.9</w:t>
            </w:r>
          </w:p>
        </w:tc>
        <w:tc>
          <w:tcPr>
            <w:tcW w:w="1052" w:type="dxa"/>
            <w:tcBorders>
              <w:top w:val="nil"/>
              <w:left w:val="nil"/>
              <w:bottom w:val="nil"/>
              <w:right w:val="nil"/>
            </w:tcBorders>
            <w:shd w:val="clear" w:color="auto" w:fill="auto"/>
            <w:noWrap/>
            <w:vAlign w:val="bottom"/>
            <w:hideMark/>
          </w:tcPr>
          <w:p w14:paraId="234B9D0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4.3</w:t>
            </w:r>
          </w:p>
        </w:tc>
        <w:tc>
          <w:tcPr>
            <w:tcW w:w="1052" w:type="dxa"/>
            <w:tcBorders>
              <w:top w:val="nil"/>
              <w:left w:val="nil"/>
              <w:bottom w:val="nil"/>
              <w:right w:val="nil"/>
            </w:tcBorders>
            <w:shd w:val="clear" w:color="auto" w:fill="auto"/>
            <w:noWrap/>
            <w:vAlign w:val="bottom"/>
            <w:hideMark/>
          </w:tcPr>
          <w:p w14:paraId="26D3B80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2.4</w:t>
            </w:r>
          </w:p>
        </w:tc>
        <w:tc>
          <w:tcPr>
            <w:tcW w:w="1052" w:type="dxa"/>
            <w:tcBorders>
              <w:top w:val="nil"/>
              <w:left w:val="single" w:sz="4" w:space="0" w:color="auto"/>
              <w:bottom w:val="nil"/>
              <w:right w:val="nil"/>
            </w:tcBorders>
            <w:shd w:val="clear" w:color="auto" w:fill="auto"/>
            <w:noWrap/>
            <w:vAlign w:val="bottom"/>
            <w:hideMark/>
          </w:tcPr>
          <w:p w14:paraId="234713D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2.0</w:t>
            </w:r>
          </w:p>
        </w:tc>
        <w:tc>
          <w:tcPr>
            <w:tcW w:w="1052" w:type="dxa"/>
            <w:tcBorders>
              <w:top w:val="nil"/>
              <w:left w:val="nil"/>
              <w:bottom w:val="nil"/>
              <w:right w:val="single" w:sz="4" w:space="0" w:color="auto"/>
            </w:tcBorders>
            <w:shd w:val="clear" w:color="auto" w:fill="auto"/>
            <w:noWrap/>
            <w:vAlign w:val="bottom"/>
            <w:hideMark/>
          </w:tcPr>
          <w:p w14:paraId="78D12D9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3.2</w:t>
            </w:r>
          </w:p>
        </w:tc>
      </w:tr>
      <w:tr w:rsidR="00E43679" w:rsidRPr="00E43679" w14:paraId="727E2716"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39D761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AC846BF"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04EC09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single" w:sz="4" w:space="0" w:color="auto"/>
              <w:bottom w:val="nil"/>
              <w:right w:val="nil"/>
            </w:tcBorders>
            <w:shd w:val="clear" w:color="auto" w:fill="auto"/>
            <w:noWrap/>
            <w:vAlign w:val="bottom"/>
            <w:hideMark/>
          </w:tcPr>
          <w:p w14:paraId="283E307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1322" w:type="dxa"/>
            <w:tcBorders>
              <w:top w:val="nil"/>
              <w:left w:val="nil"/>
              <w:bottom w:val="nil"/>
              <w:right w:val="nil"/>
            </w:tcBorders>
            <w:shd w:val="clear" w:color="auto" w:fill="auto"/>
            <w:noWrap/>
            <w:vAlign w:val="bottom"/>
            <w:hideMark/>
          </w:tcPr>
          <w:p w14:paraId="74D67BD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6359671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7D550A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D83C1F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52B56D5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5313E9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D3AC40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26F3A03"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CAE773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C1F8AE8"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single" w:sz="4" w:space="0" w:color="auto"/>
            </w:tcBorders>
            <w:shd w:val="clear" w:color="auto" w:fill="auto"/>
            <w:noWrap/>
            <w:vAlign w:val="bottom"/>
            <w:hideMark/>
          </w:tcPr>
          <w:p w14:paraId="6120ED1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520" w:type="dxa"/>
            <w:tcBorders>
              <w:top w:val="nil"/>
              <w:left w:val="nil"/>
              <w:bottom w:val="nil"/>
              <w:right w:val="nil"/>
            </w:tcBorders>
            <w:shd w:val="clear" w:color="auto" w:fill="auto"/>
            <w:noWrap/>
            <w:vAlign w:val="bottom"/>
            <w:hideMark/>
          </w:tcPr>
          <w:p w14:paraId="4733E96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2D8E567C"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489897C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102B69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0243CF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9429AD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B3B8AF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64F11E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43C6458"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3011768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Enterprise Value to PBIT Ratio</w:t>
            </w:r>
          </w:p>
        </w:tc>
        <w:tc>
          <w:tcPr>
            <w:tcW w:w="2842" w:type="dxa"/>
            <w:gridSpan w:val="2"/>
            <w:tcBorders>
              <w:top w:val="nil"/>
              <w:left w:val="single" w:sz="4" w:space="0" w:color="auto"/>
              <w:bottom w:val="nil"/>
              <w:right w:val="nil"/>
            </w:tcBorders>
            <w:shd w:val="clear" w:color="auto" w:fill="auto"/>
            <w:noWrap/>
            <w:vAlign w:val="bottom"/>
            <w:hideMark/>
          </w:tcPr>
          <w:p w14:paraId="28FD198C"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Enterprise Value</w:t>
            </w:r>
          </w:p>
        </w:tc>
        <w:tc>
          <w:tcPr>
            <w:tcW w:w="828" w:type="dxa"/>
            <w:tcBorders>
              <w:top w:val="nil"/>
              <w:left w:val="nil"/>
              <w:bottom w:val="nil"/>
              <w:right w:val="nil"/>
            </w:tcBorders>
            <w:shd w:val="clear" w:color="auto" w:fill="auto"/>
            <w:noWrap/>
            <w:vAlign w:val="bottom"/>
            <w:hideMark/>
          </w:tcPr>
          <w:p w14:paraId="10C9D70B"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2A4B89E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18.0</w:t>
            </w:r>
          </w:p>
        </w:tc>
        <w:tc>
          <w:tcPr>
            <w:tcW w:w="1052" w:type="dxa"/>
            <w:tcBorders>
              <w:top w:val="nil"/>
              <w:left w:val="nil"/>
              <w:bottom w:val="nil"/>
              <w:right w:val="nil"/>
            </w:tcBorders>
            <w:shd w:val="clear" w:color="auto" w:fill="auto"/>
            <w:noWrap/>
            <w:vAlign w:val="bottom"/>
            <w:hideMark/>
          </w:tcPr>
          <w:p w14:paraId="2EF632A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21.5</w:t>
            </w:r>
          </w:p>
        </w:tc>
        <w:tc>
          <w:tcPr>
            <w:tcW w:w="1052" w:type="dxa"/>
            <w:tcBorders>
              <w:top w:val="nil"/>
              <w:left w:val="nil"/>
              <w:bottom w:val="nil"/>
              <w:right w:val="nil"/>
            </w:tcBorders>
            <w:shd w:val="clear" w:color="auto" w:fill="auto"/>
            <w:noWrap/>
            <w:vAlign w:val="bottom"/>
            <w:hideMark/>
          </w:tcPr>
          <w:p w14:paraId="3601A19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16.3</w:t>
            </w:r>
          </w:p>
        </w:tc>
        <w:tc>
          <w:tcPr>
            <w:tcW w:w="1052" w:type="dxa"/>
            <w:tcBorders>
              <w:top w:val="nil"/>
              <w:left w:val="single" w:sz="4" w:space="0" w:color="auto"/>
              <w:bottom w:val="nil"/>
              <w:right w:val="nil"/>
            </w:tcBorders>
            <w:shd w:val="clear" w:color="auto" w:fill="auto"/>
            <w:noWrap/>
            <w:vAlign w:val="bottom"/>
            <w:hideMark/>
          </w:tcPr>
          <w:p w14:paraId="77A1A3F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10.8</w:t>
            </w:r>
          </w:p>
        </w:tc>
        <w:tc>
          <w:tcPr>
            <w:tcW w:w="1052" w:type="dxa"/>
            <w:tcBorders>
              <w:top w:val="nil"/>
              <w:left w:val="nil"/>
              <w:bottom w:val="nil"/>
              <w:right w:val="single" w:sz="4" w:space="0" w:color="auto"/>
            </w:tcBorders>
            <w:shd w:val="clear" w:color="auto" w:fill="auto"/>
            <w:noWrap/>
            <w:vAlign w:val="bottom"/>
            <w:hideMark/>
          </w:tcPr>
          <w:p w14:paraId="0F1BB00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17.7</w:t>
            </w:r>
          </w:p>
        </w:tc>
      </w:tr>
      <w:tr w:rsidR="00E43679" w:rsidRPr="00E43679" w14:paraId="2FC95235"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0BE2441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25BAC3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single" w:sz="4" w:space="0" w:color="auto"/>
            </w:tcBorders>
            <w:shd w:val="clear" w:color="auto" w:fill="auto"/>
            <w:noWrap/>
            <w:vAlign w:val="bottom"/>
            <w:hideMark/>
          </w:tcPr>
          <w:p w14:paraId="11EB26E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520" w:type="dxa"/>
            <w:tcBorders>
              <w:top w:val="nil"/>
              <w:left w:val="nil"/>
              <w:bottom w:val="nil"/>
              <w:right w:val="nil"/>
            </w:tcBorders>
            <w:shd w:val="clear" w:color="auto" w:fill="auto"/>
            <w:noWrap/>
            <w:vAlign w:val="bottom"/>
            <w:hideMark/>
          </w:tcPr>
          <w:p w14:paraId="0540531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PBIT</w:t>
            </w:r>
          </w:p>
        </w:tc>
        <w:tc>
          <w:tcPr>
            <w:tcW w:w="1322" w:type="dxa"/>
            <w:tcBorders>
              <w:top w:val="nil"/>
              <w:left w:val="nil"/>
              <w:bottom w:val="nil"/>
              <w:right w:val="nil"/>
            </w:tcBorders>
            <w:shd w:val="clear" w:color="auto" w:fill="auto"/>
            <w:noWrap/>
            <w:vAlign w:val="bottom"/>
            <w:hideMark/>
          </w:tcPr>
          <w:p w14:paraId="0FC0B52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6EF1A50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754E8E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F783E1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62F2AD1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2E7B9D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ED1C04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C57886E"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96397D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CC5E69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single" w:sz="4" w:space="0" w:color="auto"/>
            </w:tcBorders>
            <w:shd w:val="clear" w:color="auto" w:fill="auto"/>
            <w:noWrap/>
            <w:vAlign w:val="bottom"/>
            <w:hideMark/>
          </w:tcPr>
          <w:p w14:paraId="2F2CA2A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520" w:type="dxa"/>
            <w:tcBorders>
              <w:top w:val="nil"/>
              <w:left w:val="nil"/>
              <w:bottom w:val="nil"/>
              <w:right w:val="nil"/>
            </w:tcBorders>
            <w:shd w:val="clear" w:color="auto" w:fill="auto"/>
            <w:noWrap/>
            <w:vAlign w:val="bottom"/>
            <w:hideMark/>
          </w:tcPr>
          <w:p w14:paraId="5E697C9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0FDCCFF3"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252247C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F27DD4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761CE8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6E3CFF0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510EEF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65AD16F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EBC37F0" w14:textId="77777777" w:rsidTr="5CE60E2F">
        <w:trPr>
          <w:trHeight w:val="300"/>
        </w:trPr>
        <w:tc>
          <w:tcPr>
            <w:tcW w:w="3659" w:type="dxa"/>
            <w:gridSpan w:val="3"/>
            <w:tcBorders>
              <w:top w:val="nil"/>
              <w:left w:val="single" w:sz="4" w:space="0" w:color="auto"/>
              <w:bottom w:val="nil"/>
              <w:right w:val="single" w:sz="4" w:space="0" w:color="000000" w:themeColor="text1"/>
            </w:tcBorders>
            <w:shd w:val="clear" w:color="auto" w:fill="auto"/>
            <w:noWrap/>
            <w:vAlign w:val="bottom"/>
            <w:hideMark/>
          </w:tcPr>
          <w:p w14:paraId="0519B75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Enterprise Value to EBITDA Ratio</w:t>
            </w:r>
          </w:p>
        </w:tc>
        <w:tc>
          <w:tcPr>
            <w:tcW w:w="2842" w:type="dxa"/>
            <w:gridSpan w:val="2"/>
            <w:tcBorders>
              <w:top w:val="nil"/>
              <w:left w:val="single" w:sz="4" w:space="0" w:color="auto"/>
              <w:bottom w:val="nil"/>
              <w:right w:val="nil"/>
            </w:tcBorders>
            <w:shd w:val="clear" w:color="auto" w:fill="auto"/>
            <w:noWrap/>
            <w:vAlign w:val="bottom"/>
            <w:hideMark/>
          </w:tcPr>
          <w:p w14:paraId="469BFE44"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Enterprise Value</w:t>
            </w:r>
          </w:p>
        </w:tc>
        <w:tc>
          <w:tcPr>
            <w:tcW w:w="828" w:type="dxa"/>
            <w:tcBorders>
              <w:top w:val="nil"/>
              <w:left w:val="nil"/>
              <w:bottom w:val="nil"/>
              <w:right w:val="nil"/>
            </w:tcBorders>
            <w:shd w:val="clear" w:color="auto" w:fill="auto"/>
            <w:noWrap/>
            <w:vAlign w:val="bottom"/>
            <w:hideMark/>
          </w:tcPr>
          <w:p w14:paraId="6976593B"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7C4A272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14.9</w:t>
            </w:r>
          </w:p>
        </w:tc>
        <w:tc>
          <w:tcPr>
            <w:tcW w:w="1052" w:type="dxa"/>
            <w:tcBorders>
              <w:top w:val="nil"/>
              <w:left w:val="nil"/>
              <w:bottom w:val="nil"/>
              <w:right w:val="nil"/>
            </w:tcBorders>
            <w:shd w:val="clear" w:color="auto" w:fill="auto"/>
            <w:noWrap/>
            <w:vAlign w:val="bottom"/>
            <w:hideMark/>
          </w:tcPr>
          <w:p w14:paraId="43CD645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17.7</w:t>
            </w:r>
          </w:p>
        </w:tc>
        <w:tc>
          <w:tcPr>
            <w:tcW w:w="1052" w:type="dxa"/>
            <w:tcBorders>
              <w:top w:val="nil"/>
              <w:left w:val="nil"/>
              <w:bottom w:val="nil"/>
              <w:right w:val="nil"/>
            </w:tcBorders>
            <w:shd w:val="clear" w:color="auto" w:fill="auto"/>
            <w:noWrap/>
            <w:vAlign w:val="bottom"/>
            <w:hideMark/>
          </w:tcPr>
          <w:p w14:paraId="398EBDE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12.6</w:t>
            </w:r>
          </w:p>
        </w:tc>
        <w:tc>
          <w:tcPr>
            <w:tcW w:w="1052" w:type="dxa"/>
            <w:tcBorders>
              <w:top w:val="nil"/>
              <w:left w:val="single" w:sz="4" w:space="0" w:color="auto"/>
              <w:bottom w:val="nil"/>
              <w:right w:val="nil"/>
            </w:tcBorders>
            <w:shd w:val="clear" w:color="auto" w:fill="auto"/>
            <w:noWrap/>
            <w:vAlign w:val="bottom"/>
            <w:hideMark/>
          </w:tcPr>
          <w:p w14:paraId="341873D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8.4</w:t>
            </w:r>
          </w:p>
        </w:tc>
        <w:tc>
          <w:tcPr>
            <w:tcW w:w="1052" w:type="dxa"/>
            <w:tcBorders>
              <w:top w:val="nil"/>
              <w:left w:val="nil"/>
              <w:bottom w:val="nil"/>
              <w:right w:val="single" w:sz="4" w:space="0" w:color="auto"/>
            </w:tcBorders>
            <w:shd w:val="clear" w:color="auto" w:fill="auto"/>
            <w:noWrap/>
            <w:vAlign w:val="bottom"/>
            <w:hideMark/>
          </w:tcPr>
          <w:p w14:paraId="292154B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13.8</w:t>
            </w:r>
          </w:p>
        </w:tc>
      </w:tr>
      <w:tr w:rsidR="00E43679" w:rsidRPr="00E43679" w14:paraId="65526631"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5BAE04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D3A175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single" w:sz="4" w:space="0" w:color="auto"/>
            </w:tcBorders>
            <w:shd w:val="clear" w:color="auto" w:fill="auto"/>
            <w:noWrap/>
            <w:vAlign w:val="bottom"/>
            <w:hideMark/>
          </w:tcPr>
          <w:p w14:paraId="789F77B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520" w:type="dxa"/>
            <w:tcBorders>
              <w:top w:val="nil"/>
              <w:left w:val="nil"/>
              <w:bottom w:val="nil"/>
              <w:right w:val="nil"/>
            </w:tcBorders>
            <w:shd w:val="clear" w:color="auto" w:fill="auto"/>
            <w:noWrap/>
            <w:vAlign w:val="bottom"/>
            <w:hideMark/>
          </w:tcPr>
          <w:p w14:paraId="18C0B06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EBITDA</w:t>
            </w:r>
          </w:p>
        </w:tc>
        <w:tc>
          <w:tcPr>
            <w:tcW w:w="1322" w:type="dxa"/>
            <w:tcBorders>
              <w:top w:val="nil"/>
              <w:left w:val="nil"/>
              <w:bottom w:val="nil"/>
              <w:right w:val="nil"/>
            </w:tcBorders>
            <w:shd w:val="clear" w:color="auto" w:fill="auto"/>
            <w:noWrap/>
            <w:vAlign w:val="bottom"/>
            <w:hideMark/>
          </w:tcPr>
          <w:p w14:paraId="333B275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7F60437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B08FB6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2A284A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7FC7BE6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CE0570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5785B4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0FF131D"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52756D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13C6028"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single" w:sz="4" w:space="0" w:color="auto"/>
            </w:tcBorders>
            <w:shd w:val="clear" w:color="auto" w:fill="auto"/>
            <w:noWrap/>
            <w:vAlign w:val="bottom"/>
            <w:hideMark/>
          </w:tcPr>
          <w:p w14:paraId="3441D2B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520" w:type="dxa"/>
            <w:tcBorders>
              <w:top w:val="nil"/>
              <w:left w:val="nil"/>
              <w:bottom w:val="nil"/>
              <w:right w:val="nil"/>
            </w:tcBorders>
            <w:shd w:val="clear" w:color="auto" w:fill="auto"/>
            <w:noWrap/>
            <w:vAlign w:val="bottom"/>
            <w:hideMark/>
          </w:tcPr>
          <w:p w14:paraId="5C3EB8B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322" w:type="dxa"/>
            <w:tcBorders>
              <w:top w:val="nil"/>
              <w:left w:val="nil"/>
              <w:bottom w:val="nil"/>
              <w:right w:val="nil"/>
            </w:tcBorders>
            <w:shd w:val="clear" w:color="auto" w:fill="auto"/>
            <w:noWrap/>
            <w:vAlign w:val="bottom"/>
            <w:hideMark/>
          </w:tcPr>
          <w:p w14:paraId="6D41EBD8"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1501BEB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EFE7F6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46B1F4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C9B1CB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5A8737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A635D4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0EA3672" w14:textId="77777777" w:rsidTr="5CE60E2F">
        <w:trPr>
          <w:trHeight w:val="300"/>
        </w:trPr>
        <w:tc>
          <w:tcPr>
            <w:tcW w:w="3659" w:type="dxa"/>
            <w:gridSpan w:val="3"/>
            <w:tcBorders>
              <w:top w:val="nil"/>
              <w:left w:val="single" w:sz="4" w:space="0" w:color="auto"/>
              <w:bottom w:val="nil"/>
              <w:right w:val="single" w:sz="4" w:space="0" w:color="000000" w:themeColor="text1"/>
            </w:tcBorders>
            <w:shd w:val="clear" w:color="auto" w:fill="auto"/>
            <w:noWrap/>
            <w:vAlign w:val="bottom"/>
            <w:hideMark/>
          </w:tcPr>
          <w:p w14:paraId="148D059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Enterprise Value to Sales Ratio</w:t>
            </w:r>
          </w:p>
        </w:tc>
        <w:tc>
          <w:tcPr>
            <w:tcW w:w="2842" w:type="dxa"/>
            <w:gridSpan w:val="2"/>
            <w:tcBorders>
              <w:top w:val="nil"/>
              <w:left w:val="single" w:sz="4" w:space="0" w:color="auto"/>
              <w:bottom w:val="nil"/>
              <w:right w:val="nil"/>
            </w:tcBorders>
            <w:shd w:val="clear" w:color="auto" w:fill="auto"/>
            <w:noWrap/>
            <w:vAlign w:val="bottom"/>
            <w:hideMark/>
          </w:tcPr>
          <w:p w14:paraId="011C6BB1"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Enterprise Value</w:t>
            </w:r>
          </w:p>
        </w:tc>
        <w:tc>
          <w:tcPr>
            <w:tcW w:w="828" w:type="dxa"/>
            <w:tcBorders>
              <w:top w:val="nil"/>
              <w:left w:val="nil"/>
              <w:bottom w:val="nil"/>
              <w:right w:val="nil"/>
            </w:tcBorders>
            <w:shd w:val="clear" w:color="auto" w:fill="auto"/>
            <w:noWrap/>
            <w:vAlign w:val="bottom"/>
            <w:hideMark/>
          </w:tcPr>
          <w:p w14:paraId="3A5C261D"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052" w:type="dxa"/>
            <w:tcBorders>
              <w:top w:val="nil"/>
              <w:left w:val="single" w:sz="4" w:space="0" w:color="auto"/>
              <w:bottom w:val="nil"/>
              <w:right w:val="nil"/>
            </w:tcBorders>
            <w:shd w:val="clear" w:color="auto" w:fill="auto"/>
            <w:noWrap/>
            <w:vAlign w:val="bottom"/>
            <w:hideMark/>
          </w:tcPr>
          <w:p w14:paraId="7C2F04F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4.0</w:t>
            </w:r>
          </w:p>
        </w:tc>
        <w:tc>
          <w:tcPr>
            <w:tcW w:w="1052" w:type="dxa"/>
            <w:tcBorders>
              <w:top w:val="nil"/>
              <w:left w:val="nil"/>
              <w:bottom w:val="nil"/>
              <w:right w:val="nil"/>
            </w:tcBorders>
            <w:shd w:val="clear" w:color="auto" w:fill="auto"/>
            <w:noWrap/>
            <w:vAlign w:val="bottom"/>
            <w:hideMark/>
          </w:tcPr>
          <w:p w14:paraId="32DD982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4.6</w:t>
            </w:r>
          </w:p>
        </w:tc>
        <w:tc>
          <w:tcPr>
            <w:tcW w:w="1052" w:type="dxa"/>
            <w:tcBorders>
              <w:top w:val="nil"/>
              <w:left w:val="nil"/>
              <w:bottom w:val="nil"/>
              <w:right w:val="nil"/>
            </w:tcBorders>
            <w:shd w:val="clear" w:color="auto" w:fill="auto"/>
            <w:noWrap/>
            <w:vAlign w:val="bottom"/>
            <w:hideMark/>
          </w:tcPr>
          <w:p w14:paraId="7A21BFC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2.7</w:t>
            </w:r>
          </w:p>
        </w:tc>
        <w:tc>
          <w:tcPr>
            <w:tcW w:w="1052" w:type="dxa"/>
            <w:tcBorders>
              <w:top w:val="nil"/>
              <w:left w:val="single" w:sz="4" w:space="0" w:color="auto"/>
              <w:bottom w:val="nil"/>
              <w:right w:val="nil"/>
            </w:tcBorders>
            <w:shd w:val="clear" w:color="auto" w:fill="auto"/>
            <w:noWrap/>
            <w:vAlign w:val="bottom"/>
            <w:hideMark/>
          </w:tcPr>
          <w:p w14:paraId="7BC7A31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2.0</w:t>
            </w:r>
          </w:p>
        </w:tc>
        <w:tc>
          <w:tcPr>
            <w:tcW w:w="1052" w:type="dxa"/>
            <w:tcBorders>
              <w:top w:val="nil"/>
              <w:left w:val="nil"/>
              <w:bottom w:val="nil"/>
              <w:right w:val="single" w:sz="4" w:space="0" w:color="auto"/>
            </w:tcBorders>
            <w:shd w:val="clear" w:color="auto" w:fill="auto"/>
            <w:noWrap/>
            <w:vAlign w:val="bottom"/>
            <w:hideMark/>
          </w:tcPr>
          <w:p w14:paraId="34C97DC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3.3</w:t>
            </w:r>
          </w:p>
        </w:tc>
      </w:tr>
      <w:tr w:rsidR="00E43679" w:rsidRPr="00E43679" w14:paraId="71852F34"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4378B6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1EAEB8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single" w:sz="4" w:space="0" w:color="auto"/>
            </w:tcBorders>
            <w:shd w:val="clear" w:color="auto" w:fill="auto"/>
            <w:noWrap/>
            <w:vAlign w:val="bottom"/>
            <w:hideMark/>
          </w:tcPr>
          <w:p w14:paraId="2C5A1AA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520" w:type="dxa"/>
            <w:tcBorders>
              <w:top w:val="nil"/>
              <w:left w:val="nil"/>
              <w:bottom w:val="nil"/>
              <w:right w:val="nil"/>
            </w:tcBorders>
            <w:shd w:val="clear" w:color="auto" w:fill="auto"/>
            <w:noWrap/>
            <w:vAlign w:val="bottom"/>
            <w:hideMark/>
          </w:tcPr>
          <w:p w14:paraId="17BCF0C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Sales</w:t>
            </w:r>
          </w:p>
        </w:tc>
        <w:tc>
          <w:tcPr>
            <w:tcW w:w="1322" w:type="dxa"/>
            <w:tcBorders>
              <w:top w:val="nil"/>
              <w:left w:val="nil"/>
              <w:bottom w:val="nil"/>
              <w:right w:val="nil"/>
            </w:tcBorders>
            <w:shd w:val="clear" w:color="auto" w:fill="auto"/>
            <w:noWrap/>
            <w:vAlign w:val="bottom"/>
            <w:hideMark/>
          </w:tcPr>
          <w:p w14:paraId="466ED68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828" w:type="dxa"/>
            <w:tcBorders>
              <w:top w:val="nil"/>
              <w:left w:val="nil"/>
              <w:bottom w:val="nil"/>
              <w:right w:val="nil"/>
            </w:tcBorders>
            <w:shd w:val="clear" w:color="auto" w:fill="auto"/>
            <w:noWrap/>
            <w:vAlign w:val="bottom"/>
            <w:hideMark/>
          </w:tcPr>
          <w:p w14:paraId="252965D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033DC2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0921DE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09247A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6D329C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DF7ABC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38A7095" w14:textId="77777777" w:rsidTr="00E43679">
        <w:trPr>
          <w:trHeight w:val="300"/>
        </w:trPr>
        <w:tc>
          <w:tcPr>
            <w:tcW w:w="1934" w:type="dxa"/>
            <w:tcBorders>
              <w:top w:val="nil"/>
              <w:left w:val="single" w:sz="4" w:space="0" w:color="auto"/>
              <w:bottom w:val="single" w:sz="4" w:space="0" w:color="auto"/>
              <w:right w:val="nil"/>
            </w:tcBorders>
            <w:shd w:val="clear" w:color="auto" w:fill="auto"/>
            <w:noWrap/>
            <w:vAlign w:val="bottom"/>
            <w:hideMark/>
          </w:tcPr>
          <w:p w14:paraId="1D70D62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single" w:sz="4" w:space="0" w:color="auto"/>
              <w:right w:val="nil"/>
            </w:tcBorders>
            <w:shd w:val="clear" w:color="auto" w:fill="auto"/>
            <w:noWrap/>
            <w:vAlign w:val="bottom"/>
            <w:hideMark/>
          </w:tcPr>
          <w:p w14:paraId="0CD45E2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59" w:type="dxa"/>
            <w:tcBorders>
              <w:top w:val="nil"/>
              <w:left w:val="nil"/>
              <w:bottom w:val="single" w:sz="4" w:space="0" w:color="auto"/>
              <w:right w:val="single" w:sz="4" w:space="0" w:color="auto"/>
            </w:tcBorders>
            <w:shd w:val="clear" w:color="auto" w:fill="auto"/>
            <w:noWrap/>
            <w:vAlign w:val="bottom"/>
            <w:hideMark/>
          </w:tcPr>
          <w:p w14:paraId="4A2DAD2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520" w:type="dxa"/>
            <w:tcBorders>
              <w:top w:val="nil"/>
              <w:left w:val="nil"/>
              <w:bottom w:val="single" w:sz="4" w:space="0" w:color="auto"/>
              <w:right w:val="nil"/>
            </w:tcBorders>
            <w:shd w:val="clear" w:color="auto" w:fill="auto"/>
            <w:noWrap/>
            <w:vAlign w:val="bottom"/>
            <w:hideMark/>
          </w:tcPr>
          <w:p w14:paraId="5559867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single" w:sz="4" w:space="0" w:color="auto"/>
              <w:right w:val="nil"/>
            </w:tcBorders>
            <w:shd w:val="clear" w:color="auto" w:fill="auto"/>
            <w:noWrap/>
            <w:vAlign w:val="bottom"/>
            <w:hideMark/>
          </w:tcPr>
          <w:p w14:paraId="66886B6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single" w:sz="4" w:space="0" w:color="auto"/>
              <w:right w:val="single" w:sz="4" w:space="0" w:color="auto"/>
            </w:tcBorders>
            <w:shd w:val="clear" w:color="auto" w:fill="auto"/>
            <w:noWrap/>
            <w:vAlign w:val="bottom"/>
            <w:hideMark/>
          </w:tcPr>
          <w:p w14:paraId="1A8C548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single" w:sz="4" w:space="0" w:color="auto"/>
              <w:right w:val="nil"/>
            </w:tcBorders>
            <w:shd w:val="clear" w:color="auto" w:fill="auto"/>
            <w:noWrap/>
            <w:vAlign w:val="bottom"/>
            <w:hideMark/>
          </w:tcPr>
          <w:p w14:paraId="1492EB2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single" w:sz="4" w:space="0" w:color="auto"/>
              <w:right w:val="nil"/>
            </w:tcBorders>
            <w:shd w:val="clear" w:color="auto" w:fill="auto"/>
            <w:noWrap/>
            <w:vAlign w:val="bottom"/>
            <w:hideMark/>
          </w:tcPr>
          <w:p w14:paraId="6352F3A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005B37E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single" w:sz="4" w:space="0" w:color="auto"/>
              <w:right w:val="nil"/>
            </w:tcBorders>
            <w:shd w:val="clear" w:color="auto" w:fill="auto"/>
            <w:noWrap/>
            <w:vAlign w:val="bottom"/>
            <w:hideMark/>
          </w:tcPr>
          <w:p w14:paraId="467B41C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01981C8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38B62B2" w14:textId="77777777" w:rsidTr="00E43679">
        <w:trPr>
          <w:trHeight w:val="300"/>
        </w:trPr>
        <w:tc>
          <w:tcPr>
            <w:tcW w:w="1934" w:type="dxa"/>
            <w:tcBorders>
              <w:top w:val="nil"/>
              <w:left w:val="nil"/>
              <w:bottom w:val="nil"/>
              <w:right w:val="nil"/>
            </w:tcBorders>
            <w:shd w:val="clear" w:color="auto" w:fill="auto"/>
            <w:noWrap/>
            <w:vAlign w:val="bottom"/>
            <w:hideMark/>
          </w:tcPr>
          <w:p w14:paraId="310DD74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266" w:type="dxa"/>
            <w:tcBorders>
              <w:top w:val="nil"/>
              <w:left w:val="nil"/>
              <w:bottom w:val="nil"/>
              <w:right w:val="nil"/>
            </w:tcBorders>
            <w:shd w:val="clear" w:color="auto" w:fill="auto"/>
            <w:noWrap/>
            <w:vAlign w:val="bottom"/>
            <w:hideMark/>
          </w:tcPr>
          <w:p w14:paraId="7B097BB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459" w:type="dxa"/>
            <w:tcBorders>
              <w:top w:val="nil"/>
              <w:left w:val="nil"/>
              <w:bottom w:val="nil"/>
              <w:right w:val="nil"/>
            </w:tcBorders>
            <w:shd w:val="clear" w:color="auto" w:fill="auto"/>
            <w:noWrap/>
            <w:vAlign w:val="bottom"/>
            <w:hideMark/>
          </w:tcPr>
          <w:p w14:paraId="35DCE88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76D1B8B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nil"/>
            </w:tcBorders>
            <w:shd w:val="clear" w:color="auto" w:fill="auto"/>
            <w:noWrap/>
            <w:vAlign w:val="bottom"/>
            <w:hideMark/>
          </w:tcPr>
          <w:p w14:paraId="66A93D3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nil"/>
              <w:bottom w:val="nil"/>
              <w:right w:val="nil"/>
            </w:tcBorders>
            <w:shd w:val="clear" w:color="auto" w:fill="auto"/>
            <w:noWrap/>
            <w:vAlign w:val="bottom"/>
            <w:hideMark/>
          </w:tcPr>
          <w:p w14:paraId="059E724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2A92B49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59277B9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5ABD558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2C86F7A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50D8ADA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r>
      <w:tr w:rsidR="00E43679" w:rsidRPr="00E43679" w14:paraId="32F382F7" w14:textId="77777777" w:rsidTr="00E43679">
        <w:trPr>
          <w:trHeight w:val="300"/>
        </w:trPr>
        <w:tc>
          <w:tcPr>
            <w:tcW w:w="1934" w:type="dxa"/>
            <w:tcBorders>
              <w:top w:val="nil"/>
              <w:left w:val="nil"/>
              <w:bottom w:val="nil"/>
              <w:right w:val="nil"/>
            </w:tcBorders>
            <w:shd w:val="clear" w:color="auto" w:fill="auto"/>
            <w:noWrap/>
            <w:vAlign w:val="bottom"/>
            <w:hideMark/>
          </w:tcPr>
          <w:p w14:paraId="35561DE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266" w:type="dxa"/>
            <w:tcBorders>
              <w:top w:val="nil"/>
              <w:left w:val="nil"/>
              <w:bottom w:val="nil"/>
              <w:right w:val="nil"/>
            </w:tcBorders>
            <w:shd w:val="clear" w:color="auto" w:fill="auto"/>
            <w:noWrap/>
            <w:vAlign w:val="bottom"/>
            <w:hideMark/>
          </w:tcPr>
          <w:p w14:paraId="43C52B1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459" w:type="dxa"/>
            <w:tcBorders>
              <w:top w:val="nil"/>
              <w:left w:val="nil"/>
              <w:bottom w:val="nil"/>
              <w:right w:val="nil"/>
            </w:tcBorders>
            <w:shd w:val="clear" w:color="auto" w:fill="auto"/>
            <w:noWrap/>
            <w:vAlign w:val="bottom"/>
            <w:hideMark/>
          </w:tcPr>
          <w:p w14:paraId="7E11D4F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0D24AF0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nil"/>
            </w:tcBorders>
            <w:shd w:val="clear" w:color="auto" w:fill="auto"/>
            <w:noWrap/>
            <w:vAlign w:val="bottom"/>
            <w:hideMark/>
          </w:tcPr>
          <w:p w14:paraId="535B4D2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nil"/>
              <w:bottom w:val="nil"/>
              <w:right w:val="nil"/>
            </w:tcBorders>
            <w:shd w:val="clear" w:color="auto" w:fill="auto"/>
            <w:noWrap/>
            <w:vAlign w:val="bottom"/>
            <w:hideMark/>
          </w:tcPr>
          <w:p w14:paraId="70AC829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251A295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77B052F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426B59D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2B6383F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23CAB7A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r>
      <w:tr w:rsidR="00E43679" w:rsidRPr="00E43679" w14:paraId="2442A94E" w14:textId="77777777" w:rsidTr="00E43679">
        <w:trPr>
          <w:trHeight w:val="315"/>
        </w:trPr>
        <w:tc>
          <w:tcPr>
            <w:tcW w:w="7329" w:type="dxa"/>
            <w:gridSpan w:val="6"/>
            <w:tcBorders>
              <w:top w:val="nil"/>
              <w:left w:val="nil"/>
              <w:bottom w:val="nil"/>
              <w:right w:val="nil"/>
            </w:tcBorders>
            <w:shd w:val="clear" w:color="auto" w:fill="auto"/>
            <w:noWrap/>
            <w:vAlign w:val="bottom"/>
            <w:hideMark/>
          </w:tcPr>
          <w:p w14:paraId="42F411A6" w14:textId="77777777" w:rsidR="00E43679" w:rsidRPr="00E43679" w:rsidRDefault="00E43679" w:rsidP="00E43679">
            <w:pPr>
              <w:spacing w:after="0" w:line="240" w:lineRule="auto"/>
              <w:rPr>
                <w:rFonts w:ascii="Calibri" w:eastAsia="Times New Roman" w:hAnsi="Calibri" w:cs="Calibri"/>
                <w:b/>
                <w:color w:val="000000" w:themeColor="text1"/>
                <w:sz w:val="24"/>
                <w:szCs w:val="24"/>
                <w:lang w:val="en-GB" w:eastAsia="en-GB"/>
              </w:rPr>
            </w:pPr>
            <w:r w:rsidRPr="5CE60E2F">
              <w:rPr>
                <w:rFonts w:ascii="Calibri" w:eastAsia="Times New Roman" w:hAnsi="Calibri" w:cs="Calibri"/>
                <w:b/>
                <w:color w:val="000000" w:themeColor="text1"/>
                <w:sz w:val="24"/>
                <w:szCs w:val="24"/>
                <w:lang w:val="en-GB" w:eastAsia="en-GB"/>
              </w:rPr>
              <w:lastRenderedPageBreak/>
              <w:t>Extracts from the Financial Statements of William Hill Plc.</w:t>
            </w:r>
          </w:p>
        </w:tc>
        <w:tc>
          <w:tcPr>
            <w:tcW w:w="1052" w:type="dxa"/>
            <w:tcBorders>
              <w:top w:val="nil"/>
              <w:left w:val="nil"/>
              <w:bottom w:val="nil"/>
              <w:right w:val="nil"/>
            </w:tcBorders>
            <w:shd w:val="clear" w:color="auto" w:fill="auto"/>
            <w:noWrap/>
            <w:vAlign w:val="bottom"/>
            <w:hideMark/>
          </w:tcPr>
          <w:p w14:paraId="2855F7EE" w14:textId="77777777" w:rsidR="00E43679" w:rsidRPr="00E43679" w:rsidRDefault="00E43679" w:rsidP="00E43679">
            <w:pPr>
              <w:spacing w:after="0" w:line="240" w:lineRule="auto"/>
              <w:rPr>
                <w:rFonts w:ascii="Calibri" w:eastAsia="Times New Roman" w:hAnsi="Calibri" w:cs="Calibri"/>
                <w:b/>
                <w:bCs/>
                <w:color w:val="000000"/>
                <w:sz w:val="24"/>
                <w:szCs w:val="24"/>
                <w:lang w:val="en-GB" w:eastAsia="en-GB"/>
              </w:rPr>
            </w:pPr>
          </w:p>
        </w:tc>
        <w:tc>
          <w:tcPr>
            <w:tcW w:w="1052" w:type="dxa"/>
            <w:tcBorders>
              <w:top w:val="nil"/>
              <w:left w:val="nil"/>
              <w:bottom w:val="nil"/>
              <w:right w:val="nil"/>
            </w:tcBorders>
            <w:shd w:val="clear" w:color="auto" w:fill="auto"/>
            <w:noWrap/>
            <w:vAlign w:val="bottom"/>
            <w:hideMark/>
          </w:tcPr>
          <w:p w14:paraId="05152B2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1825017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5EB4D4B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5A52598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r>
      <w:tr w:rsidR="00E43679" w:rsidRPr="00E43679" w14:paraId="4758FB26" w14:textId="77777777" w:rsidTr="5CE60E2F">
        <w:trPr>
          <w:trHeight w:val="315"/>
        </w:trPr>
        <w:tc>
          <w:tcPr>
            <w:tcW w:w="1934" w:type="dxa"/>
            <w:tcBorders>
              <w:top w:val="single" w:sz="4" w:space="0" w:color="auto"/>
              <w:left w:val="single" w:sz="4" w:space="0" w:color="auto"/>
              <w:bottom w:val="single" w:sz="4" w:space="0" w:color="auto"/>
              <w:right w:val="nil"/>
            </w:tcBorders>
            <w:shd w:val="clear" w:color="auto" w:fill="auto"/>
            <w:noWrap/>
            <w:vAlign w:val="bottom"/>
            <w:hideMark/>
          </w:tcPr>
          <w:p w14:paraId="2C65CD7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single" w:sz="4" w:space="0" w:color="auto"/>
              <w:left w:val="nil"/>
              <w:bottom w:val="single" w:sz="4" w:space="0" w:color="auto"/>
              <w:right w:val="nil"/>
            </w:tcBorders>
            <w:shd w:val="clear" w:color="auto" w:fill="auto"/>
            <w:noWrap/>
            <w:vAlign w:val="bottom"/>
            <w:hideMark/>
          </w:tcPr>
          <w:p w14:paraId="5887DD3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59" w:type="dxa"/>
            <w:tcBorders>
              <w:top w:val="single" w:sz="4" w:space="0" w:color="auto"/>
              <w:left w:val="nil"/>
              <w:bottom w:val="single" w:sz="4" w:space="0" w:color="auto"/>
              <w:right w:val="nil"/>
            </w:tcBorders>
            <w:shd w:val="clear" w:color="auto" w:fill="auto"/>
            <w:noWrap/>
            <w:vAlign w:val="bottom"/>
            <w:hideMark/>
          </w:tcPr>
          <w:p w14:paraId="6F3E6D6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520" w:type="dxa"/>
            <w:tcBorders>
              <w:top w:val="single" w:sz="4" w:space="0" w:color="auto"/>
              <w:left w:val="nil"/>
              <w:bottom w:val="single" w:sz="4" w:space="0" w:color="auto"/>
              <w:right w:val="nil"/>
            </w:tcBorders>
            <w:shd w:val="clear" w:color="auto" w:fill="auto"/>
            <w:noWrap/>
            <w:vAlign w:val="bottom"/>
            <w:hideMark/>
          </w:tcPr>
          <w:p w14:paraId="48F8143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single" w:sz="4" w:space="0" w:color="auto"/>
              <w:left w:val="nil"/>
              <w:bottom w:val="single" w:sz="4" w:space="0" w:color="auto"/>
              <w:right w:val="single" w:sz="4" w:space="0" w:color="auto"/>
            </w:tcBorders>
            <w:shd w:val="clear" w:color="auto" w:fill="auto"/>
            <w:noWrap/>
            <w:vAlign w:val="center"/>
            <w:hideMark/>
          </w:tcPr>
          <w:p w14:paraId="702D198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vMerge w:val="restart"/>
            <w:tcBorders>
              <w:top w:val="single" w:sz="4" w:space="0" w:color="auto"/>
              <w:left w:val="single" w:sz="4" w:space="0" w:color="auto"/>
              <w:bottom w:val="single" w:sz="4" w:space="0" w:color="000000" w:themeColor="text1"/>
              <w:right w:val="single" w:sz="4" w:space="0" w:color="auto"/>
            </w:tcBorders>
            <w:shd w:val="clear" w:color="auto" w:fill="auto"/>
            <w:noWrap/>
            <w:vAlign w:val="center"/>
            <w:hideMark/>
          </w:tcPr>
          <w:p w14:paraId="0D399183" w14:textId="77777777" w:rsidR="00E43679" w:rsidRPr="00E43679" w:rsidRDefault="00E43679" w:rsidP="00E43679">
            <w:pPr>
              <w:spacing w:after="0" w:line="240" w:lineRule="auto"/>
              <w:jc w:val="center"/>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Source</w:t>
            </w:r>
          </w:p>
        </w:tc>
        <w:tc>
          <w:tcPr>
            <w:tcW w:w="1052" w:type="dxa"/>
            <w:tcBorders>
              <w:top w:val="single" w:sz="4" w:space="0" w:color="auto"/>
              <w:left w:val="nil"/>
              <w:bottom w:val="nil"/>
              <w:right w:val="nil"/>
            </w:tcBorders>
            <w:shd w:val="clear" w:color="auto" w:fill="auto"/>
            <w:noWrap/>
            <w:vAlign w:val="bottom"/>
            <w:hideMark/>
          </w:tcPr>
          <w:p w14:paraId="74900210"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2017</w:t>
            </w:r>
          </w:p>
        </w:tc>
        <w:tc>
          <w:tcPr>
            <w:tcW w:w="1052" w:type="dxa"/>
            <w:tcBorders>
              <w:top w:val="single" w:sz="4" w:space="0" w:color="auto"/>
              <w:left w:val="nil"/>
              <w:bottom w:val="nil"/>
              <w:right w:val="nil"/>
            </w:tcBorders>
            <w:shd w:val="clear" w:color="auto" w:fill="auto"/>
            <w:noWrap/>
            <w:vAlign w:val="bottom"/>
            <w:hideMark/>
          </w:tcPr>
          <w:p w14:paraId="53AC17D9"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2016</w:t>
            </w:r>
          </w:p>
        </w:tc>
        <w:tc>
          <w:tcPr>
            <w:tcW w:w="1052" w:type="dxa"/>
            <w:tcBorders>
              <w:top w:val="single" w:sz="4" w:space="0" w:color="auto"/>
              <w:left w:val="nil"/>
              <w:bottom w:val="nil"/>
              <w:right w:val="single" w:sz="4" w:space="0" w:color="auto"/>
            </w:tcBorders>
            <w:shd w:val="clear" w:color="auto" w:fill="auto"/>
            <w:noWrap/>
            <w:vAlign w:val="bottom"/>
            <w:hideMark/>
          </w:tcPr>
          <w:p w14:paraId="0C1BB960"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2015</w:t>
            </w:r>
          </w:p>
        </w:tc>
        <w:tc>
          <w:tcPr>
            <w:tcW w:w="1052" w:type="dxa"/>
            <w:tcBorders>
              <w:top w:val="single" w:sz="4" w:space="0" w:color="auto"/>
              <w:left w:val="nil"/>
              <w:bottom w:val="nil"/>
              <w:right w:val="nil"/>
            </w:tcBorders>
            <w:shd w:val="clear" w:color="auto" w:fill="auto"/>
            <w:noWrap/>
            <w:vAlign w:val="bottom"/>
            <w:hideMark/>
          </w:tcPr>
          <w:p w14:paraId="1EA34DAD"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2014</w:t>
            </w:r>
          </w:p>
        </w:tc>
        <w:tc>
          <w:tcPr>
            <w:tcW w:w="1052" w:type="dxa"/>
            <w:tcBorders>
              <w:top w:val="single" w:sz="4" w:space="0" w:color="auto"/>
              <w:left w:val="nil"/>
              <w:bottom w:val="nil"/>
              <w:right w:val="single" w:sz="4" w:space="0" w:color="auto"/>
            </w:tcBorders>
            <w:shd w:val="clear" w:color="auto" w:fill="auto"/>
            <w:noWrap/>
            <w:vAlign w:val="bottom"/>
            <w:hideMark/>
          </w:tcPr>
          <w:p w14:paraId="79E7A95B"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2013</w:t>
            </w:r>
          </w:p>
        </w:tc>
      </w:tr>
      <w:tr w:rsidR="00E43679" w:rsidRPr="00E43679" w14:paraId="5CD32640" w14:textId="77777777" w:rsidTr="00E43679">
        <w:trPr>
          <w:trHeight w:val="315"/>
        </w:trPr>
        <w:tc>
          <w:tcPr>
            <w:tcW w:w="2200" w:type="dxa"/>
            <w:gridSpan w:val="2"/>
            <w:tcBorders>
              <w:top w:val="single" w:sz="4" w:space="0" w:color="auto"/>
              <w:left w:val="single" w:sz="4" w:space="0" w:color="auto"/>
              <w:bottom w:val="single" w:sz="4" w:space="0" w:color="auto"/>
              <w:right w:val="nil"/>
            </w:tcBorders>
            <w:shd w:val="clear" w:color="auto" w:fill="auto"/>
            <w:noWrap/>
            <w:vAlign w:val="bottom"/>
            <w:hideMark/>
          </w:tcPr>
          <w:p w14:paraId="3BA7BAA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Reporting Date</w:t>
            </w:r>
          </w:p>
        </w:tc>
        <w:tc>
          <w:tcPr>
            <w:tcW w:w="1459" w:type="dxa"/>
            <w:tcBorders>
              <w:top w:val="nil"/>
              <w:left w:val="nil"/>
              <w:bottom w:val="single" w:sz="4" w:space="0" w:color="auto"/>
              <w:right w:val="nil"/>
            </w:tcBorders>
            <w:shd w:val="clear" w:color="auto" w:fill="auto"/>
            <w:noWrap/>
            <w:vAlign w:val="bottom"/>
            <w:hideMark/>
          </w:tcPr>
          <w:p w14:paraId="2CB01D9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520" w:type="dxa"/>
            <w:tcBorders>
              <w:top w:val="nil"/>
              <w:left w:val="nil"/>
              <w:bottom w:val="single" w:sz="4" w:space="0" w:color="auto"/>
              <w:right w:val="nil"/>
            </w:tcBorders>
            <w:shd w:val="clear" w:color="auto" w:fill="auto"/>
            <w:noWrap/>
            <w:vAlign w:val="bottom"/>
            <w:hideMark/>
          </w:tcPr>
          <w:p w14:paraId="7B6CE96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single" w:sz="4" w:space="0" w:color="auto"/>
              <w:right w:val="single" w:sz="4" w:space="0" w:color="auto"/>
            </w:tcBorders>
            <w:shd w:val="clear" w:color="auto" w:fill="auto"/>
            <w:noWrap/>
            <w:vAlign w:val="center"/>
            <w:hideMark/>
          </w:tcPr>
          <w:p w14:paraId="1C43C8D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vMerge/>
            <w:tcBorders>
              <w:top w:val="single" w:sz="4" w:space="0" w:color="auto"/>
              <w:left w:val="single" w:sz="4" w:space="0" w:color="auto"/>
              <w:bottom w:val="single" w:sz="4" w:space="0" w:color="000000"/>
              <w:right w:val="single" w:sz="4" w:space="0" w:color="auto"/>
            </w:tcBorders>
            <w:vAlign w:val="center"/>
            <w:hideMark/>
          </w:tcPr>
          <w:p w14:paraId="6F7C126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nil"/>
              <w:bottom w:val="single" w:sz="4" w:space="0" w:color="auto"/>
              <w:right w:val="nil"/>
            </w:tcBorders>
            <w:shd w:val="clear" w:color="auto" w:fill="auto"/>
            <w:noWrap/>
            <w:vAlign w:val="bottom"/>
            <w:hideMark/>
          </w:tcPr>
          <w:p w14:paraId="05DAEBC3"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31-Dec</w:t>
            </w:r>
          </w:p>
        </w:tc>
        <w:tc>
          <w:tcPr>
            <w:tcW w:w="1052" w:type="dxa"/>
            <w:tcBorders>
              <w:top w:val="nil"/>
              <w:left w:val="nil"/>
              <w:bottom w:val="single" w:sz="4" w:space="0" w:color="auto"/>
              <w:right w:val="nil"/>
            </w:tcBorders>
            <w:shd w:val="clear" w:color="auto" w:fill="auto"/>
            <w:noWrap/>
            <w:vAlign w:val="bottom"/>
            <w:hideMark/>
          </w:tcPr>
          <w:p w14:paraId="3A935282"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31-Dec</w:t>
            </w:r>
          </w:p>
        </w:tc>
        <w:tc>
          <w:tcPr>
            <w:tcW w:w="1052" w:type="dxa"/>
            <w:tcBorders>
              <w:top w:val="nil"/>
              <w:left w:val="nil"/>
              <w:bottom w:val="single" w:sz="4" w:space="0" w:color="auto"/>
              <w:right w:val="single" w:sz="4" w:space="0" w:color="auto"/>
            </w:tcBorders>
            <w:shd w:val="clear" w:color="auto" w:fill="auto"/>
            <w:noWrap/>
            <w:vAlign w:val="bottom"/>
            <w:hideMark/>
          </w:tcPr>
          <w:p w14:paraId="40D127AF"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31-Dec</w:t>
            </w:r>
          </w:p>
        </w:tc>
        <w:tc>
          <w:tcPr>
            <w:tcW w:w="1052" w:type="dxa"/>
            <w:tcBorders>
              <w:top w:val="nil"/>
              <w:left w:val="nil"/>
              <w:bottom w:val="single" w:sz="4" w:space="0" w:color="auto"/>
              <w:right w:val="nil"/>
            </w:tcBorders>
            <w:shd w:val="clear" w:color="auto" w:fill="auto"/>
            <w:noWrap/>
            <w:vAlign w:val="bottom"/>
            <w:hideMark/>
          </w:tcPr>
          <w:p w14:paraId="32EC31FA"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31-Dec</w:t>
            </w:r>
          </w:p>
        </w:tc>
        <w:tc>
          <w:tcPr>
            <w:tcW w:w="1052" w:type="dxa"/>
            <w:tcBorders>
              <w:top w:val="nil"/>
              <w:left w:val="nil"/>
              <w:bottom w:val="single" w:sz="4" w:space="0" w:color="auto"/>
              <w:right w:val="single" w:sz="4" w:space="0" w:color="auto"/>
            </w:tcBorders>
            <w:shd w:val="clear" w:color="auto" w:fill="auto"/>
            <w:noWrap/>
            <w:vAlign w:val="bottom"/>
            <w:hideMark/>
          </w:tcPr>
          <w:p w14:paraId="2A460FA6"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31-Dec</w:t>
            </w:r>
          </w:p>
        </w:tc>
      </w:tr>
      <w:tr w:rsidR="00E43679" w:rsidRPr="00E43679" w14:paraId="0A775CB3" w14:textId="77777777" w:rsidTr="00E43679">
        <w:trPr>
          <w:trHeight w:val="315"/>
        </w:trPr>
        <w:tc>
          <w:tcPr>
            <w:tcW w:w="1934" w:type="dxa"/>
            <w:tcBorders>
              <w:top w:val="nil"/>
              <w:left w:val="single" w:sz="4" w:space="0" w:color="auto"/>
              <w:bottom w:val="nil"/>
              <w:right w:val="nil"/>
            </w:tcBorders>
            <w:shd w:val="clear" w:color="auto" w:fill="auto"/>
            <w:noWrap/>
            <w:vAlign w:val="bottom"/>
            <w:hideMark/>
          </w:tcPr>
          <w:p w14:paraId="2B6F4203"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64441FB" w14:textId="77777777" w:rsidR="00E43679" w:rsidRPr="00E43679" w:rsidRDefault="00E43679" w:rsidP="00E43679">
            <w:pPr>
              <w:spacing w:after="0" w:line="240" w:lineRule="auto"/>
              <w:jc w:val="right"/>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3A432AB" w14:textId="77777777" w:rsidR="00E43679" w:rsidRPr="00E43679" w:rsidRDefault="00E43679" w:rsidP="00E43679">
            <w:pPr>
              <w:spacing w:after="0" w:line="240" w:lineRule="auto"/>
              <w:jc w:val="right"/>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2D38A6F5" w14:textId="77777777" w:rsidR="00E43679" w:rsidRPr="00E43679" w:rsidRDefault="00E43679" w:rsidP="00E43679">
            <w:pPr>
              <w:spacing w:after="0" w:line="240" w:lineRule="auto"/>
              <w:jc w:val="right"/>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7169E0DD"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5E472A7" w14:textId="77777777" w:rsidR="00E43679" w:rsidRPr="00E43679" w:rsidRDefault="00E43679" w:rsidP="00E43679">
            <w:pPr>
              <w:spacing w:after="0" w:line="240" w:lineRule="auto"/>
              <w:jc w:val="right"/>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280F2798"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c>
          <w:tcPr>
            <w:tcW w:w="1052" w:type="dxa"/>
            <w:tcBorders>
              <w:top w:val="nil"/>
              <w:left w:val="nil"/>
              <w:bottom w:val="nil"/>
              <w:right w:val="nil"/>
            </w:tcBorders>
            <w:shd w:val="clear" w:color="auto" w:fill="auto"/>
            <w:noWrap/>
            <w:vAlign w:val="bottom"/>
            <w:hideMark/>
          </w:tcPr>
          <w:p w14:paraId="686EAB2A"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c>
          <w:tcPr>
            <w:tcW w:w="1052" w:type="dxa"/>
            <w:tcBorders>
              <w:top w:val="nil"/>
              <w:left w:val="nil"/>
              <w:bottom w:val="nil"/>
              <w:right w:val="single" w:sz="4" w:space="0" w:color="auto"/>
            </w:tcBorders>
            <w:shd w:val="clear" w:color="auto" w:fill="auto"/>
            <w:noWrap/>
            <w:vAlign w:val="bottom"/>
            <w:hideMark/>
          </w:tcPr>
          <w:p w14:paraId="78A945E4"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c>
          <w:tcPr>
            <w:tcW w:w="1052" w:type="dxa"/>
            <w:tcBorders>
              <w:top w:val="nil"/>
              <w:left w:val="nil"/>
              <w:bottom w:val="nil"/>
              <w:right w:val="nil"/>
            </w:tcBorders>
            <w:shd w:val="clear" w:color="auto" w:fill="auto"/>
            <w:noWrap/>
            <w:vAlign w:val="bottom"/>
            <w:hideMark/>
          </w:tcPr>
          <w:p w14:paraId="10EB41A7"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c>
          <w:tcPr>
            <w:tcW w:w="1052" w:type="dxa"/>
            <w:tcBorders>
              <w:top w:val="nil"/>
              <w:left w:val="nil"/>
              <w:bottom w:val="nil"/>
              <w:right w:val="single" w:sz="4" w:space="0" w:color="auto"/>
            </w:tcBorders>
            <w:shd w:val="clear" w:color="auto" w:fill="auto"/>
            <w:noWrap/>
            <w:vAlign w:val="bottom"/>
            <w:hideMark/>
          </w:tcPr>
          <w:p w14:paraId="2C426708" w14:textId="77777777" w:rsidR="00E43679" w:rsidRPr="00E43679" w:rsidRDefault="00E43679" w:rsidP="00E43679">
            <w:pPr>
              <w:spacing w:after="0" w:line="240" w:lineRule="auto"/>
              <w:jc w:val="right"/>
              <w:rPr>
                <w:rFonts w:ascii="Calibri" w:eastAsia="Times New Roman" w:hAnsi="Calibri" w:cs="Calibri"/>
                <w:color w:val="auto"/>
                <w:sz w:val="24"/>
                <w:szCs w:val="24"/>
                <w:lang w:val="en-GB" w:eastAsia="en-GB"/>
              </w:rPr>
            </w:pPr>
            <w:r w:rsidRPr="00E43679">
              <w:rPr>
                <w:rFonts w:ascii="Calibri" w:eastAsia="Times New Roman" w:hAnsi="Calibri" w:cs="Calibri"/>
                <w:color w:val="auto"/>
                <w:sz w:val="24"/>
                <w:szCs w:val="24"/>
                <w:lang w:val="en-GB" w:eastAsia="en-GB"/>
              </w:rPr>
              <w:t>£M</w:t>
            </w:r>
          </w:p>
        </w:tc>
      </w:tr>
      <w:tr w:rsidR="00E43679" w:rsidRPr="00E43679" w14:paraId="1492D3E6"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02BFAB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xml:space="preserve">Sales </w:t>
            </w:r>
          </w:p>
        </w:tc>
        <w:tc>
          <w:tcPr>
            <w:tcW w:w="266" w:type="dxa"/>
            <w:tcBorders>
              <w:top w:val="nil"/>
              <w:left w:val="nil"/>
              <w:bottom w:val="nil"/>
              <w:right w:val="nil"/>
            </w:tcBorders>
            <w:shd w:val="clear" w:color="auto" w:fill="auto"/>
            <w:noWrap/>
            <w:vAlign w:val="bottom"/>
            <w:hideMark/>
          </w:tcPr>
          <w:p w14:paraId="523F424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5FDFB12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239B366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1483BB9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1CC0F22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311617D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1,745.4 </w:t>
            </w:r>
          </w:p>
        </w:tc>
        <w:tc>
          <w:tcPr>
            <w:tcW w:w="1052" w:type="dxa"/>
            <w:tcBorders>
              <w:top w:val="nil"/>
              <w:left w:val="nil"/>
              <w:bottom w:val="nil"/>
              <w:right w:val="nil"/>
            </w:tcBorders>
            <w:shd w:val="clear" w:color="auto" w:fill="auto"/>
            <w:noWrap/>
            <w:vAlign w:val="bottom"/>
            <w:hideMark/>
          </w:tcPr>
          <w:p w14:paraId="379D2E8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1,500.8 </w:t>
            </w:r>
          </w:p>
        </w:tc>
        <w:tc>
          <w:tcPr>
            <w:tcW w:w="1052" w:type="dxa"/>
            <w:tcBorders>
              <w:top w:val="nil"/>
              <w:left w:val="nil"/>
              <w:bottom w:val="nil"/>
              <w:right w:val="single" w:sz="4" w:space="0" w:color="auto"/>
            </w:tcBorders>
            <w:shd w:val="clear" w:color="auto" w:fill="auto"/>
            <w:noWrap/>
            <w:vAlign w:val="bottom"/>
            <w:hideMark/>
          </w:tcPr>
          <w:p w14:paraId="240EDD5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1,094.0 </w:t>
            </w:r>
          </w:p>
        </w:tc>
        <w:tc>
          <w:tcPr>
            <w:tcW w:w="1052" w:type="dxa"/>
            <w:tcBorders>
              <w:top w:val="nil"/>
              <w:left w:val="nil"/>
              <w:bottom w:val="nil"/>
              <w:right w:val="nil"/>
            </w:tcBorders>
            <w:shd w:val="clear" w:color="auto" w:fill="auto"/>
            <w:noWrap/>
            <w:vAlign w:val="bottom"/>
            <w:hideMark/>
          </w:tcPr>
          <w:p w14:paraId="694D31F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881.6 </w:t>
            </w:r>
          </w:p>
        </w:tc>
        <w:tc>
          <w:tcPr>
            <w:tcW w:w="1052" w:type="dxa"/>
            <w:tcBorders>
              <w:top w:val="nil"/>
              <w:left w:val="nil"/>
              <w:bottom w:val="nil"/>
              <w:right w:val="single" w:sz="4" w:space="0" w:color="auto"/>
            </w:tcBorders>
            <w:shd w:val="clear" w:color="auto" w:fill="auto"/>
            <w:noWrap/>
            <w:vAlign w:val="bottom"/>
            <w:hideMark/>
          </w:tcPr>
          <w:p w14:paraId="5182736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745.2 </w:t>
            </w:r>
          </w:p>
        </w:tc>
      </w:tr>
      <w:tr w:rsidR="00E43679" w:rsidRPr="00E43679" w14:paraId="6C9F9B79"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FD7D3F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5EC0B3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7B771E4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23D2BB1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660BEC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8835BB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5263492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5F997A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33B0C7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B5A6A0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6A17F5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39EF369"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421C73D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Cost of Sales</w:t>
            </w:r>
          </w:p>
        </w:tc>
        <w:tc>
          <w:tcPr>
            <w:tcW w:w="1459" w:type="dxa"/>
            <w:tcBorders>
              <w:top w:val="nil"/>
              <w:left w:val="nil"/>
              <w:bottom w:val="nil"/>
              <w:right w:val="nil"/>
            </w:tcBorders>
            <w:shd w:val="clear" w:color="auto" w:fill="auto"/>
            <w:noWrap/>
            <w:vAlign w:val="bottom"/>
            <w:hideMark/>
          </w:tcPr>
          <w:p w14:paraId="58957EF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7A356EF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EF02A9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E9EC9B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7CADF3E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405.4 </w:t>
            </w:r>
          </w:p>
        </w:tc>
        <w:tc>
          <w:tcPr>
            <w:tcW w:w="1052" w:type="dxa"/>
            <w:tcBorders>
              <w:top w:val="nil"/>
              <w:left w:val="nil"/>
              <w:bottom w:val="nil"/>
              <w:right w:val="nil"/>
            </w:tcBorders>
            <w:shd w:val="clear" w:color="auto" w:fill="auto"/>
            <w:noWrap/>
            <w:vAlign w:val="bottom"/>
            <w:hideMark/>
          </w:tcPr>
          <w:p w14:paraId="3872F77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346.5 </w:t>
            </w:r>
          </w:p>
        </w:tc>
        <w:tc>
          <w:tcPr>
            <w:tcW w:w="1052" w:type="dxa"/>
            <w:tcBorders>
              <w:top w:val="nil"/>
              <w:left w:val="nil"/>
              <w:bottom w:val="nil"/>
              <w:right w:val="single" w:sz="4" w:space="0" w:color="auto"/>
            </w:tcBorders>
            <w:shd w:val="clear" w:color="auto" w:fill="auto"/>
            <w:noWrap/>
            <w:vAlign w:val="bottom"/>
            <w:hideMark/>
          </w:tcPr>
          <w:p w14:paraId="2D8CE84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276.3 </w:t>
            </w:r>
          </w:p>
        </w:tc>
        <w:tc>
          <w:tcPr>
            <w:tcW w:w="1052" w:type="dxa"/>
            <w:tcBorders>
              <w:top w:val="nil"/>
              <w:left w:val="nil"/>
              <w:bottom w:val="nil"/>
              <w:right w:val="nil"/>
            </w:tcBorders>
            <w:shd w:val="clear" w:color="auto" w:fill="auto"/>
            <w:noWrap/>
            <w:vAlign w:val="bottom"/>
            <w:hideMark/>
          </w:tcPr>
          <w:p w14:paraId="11B6AC6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167.7 </w:t>
            </w:r>
          </w:p>
        </w:tc>
        <w:tc>
          <w:tcPr>
            <w:tcW w:w="1052" w:type="dxa"/>
            <w:tcBorders>
              <w:top w:val="nil"/>
              <w:left w:val="nil"/>
              <w:bottom w:val="nil"/>
              <w:right w:val="single" w:sz="4" w:space="0" w:color="auto"/>
            </w:tcBorders>
            <w:shd w:val="clear" w:color="auto" w:fill="auto"/>
            <w:noWrap/>
            <w:vAlign w:val="bottom"/>
            <w:hideMark/>
          </w:tcPr>
          <w:p w14:paraId="2801AEE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128.2 </w:t>
            </w:r>
          </w:p>
        </w:tc>
      </w:tr>
      <w:tr w:rsidR="00E43679" w:rsidRPr="00E43679" w14:paraId="7B4B5762"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3ECDEC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12B7E1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C92081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194DF16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5E324D4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ACBE00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0A5F609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808483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40C7EA0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06B072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4FD7A5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02BD407"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14644D8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Gross Profit</w:t>
            </w:r>
          </w:p>
        </w:tc>
        <w:tc>
          <w:tcPr>
            <w:tcW w:w="1459" w:type="dxa"/>
            <w:tcBorders>
              <w:top w:val="nil"/>
              <w:left w:val="nil"/>
              <w:bottom w:val="nil"/>
              <w:right w:val="nil"/>
            </w:tcBorders>
            <w:shd w:val="clear" w:color="auto" w:fill="auto"/>
            <w:noWrap/>
            <w:vAlign w:val="bottom"/>
            <w:hideMark/>
          </w:tcPr>
          <w:p w14:paraId="66FE0DED"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3B69228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4B5F52D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2F8DC5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402ABDB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1,340.0 </w:t>
            </w:r>
          </w:p>
        </w:tc>
        <w:tc>
          <w:tcPr>
            <w:tcW w:w="1052" w:type="dxa"/>
            <w:tcBorders>
              <w:top w:val="nil"/>
              <w:left w:val="nil"/>
              <w:bottom w:val="nil"/>
              <w:right w:val="nil"/>
            </w:tcBorders>
            <w:shd w:val="clear" w:color="auto" w:fill="auto"/>
            <w:noWrap/>
            <w:vAlign w:val="bottom"/>
            <w:hideMark/>
          </w:tcPr>
          <w:p w14:paraId="42BCFED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1,154.3 </w:t>
            </w:r>
          </w:p>
        </w:tc>
        <w:tc>
          <w:tcPr>
            <w:tcW w:w="1052" w:type="dxa"/>
            <w:tcBorders>
              <w:top w:val="nil"/>
              <w:left w:val="nil"/>
              <w:bottom w:val="nil"/>
              <w:right w:val="single" w:sz="4" w:space="0" w:color="auto"/>
            </w:tcBorders>
            <w:shd w:val="clear" w:color="auto" w:fill="auto"/>
            <w:noWrap/>
            <w:vAlign w:val="bottom"/>
            <w:hideMark/>
          </w:tcPr>
          <w:p w14:paraId="6788F3B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817.7 </w:t>
            </w:r>
          </w:p>
        </w:tc>
        <w:tc>
          <w:tcPr>
            <w:tcW w:w="1052" w:type="dxa"/>
            <w:tcBorders>
              <w:top w:val="nil"/>
              <w:left w:val="nil"/>
              <w:bottom w:val="nil"/>
              <w:right w:val="nil"/>
            </w:tcBorders>
            <w:shd w:val="clear" w:color="auto" w:fill="auto"/>
            <w:noWrap/>
            <w:vAlign w:val="bottom"/>
            <w:hideMark/>
          </w:tcPr>
          <w:p w14:paraId="0BF99DA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713.9 </w:t>
            </w:r>
          </w:p>
        </w:tc>
        <w:tc>
          <w:tcPr>
            <w:tcW w:w="1052" w:type="dxa"/>
            <w:tcBorders>
              <w:top w:val="nil"/>
              <w:left w:val="nil"/>
              <w:bottom w:val="nil"/>
              <w:right w:val="single" w:sz="4" w:space="0" w:color="auto"/>
            </w:tcBorders>
            <w:shd w:val="clear" w:color="auto" w:fill="auto"/>
            <w:noWrap/>
            <w:vAlign w:val="bottom"/>
            <w:hideMark/>
          </w:tcPr>
          <w:p w14:paraId="0220D22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617.0 </w:t>
            </w:r>
          </w:p>
        </w:tc>
      </w:tr>
      <w:tr w:rsidR="00E43679" w:rsidRPr="00E43679" w14:paraId="5A496C0B"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C71D58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61A7E3A"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2169689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63DE237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5C02CE4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2AFD83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5F06F48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8DF8F3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3864FA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2AB951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B84374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5638446" w14:textId="77777777" w:rsidTr="5CE60E2F">
        <w:trPr>
          <w:trHeight w:val="300"/>
        </w:trPr>
        <w:tc>
          <w:tcPr>
            <w:tcW w:w="6501" w:type="dxa"/>
            <w:gridSpan w:val="5"/>
            <w:tcBorders>
              <w:top w:val="nil"/>
              <w:left w:val="single" w:sz="4" w:space="0" w:color="auto"/>
              <w:bottom w:val="nil"/>
              <w:right w:val="single" w:sz="4" w:space="0" w:color="000000" w:themeColor="text1"/>
            </w:tcBorders>
            <w:shd w:val="clear" w:color="auto" w:fill="auto"/>
            <w:noWrap/>
            <w:vAlign w:val="bottom"/>
            <w:hideMark/>
          </w:tcPr>
          <w:p w14:paraId="4DC2C64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Operating Expenses (excluding Depreciation &amp; Amortisation</w:t>
            </w:r>
          </w:p>
        </w:tc>
        <w:tc>
          <w:tcPr>
            <w:tcW w:w="828" w:type="dxa"/>
            <w:tcBorders>
              <w:top w:val="nil"/>
              <w:left w:val="nil"/>
              <w:bottom w:val="nil"/>
              <w:right w:val="single" w:sz="4" w:space="0" w:color="auto"/>
            </w:tcBorders>
            <w:shd w:val="clear" w:color="auto" w:fill="auto"/>
            <w:noWrap/>
            <w:vAlign w:val="bottom"/>
            <w:hideMark/>
          </w:tcPr>
          <w:p w14:paraId="443C607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5B4C84B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866.8 </w:t>
            </w:r>
          </w:p>
        </w:tc>
        <w:tc>
          <w:tcPr>
            <w:tcW w:w="1052" w:type="dxa"/>
            <w:tcBorders>
              <w:top w:val="nil"/>
              <w:left w:val="nil"/>
              <w:bottom w:val="nil"/>
              <w:right w:val="nil"/>
            </w:tcBorders>
            <w:shd w:val="clear" w:color="auto" w:fill="auto"/>
            <w:noWrap/>
            <w:vAlign w:val="bottom"/>
            <w:hideMark/>
          </w:tcPr>
          <w:p w14:paraId="218BA2F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767.3 </w:t>
            </w:r>
          </w:p>
        </w:tc>
        <w:tc>
          <w:tcPr>
            <w:tcW w:w="1052" w:type="dxa"/>
            <w:tcBorders>
              <w:top w:val="nil"/>
              <w:left w:val="nil"/>
              <w:bottom w:val="nil"/>
              <w:right w:val="single" w:sz="4" w:space="0" w:color="auto"/>
            </w:tcBorders>
            <w:shd w:val="clear" w:color="auto" w:fill="auto"/>
            <w:noWrap/>
            <w:vAlign w:val="bottom"/>
            <w:hideMark/>
          </w:tcPr>
          <w:p w14:paraId="04F7B2B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584.7 </w:t>
            </w:r>
          </w:p>
        </w:tc>
        <w:tc>
          <w:tcPr>
            <w:tcW w:w="1052" w:type="dxa"/>
            <w:tcBorders>
              <w:top w:val="nil"/>
              <w:left w:val="nil"/>
              <w:bottom w:val="nil"/>
              <w:right w:val="nil"/>
            </w:tcBorders>
            <w:shd w:val="clear" w:color="auto" w:fill="auto"/>
            <w:noWrap/>
            <w:vAlign w:val="bottom"/>
            <w:hideMark/>
          </w:tcPr>
          <w:p w14:paraId="2D8F561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502.1 </w:t>
            </w:r>
          </w:p>
        </w:tc>
        <w:tc>
          <w:tcPr>
            <w:tcW w:w="1052" w:type="dxa"/>
            <w:tcBorders>
              <w:top w:val="nil"/>
              <w:left w:val="nil"/>
              <w:bottom w:val="nil"/>
              <w:right w:val="single" w:sz="4" w:space="0" w:color="auto"/>
            </w:tcBorders>
            <w:shd w:val="clear" w:color="auto" w:fill="auto"/>
            <w:noWrap/>
            <w:vAlign w:val="bottom"/>
            <w:hideMark/>
          </w:tcPr>
          <w:p w14:paraId="6EE7959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440.1 </w:t>
            </w:r>
          </w:p>
        </w:tc>
      </w:tr>
      <w:tr w:rsidR="00E43679" w:rsidRPr="00E43679" w14:paraId="07ACDE40"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5D63BF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6C8021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5206355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5339B29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784E5C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06EFEF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6D38527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4C0D8D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54B140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C4B662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739A75F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9998C2D"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0DD6FC6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EBITDA (calculated)</w:t>
            </w:r>
          </w:p>
        </w:tc>
        <w:tc>
          <w:tcPr>
            <w:tcW w:w="1459" w:type="dxa"/>
            <w:tcBorders>
              <w:top w:val="nil"/>
              <w:left w:val="nil"/>
              <w:bottom w:val="nil"/>
              <w:right w:val="nil"/>
            </w:tcBorders>
            <w:shd w:val="clear" w:color="auto" w:fill="auto"/>
            <w:noWrap/>
            <w:vAlign w:val="bottom"/>
            <w:hideMark/>
          </w:tcPr>
          <w:p w14:paraId="0B9E4D1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52FF67D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2B401ED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55ECEA1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7CDE2E9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473.2 </w:t>
            </w:r>
          </w:p>
        </w:tc>
        <w:tc>
          <w:tcPr>
            <w:tcW w:w="1052" w:type="dxa"/>
            <w:tcBorders>
              <w:top w:val="nil"/>
              <w:left w:val="nil"/>
              <w:bottom w:val="nil"/>
              <w:right w:val="nil"/>
            </w:tcBorders>
            <w:shd w:val="clear" w:color="auto" w:fill="auto"/>
            <w:noWrap/>
            <w:vAlign w:val="bottom"/>
            <w:hideMark/>
          </w:tcPr>
          <w:p w14:paraId="72AEC28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387.0 </w:t>
            </w:r>
          </w:p>
        </w:tc>
        <w:tc>
          <w:tcPr>
            <w:tcW w:w="1052" w:type="dxa"/>
            <w:tcBorders>
              <w:top w:val="nil"/>
              <w:left w:val="nil"/>
              <w:bottom w:val="nil"/>
              <w:right w:val="nil"/>
            </w:tcBorders>
            <w:shd w:val="clear" w:color="auto" w:fill="auto"/>
            <w:noWrap/>
            <w:vAlign w:val="bottom"/>
            <w:hideMark/>
          </w:tcPr>
          <w:p w14:paraId="3568B2B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233.0 </w:t>
            </w:r>
          </w:p>
        </w:tc>
        <w:tc>
          <w:tcPr>
            <w:tcW w:w="1052" w:type="dxa"/>
            <w:tcBorders>
              <w:top w:val="nil"/>
              <w:left w:val="single" w:sz="4" w:space="0" w:color="auto"/>
              <w:bottom w:val="nil"/>
              <w:right w:val="nil"/>
            </w:tcBorders>
            <w:shd w:val="clear" w:color="auto" w:fill="auto"/>
            <w:noWrap/>
            <w:vAlign w:val="bottom"/>
            <w:hideMark/>
          </w:tcPr>
          <w:p w14:paraId="0C9E01D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211.8 </w:t>
            </w:r>
          </w:p>
        </w:tc>
        <w:tc>
          <w:tcPr>
            <w:tcW w:w="1052" w:type="dxa"/>
            <w:tcBorders>
              <w:top w:val="nil"/>
              <w:left w:val="nil"/>
              <w:bottom w:val="nil"/>
              <w:right w:val="single" w:sz="4" w:space="0" w:color="auto"/>
            </w:tcBorders>
            <w:shd w:val="clear" w:color="auto" w:fill="auto"/>
            <w:noWrap/>
            <w:vAlign w:val="bottom"/>
            <w:hideMark/>
          </w:tcPr>
          <w:p w14:paraId="24B8336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176.9 </w:t>
            </w:r>
          </w:p>
        </w:tc>
      </w:tr>
      <w:tr w:rsidR="00E43679" w:rsidRPr="00E43679" w14:paraId="4677051E"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2A3814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5A43079"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6E4996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7ADED40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5178B37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1E89823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1C557BB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6778EA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3A90DA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77D060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625DE06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53CFEB1"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5F0C3C1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Depreciation &amp; Amortisation</w:t>
            </w:r>
          </w:p>
        </w:tc>
        <w:tc>
          <w:tcPr>
            <w:tcW w:w="1520" w:type="dxa"/>
            <w:tcBorders>
              <w:top w:val="nil"/>
              <w:left w:val="nil"/>
              <w:bottom w:val="nil"/>
              <w:right w:val="nil"/>
            </w:tcBorders>
            <w:shd w:val="clear" w:color="auto" w:fill="auto"/>
            <w:noWrap/>
            <w:vAlign w:val="bottom"/>
            <w:hideMark/>
          </w:tcPr>
          <w:p w14:paraId="736A49A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4F98327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1CD5761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44214A2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81.3 </w:t>
            </w:r>
          </w:p>
        </w:tc>
        <w:tc>
          <w:tcPr>
            <w:tcW w:w="1052" w:type="dxa"/>
            <w:tcBorders>
              <w:top w:val="nil"/>
              <w:left w:val="nil"/>
              <w:bottom w:val="nil"/>
              <w:right w:val="nil"/>
            </w:tcBorders>
            <w:shd w:val="clear" w:color="auto" w:fill="auto"/>
            <w:noWrap/>
            <w:vAlign w:val="bottom"/>
            <w:hideMark/>
          </w:tcPr>
          <w:p w14:paraId="4C2640D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67.9 </w:t>
            </w:r>
          </w:p>
        </w:tc>
        <w:tc>
          <w:tcPr>
            <w:tcW w:w="1052" w:type="dxa"/>
            <w:tcBorders>
              <w:top w:val="nil"/>
              <w:left w:val="nil"/>
              <w:bottom w:val="nil"/>
              <w:right w:val="single" w:sz="4" w:space="0" w:color="auto"/>
            </w:tcBorders>
            <w:shd w:val="clear" w:color="auto" w:fill="auto"/>
            <w:noWrap/>
            <w:vAlign w:val="bottom"/>
            <w:hideMark/>
          </w:tcPr>
          <w:p w14:paraId="729231F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52.6 </w:t>
            </w:r>
          </w:p>
        </w:tc>
        <w:tc>
          <w:tcPr>
            <w:tcW w:w="1052" w:type="dxa"/>
            <w:tcBorders>
              <w:top w:val="nil"/>
              <w:left w:val="nil"/>
              <w:bottom w:val="nil"/>
              <w:right w:val="nil"/>
            </w:tcBorders>
            <w:shd w:val="clear" w:color="auto" w:fill="auto"/>
            <w:noWrap/>
            <w:vAlign w:val="bottom"/>
            <w:hideMark/>
          </w:tcPr>
          <w:p w14:paraId="6D9319C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48.0 </w:t>
            </w:r>
          </w:p>
        </w:tc>
        <w:tc>
          <w:tcPr>
            <w:tcW w:w="1052" w:type="dxa"/>
            <w:tcBorders>
              <w:top w:val="nil"/>
              <w:left w:val="nil"/>
              <w:bottom w:val="nil"/>
              <w:right w:val="single" w:sz="4" w:space="0" w:color="auto"/>
            </w:tcBorders>
            <w:shd w:val="clear" w:color="auto" w:fill="auto"/>
            <w:noWrap/>
            <w:vAlign w:val="bottom"/>
            <w:hideMark/>
          </w:tcPr>
          <w:p w14:paraId="3F51EEA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39.5 </w:t>
            </w:r>
          </w:p>
        </w:tc>
      </w:tr>
      <w:tr w:rsidR="00E43679" w:rsidRPr="00E43679" w14:paraId="0562A94F"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5003A27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xml:space="preserve">Depreciation </w:t>
            </w:r>
          </w:p>
        </w:tc>
        <w:tc>
          <w:tcPr>
            <w:tcW w:w="1459" w:type="dxa"/>
            <w:tcBorders>
              <w:top w:val="nil"/>
              <w:left w:val="nil"/>
              <w:bottom w:val="nil"/>
              <w:right w:val="nil"/>
            </w:tcBorders>
            <w:shd w:val="clear" w:color="auto" w:fill="auto"/>
            <w:noWrap/>
            <w:vAlign w:val="bottom"/>
            <w:hideMark/>
          </w:tcPr>
          <w:p w14:paraId="367CAB1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67BC4E7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3E1C405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5CDE350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53A465E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30.1 </w:t>
            </w:r>
          </w:p>
        </w:tc>
        <w:tc>
          <w:tcPr>
            <w:tcW w:w="1052" w:type="dxa"/>
            <w:tcBorders>
              <w:top w:val="nil"/>
              <w:left w:val="nil"/>
              <w:bottom w:val="nil"/>
              <w:right w:val="nil"/>
            </w:tcBorders>
            <w:shd w:val="clear" w:color="auto" w:fill="auto"/>
            <w:noWrap/>
            <w:vAlign w:val="bottom"/>
            <w:hideMark/>
          </w:tcPr>
          <w:p w14:paraId="64E6BA3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31.6 </w:t>
            </w:r>
          </w:p>
        </w:tc>
        <w:tc>
          <w:tcPr>
            <w:tcW w:w="1052" w:type="dxa"/>
            <w:tcBorders>
              <w:top w:val="nil"/>
              <w:left w:val="nil"/>
              <w:bottom w:val="nil"/>
              <w:right w:val="single" w:sz="4" w:space="0" w:color="auto"/>
            </w:tcBorders>
            <w:shd w:val="clear" w:color="auto" w:fill="auto"/>
            <w:noWrap/>
            <w:vAlign w:val="bottom"/>
            <w:hideMark/>
          </w:tcPr>
          <w:p w14:paraId="0281D12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32.2 </w:t>
            </w:r>
          </w:p>
        </w:tc>
        <w:tc>
          <w:tcPr>
            <w:tcW w:w="1052" w:type="dxa"/>
            <w:tcBorders>
              <w:top w:val="nil"/>
              <w:left w:val="nil"/>
              <w:bottom w:val="nil"/>
              <w:right w:val="nil"/>
            </w:tcBorders>
            <w:shd w:val="clear" w:color="auto" w:fill="auto"/>
            <w:noWrap/>
            <w:vAlign w:val="bottom"/>
            <w:hideMark/>
          </w:tcPr>
          <w:p w14:paraId="4940A4F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33.5 </w:t>
            </w:r>
          </w:p>
        </w:tc>
        <w:tc>
          <w:tcPr>
            <w:tcW w:w="1052" w:type="dxa"/>
            <w:tcBorders>
              <w:top w:val="nil"/>
              <w:left w:val="nil"/>
              <w:bottom w:val="nil"/>
              <w:right w:val="single" w:sz="4" w:space="0" w:color="auto"/>
            </w:tcBorders>
            <w:shd w:val="clear" w:color="auto" w:fill="auto"/>
            <w:noWrap/>
            <w:vAlign w:val="bottom"/>
            <w:hideMark/>
          </w:tcPr>
          <w:p w14:paraId="5005B0F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34.3 </w:t>
            </w:r>
          </w:p>
        </w:tc>
      </w:tr>
      <w:tr w:rsidR="00E43679" w:rsidRPr="00E43679" w14:paraId="622C063B"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505EA4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EFA8B6D"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2CC3AD5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69DCB24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52B0FE7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B1E70B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09D8299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4C0C71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nil"/>
            </w:tcBorders>
            <w:shd w:val="clear" w:color="auto" w:fill="auto"/>
            <w:noWrap/>
            <w:vAlign w:val="bottom"/>
            <w:hideMark/>
          </w:tcPr>
          <w:p w14:paraId="32A2CED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AE6EAC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77C881E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47CBAF9" w14:textId="77777777" w:rsidTr="00E43679">
        <w:trPr>
          <w:trHeight w:val="300"/>
        </w:trPr>
        <w:tc>
          <w:tcPr>
            <w:tcW w:w="5179" w:type="dxa"/>
            <w:gridSpan w:val="4"/>
            <w:tcBorders>
              <w:top w:val="nil"/>
              <w:left w:val="single" w:sz="4" w:space="0" w:color="auto"/>
              <w:bottom w:val="nil"/>
              <w:right w:val="nil"/>
            </w:tcBorders>
            <w:shd w:val="clear" w:color="auto" w:fill="auto"/>
            <w:noWrap/>
            <w:vAlign w:val="bottom"/>
            <w:hideMark/>
          </w:tcPr>
          <w:p w14:paraId="4DF7EFC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Profit/Loss Before Interest and Tax (PBIT)</w:t>
            </w:r>
          </w:p>
        </w:tc>
        <w:tc>
          <w:tcPr>
            <w:tcW w:w="1322" w:type="dxa"/>
            <w:tcBorders>
              <w:top w:val="nil"/>
              <w:left w:val="nil"/>
              <w:bottom w:val="nil"/>
              <w:right w:val="single" w:sz="4" w:space="0" w:color="auto"/>
            </w:tcBorders>
            <w:shd w:val="clear" w:color="auto" w:fill="auto"/>
            <w:noWrap/>
            <w:vAlign w:val="bottom"/>
            <w:hideMark/>
          </w:tcPr>
          <w:p w14:paraId="3BB5B5A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50688C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26BA349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391.9 </w:t>
            </w:r>
          </w:p>
        </w:tc>
        <w:tc>
          <w:tcPr>
            <w:tcW w:w="1052" w:type="dxa"/>
            <w:tcBorders>
              <w:top w:val="nil"/>
              <w:left w:val="nil"/>
              <w:bottom w:val="nil"/>
              <w:right w:val="nil"/>
            </w:tcBorders>
            <w:shd w:val="clear" w:color="auto" w:fill="auto"/>
            <w:noWrap/>
            <w:vAlign w:val="bottom"/>
            <w:hideMark/>
          </w:tcPr>
          <w:p w14:paraId="507FD60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319.1 </w:t>
            </w:r>
          </w:p>
        </w:tc>
        <w:tc>
          <w:tcPr>
            <w:tcW w:w="1052" w:type="dxa"/>
            <w:tcBorders>
              <w:top w:val="nil"/>
              <w:left w:val="nil"/>
              <w:bottom w:val="nil"/>
              <w:right w:val="single" w:sz="4" w:space="0" w:color="auto"/>
            </w:tcBorders>
            <w:shd w:val="clear" w:color="auto" w:fill="auto"/>
            <w:noWrap/>
            <w:vAlign w:val="bottom"/>
            <w:hideMark/>
          </w:tcPr>
          <w:p w14:paraId="5342903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180.4 </w:t>
            </w:r>
          </w:p>
        </w:tc>
        <w:tc>
          <w:tcPr>
            <w:tcW w:w="1052" w:type="dxa"/>
            <w:tcBorders>
              <w:top w:val="nil"/>
              <w:left w:val="nil"/>
              <w:bottom w:val="nil"/>
              <w:right w:val="nil"/>
            </w:tcBorders>
            <w:shd w:val="clear" w:color="auto" w:fill="auto"/>
            <w:noWrap/>
            <w:vAlign w:val="bottom"/>
            <w:hideMark/>
          </w:tcPr>
          <w:p w14:paraId="3BA3D81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163.8 </w:t>
            </w:r>
          </w:p>
        </w:tc>
        <w:tc>
          <w:tcPr>
            <w:tcW w:w="1052" w:type="dxa"/>
            <w:tcBorders>
              <w:top w:val="nil"/>
              <w:left w:val="nil"/>
              <w:bottom w:val="nil"/>
              <w:right w:val="single" w:sz="4" w:space="0" w:color="auto"/>
            </w:tcBorders>
            <w:shd w:val="clear" w:color="auto" w:fill="auto"/>
            <w:noWrap/>
            <w:vAlign w:val="bottom"/>
            <w:hideMark/>
          </w:tcPr>
          <w:p w14:paraId="17A4B33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137.4 </w:t>
            </w:r>
          </w:p>
        </w:tc>
      </w:tr>
      <w:tr w:rsidR="00E43679" w:rsidRPr="00E43679" w14:paraId="13A15AC9"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01DA27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BEDCDE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D00CC4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42A9332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701B5E7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502ECA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3C3D367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35EE90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B1F09D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0CA25F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61F8E4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2257002"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0249E9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Interest</w:t>
            </w:r>
          </w:p>
        </w:tc>
        <w:tc>
          <w:tcPr>
            <w:tcW w:w="266" w:type="dxa"/>
            <w:tcBorders>
              <w:top w:val="nil"/>
              <w:left w:val="nil"/>
              <w:bottom w:val="nil"/>
              <w:right w:val="nil"/>
            </w:tcBorders>
            <w:shd w:val="clear" w:color="auto" w:fill="auto"/>
            <w:noWrap/>
            <w:vAlign w:val="bottom"/>
            <w:hideMark/>
          </w:tcPr>
          <w:p w14:paraId="07E420C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55CB498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72D110A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597857C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8CCD61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653E3E4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5.1 </w:t>
            </w:r>
          </w:p>
        </w:tc>
        <w:tc>
          <w:tcPr>
            <w:tcW w:w="1052" w:type="dxa"/>
            <w:tcBorders>
              <w:top w:val="nil"/>
              <w:left w:val="nil"/>
              <w:bottom w:val="nil"/>
              <w:right w:val="nil"/>
            </w:tcBorders>
            <w:shd w:val="clear" w:color="auto" w:fill="auto"/>
            <w:noWrap/>
            <w:vAlign w:val="bottom"/>
            <w:hideMark/>
          </w:tcPr>
          <w:p w14:paraId="1FE7B81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5.0 </w:t>
            </w:r>
          </w:p>
        </w:tc>
        <w:tc>
          <w:tcPr>
            <w:tcW w:w="1052" w:type="dxa"/>
            <w:tcBorders>
              <w:top w:val="nil"/>
              <w:left w:val="nil"/>
              <w:bottom w:val="nil"/>
              <w:right w:val="single" w:sz="4" w:space="0" w:color="auto"/>
            </w:tcBorders>
            <w:shd w:val="clear" w:color="auto" w:fill="auto"/>
            <w:noWrap/>
            <w:vAlign w:val="bottom"/>
            <w:hideMark/>
          </w:tcPr>
          <w:p w14:paraId="178EB1E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2.6 </w:t>
            </w:r>
          </w:p>
        </w:tc>
        <w:tc>
          <w:tcPr>
            <w:tcW w:w="1052" w:type="dxa"/>
            <w:tcBorders>
              <w:top w:val="nil"/>
              <w:left w:val="nil"/>
              <w:bottom w:val="nil"/>
              <w:right w:val="nil"/>
            </w:tcBorders>
            <w:shd w:val="clear" w:color="auto" w:fill="auto"/>
            <w:noWrap/>
            <w:vAlign w:val="bottom"/>
            <w:hideMark/>
          </w:tcPr>
          <w:p w14:paraId="584B0F4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0.2 </w:t>
            </w:r>
          </w:p>
        </w:tc>
        <w:tc>
          <w:tcPr>
            <w:tcW w:w="1052" w:type="dxa"/>
            <w:tcBorders>
              <w:top w:val="nil"/>
              <w:left w:val="nil"/>
              <w:bottom w:val="nil"/>
              <w:right w:val="single" w:sz="4" w:space="0" w:color="auto"/>
            </w:tcBorders>
            <w:shd w:val="clear" w:color="auto" w:fill="auto"/>
            <w:noWrap/>
            <w:vAlign w:val="bottom"/>
            <w:hideMark/>
          </w:tcPr>
          <w:p w14:paraId="5296116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0.2 </w:t>
            </w:r>
          </w:p>
        </w:tc>
      </w:tr>
      <w:tr w:rsidR="00E43679" w:rsidRPr="00E43679" w14:paraId="61F5979A"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146D84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5E4676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65E953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358EE91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46912B9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A41181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3E460FF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0DF0F8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863B2F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3D5906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311EE7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D2FD490"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25C5E96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Profit/Loss Before Tax (PBT)</w:t>
            </w:r>
          </w:p>
        </w:tc>
        <w:tc>
          <w:tcPr>
            <w:tcW w:w="1520" w:type="dxa"/>
            <w:tcBorders>
              <w:top w:val="nil"/>
              <w:left w:val="nil"/>
              <w:bottom w:val="nil"/>
              <w:right w:val="nil"/>
            </w:tcBorders>
            <w:shd w:val="clear" w:color="auto" w:fill="auto"/>
            <w:noWrap/>
            <w:vAlign w:val="bottom"/>
            <w:hideMark/>
          </w:tcPr>
          <w:p w14:paraId="3497177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236AFE6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5AAF742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18083D9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388.5 </w:t>
            </w:r>
          </w:p>
        </w:tc>
        <w:tc>
          <w:tcPr>
            <w:tcW w:w="1052" w:type="dxa"/>
            <w:tcBorders>
              <w:top w:val="nil"/>
              <w:left w:val="nil"/>
              <w:bottom w:val="nil"/>
              <w:right w:val="nil"/>
            </w:tcBorders>
            <w:shd w:val="clear" w:color="auto" w:fill="auto"/>
            <w:noWrap/>
            <w:vAlign w:val="bottom"/>
            <w:hideMark/>
          </w:tcPr>
          <w:p w14:paraId="0F2E69A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315.6 </w:t>
            </w:r>
          </w:p>
        </w:tc>
        <w:tc>
          <w:tcPr>
            <w:tcW w:w="1052" w:type="dxa"/>
            <w:tcBorders>
              <w:top w:val="nil"/>
              <w:left w:val="nil"/>
              <w:bottom w:val="nil"/>
              <w:right w:val="single" w:sz="4" w:space="0" w:color="auto"/>
            </w:tcBorders>
            <w:shd w:val="clear" w:color="auto" w:fill="auto"/>
            <w:noWrap/>
            <w:vAlign w:val="bottom"/>
            <w:hideMark/>
          </w:tcPr>
          <w:p w14:paraId="0298B35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179.7 </w:t>
            </w:r>
          </w:p>
        </w:tc>
        <w:tc>
          <w:tcPr>
            <w:tcW w:w="1052" w:type="dxa"/>
            <w:tcBorders>
              <w:top w:val="nil"/>
              <w:left w:val="nil"/>
              <w:bottom w:val="nil"/>
              <w:right w:val="nil"/>
            </w:tcBorders>
            <w:shd w:val="clear" w:color="auto" w:fill="auto"/>
            <w:noWrap/>
            <w:vAlign w:val="bottom"/>
            <w:hideMark/>
          </w:tcPr>
          <w:p w14:paraId="3724F1D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166.6 </w:t>
            </w:r>
          </w:p>
        </w:tc>
        <w:tc>
          <w:tcPr>
            <w:tcW w:w="1052" w:type="dxa"/>
            <w:tcBorders>
              <w:top w:val="nil"/>
              <w:left w:val="nil"/>
              <w:bottom w:val="nil"/>
              <w:right w:val="single" w:sz="4" w:space="0" w:color="auto"/>
            </w:tcBorders>
            <w:shd w:val="clear" w:color="auto" w:fill="auto"/>
            <w:noWrap/>
            <w:vAlign w:val="bottom"/>
            <w:hideMark/>
          </w:tcPr>
          <w:p w14:paraId="1F5F7C4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141.0 </w:t>
            </w:r>
          </w:p>
        </w:tc>
      </w:tr>
      <w:tr w:rsidR="00E43679" w:rsidRPr="00E43679" w14:paraId="088A7608"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EFA5C3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5AFD9B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640C68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3E0D22F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1902B26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1783B38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328AF0C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744A92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4019743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B8B326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61A430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CC840E4"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2DEC88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Tax</w:t>
            </w:r>
          </w:p>
        </w:tc>
        <w:tc>
          <w:tcPr>
            <w:tcW w:w="266" w:type="dxa"/>
            <w:tcBorders>
              <w:top w:val="nil"/>
              <w:left w:val="nil"/>
              <w:bottom w:val="nil"/>
              <w:right w:val="nil"/>
            </w:tcBorders>
            <w:shd w:val="clear" w:color="auto" w:fill="auto"/>
            <w:noWrap/>
            <w:vAlign w:val="bottom"/>
            <w:hideMark/>
          </w:tcPr>
          <w:p w14:paraId="77BECE28"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DF7D7C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581EDCA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3304561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866FB7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31C9883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52.5 </w:t>
            </w:r>
          </w:p>
        </w:tc>
        <w:tc>
          <w:tcPr>
            <w:tcW w:w="1052" w:type="dxa"/>
            <w:tcBorders>
              <w:top w:val="nil"/>
              <w:left w:val="nil"/>
              <w:bottom w:val="nil"/>
              <w:right w:val="nil"/>
            </w:tcBorders>
            <w:shd w:val="clear" w:color="auto" w:fill="auto"/>
            <w:noWrap/>
            <w:vAlign w:val="bottom"/>
            <w:hideMark/>
          </w:tcPr>
          <w:p w14:paraId="1B7AFE6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49.0 </w:t>
            </w:r>
          </w:p>
        </w:tc>
        <w:tc>
          <w:tcPr>
            <w:tcW w:w="1052" w:type="dxa"/>
            <w:tcBorders>
              <w:top w:val="nil"/>
              <w:left w:val="nil"/>
              <w:bottom w:val="nil"/>
              <w:right w:val="single" w:sz="4" w:space="0" w:color="auto"/>
            </w:tcBorders>
            <w:shd w:val="clear" w:color="auto" w:fill="auto"/>
            <w:noWrap/>
            <w:vAlign w:val="bottom"/>
            <w:hideMark/>
          </w:tcPr>
          <w:p w14:paraId="587F2C4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27.0 </w:t>
            </w:r>
          </w:p>
        </w:tc>
        <w:tc>
          <w:tcPr>
            <w:tcW w:w="1052" w:type="dxa"/>
            <w:tcBorders>
              <w:top w:val="nil"/>
              <w:left w:val="nil"/>
              <w:bottom w:val="nil"/>
              <w:right w:val="nil"/>
            </w:tcBorders>
            <w:shd w:val="clear" w:color="auto" w:fill="auto"/>
            <w:noWrap/>
            <w:vAlign w:val="bottom"/>
            <w:hideMark/>
          </w:tcPr>
          <w:p w14:paraId="21D3999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21.7 </w:t>
            </w:r>
          </w:p>
        </w:tc>
        <w:tc>
          <w:tcPr>
            <w:tcW w:w="1052" w:type="dxa"/>
            <w:tcBorders>
              <w:top w:val="nil"/>
              <w:left w:val="nil"/>
              <w:bottom w:val="nil"/>
              <w:right w:val="single" w:sz="4" w:space="0" w:color="auto"/>
            </w:tcBorders>
            <w:shd w:val="clear" w:color="auto" w:fill="auto"/>
            <w:noWrap/>
            <w:vAlign w:val="bottom"/>
            <w:hideMark/>
          </w:tcPr>
          <w:p w14:paraId="4DB7BC8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17.8 </w:t>
            </w:r>
          </w:p>
        </w:tc>
      </w:tr>
      <w:tr w:rsidR="00E43679" w:rsidRPr="00E43679" w14:paraId="1B4B2091"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96E26F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1DAD90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3C3E96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6DDF1AA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230E052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BE99C6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7C234FA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1B380E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E65D40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384A30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426E449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C038A1B" w14:textId="77777777" w:rsidTr="00E43679">
        <w:trPr>
          <w:trHeight w:val="300"/>
        </w:trPr>
        <w:tc>
          <w:tcPr>
            <w:tcW w:w="5179" w:type="dxa"/>
            <w:gridSpan w:val="4"/>
            <w:tcBorders>
              <w:top w:val="nil"/>
              <w:left w:val="single" w:sz="4" w:space="0" w:color="auto"/>
              <w:bottom w:val="nil"/>
              <w:right w:val="nil"/>
            </w:tcBorders>
            <w:shd w:val="clear" w:color="auto" w:fill="auto"/>
            <w:noWrap/>
            <w:vAlign w:val="bottom"/>
            <w:hideMark/>
          </w:tcPr>
          <w:p w14:paraId="2C2D12E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Profit/Loss for the financial period (PAT)</w:t>
            </w:r>
          </w:p>
        </w:tc>
        <w:tc>
          <w:tcPr>
            <w:tcW w:w="1322" w:type="dxa"/>
            <w:tcBorders>
              <w:top w:val="nil"/>
              <w:left w:val="nil"/>
              <w:bottom w:val="nil"/>
              <w:right w:val="single" w:sz="4" w:space="0" w:color="auto"/>
            </w:tcBorders>
            <w:shd w:val="clear" w:color="auto" w:fill="auto"/>
            <w:noWrap/>
            <w:vAlign w:val="bottom"/>
            <w:hideMark/>
          </w:tcPr>
          <w:p w14:paraId="5839D7B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3E14839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CIS</w:t>
            </w:r>
          </w:p>
        </w:tc>
        <w:tc>
          <w:tcPr>
            <w:tcW w:w="1052" w:type="dxa"/>
            <w:tcBorders>
              <w:top w:val="nil"/>
              <w:left w:val="nil"/>
              <w:bottom w:val="nil"/>
              <w:right w:val="nil"/>
            </w:tcBorders>
            <w:shd w:val="clear" w:color="auto" w:fill="auto"/>
            <w:noWrap/>
            <w:vAlign w:val="bottom"/>
            <w:hideMark/>
          </w:tcPr>
          <w:p w14:paraId="3409B72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336.0 </w:t>
            </w:r>
          </w:p>
        </w:tc>
        <w:tc>
          <w:tcPr>
            <w:tcW w:w="1052" w:type="dxa"/>
            <w:tcBorders>
              <w:top w:val="nil"/>
              <w:left w:val="nil"/>
              <w:bottom w:val="nil"/>
              <w:right w:val="nil"/>
            </w:tcBorders>
            <w:shd w:val="clear" w:color="auto" w:fill="auto"/>
            <w:noWrap/>
            <w:vAlign w:val="bottom"/>
            <w:hideMark/>
          </w:tcPr>
          <w:p w14:paraId="73C38DC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266.6 </w:t>
            </w:r>
          </w:p>
        </w:tc>
        <w:tc>
          <w:tcPr>
            <w:tcW w:w="1052" w:type="dxa"/>
            <w:tcBorders>
              <w:top w:val="nil"/>
              <w:left w:val="nil"/>
              <w:bottom w:val="nil"/>
              <w:right w:val="single" w:sz="4" w:space="0" w:color="auto"/>
            </w:tcBorders>
            <w:shd w:val="clear" w:color="auto" w:fill="auto"/>
            <w:noWrap/>
            <w:vAlign w:val="bottom"/>
            <w:hideMark/>
          </w:tcPr>
          <w:p w14:paraId="30232A3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152.8 </w:t>
            </w:r>
          </w:p>
        </w:tc>
        <w:tc>
          <w:tcPr>
            <w:tcW w:w="1052" w:type="dxa"/>
            <w:tcBorders>
              <w:top w:val="nil"/>
              <w:left w:val="nil"/>
              <w:bottom w:val="nil"/>
              <w:right w:val="nil"/>
            </w:tcBorders>
            <w:shd w:val="clear" w:color="auto" w:fill="auto"/>
            <w:noWrap/>
            <w:vAlign w:val="bottom"/>
            <w:hideMark/>
          </w:tcPr>
          <w:p w14:paraId="501763D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144.9 </w:t>
            </w:r>
          </w:p>
        </w:tc>
        <w:tc>
          <w:tcPr>
            <w:tcW w:w="1052" w:type="dxa"/>
            <w:tcBorders>
              <w:top w:val="nil"/>
              <w:left w:val="nil"/>
              <w:bottom w:val="nil"/>
              <w:right w:val="single" w:sz="4" w:space="0" w:color="auto"/>
            </w:tcBorders>
            <w:shd w:val="clear" w:color="auto" w:fill="auto"/>
            <w:noWrap/>
            <w:vAlign w:val="bottom"/>
            <w:hideMark/>
          </w:tcPr>
          <w:p w14:paraId="2C5ECDA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123.2 </w:t>
            </w:r>
          </w:p>
        </w:tc>
      </w:tr>
      <w:tr w:rsidR="00E43679" w:rsidRPr="00E43679" w14:paraId="7E61C707"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ED607D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3F8DC97"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D3359E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660C027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75C6DD6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9289A4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55B351F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B5C1EB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7814005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25EE97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7E2F79D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F1CC69B"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081D520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Non Current Assets</w:t>
            </w:r>
          </w:p>
        </w:tc>
        <w:tc>
          <w:tcPr>
            <w:tcW w:w="1520" w:type="dxa"/>
            <w:tcBorders>
              <w:top w:val="nil"/>
              <w:left w:val="nil"/>
              <w:bottom w:val="nil"/>
              <w:right w:val="nil"/>
            </w:tcBorders>
            <w:shd w:val="clear" w:color="auto" w:fill="auto"/>
            <w:noWrap/>
            <w:vAlign w:val="bottom"/>
            <w:hideMark/>
          </w:tcPr>
          <w:p w14:paraId="67E195F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5442E50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558C4D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59832AC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4,497.7 </w:t>
            </w:r>
          </w:p>
        </w:tc>
        <w:tc>
          <w:tcPr>
            <w:tcW w:w="1052" w:type="dxa"/>
            <w:tcBorders>
              <w:top w:val="nil"/>
              <w:left w:val="nil"/>
              <w:bottom w:val="nil"/>
              <w:right w:val="nil"/>
            </w:tcBorders>
            <w:shd w:val="clear" w:color="auto" w:fill="auto"/>
            <w:noWrap/>
            <w:vAlign w:val="bottom"/>
            <w:hideMark/>
          </w:tcPr>
          <w:p w14:paraId="180D6F5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4,622.1 </w:t>
            </w:r>
          </w:p>
        </w:tc>
        <w:tc>
          <w:tcPr>
            <w:tcW w:w="1052" w:type="dxa"/>
            <w:tcBorders>
              <w:top w:val="nil"/>
              <w:left w:val="nil"/>
              <w:bottom w:val="nil"/>
              <w:right w:val="single" w:sz="4" w:space="0" w:color="auto"/>
            </w:tcBorders>
            <w:shd w:val="clear" w:color="auto" w:fill="auto"/>
            <w:noWrap/>
            <w:vAlign w:val="bottom"/>
            <w:hideMark/>
          </w:tcPr>
          <w:p w14:paraId="5674011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325.5 </w:t>
            </w:r>
          </w:p>
        </w:tc>
        <w:tc>
          <w:tcPr>
            <w:tcW w:w="1052" w:type="dxa"/>
            <w:tcBorders>
              <w:top w:val="nil"/>
              <w:left w:val="nil"/>
              <w:bottom w:val="nil"/>
              <w:right w:val="nil"/>
            </w:tcBorders>
            <w:shd w:val="clear" w:color="auto" w:fill="auto"/>
            <w:noWrap/>
            <w:vAlign w:val="bottom"/>
            <w:hideMark/>
          </w:tcPr>
          <w:p w14:paraId="3B59BB1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316.2 </w:t>
            </w:r>
          </w:p>
        </w:tc>
        <w:tc>
          <w:tcPr>
            <w:tcW w:w="1052" w:type="dxa"/>
            <w:tcBorders>
              <w:top w:val="nil"/>
              <w:left w:val="nil"/>
              <w:bottom w:val="nil"/>
              <w:right w:val="single" w:sz="4" w:space="0" w:color="auto"/>
            </w:tcBorders>
            <w:shd w:val="clear" w:color="auto" w:fill="auto"/>
            <w:noWrap/>
            <w:vAlign w:val="bottom"/>
            <w:hideMark/>
          </w:tcPr>
          <w:p w14:paraId="7C6A8FD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289.9 </w:t>
            </w:r>
          </w:p>
        </w:tc>
      </w:tr>
      <w:tr w:rsidR="00E43679" w:rsidRPr="00E43679" w14:paraId="5ED54109"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DFBF54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5FCD3B9"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F53258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73D3137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039EA64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85CE65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1EFDE34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D044FC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7975D90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9143A9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81954C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E679C56"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362CD6B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Current Assets</w:t>
            </w:r>
          </w:p>
        </w:tc>
        <w:tc>
          <w:tcPr>
            <w:tcW w:w="1520" w:type="dxa"/>
            <w:tcBorders>
              <w:top w:val="nil"/>
              <w:left w:val="nil"/>
              <w:bottom w:val="nil"/>
              <w:right w:val="nil"/>
            </w:tcBorders>
            <w:shd w:val="clear" w:color="auto" w:fill="auto"/>
            <w:noWrap/>
            <w:vAlign w:val="bottom"/>
            <w:hideMark/>
          </w:tcPr>
          <w:p w14:paraId="7135887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2DC1053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0F2BE1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5B7261E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430.8 </w:t>
            </w:r>
          </w:p>
        </w:tc>
        <w:tc>
          <w:tcPr>
            <w:tcW w:w="1052" w:type="dxa"/>
            <w:tcBorders>
              <w:top w:val="nil"/>
              <w:left w:val="nil"/>
              <w:bottom w:val="nil"/>
              <w:right w:val="nil"/>
            </w:tcBorders>
            <w:shd w:val="clear" w:color="auto" w:fill="auto"/>
            <w:noWrap/>
            <w:vAlign w:val="bottom"/>
            <w:hideMark/>
          </w:tcPr>
          <w:p w14:paraId="4E22989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369.9 </w:t>
            </w:r>
          </w:p>
        </w:tc>
        <w:tc>
          <w:tcPr>
            <w:tcW w:w="1052" w:type="dxa"/>
            <w:tcBorders>
              <w:top w:val="nil"/>
              <w:left w:val="nil"/>
              <w:bottom w:val="nil"/>
              <w:right w:val="single" w:sz="4" w:space="0" w:color="auto"/>
            </w:tcBorders>
            <w:shd w:val="clear" w:color="auto" w:fill="auto"/>
            <w:noWrap/>
            <w:vAlign w:val="bottom"/>
            <w:hideMark/>
          </w:tcPr>
          <w:p w14:paraId="204478C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232.7 </w:t>
            </w:r>
          </w:p>
        </w:tc>
        <w:tc>
          <w:tcPr>
            <w:tcW w:w="1052" w:type="dxa"/>
            <w:tcBorders>
              <w:top w:val="nil"/>
              <w:left w:val="nil"/>
              <w:bottom w:val="nil"/>
              <w:right w:val="nil"/>
            </w:tcBorders>
            <w:shd w:val="clear" w:color="auto" w:fill="auto"/>
            <w:noWrap/>
            <w:vAlign w:val="bottom"/>
            <w:hideMark/>
          </w:tcPr>
          <w:p w14:paraId="7DDA2C4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317.4 </w:t>
            </w:r>
          </w:p>
        </w:tc>
        <w:tc>
          <w:tcPr>
            <w:tcW w:w="1052" w:type="dxa"/>
            <w:tcBorders>
              <w:top w:val="nil"/>
              <w:left w:val="nil"/>
              <w:bottom w:val="nil"/>
              <w:right w:val="single" w:sz="4" w:space="0" w:color="auto"/>
            </w:tcBorders>
            <w:shd w:val="clear" w:color="auto" w:fill="auto"/>
            <w:noWrap/>
            <w:vAlign w:val="bottom"/>
            <w:hideMark/>
          </w:tcPr>
          <w:p w14:paraId="35E2872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257.1 </w:t>
            </w:r>
          </w:p>
        </w:tc>
      </w:tr>
      <w:tr w:rsidR="00E43679" w:rsidRPr="00E43679" w14:paraId="0405864B"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7E57FC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A64151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2C8AE44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67657E5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3BABDE8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B852A4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4EB4A17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2A335B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4A514F8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C64CCE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215A91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71B3F41"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62FDAD0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Assets</w:t>
            </w:r>
          </w:p>
        </w:tc>
        <w:tc>
          <w:tcPr>
            <w:tcW w:w="1459" w:type="dxa"/>
            <w:tcBorders>
              <w:top w:val="nil"/>
              <w:left w:val="nil"/>
              <w:bottom w:val="nil"/>
              <w:right w:val="nil"/>
            </w:tcBorders>
            <w:shd w:val="clear" w:color="auto" w:fill="auto"/>
            <w:noWrap/>
            <w:vAlign w:val="bottom"/>
            <w:hideMark/>
          </w:tcPr>
          <w:p w14:paraId="38E3F82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1CB4C23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5D8CB3F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9E0023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21C1AD6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4,928.5 </w:t>
            </w:r>
          </w:p>
        </w:tc>
        <w:tc>
          <w:tcPr>
            <w:tcW w:w="1052" w:type="dxa"/>
            <w:tcBorders>
              <w:top w:val="nil"/>
              <w:left w:val="nil"/>
              <w:bottom w:val="nil"/>
              <w:right w:val="nil"/>
            </w:tcBorders>
            <w:shd w:val="clear" w:color="auto" w:fill="auto"/>
            <w:noWrap/>
            <w:vAlign w:val="bottom"/>
            <w:hideMark/>
          </w:tcPr>
          <w:p w14:paraId="1E2635E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4,992.0 </w:t>
            </w:r>
          </w:p>
        </w:tc>
        <w:tc>
          <w:tcPr>
            <w:tcW w:w="1052" w:type="dxa"/>
            <w:tcBorders>
              <w:top w:val="nil"/>
              <w:left w:val="nil"/>
              <w:bottom w:val="nil"/>
              <w:right w:val="nil"/>
            </w:tcBorders>
            <w:shd w:val="clear" w:color="auto" w:fill="auto"/>
            <w:noWrap/>
            <w:vAlign w:val="bottom"/>
            <w:hideMark/>
          </w:tcPr>
          <w:p w14:paraId="3AEE2DC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558.1 </w:t>
            </w:r>
          </w:p>
        </w:tc>
        <w:tc>
          <w:tcPr>
            <w:tcW w:w="1052" w:type="dxa"/>
            <w:tcBorders>
              <w:top w:val="nil"/>
              <w:left w:val="single" w:sz="4" w:space="0" w:color="auto"/>
              <w:bottom w:val="nil"/>
              <w:right w:val="nil"/>
            </w:tcBorders>
            <w:shd w:val="clear" w:color="auto" w:fill="auto"/>
            <w:noWrap/>
            <w:vAlign w:val="bottom"/>
            <w:hideMark/>
          </w:tcPr>
          <w:p w14:paraId="5E5E8C0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633.6 </w:t>
            </w:r>
          </w:p>
        </w:tc>
        <w:tc>
          <w:tcPr>
            <w:tcW w:w="1052" w:type="dxa"/>
            <w:tcBorders>
              <w:top w:val="nil"/>
              <w:left w:val="nil"/>
              <w:bottom w:val="nil"/>
              <w:right w:val="single" w:sz="4" w:space="0" w:color="auto"/>
            </w:tcBorders>
            <w:shd w:val="clear" w:color="auto" w:fill="auto"/>
            <w:noWrap/>
            <w:vAlign w:val="bottom"/>
            <w:hideMark/>
          </w:tcPr>
          <w:p w14:paraId="6C2F8C0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547.0 </w:t>
            </w:r>
          </w:p>
        </w:tc>
      </w:tr>
      <w:tr w:rsidR="00E43679" w:rsidRPr="00E43679" w14:paraId="4546B883"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B569DA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4EB891A"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0AF79E8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5888C90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nil"/>
            </w:tcBorders>
            <w:shd w:val="clear" w:color="auto" w:fill="auto"/>
            <w:noWrap/>
            <w:vAlign w:val="bottom"/>
            <w:hideMark/>
          </w:tcPr>
          <w:p w14:paraId="1293F4C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828" w:type="dxa"/>
            <w:tcBorders>
              <w:top w:val="nil"/>
              <w:left w:val="single" w:sz="4" w:space="0" w:color="auto"/>
              <w:bottom w:val="nil"/>
              <w:right w:val="single" w:sz="4" w:space="0" w:color="auto"/>
            </w:tcBorders>
            <w:shd w:val="clear" w:color="auto" w:fill="auto"/>
            <w:noWrap/>
            <w:vAlign w:val="bottom"/>
            <w:hideMark/>
          </w:tcPr>
          <w:p w14:paraId="5122E9E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437370A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nil"/>
              <w:bottom w:val="nil"/>
              <w:right w:val="nil"/>
            </w:tcBorders>
            <w:shd w:val="clear" w:color="auto" w:fill="auto"/>
            <w:noWrap/>
            <w:vAlign w:val="bottom"/>
            <w:hideMark/>
          </w:tcPr>
          <w:p w14:paraId="3EB5593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4E2C3C5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1213B9A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9C5688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150C391"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4521546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Current Liabilities</w:t>
            </w:r>
          </w:p>
        </w:tc>
        <w:tc>
          <w:tcPr>
            <w:tcW w:w="1520" w:type="dxa"/>
            <w:tcBorders>
              <w:top w:val="nil"/>
              <w:left w:val="nil"/>
              <w:bottom w:val="nil"/>
              <w:right w:val="nil"/>
            </w:tcBorders>
            <w:shd w:val="clear" w:color="auto" w:fill="auto"/>
            <w:noWrap/>
            <w:vAlign w:val="bottom"/>
            <w:hideMark/>
          </w:tcPr>
          <w:p w14:paraId="2AAFD2F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363CA4D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F8BDF6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44059D4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383.7 </w:t>
            </w:r>
          </w:p>
        </w:tc>
        <w:tc>
          <w:tcPr>
            <w:tcW w:w="1052" w:type="dxa"/>
            <w:tcBorders>
              <w:top w:val="nil"/>
              <w:left w:val="nil"/>
              <w:bottom w:val="nil"/>
              <w:right w:val="nil"/>
            </w:tcBorders>
            <w:shd w:val="clear" w:color="auto" w:fill="auto"/>
            <w:noWrap/>
            <w:vAlign w:val="bottom"/>
            <w:hideMark/>
          </w:tcPr>
          <w:p w14:paraId="26705FA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372.8 </w:t>
            </w:r>
          </w:p>
        </w:tc>
        <w:tc>
          <w:tcPr>
            <w:tcW w:w="1052" w:type="dxa"/>
            <w:tcBorders>
              <w:top w:val="nil"/>
              <w:left w:val="nil"/>
              <w:bottom w:val="nil"/>
              <w:right w:val="nil"/>
            </w:tcBorders>
            <w:shd w:val="clear" w:color="auto" w:fill="auto"/>
            <w:noWrap/>
            <w:vAlign w:val="bottom"/>
            <w:hideMark/>
          </w:tcPr>
          <w:p w14:paraId="40114FF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283.5 </w:t>
            </w:r>
          </w:p>
        </w:tc>
        <w:tc>
          <w:tcPr>
            <w:tcW w:w="1052" w:type="dxa"/>
            <w:tcBorders>
              <w:top w:val="nil"/>
              <w:left w:val="single" w:sz="4" w:space="0" w:color="auto"/>
              <w:bottom w:val="nil"/>
              <w:right w:val="nil"/>
            </w:tcBorders>
            <w:shd w:val="clear" w:color="auto" w:fill="auto"/>
            <w:noWrap/>
            <w:vAlign w:val="bottom"/>
            <w:hideMark/>
          </w:tcPr>
          <w:p w14:paraId="7336BF6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236.3 </w:t>
            </w:r>
          </w:p>
        </w:tc>
        <w:tc>
          <w:tcPr>
            <w:tcW w:w="1052" w:type="dxa"/>
            <w:tcBorders>
              <w:top w:val="nil"/>
              <w:left w:val="nil"/>
              <w:bottom w:val="nil"/>
              <w:right w:val="single" w:sz="4" w:space="0" w:color="auto"/>
            </w:tcBorders>
            <w:shd w:val="clear" w:color="auto" w:fill="auto"/>
            <w:noWrap/>
            <w:vAlign w:val="bottom"/>
            <w:hideMark/>
          </w:tcPr>
          <w:p w14:paraId="165AB7F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219.0 </w:t>
            </w:r>
          </w:p>
        </w:tc>
      </w:tr>
      <w:tr w:rsidR="00E43679" w:rsidRPr="00E43679" w14:paraId="541CC5C3"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026B720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F028D5F"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4FF6680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3B00CDE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28E7BAB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5CF3916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071D9408"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14C49D3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nil"/>
            </w:tcBorders>
            <w:shd w:val="clear" w:color="auto" w:fill="auto"/>
            <w:noWrap/>
            <w:vAlign w:val="bottom"/>
            <w:hideMark/>
          </w:tcPr>
          <w:p w14:paraId="55CF5A0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0EBDE11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56FFBD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75D7B13"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6EDBAA3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Non Current Liabilities</w:t>
            </w:r>
          </w:p>
        </w:tc>
        <w:tc>
          <w:tcPr>
            <w:tcW w:w="1520" w:type="dxa"/>
            <w:tcBorders>
              <w:top w:val="nil"/>
              <w:left w:val="nil"/>
              <w:bottom w:val="nil"/>
              <w:right w:val="nil"/>
            </w:tcBorders>
            <w:shd w:val="clear" w:color="auto" w:fill="auto"/>
            <w:noWrap/>
            <w:vAlign w:val="bottom"/>
            <w:hideMark/>
          </w:tcPr>
          <w:p w14:paraId="7C1D30A1"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06DF830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7B37F9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4C326C9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149.4 </w:t>
            </w:r>
          </w:p>
        </w:tc>
        <w:tc>
          <w:tcPr>
            <w:tcW w:w="1052" w:type="dxa"/>
            <w:tcBorders>
              <w:top w:val="nil"/>
              <w:left w:val="nil"/>
              <w:bottom w:val="nil"/>
              <w:right w:val="nil"/>
            </w:tcBorders>
            <w:shd w:val="clear" w:color="auto" w:fill="auto"/>
            <w:noWrap/>
            <w:vAlign w:val="bottom"/>
            <w:hideMark/>
          </w:tcPr>
          <w:p w14:paraId="457DBC0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302.6 </w:t>
            </w:r>
          </w:p>
        </w:tc>
        <w:tc>
          <w:tcPr>
            <w:tcW w:w="1052" w:type="dxa"/>
            <w:tcBorders>
              <w:top w:val="nil"/>
              <w:left w:val="nil"/>
              <w:bottom w:val="nil"/>
              <w:right w:val="single" w:sz="4" w:space="0" w:color="auto"/>
            </w:tcBorders>
            <w:shd w:val="clear" w:color="auto" w:fill="auto"/>
            <w:noWrap/>
            <w:vAlign w:val="bottom"/>
            <w:hideMark/>
          </w:tcPr>
          <w:p w14:paraId="03A3D94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205.3 </w:t>
            </w:r>
          </w:p>
        </w:tc>
        <w:tc>
          <w:tcPr>
            <w:tcW w:w="1052" w:type="dxa"/>
            <w:tcBorders>
              <w:top w:val="nil"/>
              <w:left w:val="nil"/>
              <w:bottom w:val="nil"/>
              <w:right w:val="nil"/>
            </w:tcBorders>
            <w:shd w:val="clear" w:color="auto" w:fill="auto"/>
            <w:noWrap/>
            <w:vAlign w:val="bottom"/>
            <w:hideMark/>
          </w:tcPr>
          <w:p w14:paraId="3FD22B4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10.3 </w:t>
            </w:r>
          </w:p>
        </w:tc>
        <w:tc>
          <w:tcPr>
            <w:tcW w:w="1052" w:type="dxa"/>
            <w:tcBorders>
              <w:top w:val="nil"/>
              <w:left w:val="nil"/>
              <w:bottom w:val="nil"/>
              <w:right w:val="single" w:sz="4" w:space="0" w:color="auto"/>
            </w:tcBorders>
            <w:shd w:val="clear" w:color="auto" w:fill="auto"/>
            <w:noWrap/>
            <w:vAlign w:val="bottom"/>
            <w:hideMark/>
          </w:tcPr>
          <w:p w14:paraId="7CD2A05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17.0 </w:t>
            </w:r>
          </w:p>
        </w:tc>
      </w:tr>
      <w:tr w:rsidR="00E43679" w:rsidRPr="00E43679" w14:paraId="3C1036CF"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847698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6A87A4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086695B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6289296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43060B3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59E8282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3A5A03D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A5313F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5032E7E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BF6EFE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B5DE46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BDA11DF"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5513728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Liabilities</w:t>
            </w:r>
          </w:p>
        </w:tc>
        <w:tc>
          <w:tcPr>
            <w:tcW w:w="1459" w:type="dxa"/>
            <w:tcBorders>
              <w:top w:val="nil"/>
              <w:left w:val="nil"/>
              <w:bottom w:val="nil"/>
              <w:right w:val="nil"/>
            </w:tcBorders>
            <w:shd w:val="clear" w:color="auto" w:fill="auto"/>
            <w:noWrap/>
            <w:vAlign w:val="bottom"/>
            <w:hideMark/>
          </w:tcPr>
          <w:p w14:paraId="661E4C69"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3366330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72C0A06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2D6A23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5F19786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533.1 </w:t>
            </w:r>
          </w:p>
        </w:tc>
        <w:tc>
          <w:tcPr>
            <w:tcW w:w="1052" w:type="dxa"/>
            <w:tcBorders>
              <w:top w:val="nil"/>
              <w:left w:val="nil"/>
              <w:bottom w:val="nil"/>
              <w:right w:val="nil"/>
            </w:tcBorders>
            <w:shd w:val="clear" w:color="auto" w:fill="auto"/>
            <w:noWrap/>
            <w:vAlign w:val="bottom"/>
            <w:hideMark/>
          </w:tcPr>
          <w:p w14:paraId="6F2E287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675.4 </w:t>
            </w:r>
          </w:p>
        </w:tc>
        <w:tc>
          <w:tcPr>
            <w:tcW w:w="1052" w:type="dxa"/>
            <w:tcBorders>
              <w:top w:val="nil"/>
              <w:left w:val="nil"/>
              <w:bottom w:val="nil"/>
              <w:right w:val="single" w:sz="4" w:space="0" w:color="auto"/>
            </w:tcBorders>
            <w:shd w:val="clear" w:color="auto" w:fill="auto"/>
            <w:noWrap/>
            <w:vAlign w:val="bottom"/>
            <w:hideMark/>
          </w:tcPr>
          <w:p w14:paraId="58D35DE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488.8 </w:t>
            </w:r>
          </w:p>
        </w:tc>
        <w:tc>
          <w:tcPr>
            <w:tcW w:w="1052" w:type="dxa"/>
            <w:tcBorders>
              <w:top w:val="nil"/>
              <w:left w:val="nil"/>
              <w:bottom w:val="nil"/>
              <w:right w:val="nil"/>
            </w:tcBorders>
            <w:shd w:val="clear" w:color="auto" w:fill="auto"/>
            <w:noWrap/>
            <w:vAlign w:val="bottom"/>
            <w:hideMark/>
          </w:tcPr>
          <w:p w14:paraId="3FC57C4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246.6 </w:t>
            </w:r>
          </w:p>
        </w:tc>
        <w:tc>
          <w:tcPr>
            <w:tcW w:w="1052" w:type="dxa"/>
            <w:tcBorders>
              <w:top w:val="nil"/>
              <w:left w:val="nil"/>
              <w:bottom w:val="nil"/>
              <w:right w:val="single" w:sz="4" w:space="0" w:color="auto"/>
            </w:tcBorders>
            <w:shd w:val="clear" w:color="auto" w:fill="auto"/>
            <w:noWrap/>
            <w:vAlign w:val="bottom"/>
            <w:hideMark/>
          </w:tcPr>
          <w:p w14:paraId="163E373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236.0 </w:t>
            </w:r>
          </w:p>
        </w:tc>
      </w:tr>
      <w:tr w:rsidR="00E43679" w:rsidRPr="00E43679" w14:paraId="6E2E1B21"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7EC9BB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B1F61B9"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3DF4DBA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759BB9F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723ADF5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57973B4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5FC962C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BDEC27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BD7DB4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302F5A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397B60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B4C5BA3"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79D3A7D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Net Assets (calculated)</w:t>
            </w:r>
          </w:p>
        </w:tc>
        <w:tc>
          <w:tcPr>
            <w:tcW w:w="1520" w:type="dxa"/>
            <w:tcBorders>
              <w:top w:val="nil"/>
              <w:left w:val="nil"/>
              <w:bottom w:val="nil"/>
              <w:right w:val="nil"/>
            </w:tcBorders>
            <w:shd w:val="clear" w:color="auto" w:fill="auto"/>
            <w:noWrap/>
            <w:vAlign w:val="bottom"/>
            <w:hideMark/>
          </w:tcPr>
          <w:p w14:paraId="47DBB24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52527A3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128AEC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50C61E1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4,395.4 </w:t>
            </w:r>
          </w:p>
        </w:tc>
        <w:tc>
          <w:tcPr>
            <w:tcW w:w="1052" w:type="dxa"/>
            <w:tcBorders>
              <w:top w:val="nil"/>
              <w:left w:val="nil"/>
              <w:bottom w:val="nil"/>
              <w:right w:val="nil"/>
            </w:tcBorders>
            <w:shd w:val="clear" w:color="auto" w:fill="auto"/>
            <w:noWrap/>
            <w:vAlign w:val="bottom"/>
            <w:hideMark/>
          </w:tcPr>
          <w:p w14:paraId="5B7C9C9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4,316.6 </w:t>
            </w:r>
          </w:p>
        </w:tc>
        <w:tc>
          <w:tcPr>
            <w:tcW w:w="1052" w:type="dxa"/>
            <w:tcBorders>
              <w:top w:val="nil"/>
              <w:left w:val="nil"/>
              <w:bottom w:val="nil"/>
              <w:right w:val="nil"/>
            </w:tcBorders>
            <w:shd w:val="clear" w:color="auto" w:fill="auto"/>
            <w:noWrap/>
            <w:vAlign w:val="bottom"/>
            <w:hideMark/>
          </w:tcPr>
          <w:p w14:paraId="568F1C1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69.3 </w:t>
            </w:r>
          </w:p>
        </w:tc>
        <w:tc>
          <w:tcPr>
            <w:tcW w:w="1052" w:type="dxa"/>
            <w:tcBorders>
              <w:top w:val="nil"/>
              <w:left w:val="single" w:sz="4" w:space="0" w:color="auto"/>
              <w:bottom w:val="nil"/>
              <w:right w:val="nil"/>
            </w:tcBorders>
            <w:shd w:val="clear" w:color="auto" w:fill="auto"/>
            <w:noWrap/>
            <w:vAlign w:val="bottom"/>
            <w:hideMark/>
          </w:tcPr>
          <w:p w14:paraId="4B35D87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387.0 </w:t>
            </w:r>
          </w:p>
        </w:tc>
        <w:tc>
          <w:tcPr>
            <w:tcW w:w="1052" w:type="dxa"/>
            <w:tcBorders>
              <w:top w:val="nil"/>
              <w:left w:val="nil"/>
              <w:bottom w:val="nil"/>
              <w:right w:val="single" w:sz="4" w:space="0" w:color="auto"/>
            </w:tcBorders>
            <w:shd w:val="clear" w:color="auto" w:fill="auto"/>
            <w:noWrap/>
            <w:vAlign w:val="bottom"/>
            <w:hideMark/>
          </w:tcPr>
          <w:p w14:paraId="6BBEA1A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311.0 </w:t>
            </w:r>
          </w:p>
        </w:tc>
      </w:tr>
      <w:tr w:rsidR="00E43679" w:rsidRPr="00E43679" w14:paraId="6E72633E"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0B64394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EF65A6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BF79DD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156F8C0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735B246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A918BE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0CB0947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D3BEBD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ED2D4A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934936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108ECD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DDC0A1A" w14:textId="77777777" w:rsidTr="5CE60E2F">
        <w:trPr>
          <w:trHeight w:val="300"/>
        </w:trPr>
        <w:tc>
          <w:tcPr>
            <w:tcW w:w="6501" w:type="dxa"/>
            <w:gridSpan w:val="5"/>
            <w:tcBorders>
              <w:top w:val="nil"/>
              <w:left w:val="single" w:sz="4" w:space="0" w:color="auto"/>
              <w:bottom w:val="nil"/>
              <w:right w:val="single" w:sz="4" w:space="0" w:color="000000" w:themeColor="text1"/>
            </w:tcBorders>
            <w:shd w:val="clear" w:color="auto" w:fill="auto"/>
            <w:noWrap/>
            <w:vAlign w:val="bottom"/>
            <w:hideMark/>
          </w:tcPr>
          <w:p w14:paraId="355646B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lastRenderedPageBreak/>
              <w:t>Equity attributable to equity holders of the parent</w:t>
            </w:r>
          </w:p>
        </w:tc>
        <w:tc>
          <w:tcPr>
            <w:tcW w:w="828" w:type="dxa"/>
            <w:tcBorders>
              <w:top w:val="nil"/>
              <w:left w:val="nil"/>
              <w:bottom w:val="nil"/>
              <w:right w:val="single" w:sz="4" w:space="0" w:color="auto"/>
            </w:tcBorders>
            <w:shd w:val="clear" w:color="auto" w:fill="auto"/>
            <w:noWrap/>
            <w:vAlign w:val="bottom"/>
            <w:hideMark/>
          </w:tcPr>
          <w:p w14:paraId="49E4E5B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6D4DF05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4,395.4 </w:t>
            </w:r>
          </w:p>
        </w:tc>
        <w:tc>
          <w:tcPr>
            <w:tcW w:w="1052" w:type="dxa"/>
            <w:tcBorders>
              <w:top w:val="nil"/>
              <w:left w:val="nil"/>
              <w:bottom w:val="nil"/>
              <w:right w:val="nil"/>
            </w:tcBorders>
            <w:shd w:val="clear" w:color="auto" w:fill="auto"/>
            <w:noWrap/>
            <w:vAlign w:val="bottom"/>
            <w:hideMark/>
          </w:tcPr>
          <w:p w14:paraId="6209A59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4,316.6 </w:t>
            </w:r>
          </w:p>
        </w:tc>
        <w:tc>
          <w:tcPr>
            <w:tcW w:w="1052" w:type="dxa"/>
            <w:tcBorders>
              <w:top w:val="nil"/>
              <w:left w:val="nil"/>
              <w:bottom w:val="nil"/>
              <w:right w:val="single" w:sz="4" w:space="0" w:color="auto"/>
            </w:tcBorders>
            <w:shd w:val="clear" w:color="auto" w:fill="auto"/>
            <w:noWrap/>
            <w:vAlign w:val="bottom"/>
            <w:hideMark/>
          </w:tcPr>
          <w:p w14:paraId="2722CBC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69.3 </w:t>
            </w:r>
          </w:p>
        </w:tc>
        <w:tc>
          <w:tcPr>
            <w:tcW w:w="1052" w:type="dxa"/>
            <w:tcBorders>
              <w:top w:val="nil"/>
              <w:left w:val="nil"/>
              <w:bottom w:val="nil"/>
              <w:right w:val="nil"/>
            </w:tcBorders>
            <w:shd w:val="clear" w:color="auto" w:fill="auto"/>
            <w:noWrap/>
            <w:vAlign w:val="bottom"/>
            <w:hideMark/>
          </w:tcPr>
          <w:p w14:paraId="7CEF778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387.0 </w:t>
            </w:r>
          </w:p>
        </w:tc>
        <w:tc>
          <w:tcPr>
            <w:tcW w:w="1052" w:type="dxa"/>
            <w:tcBorders>
              <w:top w:val="nil"/>
              <w:left w:val="nil"/>
              <w:bottom w:val="nil"/>
              <w:right w:val="single" w:sz="4" w:space="0" w:color="auto"/>
            </w:tcBorders>
            <w:shd w:val="clear" w:color="auto" w:fill="auto"/>
            <w:noWrap/>
            <w:vAlign w:val="bottom"/>
            <w:hideMark/>
          </w:tcPr>
          <w:p w14:paraId="09C9CD7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311.0 </w:t>
            </w:r>
          </w:p>
        </w:tc>
      </w:tr>
      <w:tr w:rsidR="00E43679" w:rsidRPr="00E43679" w14:paraId="0BAF6C81"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1D7C3FF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Non Controlling Interest</w:t>
            </w:r>
          </w:p>
        </w:tc>
        <w:tc>
          <w:tcPr>
            <w:tcW w:w="1520" w:type="dxa"/>
            <w:tcBorders>
              <w:top w:val="nil"/>
              <w:left w:val="nil"/>
              <w:bottom w:val="nil"/>
              <w:right w:val="nil"/>
            </w:tcBorders>
            <w:shd w:val="clear" w:color="auto" w:fill="auto"/>
            <w:noWrap/>
            <w:vAlign w:val="bottom"/>
            <w:hideMark/>
          </w:tcPr>
          <w:p w14:paraId="42ADD8B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2260C2D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51FBFC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5E0DBB1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nil"/>
            </w:tcBorders>
            <w:shd w:val="clear" w:color="auto" w:fill="auto"/>
            <w:noWrap/>
            <w:vAlign w:val="bottom"/>
            <w:hideMark/>
          </w:tcPr>
          <w:p w14:paraId="4FCF545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single" w:sz="4" w:space="0" w:color="auto"/>
            </w:tcBorders>
            <w:shd w:val="clear" w:color="auto" w:fill="auto"/>
            <w:noWrap/>
            <w:vAlign w:val="bottom"/>
            <w:hideMark/>
          </w:tcPr>
          <w:p w14:paraId="5FE4936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nil"/>
            </w:tcBorders>
            <w:shd w:val="clear" w:color="auto" w:fill="auto"/>
            <w:noWrap/>
            <w:vAlign w:val="bottom"/>
            <w:hideMark/>
          </w:tcPr>
          <w:p w14:paraId="5EF6EC6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single" w:sz="4" w:space="0" w:color="auto"/>
            </w:tcBorders>
            <w:shd w:val="clear" w:color="auto" w:fill="auto"/>
            <w:noWrap/>
            <w:vAlign w:val="bottom"/>
            <w:hideMark/>
          </w:tcPr>
          <w:p w14:paraId="41D7B7B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r>
      <w:tr w:rsidR="00E43679" w:rsidRPr="00E43679" w14:paraId="54431B7F"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63E24ADB" w14:textId="77777777" w:rsidR="00E43679" w:rsidRPr="00E43679" w:rsidRDefault="00E43679" w:rsidP="00E43679">
            <w:pPr>
              <w:spacing w:after="0" w:line="240" w:lineRule="auto"/>
              <w:rPr>
                <w:rFonts w:ascii="Calibri" w:eastAsia="Times New Roman" w:hAnsi="Calibri" w:cs="Calibri"/>
                <w:b/>
                <w:bCs/>
                <w:color w:val="auto"/>
                <w:sz w:val="22"/>
                <w:szCs w:val="22"/>
                <w:lang w:val="en-GB" w:eastAsia="en-GB"/>
              </w:rPr>
            </w:pPr>
            <w:r w:rsidRPr="00E43679">
              <w:rPr>
                <w:rFonts w:ascii="Calibri" w:eastAsia="Times New Roman" w:hAnsi="Calibri" w:cs="Calibri"/>
                <w:b/>
                <w:bCs/>
                <w:color w:val="auto"/>
                <w:sz w:val="22"/>
                <w:szCs w:val="22"/>
                <w:lang w:val="en-GB" w:eastAsia="en-GB"/>
              </w:rPr>
              <w:t>Total Equity (calculated)</w:t>
            </w:r>
          </w:p>
        </w:tc>
        <w:tc>
          <w:tcPr>
            <w:tcW w:w="1520" w:type="dxa"/>
            <w:tcBorders>
              <w:top w:val="nil"/>
              <w:left w:val="nil"/>
              <w:bottom w:val="nil"/>
              <w:right w:val="nil"/>
            </w:tcBorders>
            <w:shd w:val="clear" w:color="auto" w:fill="auto"/>
            <w:noWrap/>
            <w:vAlign w:val="bottom"/>
            <w:hideMark/>
          </w:tcPr>
          <w:p w14:paraId="7B5EA406" w14:textId="77777777" w:rsidR="00E43679" w:rsidRPr="00E43679" w:rsidRDefault="00E43679" w:rsidP="00E43679">
            <w:pPr>
              <w:spacing w:after="0" w:line="240" w:lineRule="auto"/>
              <w:rPr>
                <w:rFonts w:ascii="Calibri" w:eastAsia="Times New Roman" w:hAnsi="Calibri" w:cs="Calibri"/>
                <w:b/>
                <w:bCs/>
                <w:color w:val="auto"/>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78C76CA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15A0CAF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54964BE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4,395.4 </w:t>
            </w:r>
          </w:p>
        </w:tc>
        <w:tc>
          <w:tcPr>
            <w:tcW w:w="1052" w:type="dxa"/>
            <w:tcBorders>
              <w:top w:val="nil"/>
              <w:left w:val="nil"/>
              <w:bottom w:val="nil"/>
              <w:right w:val="nil"/>
            </w:tcBorders>
            <w:shd w:val="clear" w:color="auto" w:fill="auto"/>
            <w:noWrap/>
            <w:vAlign w:val="bottom"/>
            <w:hideMark/>
          </w:tcPr>
          <w:p w14:paraId="24EABA4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4,316.6 </w:t>
            </w:r>
          </w:p>
        </w:tc>
        <w:tc>
          <w:tcPr>
            <w:tcW w:w="1052" w:type="dxa"/>
            <w:tcBorders>
              <w:top w:val="nil"/>
              <w:left w:val="nil"/>
              <w:bottom w:val="nil"/>
              <w:right w:val="nil"/>
            </w:tcBorders>
            <w:shd w:val="clear" w:color="auto" w:fill="auto"/>
            <w:noWrap/>
            <w:vAlign w:val="bottom"/>
            <w:hideMark/>
          </w:tcPr>
          <w:p w14:paraId="5BF91C1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69.3 </w:t>
            </w:r>
          </w:p>
        </w:tc>
        <w:tc>
          <w:tcPr>
            <w:tcW w:w="1052" w:type="dxa"/>
            <w:tcBorders>
              <w:top w:val="nil"/>
              <w:left w:val="single" w:sz="4" w:space="0" w:color="auto"/>
              <w:bottom w:val="nil"/>
              <w:right w:val="nil"/>
            </w:tcBorders>
            <w:shd w:val="clear" w:color="auto" w:fill="auto"/>
            <w:noWrap/>
            <w:vAlign w:val="bottom"/>
            <w:hideMark/>
          </w:tcPr>
          <w:p w14:paraId="7EB6B60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387.0 </w:t>
            </w:r>
          </w:p>
        </w:tc>
        <w:tc>
          <w:tcPr>
            <w:tcW w:w="1052" w:type="dxa"/>
            <w:tcBorders>
              <w:top w:val="nil"/>
              <w:left w:val="nil"/>
              <w:bottom w:val="nil"/>
              <w:right w:val="single" w:sz="4" w:space="0" w:color="auto"/>
            </w:tcBorders>
            <w:shd w:val="clear" w:color="auto" w:fill="auto"/>
            <w:noWrap/>
            <w:vAlign w:val="bottom"/>
            <w:hideMark/>
          </w:tcPr>
          <w:p w14:paraId="427316E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311.0 </w:t>
            </w:r>
          </w:p>
        </w:tc>
      </w:tr>
      <w:tr w:rsidR="00E43679" w:rsidRPr="00E43679" w14:paraId="25249DDC"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D82C71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D1C3258"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0DC418E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36FC6C4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0CD38EA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B147DD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4C2CDE3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0561C3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285D00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289CF2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BDC7FE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8EC31A4"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08C8D6F1" w14:textId="77777777" w:rsidR="00E43679" w:rsidRPr="00E43679" w:rsidRDefault="00E43679" w:rsidP="00E43679">
            <w:pPr>
              <w:spacing w:after="0" w:line="240" w:lineRule="auto"/>
              <w:rPr>
                <w:rFonts w:ascii="Calibri" w:eastAsia="Times New Roman" w:hAnsi="Calibri" w:cs="Calibri"/>
                <w:b/>
                <w:color w:val="000000" w:themeColor="text1"/>
                <w:sz w:val="22"/>
                <w:szCs w:val="22"/>
                <w:u w:val="single"/>
                <w:lang w:val="en-GB" w:eastAsia="en-GB"/>
              </w:rPr>
            </w:pPr>
            <w:r w:rsidRPr="5CE60E2F">
              <w:rPr>
                <w:rFonts w:ascii="Calibri" w:eastAsia="Times New Roman" w:hAnsi="Calibri" w:cs="Calibri"/>
                <w:b/>
                <w:color w:val="000000" w:themeColor="text1"/>
                <w:sz w:val="22"/>
                <w:szCs w:val="22"/>
                <w:u w:val="single"/>
                <w:lang w:val="en-GB" w:eastAsia="en-GB"/>
              </w:rPr>
              <w:t>Analysis  of Key Components</w:t>
            </w:r>
          </w:p>
        </w:tc>
        <w:tc>
          <w:tcPr>
            <w:tcW w:w="1520" w:type="dxa"/>
            <w:tcBorders>
              <w:top w:val="nil"/>
              <w:left w:val="nil"/>
              <w:bottom w:val="nil"/>
              <w:right w:val="nil"/>
            </w:tcBorders>
            <w:shd w:val="clear" w:color="auto" w:fill="auto"/>
            <w:noWrap/>
            <w:vAlign w:val="bottom"/>
            <w:hideMark/>
          </w:tcPr>
          <w:p w14:paraId="1BEAA31C" w14:textId="77777777" w:rsidR="00E43679" w:rsidRPr="00E43679" w:rsidRDefault="00E43679" w:rsidP="00E43679">
            <w:pPr>
              <w:spacing w:after="0" w:line="240" w:lineRule="auto"/>
              <w:rPr>
                <w:rFonts w:ascii="Calibri" w:eastAsia="Times New Roman" w:hAnsi="Calibri" w:cs="Calibri"/>
                <w:b/>
                <w:bCs/>
                <w:color w:val="000000"/>
                <w:sz w:val="22"/>
                <w:szCs w:val="22"/>
                <w:u w:val="single"/>
                <w:lang w:val="en-GB" w:eastAsia="en-GB"/>
              </w:rPr>
            </w:pPr>
          </w:p>
        </w:tc>
        <w:tc>
          <w:tcPr>
            <w:tcW w:w="1322" w:type="dxa"/>
            <w:tcBorders>
              <w:top w:val="nil"/>
              <w:left w:val="nil"/>
              <w:bottom w:val="nil"/>
              <w:right w:val="single" w:sz="4" w:space="0" w:color="auto"/>
            </w:tcBorders>
            <w:shd w:val="clear" w:color="auto" w:fill="auto"/>
            <w:noWrap/>
            <w:vAlign w:val="bottom"/>
            <w:hideMark/>
          </w:tcPr>
          <w:p w14:paraId="13802E8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3786DF1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4C28751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7205B4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3F5B8D6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64CD95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D3A195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7188FC8"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1839628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Cash &amp; Cash Equivalents</w:t>
            </w:r>
          </w:p>
        </w:tc>
        <w:tc>
          <w:tcPr>
            <w:tcW w:w="1520" w:type="dxa"/>
            <w:tcBorders>
              <w:top w:val="nil"/>
              <w:left w:val="nil"/>
              <w:bottom w:val="nil"/>
              <w:right w:val="nil"/>
            </w:tcBorders>
            <w:shd w:val="clear" w:color="auto" w:fill="auto"/>
            <w:noWrap/>
            <w:vAlign w:val="bottom"/>
            <w:hideMark/>
          </w:tcPr>
          <w:p w14:paraId="6C84C78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3CE6752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028681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592E839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306.6 </w:t>
            </w:r>
          </w:p>
        </w:tc>
        <w:tc>
          <w:tcPr>
            <w:tcW w:w="1052" w:type="dxa"/>
            <w:tcBorders>
              <w:top w:val="nil"/>
              <w:left w:val="nil"/>
              <w:bottom w:val="nil"/>
              <w:right w:val="nil"/>
            </w:tcBorders>
            <w:shd w:val="clear" w:color="auto" w:fill="auto"/>
            <w:noWrap/>
            <w:vAlign w:val="bottom"/>
            <w:hideMark/>
          </w:tcPr>
          <w:p w14:paraId="687BF3A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249.9 </w:t>
            </w:r>
          </w:p>
        </w:tc>
        <w:tc>
          <w:tcPr>
            <w:tcW w:w="1052" w:type="dxa"/>
            <w:tcBorders>
              <w:top w:val="nil"/>
              <w:left w:val="nil"/>
              <w:bottom w:val="nil"/>
              <w:right w:val="single" w:sz="4" w:space="0" w:color="auto"/>
            </w:tcBorders>
            <w:shd w:val="clear" w:color="auto" w:fill="auto"/>
            <w:noWrap/>
            <w:vAlign w:val="bottom"/>
            <w:hideMark/>
          </w:tcPr>
          <w:p w14:paraId="7640254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152.3 </w:t>
            </w:r>
          </w:p>
        </w:tc>
        <w:tc>
          <w:tcPr>
            <w:tcW w:w="1052" w:type="dxa"/>
            <w:tcBorders>
              <w:top w:val="nil"/>
              <w:left w:val="nil"/>
              <w:bottom w:val="nil"/>
              <w:right w:val="nil"/>
            </w:tcBorders>
            <w:shd w:val="clear" w:color="auto" w:fill="auto"/>
            <w:noWrap/>
            <w:vAlign w:val="bottom"/>
            <w:hideMark/>
          </w:tcPr>
          <w:p w14:paraId="15E361E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226.5 </w:t>
            </w:r>
          </w:p>
        </w:tc>
        <w:tc>
          <w:tcPr>
            <w:tcW w:w="1052" w:type="dxa"/>
            <w:tcBorders>
              <w:top w:val="nil"/>
              <w:left w:val="nil"/>
              <w:bottom w:val="nil"/>
              <w:right w:val="single" w:sz="4" w:space="0" w:color="auto"/>
            </w:tcBorders>
            <w:shd w:val="clear" w:color="auto" w:fill="auto"/>
            <w:noWrap/>
            <w:vAlign w:val="bottom"/>
            <w:hideMark/>
          </w:tcPr>
          <w:p w14:paraId="4F2E87B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161.4 </w:t>
            </w:r>
          </w:p>
        </w:tc>
      </w:tr>
      <w:tr w:rsidR="00E43679" w:rsidRPr="00E43679" w14:paraId="68E70CA1"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1450B68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Financial Asset - Deposit</w:t>
            </w:r>
          </w:p>
        </w:tc>
        <w:tc>
          <w:tcPr>
            <w:tcW w:w="1520" w:type="dxa"/>
            <w:tcBorders>
              <w:top w:val="nil"/>
              <w:left w:val="nil"/>
              <w:bottom w:val="nil"/>
              <w:right w:val="nil"/>
            </w:tcBorders>
            <w:shd w:val="clear" w:color="auto" w:fill="auto"/>
            <w:noWrap/>
            <w:vAlign w:val="bottom"/>
            <w:hideMark/>
          </w:tcPr>
          <w:p w14:paraId="777684A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18CCA67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E1AA69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5F76427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nil"/>
            </w:tcBorders>
            <w:shd w:val="clear" w:color="auto" w:fill="auto"/>
            <w:noWrap/>
            <w:vAlign w:val="bottom"/>
            <w:hideMark/>
          </w:tcPr>
          <w:p w14:paraId="56E0342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single" w:sz="4" w:space="0" w:color="auto"/>
            </w:tcBorders>
            <w:shd w:val="clear" w:color="auto" w:fill="auto"/>
            <w:noWrap/>
            <w:vAlign w:val="bottom"/>
            <w:hideMark/>
          </w:tcPr>
          <w:p w14:paraId="723EB2F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nil"/>
            </w:tcBorders>
            <w:shd w:val="clear" w:color="auto" w:fill="auto"/>
            <w:noWrap/>
            <w:vAlign w:val="bottom"/>
            <w:hideMark/>
          </w:tcPr>
          <w:p w14:paraId="6A64509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19.3 </w:t>
            </w:r>
          </w:p>
        </w:tc>
        <w:tc>
          <w:tcPr>
            <w:tcW w:w="1052" w:type="dxa"/>
            <w:tcBorders>
              <w:top w:val="nil"/>
              <w:left w:val="nil"/>
              <w:bottom w:val="nil"/>
              <w:right w:val="single" w:sz="4" w:space="0" w:color="auto"/>
            </w:tcBorders>
            <w:shd w:val="clear" w:color="auto" w:fill="auto"/>
            <w:noWrap/>
            <w:vAlign w:val="bottom"/>
            <w:hideMark/>
          </w:tcPr>
          <w:p w14:paraId="2573DCB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13.7 </w:t>
            </w:r>
          </w:p>
        </w:tc>
      </w:tr>
      <w:tr w:rsidR="00E43679" w:rsidRPr="00E43679" w14:paraId="13F9A7C1"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02DC668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Cash Available</w:t>
            </w:r>
          </w:p>
        </w:tc>
        <w:tc>
          <w:tcPr>
            <w:tcW w:w="1459" w:type="dxa"/>
            <w:tcBorders>
              <w:top w:val="nil"/>
              <w:left w:val="nil"/>
              <w:bottom w:val="nil"/>
              <w:right w:val="nil"/>
            </w:tcBorders>
            <w:shd w:val="clear" w:color="auto" w:fill="auto"/>
            <w:noWrap/>
            <w:vAlign w:val="bottom"/>
            <w:hideMark/>
          </w:tcPr>
          <w:p w14:paraId="5C558A4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58A5B13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78C4E0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C9AC548"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288F00F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306.6 </w:t>
            </w:r>
          </w:p>
        </w:tc>
        <w:tc>
          <w:tcPr>
            <w:tcW w:w="1052" w:type="dxa"/>
            <w:tcBorders>
              <w:top w:val="nil"/>
              <w:left w:val="nil"/>
              <w:bottom w:val="nil"/>
              <w:right w:val="nil"/>
            </w:tcBorders>
            <w:shd w:val="clear" w:color="auto" w:fill="auto"/>
            <w:noWrap/>
            <w:vAlign w:val="bottom"/>
            <w:hideMark/>
          </w:tcPr>
          <w:p w14:paraId="1126061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249.9 </w:t>
            </w:r>
          </w:p>
        </w:tc>
        <w:tc>
          <w:tcPr>
            <w:tcW w:w="1052" w:type="dxa"/>
            <w:tcBorders>
              <w:top w:val="nil"/>
              <w:left w:val="nil"/>
              <w:bottom w:val="nil"/>
              <w:right w:val="nil"/>
            </w:tcBorders>
            <w:shd w:val="clear" w:color="auto" w:fill="auto"/>
            <w:noWrap/>
            <w:vAlign w:val="bottom"/>
            <w:hideMark/>
          </w:tcPr>
          <w:p w14:paraId="7AC35BF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152.3 </w:t>
            </w:r>
          </w:p>
        </w:tc>
        <w:tc>
          <w:tcPr>
            <w:tcW w:w="1052" w:type="dxa"/>
            <w:tcBorders>
              <w:top w:val="nil"/>
              <w:left w:val="single" w:sz="4" w:space="0" w:color="auto"/>
              <w:bottom w:val="nil"/>
              <w:right w:val="nil"/>
            </w:tcBorders>
            <w:shd w:val="clear" w:color="auto" w:fill="auto"/>
            <w:noWrap/>
            <w:vAlign w:val="bottom"/>
            <w:hideMark/>
          </w:tcPr>
          <w:p w14:paraId="33AC0FD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245.8 </w:t>
            </w:r>
          </w:p>
        </w:tc>
        <w:tc>
          <w:tcPr>
            <w:tcW w:w="1052" w:type="dxa"/>
            <w:tcBorders>
              <w:top w:val="nil"/>
              <w:left w:val="nil"/>
              <w:bottom w:val="nil"/>
              <w:right w:val="single" w:sz="4" w:space="0" w:color="auto"/>
            </w:tcBorders>
            <w:shd w:val="clear" w:color="auto" w:fill="auto"/>
            <w:noWrap/>
            <w:vAlign w:val="bottom"/>
            <w:hideMark/>
          </w:tcPr>
          <w:p w14:paraId="6AE951F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175.0 </w:t>
            </w:r>
          </w:p>
        </w:tc>
      </w:tr>
      <w:tr w:rsidR="00E43679" w:rsidRPr="00E43679" w14:paraId="592863EF"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BA54DE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FA9CED6"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7070CBC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3246313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49DACD2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9FCC6D3"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21648A4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91AC3A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2CFC38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78D6CF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79ACFF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FAF74B7" w14:textId="77777777" w:rsidTr="00E43679">
        <w:trPr>
          <w:trHeight w:val="300"/>
        </w:trPr>
        <w:tc>
          <w:tcPr>
            <w:tcW w:w="5179" w:type="dxa"/>
            <w:gridSpan w:val="4"/>
            <w:tcBorders>
              <w:top w:val="nil"/>
              <w:left w:val="single" w:sz="4" w:space="0" w:color="auto"/>
              <w:bottom w:val="nil"/>
              <w:right w:val="nil"/>
            </w:tcBorders>
            <w:shd w:val="clear" w:color="auto" w:fill="auto"/>
            <w:noWrap/>
            <w:vAlign w:val="bottom"/>
            <w:hideMark/>
          </w:tcPr>
          <w:p w14:paraId="7D8EACA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Working Capital (Net Current Assets) calculated</w:t>
            </w:r>
          </w:p>
        </w:tc>
        <w:tc>
          <w:tcPr>
            <w:tcW w:w="1322" w:type="dxa"/>
            <w:tcBorders>
              <w:top w:val="nil"/>
              <w:left w:val="nil"/>
              <w:bottom w:val="nil"/>
              <w:right w:val="single" w:sz="4" w:space="0" w:color="auto"/>
            </w:tcBorders>
            <w:shd w:val="clear" w:color="auto" w:fill="auto"/>
            <w:noWrap/>
            <w:vAlign w:val="bottom"/>
            <w:hideMark/>
          </w:tcPr>
          <w:p w14:paraId="6583556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A70CB5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5436219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47.1 </w:t>
            </w:r>
          </w:p>
        </w:tc>
        <w:tc>
          <w:tcPr>
            <w:tcW w:w="1052" w:type="dxa"/>
            <w:tcBorders>
              <w:top w:val="nil"/>
              <w:left w:val="nil"/>
              <w:bottom w:val="nil"/>
              <w:right w:val="nil"/>
            </w:tcBorders>
            <w:shd w:val="clear" w:color="auto" w:fill="auto"/>
            <w:noWrap/>
            <w:vAlign w:val="bottom"/>
            <w:hideMark/>
          </w:tcPr>
          <w:p w14:paraId="3BB3C59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-2.9 </w:t>
            </w:r>
          </w:p>
        </w:tc>
        <w:tc>
          <w:tcPr>
            <w:tcW w:w="1052" w:type="dxa"/>
            <w:tcBorders>
              <w:top w:val="nil"/>
              <w:left w:val="nil"/>
              <w:bottom w:val="nil"/>
              <w:right w:val="single" w:sz="4" w:space="0" w:color="auto"/>
            </w:tcBorders>
            <w:shd w:val="clear" w:color="auto" w:fill="auto"/>
            <w:noWrap/>
            <w:vAlign w:val="bottom"/>
            <w:hideMark/>
          </w:tcPr>
          <w:p w14:paraId="7AB132D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FF0000"/>
                <w:sz w:val="22"/>
                <w:szCs w:val="22"/>
                <w:lang w:val="en-GB" w:eastAsia="en-GB"/>
              </w:rPr>
              <w:t xml:space="preserve">-50.9 </w:t>
            </w:r>
          </w:p>
        </w:tc>
        <w:tc>
          <w:tcPr>
            <w:tcW w:w="1052" w:type="dxa"/>
            <w:tcBorders>
              <w:top w:val="nil"/>
              <w:left w:val="nil"/>
              <w:bottom w:val="nil"/>
              <w:right w:val="nil"/>
            </w:tcBorders>
            <w:shd w:val="clear" w:color="auto" w:fill="auto"/>
            <w:noWrap/>
            <w:vAlign w:val="bottom"/>
            <w:hideMark/>
          </w:tcPr>
          <w:p w14:paraId="7AF81FE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81.1 </w:t>
            </w:r>
          </w:p>
        </w:tc>
        <w:tc>
          <w:tcPr>
            <w:tcW w:w="1052" w:type="dxa"/>
            <w:tcBorders>
              <w:top w:val="nil"/>
              <w:left w:val="nil"/>
              <w:bottom w:val="nil"/>
              <w:right w:val="single" w:sz="4" w:space="0" w:color="auto"/>
            </w:tcBorders>
            <w:shd w:val="clear" w:color="auto" w:fill="auto"/>
            <w:noWrap/>
            <w:vAlign w:val="bottom"/>
            <w:hideMark/>
          </w:tcPr>
          <w:p w14:paraId="1BED750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38.1 </w:t>
            </w:r>
          </w:p>
        </w:tc>
      </w:tr>
      <w:tr w:rsidR="00E43679" w:rsidRPr="00E43679" w14:paraId="5DDE0116"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091D954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EF3B35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7634949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5A35E36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061282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A4E3C2F"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76678CA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D8B914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6E5103A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5069DD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9E268D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1DA300D"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28DC8D2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Trade Receivables</w:t>
            </w:r>
          </w:p>
        </w:tc>
        <w:tc>
          <w:tcPr>
            <w:tcW w:w="1459" w:type="dxa"/>
            <w:tcBorders>
              <w:top w:val="nil"/>
              <w:left w:val="nil"/>
              <w:bottom w:val="nil"/>
              <w:right w:val="nil"/>
            </w:tcBorders>
            <w:shd w:val="clear" w:color="auto" w:fill="auto"/>
            <w:noWrap/>
            <w:vAlign w:val="bottom"/>
            <w:hideMark/>
          </w:tcPr>
          <w:p w14:paraId="3020A53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6F6E9C0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01646DB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4D2EAA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2A81510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48.8 </w:t>
            </w:r>
          </w:p>
        </w:tc>
        <w:tc>
          <w:tcPr>
            <w:tcW w:w="1052" w:type="dxa"/>
            <w:tcBorders>
              <w:top w:val="nil"/>
              <w:left w:val="nil"/>
              <w:bottom w:val="nil"/>
              <w:right w:val="nil"/>
            </w:tcBorders>
            <w:shd w:val="clear" w:color="auto" w:fill="auto"/>
            <w:noWrap/>
            <w:vAlign w:val="bottom"/>
            <w:hideMark/>
          </w:tcPr>
          <w:p w14:paraId="3E0E53A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55.2 </w:t>
            </w:r>
          </w:p>
        </w:tc>
        <w:tc>
          <w:tcPr>
            <w:tcW w:w="1052" w:type="dxa"/>
            <w:tcBorders>
              <w:top w:val="nil"/>
              <w:left w:val="nil"/>
              <w:bottom w:val="nil"/>
              <w:right w:val="single" w:sz="4" w:space="0" w:color="auto"/>
            </w:tcBorders>
            <w:shd w:val="clear" w:color="auto" w:fill="auto"/>
            <w:noWrap/>
            <w:vAlign w:val="bottom"/>
            <w:hideMark/>
          </w:tcPr>
          <w:p w14:paraId="46AB89D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30.9 </w:t>
            </w:r>
          </w:p>
        </w:tc>
        <w:tc>
          <w:tcPr>
            <w:tcW w:w="1052" w:type="dxa"/>
            <w:tcBorders>
              <w:top w:val="nil"/>
              <w:left w:val="nil"/>
              <w:bottom w:val="nil"/>
              <w:right w:val="nil"/>
            </w:tcBorders>
            <w:shd w:val="clear" w:color="auto" w:fill="auto"/>
            <w:noWrap/>
            <w:vAlign w:val="bottom"/>
            <w:hideMark/>
          </w:tcPr>
          <w:p w14:paraId="3DD2E0C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32.4 </w:t>
            </w:r>
          </w:p>
        </w:tc>
        <w:tc>
          <w:tcPr>
            <w:tcW w:w="1052" w:type="dxa"/>
            <w:tcBorders>
              <w:top w:val="nil"/>
              <w:left w:val="nil"/>
              <w:bottom w:val="nil"/>
              <w:right w:val="single" w:sz="4" w:space="0" w:color="auto"/>
            </w:tcBorders>
            <w:shd w:val="clear" w:color="auto" w:fill="auto"/>
            <w:noWrap/>
            <w:vAlign w:val="bottom"/>
            <w:hideMark/>
          </w:tcPr>
          <w:p w14:paraId="5E071C6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29.3 </w:t>
            </w:r>
          </w:p>
        </w:tc>
      </w:tr>
      <w:tr w:rsidR="00E43679" w:rsidRPr="00E43679" w14:paraId="6EA9134F"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A72543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F16891E"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2E971F6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769BEA7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567F88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75B25CD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56A002F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39F72F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270A130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889785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CDB932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5238BE2"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6756BD3A"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Trade Payables</w:t>
            </w:r>
          </w:p>
        </w:tc>
        <w:tc>
          <w:tcPr>
            <w:tcW w:w="1459" w:type="dxa"/>
            <w:tcBorders>
              <w:top w:val="nil"/>
              <w:left w:val="nil"/>
              <w:bottom w:val="nil"/>
              <w:right w:val="nil"/>
            </w:tcBorders>
            <w:shd w:val="clear" w:color="auto" w:fill="auto"/>
            <w:noWrap/>
            <w:vAlign w:val="bottom"/>
            <w:hideMark/>
          </w:tcPr>
          <w:p w14:paraId="05A639E8"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550838F8"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377E6B1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7DE576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77CABC7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334.7 </w:t>
            </w:r>
          </w:p>
        </w:tc>
        <w:tc>
          <w:tcPr>
            <w:tcW w:w="1052" w:type="dxa"/>
            <w:tcBorders>
              <w:top w:val="nil"/>
              <w:left w:val="nil"/>
              <w:bottom w:val="nil"/>
              <w:right w:val="nil"/>
            </w:tcBorders>
            <w:shd w:val="clear" w:color="auto" w:fill="auto"/>
            <w:noWrap/>
            <w:vAlign w:val="bottom"/>
            <w:hideMark/>
          </w:tcPr>
          <w:p w14:paraId="37AC083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320.6 </w:t>
            </w:r>
          </w:p>
        </w:tc>
        <w:tc>
          <w:tcPr>
            <w:tcW w:w="1052" w:type="dxa"/>
            <w:tcBorders>
              <w:top w:val="nil"/>
              <w:left w:val="nil"/>
              <w:bottom w:val="nil"/>
              <w:right w:val="single" w:sz="4" w:space="0" w:color="auto"/>
            </w:tcBorders>
            <w:shd w:val="clear" w:color="auto" w:fill="auto"/>
            <w:noWrap/>
            <w:vAlign w:val="bottom"/>
            <w:hideMark/>
          </w:tcPr>
          <w:p w14:paraId="5DC4768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250.8 </w:t>
            </w:r>
          </w:p>
        </w:tc>
        <w:tc>
          <w:tcPr>
            <w:tcW w:w="1052" w:type="dxa"/>
            <w:tcBorders>
              <w:top w:val="nil"/>
              <w:left w:val="nil"/>
              <w:bottom w:val="nil"/>
              <w:right w:val="nil"/>
            </w:tcBorders>
            <w:shd w:val="clear" w:color="auto" w:fill="auto"/>
            <w:noWrap/>
            <w:vAlign w:val="bottom"/>
            <w:hideMark/>
          </w:tcPr>
          <w:p w14:paraId="5503201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201.4 </w:t>
            </w:r>
          </w:p>
        </w:tc>
        <w:tc>
          <w:tcPr>
            <w:tcW w:w="1052" w:type="dxa"/>
            <w:tcBorders>
              <w:top w:val="nil"/>
              <w:left w:val="nil"/>
              <w:bottom w:val="nil"/>
              <w:right w:val="single" w:sz="4" w:space="0" w:color="auto"/>
            </w:tcBorders>
            <w:shd w:val="clear" w:color="auto" w:fill="auto"/>
            <w:noWrap/>
            <w:vAlign w:val="bottom"/>
            <w:hideMark/>
          </w:tcPr>
          <w:p w14:paraId="73F3A59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181.0 </w:t>
            </w:r>
          </w:p>
        </w:tc>
      </w:tr>
      <w:tr w:rsidR="00E43679" w:rsidRPr="00E43679" w14:paraId="6B6274C3"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FBA3FA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4727FE39"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450986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02F3EDD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2F7B74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543E1F4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6E425EB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337E18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11D4C70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2AE4F5A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CAFB29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587FB15"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3B2641F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Inventories</w:t>
            </w:r>
          </w:p>
        </w:tc>
        <w:tc>
          <w:tcPr>
            <w:tcW w:w="1459" w:type="dxa"/>
            <w:tcBorders>
              <w:top w:val="nil"/>
              <w:left w:val="nil"/>
              <w:bottom w:val="nil"/>
              <w:right w:val="nil"/>
            </w:tcBorders>
            <w:shd w:val="clear" w:color="auto" w:fill="auto"/>
            <w:noWrap/>
            <w:vAlign w:val="bottom"/>
            <w:hideMark/>
          </w:tcPr>
          <w:p w14:paraId="45BE8F81"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3A9426B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09E5F6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36BE9DE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49BB81B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nil"/>
            </w:tcBorders>
            <w:shd w:val="clear" w:color="auto" w:fill="auto"/>
            <w:noWrap/>
            <w:vAlign w:val="bottom"/>
            <w:hideMark/>
          </w:tcPr>
          <w:p w14:paraId="396B9C6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single" w:sz="4" w:space="0" w:color="auto"/>
            </w:tcBorders>
            <w:shd w:val="clear" w:color="auto" w:fill="auto"/>
            <w:noWrap/>
            <w:vAlign w:val="bottom"/>
            <w:hideMark/>
          </w:tcPr>
          <w:p w14:paraId="705ADB6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nil"/>
            </w:tcBorders>
            <w:shd w:val="clear" w:color="auto" w:fill="auto"/>
            <w:noWrap/>
            <w:vAlign w:val="bottom"/>
            <w:hideMark/>
          </w:tcPr>
          <w:p w14:paraId="689EDD2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single" w:sz="4" w:space="0" w:color="auto"/>
            </w:tcBorders>
            <w:shd w:val="clear" w:color="auto" w:fill="auto"/>
            <w:noWrap/>
            <w:vAlign w:val="bottom"/>
            <w:hideMark/>
          </w:tcPr>
          <w:p w14:paraId="3197BF0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r>
      <w:tr w:rsidR="00E43679" w:rsidRPr="00E43679" w14:paraId="390092D9"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CB82D6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70B34513"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286DD6A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18CF812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B9B9F5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C3DDB4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7C12E01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7B2B479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4665598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3928270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46EC82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2AD7016" w14:textId="77777777" w:rsidTr="00E43679">
        <w:trPr>
          <w:trHeight w:val="300"/>
        </w:trPr>
        <w:tc>
          <w:tcPr>
            <w:tcW w:w="5179" w:type="dxa"/>
            <w:gridSpan w:val="4"/>
            <w:tcBorders>
              <w:top w:val="nil"/>
              <w:left w:val="single" w:sz="4" w:space="0" w:color="auto"/>
              <w:bottom w:val="nil"/>
              <w:right w:val="nil"/>
            </w:tcBorders>
            <w:shd w:val="clear" w:color="auto" w:fill="auto"/>
            <w:noWrap/>
            <w:vAlign w:val="bottom"/>
            <w:hideMark/>
          </w:tcPr>
          <w:p w14:paraId="660E682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Total Staff Costs (including wages &amp; salaries)</w:t>
            </w:r>
          </w:p>
        </w:tc>
        <w:tc>
          <w:tcPr>
            <w:tcW w:w="1322" w:type="dxa"/>
            <w:tcBorders>
              <w:top w:val="nil"/>
              <w:left w:val="nil"/>
              <w:bottom w:val="nil"/>
              <w:right w:val="single" w:sz="4" w:space="0" w:color="auto"/>
            </w:tcBorders>
            <w:shd w:val="clear" w:color="auto" w:fill="auto"/>
            <w:noWrap/>
            <w:vAlign w:val="bottom"/>
            <w:hideMark/>
          </w:tcPr>
          <w:p w14:paraId="51BE411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AD2D2B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Notes</w:t>
            </w:r>
          </w:p>
        </w:tc>
        <w:tc>
          <w:tcPr>
            <w:tcW w:w="1052" w:type="dxa"/>
            <w:tcBorders>
              <w:top w:val="nil"/>
              <w:left w:val="nil"/>
              <w:bottom w:val="nil"/>
              <w:right w:val="nil"/>
            </w:tcBorders>
            <w:shd w:val="clear" w:color="auto" w:fill="auto"/>
            <w:noWrap/>
            <w:vAlign w:val="bottom"/>
            <w:hideMark/>
          </w:tcPr>
          <w:p w14:paraId="54E9758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379.1 </w:t>
            </w:r>
          </w:p>
        </w:tc>
        <w:tc>
          <w:tcPr>
            <w:tcW w:w="1052" w:type="dxa"/>
            <w:tcBorders>
              <w:top w:val="nil"/>
              <w:left w:val="nil"/>
              <w:bottom w:val="nil"/>
              <w:right w:val="nil"/>
            </w:tcBorders>
            <w:shd w:val="clear" w:color="auto" w:fill="auto"/>
            <w:noWrap/>
            <w:vAlign w:val="bottom"/>
            <w:hideMark/>
          </w:tcPr>
          <w:p w14:paraId="1B4F138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352.2 </w:t>
            </w:r>
          </w:p>
        </w:tc>
        <w:tc>
          <w:tcPr>
            <w:tcW w:w="1052" w:type="dxa"/>
            <w:tcBorders>
              <w:top w:val="nil"/>
              <w:left w:val="nil"/>
              <w:bottom w:val="nil"/>
              <w:right w:val="single" w:sz="4" w:space="0" w:color="auto"/>
            </w:tcBorders>
            <w:shd w:val="clear" w:color="auto" w:fill="auto"/>
            <w:noWrap/>
            <w:vAlign w:val="bottom"/>
            <w:hideMark/>
          </w:tcPr>
          <w:p w14:paraId="43AD57E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296.9 </w:t>
            </w:r>
          </w:p>
        </w:tc>
        <w:tc>
          <w:tcPr>
            <w:tcW w:w="1052" w:type="dxa"/>
            <w:tcBorders>
              <w:top w:val="nil"/>
              <w:left w:val="nil"/>
              <w:bottom w:val="nil"/>
              <w:right w:val="nil"/>
            </w:tcBorders>
            <w:shd w:val="clear" w:color="auto" w:fill="auto"/>
            <w:noWrap/>
            <w:vAlign w:val="bottom"/>
            <w:hideMark/>
          </w:tcPr>
          <w:p w14:paraId="6C11BFF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257.3 </w:t>
            </w:r>
          </w:p>
        </w:tc>
        <w:tc>
          <w:tcPr>
            <w:tcW w:w="1052" w:type="dxa"/>
            <w:tcBorders>
              <w:top w:val="nil"/>
              <w:left w:val="nil"/>
              <w:bottom w:val="nil"/>
              <w:right w:val="single" w:sz="4" w:space="0" w:color="auto"/>
            </w:tcBorders>
            <w:shd w:val="clear" w:color="auto" w:fill="auto"/>
            <w:noWrap/>
            <w:vAlign w:val="bottom"/>
            <w:hideMark/>
          </w:tcPr>
          <w:p w14:paraId="7FFE1D0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228.7 </w:t>
            </w:r>
          </w:p>
        </w:tc>
      </w:tr>
      <w:tr w:rsidR="00E43679" w:rsidRPr="00E43679" w14:paraId="149A56BC"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2B1D947"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BE9581A"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21E5B91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04FA3A1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0E93479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32D5CE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3E51812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7D4855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single" w:sz="4" w:space="0" w:color="auto"/>
            </w:tcBorders>
            <w:shd w:val="clear" w:color="auto" w:fill="auto"/>
            <w:noWrap/>
            <w:vAlign w:val="bottom"/>
            <w:hideMark/>
          </w:tcPr>
          <w:p w14:paraId="0F0C421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44FF38C"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6A3F2C7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856E0FD"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7FFE1AEC"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NCFO</w:t>
            </w:r>
          </w:p>
        </w:tc>
        <w:tc>
          <w:tcPr>
            <w:tcW w:w="266" w:type="dxa"/>
            <w:tcBorders>
              <w:top w:val="nil"/>
              <w:left w:val="nil"/>
              <w:bottom w:val="nil"/>
              <w:right w:val="nil"/>
            </w:tcBorders>
            <w:shd w:val="clear" w:color="auto" w:fill="auto"/>
            <w:noWrap/>
            <w:vAlign w:val="bottom"/>
            <w:hideMark/>
          </w:tcPr>
          <w:p w14:paraId="525BCB84"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269B637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324498C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0CA54F54"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3CE0FE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052" w:type="dxa"/>
            <w:tcBorders>
              <w:top w:val="nil"/>
              <w:left w:val="nil"/>
              <w:bottom w:val="nil"/>
              <w:right w:val="nil"/>
            </w:tcBorders>
            <w:shd w:val="clear" w:color="auto" w:fill="auto"/>
            <w:noWrap/>
            <w:vAlign w:val="bottom"/>
            <w:hideMark/>
          </w:tcPr>
          <w:p w14:paraId="1E9E4AB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528.2 </w:t>
            </w:r>
          </w:p>
        </w:tc>
        <w:tc>
          <w:tcPr>
            <w:tcW w:w="1052" w:type="dxa"/>
            <w:tcBorders>
              <w:top w:val="nil"/>
              <w:left w:val="nil"/>
              <w:bottom w:val="nil"/>
              <w:right w:val="nil"/>
            </w:tcBorders>
            <w:shd w:val="clear" w:color="auto" w:fill="auto"/>
            <w:noWrap/>
            <w:vAlign w:val="bottom"/>
            <w:hideMark/>
          </w:tcPr>
          <w:p w14:paraId="39A50D9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204.2 </w:t>
            </w:r>
          </w:p>
        </w:tc>
        <w:tc>
          <w:tcPr>
            <w:tcW w:w="1052" w:type="dxa"/>
            <w:tcBorders>
              <w:top w:val="nil"/>
              <w:left w:val="nil"/>
              <w:bottom w:val="nil"/>
              <w:right w:val="single" w:sz="4" w:space="0" w:color="auto"/>
            </w:tcBorders>
            <w:shd w:val="clear" w:color="auto" w:fill="auto"/>
            <w:noWrap/>
            <w:vAlign w:val="bottom"/>
            <w:hideMark/>
          </w:tcPr>
          <w:p w14:paraId="0C0671A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267.9 </w:t>
            </w:r>
          </w:p>
        </w:tc>
        <w:tc>
          <w:tcPr>
            <w:tcW w:w="1052" w:type="dxa"/>
            <w:tcBorders>
              <w:top w:val="nil"/>
              <w:left w:val="nil"/>
              <w:bottom w:val="nil"/>
              <w:right w:val="nil"/>
            </w:tcBorders>
            <w:shd w:val="clear" w:color="auto" w:fill="auto"/>
            <w:noWrap/>
            <w:vAlign w:val="bottom"/>
            <w:hideMark/>
          </w:tcPr>
          <w:p w14:paraId="6E42144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215.1 </w:t>
            </w:r>
          </w:p>
        </w:tc>
        <w:tc>
          <w:tcPr>
            <w:tcW w:w="1052" w:type="dxa"/>
            <w:tcBorders>
              <w:top w:val="nil"/>
              <w:left w:val="nil"/>
              <w:bottom w:val="nil"/>
              <w:right w:val="single" w:sz="4" w:space="0" w:color="auto"/>
            </w:tcBorders>
            <w:shd w:val="clear" w:color="auto" w:fill="auto"/>
            <w:noWrap/>
            <w:vAlign w:val="bottom"/>
            <w:hideMark/>
          </w:tcPr>
          <w:p w14:paraId="78113CD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182.9 </w:t>
            </w:r>
          </w:p>
        </w:tc>
      </w:tr>
      <w:tr w:rsidR="00E43679" w:rsidRPr="00E43679" w14:paraId="599F1B21"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48021344"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Cash Flow from Operations</w:t>
            </w:r>
          </w:p>
        </w:tc>
        <w:tc>
          <w:tcPr>
            <w:tcW w:w="1520" w:type="dxa"/>
            <w:tcBorders>
              <w:top w:val="nil"/>
              <w:left w:val="nil"/>
              <w:bottom w:val="nil"/>
              <w:right w:val="nil"/>
            </w:tcBorders>
            <w:shd w:val="clear" w:color="auto" w:fill="auto"/>
            <w:noWrap/>
            <w:vAlign w:val="bottom"/>
            <w:hideMark/>
          </w:tcPr>
          <w:p w14:paraId="12A9EAE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1BA45EA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BD101B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052" w:type="dxa"/>
            <w:tcBorders>
              <w:top w:val="nil"/>
              <w:left w:val="nil"/>
              <w:bottom w:val="nil"/>
              <w:right w:val="nil"/>
            </w:tcBorders>
            <w:shd w:val="clear" w:color="auto" w:fill="auto"/>
            <w:noWrap/>
            <w:vAlign w:val="bottom"/>
            <w:hideMark/>
          </w:tcPr>
          <w:p w14:paraId="6C3CA94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471.6 </w:t>
            </w:r>
          </w:p>
        </w:tc>
        <w:tc>
          <w:tcPr>
            <w:tcW w:w="1052" w:type="dxa"/>
            <w:tcBorders>
              <w:top w:val="nil"/>
              <w:left w:val="nil"/>
              <w:bottom w:val="nil"/>
              <w:right w:val="nil"/>
            </w:tcBorders>
            <w:shd w:val="clear" w:color="auto" w:fill="auto"/>
            <w:noWrap/>
            <w:vAlign w:val="bottom"/>
            <w:hideMark/>
          </w:tcPr>
          <w:p w14:paraId="6E368E5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351.7 </w:t>
            </w:r>
          </w:p>
        </w:tc>
        <w:tc>
          <w:tcPr>
            <w:tcW w:w="1052" w:type="dxa"/>
            <w:tcBorders>
              <w:top w:val="nil"/>
              <w:left w:val="nil"/>
              <w:bottom w:val="nil"/>
              <w:right w:val="nil"/>
            </w:tcBorders>
            <w:shd w:val="clear" w:color="auto" w:fill="auto"/>
            <w:noWrap/>
            <w:vAlign w:val="bottom"/>
            <w:hideMark/>
          </w:tcPr>
          <w:p w14:paraId="3DFF642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294.2 </w:t>
            </w:r>
          </w:p>
        </w:tc>
        <w:tc>
          <w:tcPr>
            <w:tcW w:w="1052" w:type="dxa"/>
            <w:tcBorders>
              <w:top w:val="nil"/>
              <w:left w:val="single" w:sz="4" w:space="0" w:color="auto"/>
              <w:bottom w:val="nil"/>
              <w:right w:val="nil"/>
            </w:tcBorders>
            <w:shd w:val="clear" w:color="auto" w:fill="auto"/>
            <w:noWrap/>
            <w:vAlign w:val="bottom"/>
            <w:hideMark/>
          </w:tcPr>
          <w:p w14:paraId="09B280E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240.6 </w:t>
            </w:r>
          </w:p>
        </w:tc>
        <w:tc>
          <w:tcPr>
            <w:tcW w:w="1052" w:type="dxa"/>
            <w:tcBorders>
              <w:top w:val="nil"/>
              <w:left w:val="nil"/>
              <w:bottom w:val="nil"/>
              <w:right w:val="single" w:sz="4" w:space="0" w:color="auto"/>
            </w:tcBorders>
            <w:shd w:val="clear" w:color="auto" w:fill="auto"/>
            <w:noWrap/>
            <w:vAlign w:val="bottom"/>
            <w:hideMark/>
          </w:tcPr>
          <w:p w14:paraId="2007784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199.9 </w:t>
            </w:r>
          </w:p>
        </w:tc>
      </w:tr>
      <w:tr w:rsidR="00E43679" w:rsidRPr="00E43679" w14:paraId="55885DD1"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47E0B62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12B9B97D"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7A0D9B6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77103BB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44D1138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3E7401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052" w:type="dxa"/>
            <w:tcBorders>
              <w:top w:val="nil"/>
              <w:left w:val="nil"/>
              <w:bottom w:val="nil"/>
              <w:right w:val="nil"/>
            </w:tcBorders>
            <w:shd w:val="clear" w:color="auto" w:fill="auto"/>
            <w:noWrap/>
            <w:vAlign w:val="bottom"/>
            <w:hideMark/>
          </w:tcPr>
          <w:p w14:paraId="7991A91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41093D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nil"/>
            </w:tcBorders>
            <w:shd w:val="clear" w:color="auto" w:fill="auto"/>
            <w:noWrap/>
            <w:vAlign w:val="bottom"/>
            <w:hideMark/>
          </w:tcPr>
          <w:p w14:paraId="6B03CF9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0C4051D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A915C2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4E9584E"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B83F01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Tax Paid</w:t>
            </w:r>
          </w:p>
        </w:tc>
        <w:tc>
          <w:tcPr>
            <w:tcW w:w="266" w:type="dxa"/>
            <w:tcBorders>
              <w:top w:val="nil"/>
              <w:left w:val="nil"/>
              <w:bottom w:val="nil"/>
              <w:right w:val="nil"/>
            </w:tcBorders>
            <w:shd w:val="clear" w:color="auto" w:fill="auto"/>
            <w:noWrap/>
            <w:vAlign w:val="bottom"/>
            <w:hideMark/>
          </w:tcPr>
          <w:p w14:paraId="3F9F9CE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6952C98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280AB6D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3E15D5D6"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6B94A4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052" w:type="dxa"/>
            <w:tcBorders>
              <w:top w:val="nil"/>
              <w:left w:val="nil"/>
              <w:bottom w:val="nil"/>
              <w:right w:val="nil"/>
            </w:tcBorders>
            <w:shd w:val="clear" w:color="auto" w:fill="auto"/>
            <w:noWrap/>
            <w:vAlign w:val="bottom"/>
            <w:hideMark/>
          </w:tcPr>
          <w:p w14:paraId="6D62A5C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44.8 </w:t>
            </w:r>
          </w:p>
        </w:tc>
        <w:tc>
          <w:tcPr>
            <w:tcW w:w="1052" w:type="dxa"/>
            <w:tcBorders>
              <w:top w:val="nil"/>
              <w:left w:val="nil"/>
              <w:bottom w:val="nil"/>
              <w:right w:val="nil"/>
            </w:tcBorders>
            <w:shd w:val="clear" w:color="auto" w:fill="auto"/>
            <w:noWrap/>
            <w:vAlign w:val="bottom"/>
            <w:hideMark/>
          </w:tcPr>
          <w:p w14:paraId="7C7FDC4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43.1 </w:t>
            </w:r>
          </w:p>
        </w:tc>
        <w:tc>
          <w:tcPr>
            <w:tcW w:w="1052" w:type="dxa"/>
            <w:tcBorders>
              <w:top w:val="nil"/>
              <w:left w:val="nil"/>
              <w:bottom w:val="nil"/>
              <w:right w:val="nil"/>
            </w:tcBorders>
            <w:shd w:val="clear" w:color="auto" w:fill="auto"/>
            <w:noWrap/>
            <w:vAlign w:val="bottom"/>
            <w:hideMark/>
          </w:tcPr>
          <w:p w14:paraId="50316C6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26.3 </w:t>
            </w:r>
          </w:p>
        </w:tc>
        <w:tc>
          <w:tcPr>
            <w:tcW w:w="1052" w:type="dxa"/>
            <w:tcBorders>
              <w:top w:val="nil"/>
              <w:left w:val="single" w:sz="4" w:space="0" w:color="auto"/>
              <w:bottom w:val="nil"/>
              <w:right w:val="nil"/>
            </w:tcBorders>
            <w:shd w:val="clear" w:color="auto" w:fill="auto"/>
            <w:noWrap/>
            <w:vAlign w:val="bottom"/>
            <w:hideMark/>
          </w:tcPr>
          <w:p w14:paraId="131772B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25.6 </w:t>
            </w:r>
          </w:p>
        </w:tc>
        <w:tc>
          <w:tcPr>
            <w:tcW w:w="1052" w:type="dxa"/>
            <w:tcBorders>
              <w:top w:val="nil"/>
              <w:left w:val="nil"/>
              <w:bottom w:val="nil"/>
              <w:right w:val="single" w:sz="4" w:space="0" w:color="auto"/>
            </w:tcBorders>
            <w:shd w:val="clear" w:color="auto" w:fill="auto"/>
            <w:noWrap/>
            <w:vAlign w:val="bottom"/>
            <w:hideMark/>
          </w:tcPr>
          <w:p w14:paraId="0598E08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17.0 </w:t>
            </w:r>
          </w:p>
        </w:tc>
      </w:tr>
      <w:tr w:rsidR="00E43679" w:rsidRPr="00E43679" w14:paraId="16B67308"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16ED7EF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Dividends Paid</w:t>
            </w:r>
          </w:p>
        </w:tc>
        <w:tc>
          <w:tcPr>
            <w:tcW w:w="1459" w:type="dxa"/>
            <w:tcBorders>
              <w:top w:val="nil"/>
              <w:left w:val="nil"/>
              <w:bottom w:val="nil"/>
              <w:right w:val="nil"/>
            </w:tcBorders>
            <w:shd w:val="clear" w:color="auto" w:fill="auto"/>
            <w:noWrap/>
            <w:vAlign w:val="bottom"/>
            <w:hideMark/>
          </w:tcPr>
          <w:p w14:paraId="302C2F9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2A2A31E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2FC975C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5EB7839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052" w:type="dxa"/>
            <w:tcBorders>
              <w:top w:val="nil"/>
              <w:left w:val="nil"/>
              <w:bottom w:val="nil"/>
              <w:right w:val="nil"/>
            </w:tcBorders>
            <w:shd w:val="clear" w:color="auto" w:fill="auto"/>
            <w:noWrap/>
            <w:vAlign w:val="bottom"/>
            <w:hideMark/>
          </w:tcPr>
          <w:p w14:paraId="413F47B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149.4 </w:t>
            </w:r>
          </w:p>
        </w:tc>
        <w:tc>
          <w:tcPr>
            <w:tcW w:w="1052" w:type="dxa"/>
            <w:tcBorders>
              <w:top w:val="nil"/>
              <w:left w:val="nil"/>
              <w:bottom w:val="nil"/>
              <w:right w:val="nil"/>
            </w:tcBorders>
            <w:shd w:val="clear" w:color="auto" w:fill="auto"/>
            <w:noWrap/>
            <w:vAlign w:val="bottom"/>
            <w:hideMark/>
          </w:tcPr>
          <w:p w14:paraId="33AE0800"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142.3 </w:t>
            </w:r>
          </w:p>
        </w:tc>
        <w:tc>
          <w:tcPr>
            <w:tcW w:w="1052" w:type="dxa"/>
            <w:tcBorders>
              <w:top w:val="nil"/>
              <w:left w:val="nil"/>
              <w:bottom w:val="nil"/>
              <w:right w:val="nil"/>
            </w:tcBorders>
            <w:shd w:val="clear" w:color="auto" w:fill="auto"/>
            <w:noWrap/>
            <w:vAlign w:val="bottom"/>
            <w:hideMark/>
          </w:tcPr>
          <w:p w14:paraId="3675B26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76.3 </w:t>
            </w:r>
          </w:p>
        </w:tc>
        <w:tc>
          <w:tcPr>
            <w:tcW w:w="1052" w:type="dxa"/>
            <w:tcBorders>
              <w:top w:val="nil"/>
              <w:left w:val="single" w:sz="4" w:space="0" w:color="auto"/>
              <w:bottom w:val="nil"/>
              <w:right w:val="nil"/>
            </w:tcBorders>
            <w:shd w:val="clear" w:color="auto" w:fill="auto"/>
            <w:noWrap/>
            <w:vAlign w:val="bottom"/>
            <w:hideMark/>
          </w:tcPr>
          <w:p w14:paraId="5C4A016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69.0 </w:t>
            </w:r>
          </w:p>
        </w:tc>
        <w:tc>
          <w:tcPr>
            <w:tcW w:w="1052" w:type="dxa"/>
            <w:tcBorders>
              <w:top w:val="nil"/>
              <w:left w:val="nil"/>
              <w:bottom w:val="nil"/>
              <w:right w:val="single" w:sz="4" w:space="0" w:color="auto"/>
            </w:tcBorders>
            <w:shd w:val="clear" w:color="auto" w:fill="auto"/>
            <w:noWrap/>
            <w:vAlign w:val="bottom"/>
            <w:hideMark/>
          </w:tcPr>
          <w:p w14:paraId="1E25443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61.9 </w:t>
            </w:r>
          </w:p>
        </w:tc>
      </w:tr>
      <w:tr w:rsidR="00E43679" w:rsidRPr="00E43679" w14:paraId="72B2F59B"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7067C23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Interest Paid</w:t>
            </w:r>
          </w:p>
        </w:tc>
        <w:tc>
          <w:tcPr>
            <w:tcW w:w="1459" w:type="dxa"/>
            <w:tcBorders>
              <w:top w:val="nil"/>
              <w:left w:val="nil"/>
              <w:bottom w:val="nil"/>
              <w:right w:val="nil"/>
            </w:tcBorders>
            <w:shd w:val="clear" w:color="auto" w:fill="auto"/>
            <w:noWrap/>
            <w:vAlign w:val="bottom"/>
            <w:hideMark/>
          </w:tcPr>
          <w:p w14:paraId="57927652"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520" w:type="dxa"/>
            <w:tcBorders>
              <w:top w:val="nil"/>
              <w:left w:val="nil"/>
              <w:bottom w:val="nil"/>
              <w:right w:val="nil"/>
            </w:tcBorders>
            <w:shd w:val="clear" w:color="auto" w:fill="auto"/>
            <w:noWrap/>
            <w:vAlign w:val="bottom"/>
            <w:hideMark/>
          </w:tcPr>
          <w:p w14:paraId="28D2066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1C4D46E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5BA52A49"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052" w:type="dxa"/>
            <w:tcBorders>
              <w:top w:val="nil"/>
              <w:left w:val="nil"/>
              <w:bottom w:val="nil"/>
              <w:right w:val="nil"/>
            </w:tcBorders>
            <w:shd w:val="clear" w:color="auto" w:fill="auto"/>
            <w:noWrap/>
            <w:vAlign w:val="bottom"/>
            <w:hideMark/>
          </w:tcPr>
          <w:p w14:paraId="6A5418B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 </w:t>
            </w:r>
          </w:p>
        </w:tc>
        <w:tc>
          <w:tcPr>
            <w:tcW w:w="1052" w:type="dxa"/>
            <w:tcBorders>
              <w:top w:val="nil"/>
              <w:left w:val="nil"/>
              <w:bottom w:val="nil"/>
              <w:right w:val="nil"/>
            </w:tcBorders>
            <w:shd w:val="clear" w:color="auto" w:fill="auto"/>
            <w:noWrap/>
            <w:vAlign w:val="bottom"/>
            <w:hideMark/>
          </w:tcPr>
          <w:p w14:paraId="374541C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 </w:t>
            </w:r>
          </w:p>
        </w:tc>
        <w:tc>
          <w:tcPr>
            <w:tcW w:w="1052" w:type="dxa"/>
            <w:tcBorders>
              <w:top w:val="nil"/>
              <w:left w:val="nil"/>
              <w:bottom w:val="nil"/>
              <w:right w:val="nil"/>
            </w:tcBorders>
            <w:shd w:val="clear" w:color="auto" w:fill="auto"/>
            <w:noWrap/>
            <w:vAlign w:val="bottom"/>
            <w:hideMark/>
          </w:tcPr>
          <w:p w14:paraId="76F86D1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2.1 </w:t>
            </w:r>
          </w:p>
        </w:tc>
        <w:tc>
          <w:tcPr>
            <w:tcW w:w="1052" w:type="dxa"/>
            <w:tcBorders>
              <w:top w:val="nil"/>
              <w:left w:val="single" w:sz="4" w:space="0" w:color="auto"/>
              <w:bottom w:val="nil"/>
              <w:right w:val="nil"/>
            </w:tcBorders>
            <w:shd w:val="clear" w:color="auto" w:fill="auto"/>
            <w:noWrap/>
            <w:vAlign w:val="bottom"/>
            <w:hideMark/>
          </w:tcPr>
          <w:p w14:paraId="337D0AD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0.3 </w:t>
            </w:r>
          </w:p>
        </w:tc>
        <w:tc>
          <w:tcPr>
            <w:tcW w:w="1052" w:type="dxa"/>
            <w:tcBorders>
              <w:top w:val="nil"/>
              <w:left w:val="nil"/>
              <w:bottom w:val="nil"/>
              <w:right w:val="single" w:sz="4" w:space="0" w:color="auto"/>
            </w:tcBorders>
            <w:shd w:val="clear" w:color="auto" w:fill="auto"/>
            <w:noWrap/>
            <w:vAlign w:val="bottom"/>
            <w:hideMark/>
          </w:tcPr>
          <w:p w14:paraId="5F1639C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0.3 </w:t>
            </w:r>
          </w:p>
        </w:tc>
      </w:tr>
      <w:tr w:rsidR="00E43679" w:rsidRPr="00E43679" w14:paraId="135370FD" w14:textId="77777777" w:rsidTr="00E43679">
        <w:trPr>
          <w:trHeight w:val="300"/>
        </w:trPr>
        <w:tc>
          <w:tcPr>
            <w:tcW w:w="5179" w:type="dxa"/>
            <w:gridSpan w:val="4"/>
            <w:tcBorders>
              <w:top w:val="nil"/>
              <w:left w:val="single" w:sz="4" w:space="0" w:color="auto"/>
              <w:bottom w:val="nil"/>
              <w:right w:val="nil"/>
            </w:tcBorders>
            <w:shd w:val="clear" w:color="auto" w:fill="auto"/>
            <w:noWrap/>
            <w:vAlign w:val="bottom"/>
            <w:hideMark/>
          </w:tcPr>
          <w:p w14:paraId="5685409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Merger fee &amp; Integration &amp; Restructuring Costs</w:t>
            </w:r>
          </w:p>
        </w:tc>
        <w:tc>
          <w:tcPr>
            <w:tcW w:w="1322" w:type="dxa"/>
            <w:tcBorders>
              <w:top w:val="nil"/>
              <w:left w:val="nil"/>
              <w:bottom w:val="nil"/>
              <w:right w:val="single" w:sz="4" w:space="0" w:color="auto"/>
            </w:tcBorders>
            <w:shd w:val="clear" w:color="auto" w:fill="auto"/>
            <w:noWrap/>
            <w:vAlign w:val="bottom"/>
            <w:hideMark/>
          </w:tcPr>
          <w:p w14:paraId="510C598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1D3FE2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052" w:type="dxa"/>
            <w:tcBorders>
              <w:top w:val="nil"/>
              <w:left w:val="nil"/>
              <w:bottom w:val="nil"/>
              <w:right w:val="nil"/>
            </w:tcBorders>
            <w:shd w:val="clear" w:color="auto" w:fill="auto"/>
            <w:noWrap/>
            <w:vAlign w:val="bottom"/>
            <w:hideMark/>
          </w:tcPr>
          <w:p w14:paraId="1CCA74D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11.8 </w:t>
            </w:r>
          </w:p>
        </w:tc>
        <w:tc>
          <w:tcPr>
            <w:tcW w:w="1052" w:type="dxa"/>
            <w:tcBorders>
              <w:top w:val="nil"/>
              <w:left w:val="nil"/>
              <w:bottom w:val="nil"/>
              <w:right w:val="nil"/>
            </w:tcBorders>
            <w:shd w:val="clear" w:color="auto" w:fill="auto"/>
            <w:noWrap/>
            <w:vAlign w:val="bottom"/>
            <w:hideMark/>
          </w:tcPr>
          <w:p w14:paraId="1DF11EF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104.4 </w:t>
            </w:r>
          </w:p>
        </w:tc>
        <w:tc>
          <w:tcPr>
            <w:tcW w:w="1052" w:type="dxa"/>
            <w:tcBorders>
              <w:top w:val="nil"/>
              <w:left w:val="nil"/>
              <w:bottom w:val="nil"/>
              <w:right w:val="nil"/>
            </w:tcBorders>
            <w:shd w:val="clear" w:color="auto" w:fill="auto"/>
            <w:noWrap/>
            <w:vAlign w:val="bottom"/>
            <w:hideMark/>
          </w:tcPr>
          <w:p w14:paraId="463CDE4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single" w:sz="4" w:space="0" w:color="auto"/>
              <w:bottom w:val="nil"/>
              <w:right w:val="nil"/>
            </w:tcBorders>
            <w:shd w:val="clear" w:color="auto" w:fill="auto"/>
            <w:noWrap/>
            <w:vAlign w:val="bottom"/>
            <w:hideMark/>
          </w:tcPr>
          <w:p w14:paraId="2828957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c>
          <w:tcPr>
            <w:tcW w:w="1052" w:type="dxa"/>
            <w:tcBorders>
              <w:top w:val="nil"/>
              <w:left w:val="nil"/>
              <w:bottom w:val="nil"/>
              <w:right w:val="single" w:sz="4" w:space="0" w:color="auto"/>
            </w:tcBorders>
            <w:shd w:val="clear" w:color="auto" w:fill="auto"/>
            <w:noWrap/>
            <w:vAlign w:val="bottom"/>
            <w:hideMark/>
          </w:tcPr>
          <w:p w14:paraId="37FA2B1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0.0 </w:t>
            </w:r>
          </w:p>
        </w:tc>
      </w:tr>
      <w:tr w:rsidR="00E43679" w:rsidRPr="00E43679" w14:paraId="7823D9B9"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032261C5"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Proceeds from issue of new shares</w:t>
            </w:r>
          </w:p>
        </w:tc>
        <w:tc>
          <w:tcPr>
            <w:tcW w:w="1520" w:type="dxa"/>
            <w:tcBorders>
              <w:top w:val="nil"/>
              <w:left w:val="nil"/>
              <w:bottom w:val="nil"/>
              <w:right w:val="nil"/>
            </w:tcBorders>
            <w:shd w:val="clear" w:color="auto" w:fill="auto"/>
            <w:noWrap/>
            <w:vAlign w:val="bottom"/>
            <w:hideMark/>
          </w:tcPr>
          <w:p w14:paraId="590D7D75"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7592E8D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1FFC64B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CCFS</w:t>
            </w:r>
          </w:p>
        </w:tc>
        <w:tc>
          <w:tcPr>
            <w:tcW w:w="1052" w:type="dxa"/>
            <w:tcBorders>
              <w:top w:val="nil"/>
              <w:left w:val="nil"/>
              <w:bottom w:val="nil"/>
              <w:right w:val="nil"/>
            </w:tcBorders>
            <w:shd w:val="clear" w:color="auto" w:fill="auto"/>
            <w:noWrap/>
            <w:vAlign w:val="bottom"/>
            <w:hideMark/>
          </w:tcPr>
          <w:p w14:paraId="30AF9E4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5.8 </w:t>
            </w:r>
          </w:p>
        </w:tc>
        <w:tc>
          <w:tcPr>
            <w:tcW w:w="1052" w:type="dxa"/>
            <w:tcBorders>
              <w:top w:val="nil"/>
              <w:left w:val="nil"/>
              <w:bottom w:val="nil"/>
              <w:right w:val="nil"/>
            </w:tcBorders>
            <w:shd w:val="clear" w:color="auto" w:fill="auto"/>
            <w:noWrap/>
            <w:vAlign w:val="bottom"/>
            <w:hideMark/>
          </w:tcPr>
          <w:p w14:paraId="5C57408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 </w:t>
            </w:r>
          </w:p>
        </w:tc>
        <w:tc>
          <w:tcPr>
            <w:tcW w:w="1052" w:type="dxa"/>
            <w:tcBorders>
              <w:top w:val="nil"/>
              <w:left w:val="nil"/>
              <w:bottom w:val="nil"/>
              <w:right w:val="nil"/>
            </w:tcBorders>
            <w:shd w:val="clear" w:color="auto" w:fill="auto"/>
            <w:noWrap/>
            <w:vAlign w:val="bottom"/>
            <w:hideMark/>
          </w:tcPr>
          <w:p w14:paraId="1A52C91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2.7 </w:t>
            </w:r>
          </w:p>
        </w:tc>
        <w:tc>
          <w:tcPr>
            <w:tcW w:w="1052" w:type="dxa"/>
            <w:tcBorders>
              <w:top w:val="nil"/>
              <w:left w:val="single" w:sz="4" w:space="0" w:color="auto"/>
              <w:bottom w:val="nil"/>
              <w:right w:val="nil"/>
            </w:tcBorders>
            <w:shd w:val="clear" w:color="auto" w:fill="auto"/>
            <w:noWrap/>
            <w:vAlign w:val="bottom"/>
            <w:hideMark/>
          </w:tcPr>
          <w:p w14:paraId="74F8651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3.3 </w:t>
            </w:r>
          </w:p>
        </w:tc>
        <w:tc>
          <w:tcPr>
            <w:tcW w:w="1052" w:type="dxa"/>
            <w:tcBorders>
              <w:top w:val="nil"/>
              <w:left w:val="nil"/>
              <w:bottom w:val="nil"/>
              <w:right w:val="single" w:sz="4" w:space="0" w:color="auto"/>
            </w:tcBorders>
            <w:shd w:val="clear" w:color="auto" w:fill="auto"/>
            <w:noWrap/>
            <w:vAlign w:val="bottom"/>
            <w:hideMark/>
          </w:tcPr>
          <w:p w14:paraId="784B345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 </w:t>
            </w:r>
          </w:p>
        </w:tc>
      </w:tr>
      <w:tr w:rsidR="00E43679" w:rsidRPr="00E43679" w14:paraId="7A0413A0"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264929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37591CA6"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70ACEC0F"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34E900E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9D43E5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nil"/>
            </w:tcBorders>
            <w:shd w:val="clear" w:color="auto" w:fill="auto"/>
            <w:noWrap/>
            <w:vAlign w:val="bottom"/>
            <w:hideMark/>
          </w:tcPr>
          <w:p w14:paraId="0E69423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single" w:sz="4" w:space="0" w:color="auto"/>
              <w:bottom w:val="nil"/>
              <w:right w:val="nil"/>
            </w:tcBorders>
            <w:shd w:val="clear" w:color="auto" w:fill="auto"/>
            <w:noWrap/>
            <w:vAlign w:val="bottom"/>
            <w:hideMark/>
          </w:tcPr>
          <w:p w14:paraId="771DF5F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3712712"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nil"/>
            </w:tcBorders>
            <w:shd w:val="clear" w:color="auto" w:fill="auto"/>
            <w:noWrap/>
            <w:vAlign w:val="bottom"/>
            <w:hideMark/>
          </w:tcPr>
          <w:p w14:paraId="36F4B595"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64E6D90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72037A9"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68F1A6E" w14:textId="77777777" w:rsidTr="5CE60E2F">
        <w:trPr>
          <w:trHeight w:val="300"/>
        </w:trPr>
        <w:tc>
          <w:tcPr>
            <w:tcW w:w="6501" w:type="dxa"/>
            <w:gridSpan w:val="5"/>
            <w:tcBorders>
              <w:top w:val="nil"/>
              <w:left w:val="single" w:sz="4" w:space="0" w:color="auto"/>
              <w:bottom w:val="nil"/>
              <w:right w:val="single" w:sz="4" w:space="0" w:color="000000" w:themeColor="text1"/>
            </w:tcBorders>
            <w:shd w:val="clear" w:color="auto" w:fill="auto"/>
            <w:noWrap/>
            <w:vAlign w:val="bottom"/>
            <w:hideMark/>
          </w:tcPr>
          <w:p w14:paraId="0971DB09"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Capital Employed (Equity + NCL)(TA-CL)(NCA+NCA)</w:t>
            </w:r>
          </w:p>
        </w:tc>
        <w:tc>
          <w:tcPr>
            <w:tcW w:w="828" w:type="dxa"/>
            <w:tcBorders>
              <w:top w:val="nil"/>
              <w:left w:val="nil"/>
              <w:bottom w:val="nil"/>
              <w:right w:val="single" w:sz="4" w:space="0" w:color="auto"/>
            </w:tcBorders>
            <w:shd w:val="clear" w:color="auto" w:fill="auto"/>
            <w:noWrap/>
            <w:vAlign w:val="bottom"/>
            <w:hideMark/>
          </w:tcPr>
          <w:p w14:paraId="6FECB02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CSFP</w:t>
            </w:r>
          </w:p>
        </w:tc>
        <w:tc>
          <w:tcPr>
            <w:tcW w:w="1052" w:type="dxa"/>
            <w:tcBorders>
              <w:top w:val="nil"/>
              <w:left w:val="nil"/>
              <w:bottom w:val="nil"/>
              <w:right w:val="nil"/>
            </w:tcBorders>
            <w:shd w:val="clear" w:color="auto" w:fill="auto"/>
            <w:noWrap/>
            <w:vAlign w:val="bottom"/>
            <w:hideMark/>
          </w:tcPr>
          <w:p w14:paraId="662D9CE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4,544.8 </w:t>
            </w:r>
          </w:p>
        </w:tc>
        <w:tc>
          <w:tcPr>
            <w:tcW w:w="1052" w:type="dxa"/>
            <w:tcBorders>
              <w:top w:val="nil"/>
              <w:left w:val="nil"/>
              <w:bottom w:val="nil"/>
              <w:right w:val="nil"/>
            </w:tcBorders>
            <w:shd w:val="clear" w:color="auto" w:fill="auto"/>
            <w:noWrap/>
            <w:vAlign w:val="bottom"/>
            <w:hideMark/>
          </w:tcPr>
          <w:p w14:paraId="7EE85B3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4,619.2 </w:t>
            </w:r>
          </w:p>
        </w:tc>
        <w:tc>
          <w:tcPr>
            <w:tcW w:w="1052" w:type="dxa"/>
            <w:tcBorders>
              <w:top w:val="nil"/>
              <w:left w:val="nil"/>
              <w:bottom w:val="nil"/>
              <w:right w:val="nil"/>
            </w:tcBorders>
            <w:shd w:val="clear" w:color="auto" w:fill="auto"/>
            <w:noWrap/>
            <w:vAlign w:val="bottom"/>
            <w:hideMark/>
          </w:tcPr>
          <w:p w14:paraId="3301753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274.6 </w:t>
            </w:r>
          </w:p>
        </w:tc>
        <w:tc>
          <w:tcPr>
            <w:tcW w:w="1052" w:type="dxa"/>
            <w:tcBorders>
              <w:top w:val="nil"/>
              <w:left w:val="single" w:sz="4" w:space="0" w:color="auto"/>
              <w:bottom w:val="nil"/>
              <w:right w:val="nil"/>
            </w:tcBorders>
            <w:shd w:val="clear" w:color="auto" w:fill="auto"/>
            <w:noWrap/>
            <w:vAlign w:val="bottom"/>
            <w:hideMark/>
          </w:tcPr>
          <w:p w14:paraId="59FAF6E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397.3 </w:t>
            </w:r>
          </w:p>
        </w:tc>
        <w:tc>
          <w:tcPr>
            <w:tcW w:w="1052" w:type="dxa"/>
            <w:tcBorders>
              <w:top w:val="nil"/>
              <w:left w:val="nil"/>
              <w:bottom w:val="nil"/>
              <w:right w:val="single" w:sz="4" w:space="0" w:color="auto"/>
            </w:tcBorders>
            <w:shd w:val="clear" w:color="auto" w:fill="auto"/>
            <w:noWrap/>
            <w:vAlign w:val="bottom"/>
            <w:hideMark/>
          </w:tcPr>
          <w:p w14:paraId="0BDFDF8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328.0 </w:t>
            </w:r>
          </w:p>
        </w:tc>
      </w:tr>
      <w:tr w:rsidR="00E43679" w:rsidRPr="00E43679" w14:paraId="3C7331E6"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AF5C660"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1C8379B"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1909E9E9"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2C5F56C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608FEC0C"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C5F829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4720D85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5217FEA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nil"/>
            </w:tcBorders>
            <w:shd w:val="clear" w:color="auto" w:fill="auto"/>
            <w:noWrap/>
            <w:vAlign w:val="bottom"/>
            <w:hideMark/>
          </w:tcPr>
          <w:p w14:paraId="7D92563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2016EB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3C0239E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54F9A19E" w14:textId="77777777" w:rsidTr="00E43679">
        <w:trPr>
          <w:trHeight w:val="300"/>
        </w:trPr>
        <w:tc>
          <w:tcPr>
            <w:tcW w:w="5179" w:type="dxa"/>
            <w:gridSpan w:val="4"/>
            <w:tcBorders>
              <w:top w:val="nil"/>
              <w:left w:val="single" w:sz="4" w:space="0" w:color="auto"/>
              <w:bottom w:val="nil"/>
              <w:right w:val="nil"/>
            </w:tcBorders>
            <w:shd w:val="clear" w:color="auto" w:fill="auto"/>
            <w:noWrap/>
            <w:vAlign w:val="bottom"/>
            <w:hideMark/>
          </w:tcPr>
          <w:p w14:paraId="2A4E1122"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Enterprise Value (Market Cap + Net Debt - Cash)</w:t>
            </w:r>
          </w:p>
        </w:tc>
        <w:tc>
          <w:tcPr>
            <w:tcW w:w="1322" w:type="dxa"/>
            <w:tcBorders>
              <w:top w:val="nil"/>
              <w:left w:val="nil"/>
              <w:bottom w:val="nil"/>
              <w:right w:val="single" w:sz="4" w:space="0" w:color="auto"/>
            </w:tcBorders>
            <w:shd w:val="clear" w:color="auto" w:fill="auto"/>
            <w:noWrap/>
            <w:vAlign w:val="bottom"/>
            <w:hideMark/>
          </w:tcPr>
          <w:p w14:paraId="0FF41142"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146C48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32EE47A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7,047.5 </w:t>
            </w:r>
          </w:p>
        </w:tc>
        <w:tc>
          <w:tcPr>
            <w:tcW w:w="1052" w:type="dxa"/>
            <w:tcBorders>
              <w:top w:val="nil"/>
              <w:left w:val="nil"/>
              <w:bottom w:val="nil"/>
              <w:right w:val="nil"/>
            </w:tcBorders>
            <w:shd w:val="clear" w:color="auto" w:fill="auto"/>
            <w:noWrap/>
            <w:vAlign w:val="bottom"/>
            <w:hideMark/>
          </w:tcPr>
          <w:p w14:paraId="7A40D9D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6,863.6 </w:t>
            </w:r>
          </w:p>
        </w:tc>
        <w:tc>
          <w:tcPr>
            <w:tcW w:w="1052" w:type="dxa"/>
            <w:tcBorders>
              <w:top w:val="nil"/>
              <w:left w:val="nil"/>
              <w:bottom w:val="nil"/>
              <w:right w:val="nil"/>
            </w:tcBorders>
            <w:shd w:val="clear" w:color="auto" w:fill="auto"/>
            <w:noWrap/>
            <w:vAlign w:val="bottom"/>
            <w:hideMark/>
          </w:tcPr>
          <w:p w14:paraId="24F2021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2,944.8 </w:t>
            </w:r>
          </w:p>
        </w:tc>
        <w:tc>
          <w:tcPr>
            <w:tcW w:w="1052" w:type="dxa"/>
            <w:tcBorders>
              <w:top w:val="nil"/>
              <w:left w:val="single" w:sz="4" w:space="0" w:color="auto"/>
              <w:bottom w:val="nil"/>
              <w:right w:val="nil"/>
            </w:tcBorders>
            <w:shd w:val="clear" w:color="auto" w:fill="auto"/>
            <w:noWrap/>
            <w:vAlign w:val="bottom"/>
            <w:hideMark/>
          </w:tcPr>
          <w:p w14:paraId="734634D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1,772.6 </w:t>
            </w:r>
          </w:p>
        </w:tc>
        <w:tc>
          <w:tcPr>
            <w:tcW w:w="1052" w:type="dxa"/>
            <w:tcBorders>
              <w:top w:val="nil"/>
              <w:left w:val="nil"/>
              <w:bottom w:val="nil"/>
              <w:right w:val="single" w:sz="4" w:space="0" w:color="auto"/>
            </w:tcBorders>
            <w:shd w:val="clear" w:color="auto" w:fill="auto"/>
            <w:noWrap/>
            <w:vAlign w:val="bottom"/>
            <w:hideMark/>
          </w:tcPr>
          <w:p w14:paraId="6766272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2,434.4 </w:t>
            </w:r>
          </w:p>
        </w:tc>
      </w:tr>
      <w:tr w:rsidR="00E43679" w:rsidRPr="00E43679" w14:paraId="61829A08"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07BA140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89FEE8C"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7A8F30B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624C139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1B97D26F"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A70B29C"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052" w:type="dxa"/>
            <w:tcBorders>
              <w:top w:val="nil"/>
              <w:left w:val="nil"/>
              <w:bottom w:val="nil"/>
              <w:right w:val="nil"/>
            </w:tcBorders>
            <w:shd w:val="clear" w:color="auto" w:fill="auto"/>
            <w:noWrap/>
            <w:vAlign w:val="bottom"/>
            <w:hideMark/>
          </w:tcPr>
          <w:p w14:paraId="4080CCAF"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1052" w:type="dxa"/>
            <w:tcBorders>
              <w:top w:val="nil"/>
              <w:left w:val="nil"/>
              <w:bottom w:val="nil"/>
              <w:right w:val="nil"/>
            </w:tcBorders>
            <w:shd w:val="clear" w:color="auto" w:fill="auto"/>
            <w:noWrap/>
            <w:vAlign w:val="bottom"/>
            <w:hideMark/>
          </w:tcPr>
          <w:p w14:paraId="28393064"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35022580"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E6569A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3940B4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722BFA3C" w14:textId="77777777" w:rsidTr="5CE60E2F">
        <w:trPr>
          <w:trHeight w:val="300"/>
        </w:trPr>
        <w:tc>
          <w:tcPr>
            <w:tcW w:w="6501" w:type="dxa"/>
            <w:gridSpan w:val="5"/>
            <w:tcBorders>
              <w:top w:val="nil"/>
              <w:left w:val="single" w:sz="4" w:space="0" w:color="auto"/>
              <w:bottom w:val="nil"/>
              <w:right w:val="single" w:sz="4" w:space="0" w:color="000000" w:themeColor="text1"/>
            </w:tcBorders>
            <w:shd w:val="clear" w:color="auto" w:fill="auto"/>
            <w:noWrap/>
            <w:vAlign w:val="bottom"/>
            <w:hideMark/>
          </w:tcPr>
          <w:p w14:paraId="6A5C17EB"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Market Cap (M.V of share mid year *Weighted ave number of shares)</w:t>
            </w:r>
          </w:p>
        </w:tc>
        <w:tc>
          <w:tcPr>
            <w:tcW w:w="828" w:type="dxa"/>
            <w:tcBorders>
              <w:top w:val="nil"/>
              <w:left w:val="nil"/>
              <w:bottom w:val="nil"/>
              <w:right w:val="single" w:sz="4" w:space="0" w:color="auto"/>
            </w:tcBorders>
            <w:shd w:val="clear" w:color="auto" w:fill="auto"/>
            <w:noWrap/>
            <w:vAlign w:val="bottom"/>
            <w:hideMark/>
          </w:tcPr>
          <w:p w14:paraId="6A0E8B9A"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052" w:type="dxa"/>
            <w:tcBorders>
              <w:top w:val="nil"/>
              <w:left w:val="nil"/>
              <w:bottom w:val="nil"/>
              <w:right w:val="nil"/>
            </w:tcBorders>
            <w:shd w:val="clear" w:color="auto" w:fill="auto"/>
            <w:noWrap/>
            <w:vAlign w:val="bottom"/>
            <w:hideMark/>
          </w:tcPr>
          <w:p w14:paraId="4B0E8F1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6,821.0</w:t>
            </w:r>
          </w:p>
        </w:tc>
        <w:tc>
          <w:tcPr>
            <w:tcW w:w="1052" w:type="dxa"/>
            <w:tcBorders>
              <w:top w:val="nil"/>
              <w:left w:val="nil"/>
              <w:bottom w:val="nil"/>
              <w:right w:val="nil"/>
            </w:tcBorders>
            <w:shd w:val="clear" w:color="auto" w:fill="auto"/>
            <w:noWrap/>
            <w:vAlign w:val="bottom"/>
            <w:hideMark/>
          </w:tcPr>
          <w:p w14:paraId="0894B17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6,438.1</w:t>
            </w:r>
          </w:p>
        </w:tc>
        <w:tc>
          <w:tcPr>
            <w:tcW w:w="1052" w:type="dxa"/>
            <w:tcBorders>
              <w:top w:val="nil"/>
              <w:left w:val="nil"/>
              <w:bottom w:val="nil"/>
              <w:right w:val="nil"/>
            </w:tcBorders>
            <w:shd w:val="clear" w:color="auto" w:fill="auto"/>
            <w:noWrap/>
            <w:vAlign w:val="bottom"/>
            <w:hideMark/>
          </w:tcPr>
          <w:p w14:paraId="4B68CD9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2,608.3</w:t>
            </w:r>
          </w:p>
        </w:tc>
        <w:tc>
          <w:tcPr>
            <w:tcW w:w="1052" w:type="dxa"/>
            <w:tcBorders>
              <w:top w:val="nil"/>
              <w:left w:val="single" w:sz="4" w:space="0" w:color="auto"/>
              <w:bottom w:val="nil"/>
              <w:right w:val="nil"/>
            </w:tcBorders>
            <w:shd w:val="clear" w:color="auto" w:fill="auto"/>
            <w:noWrap/>
            <w:vAlign w:val="bottom"/>
            <w:hideMark/>
          </w:tcPr>
          <w:p w14:paraId="0EA4E06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1,771.8</w:t>
            </w:r>
          </w:p>
        </w:tc>
        <w:tc>
          <w:tcPr>
            <w:tcW w:w="1052" w:type="dxa"/>
            <w:tcBorders>
              <w:top w:val="nil"/>
              <w:left w:val="nil"/>
              <w:bottom w:val="nil"/>
              <w:right w:val="single" w:sz="4" w:space="0" w:color="auto"/>
            </w:tcBorders>
            <w:shd w:val="clear" w:color="auto" w:fill="auto"/>
            <w:noWrap/>
            <w:vAlign w:val="bottom"/>
            <w:hideMark/>
          </w:tcPr>
          <w:p w14:paraId="66414CC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2,373.5</w:t>
            </w:r>
          </w:p>
        </w:tc>
      </w:tr>
      <w:tr w:rsidR="00E43679" w:rsidRPr="00E43679" w14:paraId="33A78AE7"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1C2BBE9E"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553C7FC0" w14:textId="77777777" w:rsidR="00E43679" w:rsidRPr="00E43679" w:rsidRDefault="00E43679" w:rsidP="00E43679">
            <w:pPr>
              <w:spacing w:after="0" w:line="240" w:lineRule="auto"/>
              <w:rPr>
                <w:rFonts w:ascii="Calibri" w:eastAsia="Times New Roman" w:hAnsi="Calibri" w:cs="Calibri"/>
                <w:b/>
                <w:bCs/>
                <w:color w:val="000000"/>
                <w:sz w:val="22"/>
                <w:szCs w:val="22"/>
                <w:lang w:val="en-GB" w:eastAsia="en-GB"/>
              </w:rPr>
            </w:pPr>
          </w:p>
        </w:tc>
        <w:tc>
          <w:tcPr>
            <w:tcW w:w="1459" w:type="dxa"/>
            <w:tcBorders>
              <w:top w:val="nil"/>
              <w:left w:val="nil"/>
              <w:bottom w:val="nil"/>
              <w:right w:val="nil"/>
            </w:tcBorders>
            <w:shd w:val="clear" w:color="auto" w:fill="auto"/>
            <w:noWrap/>
            <w:vAlign w:val="bottom"/>
            <w:hideMark/>
          </w:tcPr>
          <w:p w14:paraId="0CFDC61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7EA6067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4252414B"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89FBA14"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052" w:type="dxa"/>
            <w:tcBorders>
              <w:top w:val="nil"/>
              <w:left w:val="nil"/>
              <w:bottom w:val="nil"/>
              <w:right w:val="nil"/>
            </w:tcBorders>
            <w:shd w:val="clear" w:color="auto" w:fill="auto"/>
            <w:noWrap/>
            <w:vAlign w:val="bottom"/>
            <w:hideMark/>
          </w:tcPr>
          <w:p w14:paraId="52B27751"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1052" w:type="dxa"/>
            <w:tcBorders>
              <w:top w:val="nil"/>
              <w:left w:val="nil"/>
              <w:bottom w:val="nil"/>
              <w:right w:val="nil"/>
            </w:tcBorders>
            <w:shd w:val="clear" w:color="auto" w:fill="auto"/>
            <w:noWrap/>
            <w:vAlign w:val="bottom"/>
            <w:hideMark/>
          </w:tcPr>
          <w:p w14:paraId="2398476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23F8004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7C2E7C2D"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1E5EBDE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0C65712" w14:textId="77777777" w:rsidTr="00E43679">
        <w:trPr>
          <w:trHeight w:val="300"/>
        </w:trPr>
        <w:tc>
          <w:tcPr>
            <w:tcW w:w="2200" w:type="dxa"/>
            <w:gridSpan w:val="2"/>
            <w:tcBorders>
              <w:top w:val="nil"/>
              <w:left w:val="single" w:sz="4" w:space="0" w:color="auto"/>
              <w:bottom w:val="nil"/>
              <w:right w:val="nil"/>
            </w:tcBorders>
            <w:shd w:val="clear" w:color="auto" w:fill="auto"/>
            <w:noWrap/>
            <w:vAlign w:val="bottom"/>
            <w:hideMark/>
          </w:tcPr>
          <w:p w14:paraId="3D8886CD"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KEY STATISTICS:</w:t>
            </w:r>
          </w:p>
        </w:tc>
        <w:tc>
          <w:tcPr>
            <w:tcW w:w="1459" w:type="dxa"/>
            <w:tcBorders>
              <w:top w:val="nil"/>
              <w:left w:val="nil"/>
              <w:bottom w:val="nil"/>
              <w:right w:val="nil"/>
            </w:tcBorders>
            <w:shd w:val="clear" w:color="auto" w:fill="auto"/>
            <w:noWrap/>
            <w:vAlign w:val="bottom"/>
            <w:hideMark/>
          </w:tcPr>
          <w:p w14:paraId="39A839DE"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p>
        </w:tc>
        <w:tc>
          <w:tcPr>
            <w:tcW w:w="1520" w:type="dxa"/>
            <w:tcBorders>
              <w:top w:val="nil"/>
              <w:left w:val="nil"/>
              <w:bottom w:val="nil"/>
              <w:right w:val="nil"/>
            </w:tcBorders>
            <w:shd w:val="clear" w:color="auto" w:fill="auto"/>
            <w:noWrap/>
            <w:vAlign w:val="bottom"/>
            <w:hideMark/>
          </w:tcPr>
          <w:p w14:paraId="05C0D9D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52728917"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F020BBA"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052" w:type="dxa"/>
            <w:tcBorders>
              <w:top w:val="nil"/>
              <w:left w:val="nil"/>
              <w:bottom w:val="nil"/>
              <w:right w:val="nil"/>
            </w:tcBorders>
            <w:shd w:val="clear" w:color="auto" w:fill="auto"/>
            <w:noWrap/>
            <w:vAlign w:val="bottom"/>
            <w:hideMark/>
          </w:tcPr>
          <w:p w14:paraId="5C88A646"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1052" w:type="dxa"/>
            <w:tcBorders>
              <w:top w:val="nil"/>
              <w:left w:val="nil"/>
              <w:bottom w:val="nil"/>
              <w:right w:val="nil"/>
            </w:tcBorders>
            <w:shd w:val="clear" w:color="auto" w:fill="auto"/>
            <w:noWrap/>
            <w:vAlign w:val="bottom"/>
            <w:hideMark/>
          </w:tcPr>
          <w:p w14:paraId="015FC51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5219C2C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1520C9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3B98F9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425B5B90"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5406FE64"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2B5A2CA7"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p>
        </w:tc>
        <w:tc>
          <w:tcPr>
            <w:tcW w:w="1459" w:type="dxa"/>
            <w:tcBorders>
              <w:top w:val="nil"/>
              <w:left w:val="nil"/>
              <w:bottom w:val="nil"/>
              <w:right w:val="nil"/>
            </w:tcBorders>
            <w:shd w:val="clear" w:color="auto" w:fill="auto"/>
            <w:noWrap/>
            <w:vAlign w:val="bottom"/>
            <w:hideMark/>
          </w:tcPr>
          <w:p w14:paraId="3D6FDE4E" w14:textId="77777777" w:rsidR="00E43679" w:rsidRPr="00E43679" w:rsidRDefault="00E43679" w:rsidP="00E43679">
            <w:pPr>
              <w:spacing w:after="0" w:line="240" w:lineRule="auto"/>
              <w:rPr>
                <w:rFonts w:ascii="Times New Roman" w:eastAsia="Times New Roman" w:hAnsi="Times New Roman" w:cs="Times New Roman"/>
                <w:color w:val="000000" w:themeColor="text1"/>
                <w:sz w:val="20"/>
                <w:szCs w:val="20"/>
                <w:lang w:val="en-GB" w:eastAsia="en-GB"/>
              </w:rPr>
            </w:pPr>
          </w:p>
        </w:tc>
        <w:tc>
          <w:tcPr>
            <w:tcW w:w="1520" w:type="dxa"/>
            <w:tcBorders>
              <w:top w:val="nil"/>
              <w:left w:val="nil"/>
              <w:bottom w:val="nil"/>
              <w:right w:val="nil"/>
            </w:tcBorders>
            <w:shd w:val="clear" w:color="auto" w:fill="auto"/>
            <w:noWrap/>
            <w:vAlign w:val="bottom"/>
            <w:hideMark/>
          </w:tcPr>
          <w:p w14:paraId="07B035CC"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0E0C9653"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13EF9F02"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052" w:type="dxa"/>
            <w:tcBorders>
              <w:top w:val="nil"/>
              <w:left w:val="nil"/>
              <w:bottom w:val="nil"/>
              <w:right w:val="nil"/>
            </w:tcBorders>
            <w:shd w:val="clear" w:color="auto" w:fill="auto"/>
            <w:noWrap/>
            <w:vAlign w:val="bottom"/>
            <w:hideMark/>
          </w:tcPr>
          <w:p w14:paraId="6AB3D3AF"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1052" w:type="dxa"/>
            <w:tcBorders>
              <w:top w:val="nil"/>
              <w:left w:val="nil"/>
              <w:bottom w:val="nil"/>
              <w:right w:val="nil"/>
            </w:tcBorders>
            <w:shd w:val="clear" w:color="auto" w:fill="auto"/>
            <w:noWrap/>
            <w:vAlign w:val="bottom"/>
            <w:hideMark/>
          </w:tcPr>
          <w:p w14:paraId="0FCCD71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406534A6"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05A1983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359AD5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0B80FE66"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45D47A4E"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Basic (Loss)/Earnings Per Share</w:t>
            </w:r>
          </w:p>
        </w:tc>
        <w:tc>
          <w:tcPr>
            <w:tcW w:w="1520" w:type="dxa"/>
            <w:tcBorders>
              <w:top w:val="nil"/>
              <w:left w:val="nil"/>
              <w:bottom w:val="nil"/>
              <w:right w:val="nil"/>
            </w:tcBorders>
            <w:shd w:val="clear" w:color="auto" w:fill="auto"/>
            <w:noWrap/>
            <w:vAlign w:val="bottom"/>
            <w:hideMark/>
          </w:tcPr>
          <w:p w14:paraId="0364D7C2"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4EB5E3A6"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32EB3DA8"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052" w:type="dxa"/>
            <w:tcBorders>
              <w:top w:val="nil"/>
              <w:left w:val="nil"/>
              <w:bottom w:val="nil"/>
              <w:right w:val="nil"/>
            </w:tcBorders>
            <w:shd w:val="clear" w:color="auto" w:fill="auto"/>
            <w:noWrap/>
            <w:vAlign w:val="bottom"/>
            <w:hideMark/>
          </w:tcPr>
          <w:p w14:paraId="05A9348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257.9 </w:t>
            </w:r>
          </w:p>
        </w:tc>
        <w:tc>
          <w:tcPr>
            <w:tcW w:w="1052" w:type="dxa"/>
            <w:tcBorders>
              <w:top w:val="nil"/>
              <w:left w:val="nil"/>
              <w:bottom w:val="nil"/>
              <w:right w:val="nil"/>
            </w:tcBorders>
            <w:shd w:val="clear" w:color="auto" w:fill="auto"/>
            <w:noWrap/>
            <w:vAlign w:val="bottom"/>
            <w:hideMark/>
          </w:tcPr>
          <w:p w14:paraId="475087A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7.2 </w:t>
            </w:r>
          </w:p>
        </w:tc>
        <w:tc>
          <w:tcPr>
            <w:tcW w:w="1052" w:type="dxa"/>
            <w:tcBorders>
              <w:top w:val="nil"/>
              <w:left w:val="nil"/>
              <w:bottom w:val="nil"/>
              <w:right w:val="nil"/>
            </w:tcBorders>
            <w:shd w:val="clear" w:color="auto" w:fill="auto"/>
            <w:noWrap/>
            <w:vAlign w:val="bottom"/>
            <w:hideMark/>
          </w:tcPr>
          <w:p w14:paraId="77716B2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326.5 </w:t>
            </w:r>
          </w:p>
        </w:tc>
        <w:tc>
          <w:tcPr>
            <w:tcW w:w="1052" w:type="dxa"/>
            <w:tcBorders>
              <w:top w:val="nil"/>
              <w:left w:val="single" w:sz="4" w:space="0" w:color="auto"/>
              <w:bottom w:val="nil"/>
              <w:right w:val="nil"/>
            </w:tcBorders>
            <w:shd w:val="clear" w:color="auto" w:fill="auto"/>
            <w:noWrap/>
            <w:vAlign w:val="bottom"/>
            <w:hideMark/>
          </w:tcPr>
          <w:p w14:paraId="5529CF8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301.1 </w:t>
            </w:r>
          </w:p>
        </w:tc>
        <w:tc>
          <w:tcPr>
            <w:tcW w:w="1052" w:type="dxa"/>
            <w:tcBorders>
              <w:top w:val="nil"/>
              <w:left w:val="nil"/>
              <w:bottom w:val="nil"/>
              <w:right w:val="single" w:sz="4" w:space="0" w:color="auto"/>
            </w:tcBorders>
            <w:shd w:val="clear" w:color="auto" w:fill="auto"/>
            <w:noWrap/>
            <w:vAlign w:val="bottom"/>
            <w:hideMark/>
          </w:tcPr>
          <w:p w14:paraId="400B45C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256.7 </w:t>
            </w:r>
          </w:p>
        </w:tc>
      </w:tr>
      <w:tr w:rsidR="00E43679" w:rsidRPr="00E43679" w14:paraId="33CD64D3"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EAC4261"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617B6D56"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p>
        </w:tc>
        <w:tc>
          <w:tcPr>
            <w:tcW w:w="1459" w:type="dxa"/>
            <w:tcBorders>
              <w:top w:val="nil"/>
              <w:left w:val="nil"/>
              <w:bottom w:val="nil"/>
              <w:right w:val="nil"/>
            </w:tcBorders>
            <w:shd w:val="clear" w:color="auto" w:fill="auto"/>
            <w:noWrap/>
            <w:vAlign w:val="bottom"/>
            <w:hideMark/>
          </w:tcPr>
          <w:p w14:paraId="571E5DDF" w14:textId="77777777" w:rsidR="00E43679" w:rsidRPr="00E43679" w:rsidRDefault="00E43679" w:rsidP="00E43679">
            <w:pPr>
              <w:spacing w:after="0" w:line="240" w:lineRule="auto"/>
              <w:rPr>
                <w:rFonts w:ascii="Times New Roman" w:eastAsia="Times New Roman" w:hAnsi="Times New Roman" w:cs="Times New Roman"/>
                <w:color w:val="000000" w:themeColor="text1"/>
                <w:sz w:val="20"/>
                <w:szCs w:val="20"/>
                <w:lang w:val="en-GB" w:eastAsia="en-GB"/>
              </w:rPr>
            </w:pPr>
          </w:p>
        </w:tc>
        <w:tc>
          <w:tcPr>
            <w:tcW w:w="1520" w:type="dxa"/>
            <w:tcBorders>
              <w:top w:val="nil"/>
              <w:left w:val="nil"/>
              <w:bottom w:val="nil"/>
              <w:right w:val="nil"/>
            </w:tcBorders>
            <w:shd w:val="clear" w:color="auto" w:fill="auto"/>
            <w:noWrap/>
            <w:vAlign w:val="bottom"/>
            <w:hideMark/>
          </w:tcPr>
          <w:p w14:paraId="430427DA"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1179A8FF"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0354E71A"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052" w:type="dxa"/>
            <w:tcBorders>
              <w:top w:val="nil"/>
              <w:left w:val="nil"/>
              <w:bottom w:val="nil"/>
              <w:right w:val="nil"/>
            </w:tcBorders>
            <w:shd w:val="clear" w:color="auto" w:fill="auto"/>
            <w:noWrap/>
            <w:vAlign w:val="bottom"/>
            <w:hideMark/>
          </w:tcPr>
          <w:p w14:paraId="6B32873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C7A40B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p>
        </w:tc>
        <w:tc>
          <w:tcPr>
            <w:tcW w:w="1052" w:type="dxa"/>
            <w:tcBorders>
              <w:top w:val="nil"/>
              <w:left w:val="nil"/>
              <w:bottom w:val="nil"/>
              <w:right w:val="nil"/>
            </w:tcBorders>
            <w:shd w:val="clear" w:color="auto" w:fill="auto"/>
            <w:noWrap/>
            <w:vAlign w:val="bottom"/>
            <w:hideMark/>
          </w:tcPr>
          <w:p w14:paraId="4911A770" w14:textId="77777777" w:rsidR="00E43679" w:rsidRPr="00E43679" w:rsidRDefault="00E43679" w:rsidP="00E43679">
            <w:pPr>
              <w:spacing w:after="0" w:line="240" w:lineRule="auto"/>
              <w:jc w:val="right"/>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551504D"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5B8260E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84AB49E"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69A1CEBD"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Diluted (Loss)/ Earnings Per Share</w:t>
            </w:r>
          </w:p>
        </w:tc>
        <w:tc>
          <w:tcPr>
            <w:tcW w:w="1520" w:type="dxa"/>
            <w:tcBorders>
              <w:top w:val="nil"/>
              <w:left w:val="nil"/>
              <w:bottom w:val="nil"/>
              <w:right w:val="nil"/>
            </w:tcBorders>
            <w:shd w:val="clear" w:color="auto" w:fill="auto"/>
            <w:noWrap/>
            <w:vAlign w:val="bottom"/>
            <w:hideMark/>
          </w:tcPr>
          <w:p w14:paraId="7F850B90"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2E198A86"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4E41039"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t> </w:t>
            </w:r>
          </w:p>
        </w:tc>
        <w:tc>
          <w:tcPr>
            <w:tcW w:w="1052" w:type="dxa"/>
            <w:tcBorders>
              <w:top w:val="nil"/>
              <w:left w:val="nil"/>
              <w:bottom w:val="nil"/>
              <w:right w:val="nil"/>
            </w:tcBorders>
            <w:shd w:val="clear" w:color="auto" w:fill="auto"/>
            <w:noWrap/>
            <w:vAlign w:val="bottom"/>
            <w:hideMark/>
          </w:tcPr>
          <w:p w14:paraId="5C4F108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255.4 </w:t>
            </w:r>
          </w:p>
        </w:tc>
        <w:tc>
          <w:tcPr>
            <w:tcW w:w="1052" w:type="dxa"/>
            <w:tcBorders>
              <w:top w:val="nil"/>
              <w:left w:val="nil"/>
              <w:bottom w:val="nil"/>
              <w:right w:val="nil"/>
            </w:tcBorders>
            <w:shd w:val="clear" w:color="auto" w:fill="auto"/>
            <w:noWrap/>
            <w:vAlign w:val="bottom"/>
            <w:hideMark/>
          </w:tcPr>
          <w:p w14:paraId="60390EB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7.2 </w:t>
            </w:r>
          </w:p>
        </w:tc>
        <w:tc>
          <w:tcPr>
            <w:tcW w:w="1052" w:type="dxa"/>
            <w:tcBorders>
              <w:top w:val="nil"/>
              <w:left w:val="nil"/>
              <w:bottom w:val="nil"/>
              <w:right w:val="nil"/>
            </w:tcBorders>
            <w:shd w:val="clear" w:color="auto" w:fill="auto"/>
            <w:noWrap/>
            <w:vAlign w:val="bottom"/>
            <w:hideMark/>
          </w:tcPr>
          <w:p w14:paraId="07F7356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320.9 </w:t>
            </w:r>
          </w:p>
        </w:tc>
        <w:tc>
          <w:tcPr>
            <w:tcW w:w="1052" w:type="dxa"/>
            <w:tcBorders>
              <w:top w:val="nil"/>
              <w:left w:val="single" w:sz="4" w:space="0" w:color="auto"/>
              <w:bottom w:val="nil"/>
              <w:right w:val="nil"/>
            </w:tcBorders>
            <w:shd w:val="clear" w:color="auto" w:fill="auto"/>
            <w:noWrap/>
            <w:vAlign w:val="bottom"/>
            <w:hideMark/>
          </w:tcPr>
          <w:p w14:paraId="31C7F0C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297.6 </w:t>
            </w:r>
          </w:p>
        </w:tc>
        <w:tc>
          <w:tcPr>
            <w:tcW w:w="1052" w:type="dxa"/>
            <w:tcBorders>
              <w:top w:val="nil"/>
              <w:left w:val="nil"/>
              <w:bottom w:val="nil"/>
              <w:right w:val="single" w:sz="4" w:space="0" w:color="auto"/>
            </w:tcBorders>
            <w:shd w:val="clear" w:color="auto" w:fill="auto"/>
            <w:noWrap/>
            <w:vAlign w:val="bottom"/>
            <w:hideMark/>
          </w:tcPr>
          <w:p w14:paraId="5E6DE08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252.0 </w:t>
            </w:r>
          </w:p>
        </w:tc>
      </w:tr>
      <w:tr w:rsidR="00E43679" w:rsidRPr="00E43679" w14:paraId="7C7C8DFD"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24FFDFA0"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 </w:t>
            </w:r>
          </w:p>
        </w:tc>
        <w:tc>
          <w:tcPr>
            <w:tcW w:w="266" w:type="dxa"/>
            <w:tcBorders>
              <w:top w:val="nil"/>
              <w:left w:val="nil"/>
              <w:bottom w:val="nil"/>
              <w:right w:val="nil"/>
            </w:tcBorders>
            <w:shd w:val="clear" w:color="auto" w:fill="auto"/>
            <w:noWrap/>
            <w:vAlign w:val="bottom"/>
            <w:hideMark/>
          </w:tcPr>
          <w:p w14:paraId="0732C8E2"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p>
        </w:tc>
        <w:tc>
          <w:tcPr>
            <w:tcW w:w="1459" w:type="dxa"/>
            <w:tcBorders>
              <w:top w:val="nil"/>
              <w:left w:val="nil"/>
              <w:bottom w:val="nil"/>
              <w:right w:val="nil"/>
            </w:tcBorders>
            <w:shd w:val="clear" w:color="auto" w:fill="auto"/>
            <w:noWrap/>
            <w:vAlign w:val="bottom"/>
            <w:hideMark/>
          </w:tcPr>
          <w:p w14:paraId="42512BB7" w14:textId="77777777" w:rsidR="00E43679" w:rsidRPr="00E43679" w:rsidRDefault="00E43679" w:rsidP="00E43679">
            <w:pPr>
              <w:spacing w:after="0" w:line="240" w:lineRule="auto"/>
              <w:rPr>
                <w:rFonts w:ascii="Times New Roman" w:eastAsia="Times New Roman" w:hAnsi="Times New Roman" w:cs="Times New Roman"/>
                <w:color w:val="000000" w:themeColor="text1"/>
                <w:sz w:val="20"/>
                <w:szCs w:val="20"/>
                <w:lang w:val="en-GB" w:eastAsia="en-GB"/>
              </w:rPr>
            </w:pPr>
          </w:p>
        </w:tc>
        <w:tc>
          <w:tcPr>
            <w:tcW w:w="1520" w:type="dxa"/>
            <w:tcBorders>
              <w:top w:val="nil"/>
              <w:left w:val="nil"/>
              <w:bottom w:val="nil"/>
              <w:right w:val="nil"/>
            </w:tcBorders>
            <w:shd w:val="clear" w:color="auto" w:fill="auto"/>
            <w:noWrap/>
            <w:vAlign w:val="bottom"/>
            <w:hideMark/>
          </w:tcPr>
          <w:p w14:paraId="3F06EC5D"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07A6804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199505F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0513394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4D88995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p>
        </w:tc>
        <w:tc>
          <w:tcPr>
            <w:tcW w:w="1052" w:type="dxa"/>
            <w:tcBorders>
              <w:top w:val="nil"/>
              <w:left w:val="nil"/>
              <w:bottom w:val="nil"/>
              <w:right w:val="nil"/>
            </w:tcBorders>
            <w:shd w:val="clear" w:color="auto" w:fill="auto"/>
            <w:noWrap/>
            <w:vAlign w:val="bottom"/>
            <w:hideMark/>
          </w:tcPr>
          <w:p w14:paraId="0C6F0B21" w14:textId="77777777" w:rsidR="00E43679" w:rsidRPr="00E43679" w:rsidRDefault="00E43679" w:rsidP="00E43679">
            <w:pPr>
              <w:spacing w:after="0" w:line="240" w:lineRule="auto"/>
              <w:jc w:val="right"/>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1B0A9BC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106C9E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3755B08E" w14:textId="77777777" w:rsidTr="00E43679">
        <w:trPr>
          <w:trHeight w:val="300"/>
        </w:trPr>
        <w:tc>
          <w:tcPr>
            <w:tcW w:w="3659" w:type="dxa"/>
            <w:gridSpan w:val="3"/>
            <w:tcBorders>
              <w:top w:val="nil"/>
              <w:left w:val="single" w:sz="4" w:space="0" w:color="auto"/>
              <w:bottom w:val="nil"/>
              <w:right w:val="nil"/>
            </w:tcBorders>
            <w:shd w:val="clear" w:color="auto" w:fill="auto"/>
            <w:noWrap/>
            <w:vAlign w:val="bottom"/>
            <w:hideMark/>
          </w:tcPr>
          <w:p w14:paraId="51601267"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Dividends Per Share (Paid)</w:t>
            </w:r>
          </w:p>
        </w:tc>
        <w:tc>
          <w:tcPr>
            <w:tcW w:w="1520" w:type="dxa"/>
            <w:tcBorders>
              <w:top w:val="nil"/>
              <w:left w:val="nil"/>
              <w:bottom w:val="nil"/>
              <w:right w:val="nil"/>
            </w:tcBorders>
            <w:shd w:val="clear" w:color="auto" w:fill="auto"/>
            <w:noWrap/>
            <w:vAlign w:val="bottom"/>
            <w:hideMark/>
          </w:tcPr>
          <w:p w14:paraId="6DAEE995"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1322" w:type="dxa"/>
            <w:tcBorders>
              <w:top w:val="nil"/>
              <w:left w:val="nil"/>
              <w:bottom w:val="nil"/>
              <w:right w:val="single" w:sz="4" w:space="0" w:color="auto"/>
            </w:tcBorders>
            <w:shd w:val="clear" w:color="auto" w:fill="auto"/>
            <w:noWrap/>
            <w:vAlign w:val="bottom"/>
            <w:hideMark/>
          </w:tcPr>
          <w:p w14:paraId="6A43F61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C45691D"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1DDE485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200.0 </w:t>
            </w:r>
          </w:p>
        </w:tc>
        <w:tc>
          <w:tcPr>
            <w:tcW w:w="1052" w:type="dxa"/>
            <w:tcBorders>
              <w:top w:val="nil"/>
              <w:left w:val="nil"/>
              <w:bottom w:val="nil"/>
              <w:right w:val="nil"/>
            </w:tcBorders>
            <w:shd w:val="clear" w:color="auto" w:fill="auto"/>
            <w:noWrap/>
            <w:vAlign w:val="bottom"/>
            <w:hideMark/>
          </w:tcPr>
          <w:p w14:paraId="7389098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165.0 </w:t>
            </w:r>
          </w:p>
        </w:tc>
        <w:tc>
          <w:tcPr>
            <w:tcW w:w="1052" w:type="dxa"/>
            <w:tcBorders>
              <w:top w:val="nil"/>
              <w:left w:val="nil"/>
              <w:bottom w:val="nil"/>
              <w:right w:val="nil"/>
            </w:tcBorders>
            <w:shd w:val="clear" w:color="auto" w:fill="auto"/>
            <w:noWrap/>
            <w:vAlign w:val="bottom"/>
            <w:hideMark/>
          </w:tcPr>
          <w:p w14:paraId="6B3FE33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180.0 </w:t>
            </w:r>
          </w:p>
        </w:tc>
        <w:tc>
          <w:tcPr>
            <w:tcW w:w="1052" w:type="dxa"/>
            <w:tcBorders>
              <w:top w:val="nil"/>
              <w:left w:val="single" w:sz="4" w:space="0" w:color="auto"/>
              <w:bottom w:val="nil"/>
              <w:right w:val="nil"/>
            </w:tcBorders>
            <w:shd w:val="clear" w:color="auto" w:fill="auto"/>
            <w:noWrap/>
            <w:vAlign w:val="bottom"/>
            <w:hideMark/>
          </w:tcPr>
          <w:p w14:paraId="0CFCF7B9"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152.0 </w:t>
            </w:r>
          </w:p>
        </w:tc>
        <w:tc>
          <w:tcPr>
            <w:tcW w:w="1052" w:type="dxa"/>
            <w:tcBorders>
              <w:top w:val="nil"/>
              <w:left w:val="nil"/>
              <w:bottom w:val="nil"/>
              <w:right w:val="single" w:sz="4" w:space="0" w:color="auto"/>
            </w:tcBorders>
            <w:shd w:val="clear" w:color="auto" w:fill="auto"/>
            <w:noWrap/>
            <w:vAlign w:val="bottom"/>
            <w:hideMark/>
          </w:tcPr>
          <w:p w14:paraId="5FB82AFA"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135.0 </w:t>
            </w:r>
          </w:p>
        </w:tc>
      </w:tr>
      <w:tr w:rsidR="00E43679" w:rsidRPr="00E43679" w14:paraId="1FC4AF9F"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D631B77"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r w:rsidRPr="00E43679">
              <w:rPr>
                <w:rFonts w:ascii="Calibri" w:eastAsia="Times New Roman" w:hAnsi="Calibri" w:cs="Calibri"/>
                <w:b/>
                <w:bCs/>
                <w:color w:val="7030A0"/>
                <w:sz w:val="22"/>
                <w:szCs w:val="22"/>
                <w:lang w:val="en-GB" w:eastAsia="en-GB"/>
              </w:rPr>
              <w:lastRenderedPageBreak/>
              <w:t> </w:t>
            </w:r>
          </w:p>
        </w:tc>
        <w:tc>
          <w:tcPr>
            <w:tcW w:w="266" w:type="dxa"/>
            <w:tcBorders>
              <w:top w:val="nil"/>
              <w:left w:val="nil"/>
              <w:bottom w:val="nil"/>
              <w:right w:val="nil"/>
            </w:tcBorders>
            <w:shd w:val="clear" w:color="auto" w:fill="auto"/>
            <w:noWrap/>
            <w:vAlign w:val="bottom"/>
            <w:hideMark/>
          </w:tcPr>
          <w:p w14:paraId="0E2182F1" w14:textId="77777777" w:rsidR="00E43679" w:rsidRPr="00E43679" w:rsidRDefault="00E43679" w:rsidP="00E43679">
            <w:pPr>
              <w:spacing w:after="0" w:line="240" w:lineRule="auto"/>
              <w:rPr>
                <w:rFonts w:ascii="Calibri" w:eastAsia="Times New Roman" w:hAnsi="Calibri" w:cs="Calibri"/>
                <w:b/>
                <w:bCs/>
                <w:color w:val="7030A0"/>
                <w:sz w:val="22"/>
                <w:szCs w:val="22"/>
                <w:lang w:val="en-GB" w:eastAsia="en-GB"/>
              </w:rPr>
            </w:pPr>
          </w:p>
        </w:tc>
        <w:tc>
          <w:tcPr>
            <w:tcW w:w="1459" w:type="dxa"/>
            <w:tcBorders>
              <w:top w:val="nil"/>
              <w:left w:val="nil"/>
              <w:bottom w:val="nil"/>
              <w:right w:val="nil"/>
            </w:tcBorders>
            <w:shd w:val="clear" w:color="auto" w:fill="auto"/>
            <w:noWrap/>
            <w:vAlign w:val="bottom"/>
            <w:hideMark/>
          </w:tcPr>
          <w:p w14:paraId="36A921C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1182B5E7"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5E891F2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4D7C2861"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2F25E097" w14:textId="77777777" w:rsidR="00E43679" w:rsidRPr="00E43679" w:rsidRDefault="00E43679" w:rsidP="00E43679">
            <w:pPr>
              <w:spacing w:after="0" w:line="240" w:lineRule="auto"/>
              <w:rPr>
                <w:rFonts w:ascii="Calibri" w:eastAsia="Times New Roman" w:hAnsi="Calibri" w:cs="Calibri"/>
                <w:color w:val="000000"/>
                <w:sz w:val="22"/>
                <w:szCs w:val="22"/>
                <w:lang w:val="en-GB" w:eastAsia="en-GB"/>
              </w:rPr>
            </w:pPr>
          </w:p>
        </w:tc>
        <w:tc>
          <w:tcPr>
            <w:tcW w:w="1052" w:type="dxa"/>
            <w:tcBorders>
              <w:top w:val="nil"/>
              <w:left w:val="nil"/>
              <w:bottom w:val="nil"/>
              <w:right w:val="nil"/>
            </w:tcBorders>
            <w:shd w:val="clear" w:color="auto" w:fill="auto"/>
            <w:noWrap/>
            <w:vAlign w:val="bottom"/>
            <w:hideMark/>
          </w:tcPr>
          <w:p w14:paraId="5B25C20B"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nil"/>
              <w:bottom w:val="nil"/>
              <w:right w:val="nil"/>
            </w:tcBorders>
            <w:shd w:val="clear" w:color="auto" w:fill="auto"/>
            <w:noWrap/>
            <w:vAlign w:val="bottom"/>
            <w:hideMark/>
          </w:tcPr>
          <w:p w14:paraId="5291FAE2"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4552969A"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0C687E5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21B1CD9D" w14:textId="77777777" w:rsidTr="5CE60E2F">
        <w:trPr>
          <w:trHeight w:val="300"/>
        </w:trPr>
        <w:tc>
          <w:tcPr>
            <w:tcW w:w="6501" w:type="dxa"/>
            <w:gridSpan w:val="5"/>
            <w:tcBorders>
              <w:top w:val="nil"/>
              <w:left w:val="single" w:sz="4" w:space="0" w:color="auto"/>
              <w:bottom w:val="nil"/>
              <w:right w:val="single" w:sz="4" w:space="0" w:color="000000" w:themeColor="text1"/>
            </w:tcBorders>
            <w:shd w:val="clear" w:color="auto" w:fill="auto"/>
            <w:noWrap/>
            <w:vAlign w:val="bottom"/>
            <w:hideMark/>
          </w:tcPr>
          <w:p w14:paraId="57922793"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Weighted average number of shares (million) BASIC '000</w:t>
            </w:r>
          </w:p>
        </w:tc>
        <w:tc>
          <w:tcPr>
            <w:tcW w:w="828" w:type="dxa"/>
            <w:tcBorders>
              <w:top w:val="nil"/>
              <w:left w:val="nil"/>
              <w:bottom w:val="nil"/>
              <w:right w:val="single" w:sz="4" w:space="0" w:color="auto"/>
            </w:tcBorders>
            <w:shd w:val="clear" w:color="auto" w:fill="auto"/>
            <w:noWrap/>
            <w:vAlign w:val="bottom"/>
            <w:hideMark/>
          </w:tcPr>
          <w:p w14:paraId="1D0510D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6662D04E"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84 </w:t>
            </w:r>
          </w:p>
        </w:tc>
        <w:tc>
          <w:tcPr>
            <w:tcW w:w="1052" w:type="dxa"/>
            <w:tcBorders>
              <w:top w:val="nil"/>
              <w:left w:val="nil"/>
              <w:bottom w:val="nil"/>
              <w:right w:val="nil"/>
            </w:tcBorders>
            <w:shd w:val="clear" w:color="auto" w:fill="auto"/>
            <w:noWrap/>
            <w:vAlign w:val="bottom"/>
            <w:hideMark/>
          </w:tcPr>
          <w:p w14:paraId="77DE2AE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80 </w:t>
            </w:r>
          </w:p>
        </w:tc>
        <w:tc>
          <w:tcPr>
            <w:tcW w:w="1052" w:type="dxa"/>
            <w:tcBorders>
              <w:top w:val="nil"/>
              <w:left w:val="nil"/>
              <w:bottom w:val="nil"/>
              <w:right w:val="nil"/>
            </w:tcBorders>
            <w:shd w:val="clear" w:color="auto" w:fill="auto"/>
            <w:noWrap/>
            <w:vAlign w:val="bottom"/>
            <w:hideMark/>
          </w:tcPr>
          <w:p w14:paraId="2120052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45</w:t>
            </w:r>
          </w:p>
        </w:tc>
        <w:tc>
          <w:tcPr>
            <w:tcW w:w="1052" w:type="dxa"/>
            <w:tcBorders>
              <w:top w:val="nil"/>
              <w:left w:val="single" w:sz="4" w:space="0" w:color="auto"/>
              <w:bottom w:val="nil"/>
              <w:right w:val="nil"/>
            </w:tcBorders>
            <w:shd w:val="clear" w:color="auto" w:fill="auto"/>
            <w:noWrap/>
            <w:vAlign w:val="bottom"/>
            <w:hideMark/>
          </w:tcPr>
          <w:p w14:paraId="647390E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48</w:t>
            </w:r>
          </w:p>
        </w:tc>
        <w:tc>
          <w:tcPr>
            <w:tcW w:w="1052" w:type="dxa"/>
            <w:tcBorders>
              <w:top w:val="nil"/>
              <w:left w:val="nil"/>
              <w:bottom w:val="nil"/>
              <w:right w:val="single" w:sz="4" w:space="0" w:color="auto"/>
            </w:tcBorders>
            <w:shd w:val="clear" w:color="auto" w:fill="auto"/>
            <w:noWrap/>
            <w:vAlign w:val="bottom"/>
            <w:hideMark/>
          </w:tcPr>
          <w:p w14:paraId="408AA391"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48 </w:t>
            </w:r>
          </w:p>
        </w:tc>
      </w:tr>
      <w:tr w:rsidR="00E43679" w:rsidRPr="00E43679" w14:paraId="662D188F" w14:textId="77777777" w:rsidTr="5CE60E2F">
        <w:trPr>
          <w:trHeight w:val="300"/>
        </w:trPr>
        <w:tc>
          <w:tcPr>
            <w:tcW w:w="6501" w:type="dxa"/>
            <w:gridSpan w:val="5"/>
            <w:tcBorders>
              <w:top w:val="nil"/>
              <w:left w:val="single" w:sz="4" w:space="0" w:color="auto"/>
              <w:bottom w:val="nil"/>
              <w:right w:val="single" w:sz="4" w:space="0" w:color="000000" w:themeColor="text1"/>
            </w:tcBorders>
            <w:shd w:val="clear" w:color="auto" w:fill="auto"/>
            <w:noWrap/>
            <w:vAlign w:val="bottom"/>
            <w:hideMark/>
          </w:tcPr>
          <w:p w14:paraId="3D29D501"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Weighted average number of shares (million) DILUTED '000</w:t>
            </w:r>
          </w:p>
        </w:tc>
        <w:tc>
          <w:tcPr>
            <w:tcW w:w="828" w:type="dxa"/>
            <w:tcBorders>
              <w:top w:val="nil"/>
              <w:left w:val="nil"/>
              <w:bottom w:val="nil"/>
              <w:right w:val="single" w:sz="4" w:space="0" w:color="auto"/>
            </w:tcBorders>
            <w:shd w:val="clear" w:color="auto" w:fill="auto"/>
            <w:noWrap/>
            <w:vAlign w:val="bottom"/>
            <w:hideMark/>
          </w:tcPr>
          <w:p w14:paraId="08DD607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2FCA1AD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85 </w:t>
            </w:r>
          </w:p>
        </w:tc>
        <w:tc>
          <w:tcPr>
            <w:tcW w:w="1052" w:type="dxa"/>
            <w:tcBorders>
              <w:top w:val="nil"/>
              <w:left w:val="nil"/>
              <w:bottom w:val="nil"/>
              <w:right w:val="nil"/>
            </w:tcBorders>
            <w:shd w:val="clear" w:color="auto" w:fill="auto"/>
            <w:noWrap/>
            <w:vAlign w:val="bottom"/>
            <w:hideMark/>
          </w:tcPr>
          <w:p w14:paraId="77751FC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80 </w:t>
            </w:r>
          </w:p>
        </w:tc>
        <w:tc>
          <w:tcPr>
            <w:tcW w:w="1052" w:type="dxa"/>
            <w:tcBorders>
              <w:top w:val="nil"/>
              <w:left w:val="nil"/>
              <w:bottom w:val="nil"/>
              <w:right w:val="nil"/>
            </w:tcBorders>
            <w:shd w:val="clear" w:color="auto" w:fill="auto"/>
            <w:noWrap/>
            <w:vAlign w:val="bottom"/>
            <w:hideMark/>
          </w:tcPr>
          <w:p w14:paraId="63519F96"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46</w:t>
            </w:r>
          </w:p>
        </w:tc>
        <w:tc>
          <w:tcPr>
            <w:tcW w:w="1052" w:type="dxa"/>
            <w:tcBorders>
              <w:top w:val="nil"/>
              <w:left w:val="single" w:sz="4" w:space="0" w:color="auto"/>
              <w:bottom w:val="nil"/>
              <w:right w:val="nil"/>
            </w:tcBorders>
            <w:shd w:val="clear" w:color="auto" w:fill="auto"/>
            <w:noWrap/>
            <w:vAlign w:val="bottom"/>
            <w:hideMark/>
          </w:tcPr>
          <w:p w14:paraId="4D642C9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49</w:t>
            </w:r>
          </w:p>
        </w:tc>
        <w:tc>
          <w:tcPr>
            <w:tcW w:w="1052" w:type="dxa"/>
            <w:tcBorders>
              <w:top w:val="nil"/>
              <w:left w:val="nil"/>
              <w:bottom w:val="nil"/>
              <w:right w:val="single" w:sz="4" w:space="0" w:color="auto"/>
            </w:tcBorders>
            <w:shd w:val="clear" w:color="auto" w:fill="auto"/>
            <w:noWrap/>
            <w:vAlign w:val="bottom"/>
            <w:hideMark/>
          </w:tcPr>
          <w:p w14:paraId="171044D3"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49</w:t>
            </w:r>
          </w:p>
        </w:tc>
      </w:tr>
      <w:tr w:rsidR="00E43679" w:rsidRPr="00E43679" w14:paraId="380BD854"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6B1411D8" w14:textId="77777777" w:rsidR="00E43679" w:rsidRPr="00E43679" w:rsidRDefault="00E43679" w:rsidP="00E43679">
            <w:pPr>
              <w:spacing w:after="0" w:line="240" w:lineRule="auto"/>
              <w:rPr>
                <w:rFonts w:ascii="Calibri" w:eastAsia="Times New Roman" w:hAnsi="Calibri" w:cs="Calibri"/>
                <w:b/>
                <w:bCs/>
                <w:color w:val="FF0000"/>
                <w:sz w:val="22"/>
                <w:szCs w:val="22"/>
                <w:lang w:val="en-GB" w:eastAsia="en-GB"/>
              </w:rPr>
            </w:pPr>
            <w:r w:rsidRPr="00E43679">
              <w:rPr>
                <w:rFonts w:ascii="Calibri" w:eastAsia="Times New Roman" w:hAnsi="Calibri" w:cs="Calibri"/>
                <w:b/>
                <w:bCs/>
                <w:color w:val="FF0000"/>
                <w:sz w:val="22"/>
                <w:szCs w:val="22"/>
                <w:lang w:val="en-GB" w:eastAsia="en-GB"/>
              </w:rPr>
              <w:t> </w:t>
            </w:r>
          </w:p>
        </w:tc>
        <w:tc>
          <w:tcPr>
            <w:tcW w:w="266" w:type="dxa"/>
            <w:tcBorders>
              <w:top w:val="nil"/>
              <w:left w:val="nil"/>
              <w:bottom w:val="nil"/>
              <w:right w:val="nil"/>
            </w:tcBorders>
            <w:shd w:val="clear" w:color="auto" w:fill="auto"/>
            <w:noWrap/>
            <w:vAlign w:val="bottom"/>
            <w:hideMark/>
          </w:tcPr>
          <w:p w14:paraId="7BFD7AE2" w14:textId="77777777" w:rsidR="00E43679" w:rsidRPr="00E43679" w:rsidRDefault="00E43679" w:rsidP="00E43679">
            <w:pPr>
              <w:spacing w:after="0" w:line="240" w:lineRule="auto"/>
              <w:rPr>
                <w:rFonts w:ascii="Calibri" w:eastAsia="Times New Roman" w:hAnsi="Calibri" w:cs="Calibri"/>
                <w:b/>
                <w:bCs/>
                <w:color w:val="FF0000"/>
                <w:sz w:val="22"/>
                <w:szCs w:val="22"/>
                <w:lang w:val="en-GB" w:eastAsia="en-GB"/>
              </w:rPr>
            </w:pPr>
          </w:p>
        </w:tc>
        <w:tc>
          <w:tcPr>
            <w:tcW w:w="1459" w:type="dxa"/>
            <w:tcBorders>
              <w:top w:val="nil"/>
              <w:left w:val="nil"/>
              <w:bottom w:val="nil"/>
              <w:right w:val="nil"/>
            </w:tcBorders>
            <w:shd w:val="clear" w:color="auto" w:fill="auto"/>
            <w:noWrap/>
            <w:vAlign w:val="bottom"/>
            <w:hideMark/>
          </w:tcPr>
          <w:p w14:paraId="46603433" w14:textId="77777777" w:rsidR="00E43679" w:rsidRPr="00E43679" w:rsidRDefault="00E43679" w:rsidP="00E43679">
            <w:pPr>
              <w:spacing w:after="0" w:line="240" w:lineRule="auto"/>
              <w:rPr>
                <w:rFonts w:ascii="Times New Roman" w:eastAsia="Times New Roman" w:hAnsi="Times New Roman" w:cs="Times New Roman"/>
                <w:color w:val="000000" w:themeColor="text1"/>
                <w:sz w:val="20"/>
                <w:szCs w:val="20"/>
                <w:lang w:val="en-GB" w:eastAsia="en-GB"/>
              </w:rPr>
            </w:pPr>
          </w:p>
        </w:tc>
        <w:tc>
          <w:tcPr>
            <w:tcW w:w="1520" w:type="dxa"/>
            <w:tcBorders>
              <w:top w:val="nil"/>
              <w:left w:val="nil"/>
              <w:bottom w:val="nil"/>
              <w:right w:val="nil"/>
            </w:tcBorders>
            <w:shd w:val="clear" w:color="auto" w:fill="auto"/>
            <w:noWrap/>
            <w:vAlign w:val="bottom"/>
            <w:hideMark/>
          </w:tcPr>
          <w:p w14:paraId="73BF6B5B" w14:textId="77777777" w:rsidR="00E43679" w:rsidRPr="00E43679" w:rsidRDefault="00E43679" w:rsidP="00E43679">
            <w:pPr>
              <w:spacing w:after="0" w:line="240" w:lineRule="auto"/>
              <w:rPr>
                <w:rFonts w:ascii="Times New Roman" w:eastAsia="Times New Roman" w:hAnsi="Times New Roman" w:cs="Times New Roman"/>
                <w:color w:val="000000" w:themeColor="text1"/>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1186724E"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DDBD1B5"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2508EF8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62D937A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nil"/>
            </w:tcBorders>
            <w:shd w:val="clear" w:color="auto" w:fill="auto"/>
            <w:noWrap/>
            <w:vAlign w:val="bottom"/>
            <w:hideMark/>
          </w:tcPr>
          <w:p w14:paraId="4238CAF3"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17CE987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6BBC761B"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63FEC5BD" w14:textId="77777777" w:rsidTr="00E43679">
        <w:trPr>
          <w:trHeight w:val="300"/>
        </w:trPr>
        <w:tc>
          <w:tcPr>
            <w:tcW w:w="5179" w:type="dxa"/>
            <w:gridSpan w:val="4"/>
            <w:tcBorders>
              <w:top w:val="nil"/>
              <w:left w:val="single" w:sz="4" w:space="0" w:color="auto"/>
              <w:bottom w:val="nil"/>
              <w:right w:val="nil"/>
            </w:tcBorders>
            <w:shd w:val="clear" w:color="auto" w:fill="auto"/>
            <w:noWrap/>
            <w:vAlign w:val="bottom"/>
            <w:hideMark/>
          </w:tcPr>
          <w:p w14:paraId="3976E55C" w14:textId="77777777" w:rsidR="00E43679" w:rsidRPr="00E43679" w:rsidRDefault="00E43679" w:rsidP="00E43679">
            <w:pPr>
              <w:spacing w:after="0" w:line="240" w:lineRule="auto"/>
              <w:rPr>
                <w:rFonts w:ascii="Calibri" w:eastAsia="Times New Roman" w:hAnsi="Calibri" w:cs="Calibri"/>
                <w:b/>
                <w:bCs/>
                <w:color w:val="000000" w:themeColor="text1"/>
                <w:sz w:val="22"/>
                <w:szCs w:val="22"/>
                <w:lang w:val="en-GB" w:eastAsia="en-GB"/>
              </w:rPr>
            </w:pPr>
            <w:r w:rsidRPr="00E43679">
              <w:rPr>
                <w:rFonts w:ascii="Calibri" w:eastAsia="Times New Roman" w:hAnsi="Calibri" w:cs="Calibri"/>
                <w:b/>
                <w:bCs/>
                <w:color w:val="000000" w:themeColor="text1"/>
                <w:sz w:val="22"/>
                <w:szCs w:val="22"/>
                <w:lang w:val="en-GB" w:eastAsia="en-GB"/>
              </w:rPr>
              <w:t>Average Number of Employees per year (circa)</w:t>
            </w:r>
          </w:p>
        </w:tc>
        <w:tc>
          <w:tcPr>
            <w:tcW w:w="1322" w:type="dxa"/>
            <w:tcBorders>
              <w:top w:val="nil"/>
              <w:left w:val="nil"/>
              <w:bottom w:val="nil"/>
              <w:right w:val="single" w:sz="4" w:space="0" w:color="auto"/>
            </w:tcBorders>
            <w:shd w:val="clear" w:color="auto" w:fill="auto"/>
            <w:noWrap/>
            <w:vAlign w:val="bottom"/>
            <w:hideMark/>
          </w:tcPr>
          <w:p w14:paraId="2149C1E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5A09FB3"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1E1B554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7,640 </w:t>
            </w:r>
          </w:p>
        </w:tc>
        <w:tc>
          <w:tcPr>
            <w:tcW w:w="1052" w:type="dxa"/>
            <w:tcBorders>
              <w:top w:val="nil"/>
              <w:left w:val="nil"/>
              <w:bottom w:val="nil"/>
              <w:right w:val="nil"/>
            </w:tcBorders>
            <w:shd w:val="clear" w:color="auto" w:fill="auto"/>
            <w:noWrap/>
            <w:vAlign w:val="bottom"/>
            <w:hideMark/>
          </w:tcPr>
          <w:p w14:paraId="19A2F73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7,557 </w:t>
            </w:r>
          </w:p>
        </w:tc>
        <w:tc>
          <w:tcPr>
            <w:tcW w:w="1052" w:type="dxa"/>
            <w:tcBorders>
              <w:top w:val="nil"/>
              <w:left w:val="nil"/>
              <w:bottom w:val="nil"/>
              <w:right w:val="nil"/>
            </w:tcBorders>
            <w:shd w:val="clear" w:color="auto" w:fill="auto"/>
            <w:noWrap/>
            <w:vAlign w:val="bottom"/>
            <w:hideMark/>
          </w:tcPr>
          <w:p w14:paraId="1BF370FF"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5,069 </w:t>
            </w:r>
          </w:p>
        </w:tc>
        <w:tc>
          <w:tcPr>
            <w:tcW w:w="1052" w:type="dxa"/>
            <w:tcBorders>
              <w:top w:val="nil"/>
              <w:left w:val="single" w:sz="4" w:space="0" w:color="auto"/>
              <w:bottom w:val="nil"/>
              <w:right w:val="nil"/>
            </w:tcBorders>
            <w:shd w:val="clear" w:color="auto" w:fill="auto"/>
            <w:noWrap/>
            <w:vAlign w:val="bottom"/>
            <w:hideMark/>
          </w:tcPr>
          <w:p w14:paraId="6542A2F4"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4,856 </w:t>
            </w:r>
          </w:p>
        </w:tc>
        <w:tc>
          <w:tcPr>
            <w:tcW w:w="1052" w:type="dxa"/>
            <w:tcBorders>
              <w:top w:val="nil"/>
              <w:left w:val="nil"/>
              <w:bottom w:val="nil"/>
              <w:right w:val="single" w:sz="4" w:space="0" w:color="auto"/>
            </w:tcBorders>
            <w:shd w:val="clear" w:color="auto" w:fill="auto"/>
            <w:noWrap/>
            <w:vAlign w:val="bottom"/>
            <w:hideMark/>
          </w:tcPr>
          <w:p w14:paraId="48724CF2"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4,156 </w:t>
            </w:r>
          </w:p>
        </w:tc>
      </w:tr>
      <w:tr w:rsidR="00E43679" w:rsidRPr="00E43679" w14:paraId="29BDF9C1" w14:textId="77777777" w:rsidTr="00E43679">
        <w:trPr>
          <w:trHeight w:val="300"/>
        </w:trPr>
        <w:tc>
          <w:tcPr>
            <w:tcW w:w="1934" w:type="dxa"/>
            <w:tcBorders>
              <w:top w:val="nil"/>
              <w:left w:val="single" w:sz="4" w:space="0" w:color="auto"/>
              <w:bottom w:val="nil"/>
              <w:right w:val="nil"/>
            </w:tcBorders>
            <w:shd w:val="clear" w:color="auto" w:fill="auto"/>
            <w:noWrap/>
            <w:vAlign w:val="bottom"/>
            <w:hideMark/>
          </w:tcPr>
          <w:p w14:paraId="3FF4DE18" w14:textId="77777777" w:rsidR="00E43679" w:rsidRPr="00E43679" w:rsidRDefault="00E43679" w:rsidP="00E43679">
            <w:pPr>
              <w:spacing w:after="0" w:line="240" w:lineRule="auto"/>
              <w:rPr>
                <w:rFonts w:ascii="Calibri" w:eastAsia="Times New Roman" w:hAnsi="Calibri" w:cs="Calibri"/>
                <w:b/>
                <w:bCs/>
                <w:color w:val="FF0000"/>
                <w:sz w:val="22"/>
                <w:szCs w:val="22"/>
                <w:lang w:val="en-GB" w:eastAsia="en-GB"/>
              </w:rPr>
            </w:pPr>
            <w:r w:rsidRPr="00E43679">
              <w:rPr>
                <w:rFonts w:ascii="Calibri" w:eastAsia="Times New Roman" w:hAnsi="Calibri" w:cs="Calibri"/>
                <w:b/>
                <w:bCs/>
                <w:color w:val="FF0000"/>
                <w:sz w:val="22"/>
                <w:szCs w:val="22"/>
                <w:lang w:val="en-GB" w:eastAsia="en-GB"/>
              </w:rPr>
              <w:t> </w:t>
            </w:r>
          </w:p>
        </w:tc>
        <w:tc>
          <w:tcPr>
            <w:tcW w:w="266" w:type="dxa"/>
            <w:tcBorders>
              <w:top w:val="nil"/>
              <w:left w:val="nil"/>
              <w:bottom w:val="nil"/>
              <w:right w:val="nil"/>
            </w:tcBorders>
            <w:shd w:val="clear" w:color="auto" w:fill="auto"/>
            <w:noWrap/>
            <w:vAlign w:val="bottom"/>
            <w:hideMark/>
          </w:tcPr>
          <w:p w14:paraId="2FF910EB" w14:textId="77777777" w:rsidR="00E43679" w:rsidRPr="00E43679" w:rsidRDefault="00E43679" w:rsidP="00E43679">
            <w:pPr>
              <w:spacing w:after="0" w:line="240" w:lineRule="auto"/>
              <w:rPr>
                <w:rFonts w:ascii="Calibri" w:eastAsia="Times New Roman" w:hAnsi="Calibri" w:cs="Calibri"/>
                <w:b/>
                <w:bCs/>
                <w:color w:val="FF0000"/>
                <w:sz w:val="22"/>
                <w:szCs w:val="22"/>
                <w:lang w:val="en-GB" w:eastAsia="en-GB"/>
              </w:rPr>
            </w:pPr>
          </w:p>
        </w:tc>
        <w:tc>
          <w:tcPr>
            <w:tcW w:w="1459" w:type="dxa"/>
            <w:tcBorders>
              <w:top w:val="nil"/>
              <w:left w:val="nil"/>
              <w:bottom w:val="nil"/>
              <w:right w:val="nil"/>
            </w:tcBorders>
            <w:shd w:val="clear" w:color="auto" w:fill="auto"/>
            <w:noWrap/>
            <w:vAlign w:val="bottom"/>
            <w:hideMark/>
          </w:tcPr>
          <w:p w14:paraId="010AC4D1"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520" w:type="dxa"/>
            <w:tcBorders>
              <w:top w:val="nil"/>
              <w:left w:val="nil"/>
              <w:bottom w:val="nil"/>
              <w:right w:val="nil"/>
            </w:tcBorders>
            <w:shd w:val="clear" w:color="auto" w:fill="auto"/>
            <w:noWrap/>
            <w:vAlign w:val="bottom"/>
            <w:hideMark/>
          </w:tcPr>
          <w:p w14:paraId="152D374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322" w:type="dxa"/>
            <w:tcBorders>
              <w:top w:val="nil"/>
              <w:left w:val="nil"/>
              <w:bottom w:val="nil"/>
              <w:right w:val="single" w:sz="4" w:space="0" w:color="auto"/>
            </w:tcBorders>
            <w:shd w:val="clear" w:color="auto" w:fill="auto"/>
            <w:noWrap/>
            <w:vAlign w:val="bottom"/>
            <w:hideMark/>
          </w:tcPr>
          <w:p w14:paraId="02AF79B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20DD204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5E2D4915"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nil"/>
            </w:tcBorders>
            <w:shd w:val="clear" w:color="auto" w:fill="auto"/>
            <w:noWrap/>
            <w:vAlign w:val="bottom"/>
            <w:hideMark/>
          </w:tcPr>
          <w:p w14:paraId="0A59A3AE"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p>
        </w:tc>
        <w:tc>
          <w:tcPr>
            <w:tcW w:w="1052" w:type="dxa"/>
            <w:tcBorders>
              <w:top w:val="nil"/>
              <w:left w:val="nil"/>
              <w:bottom w:val="nil"/>
              <w:right w:val="nil"/>
            </w:tcBorders>
            <w:shd w:val="clear" w:color="auto" w:fill="auto"/>
            <w:noWrap/>
            <w:vAlign w:val="bottom"/>
            <w:hideMark/>
          </w:tcPr>
          <w:p w14:paraId="2BE8FB5E" w14:textId="77777777" w:rsidR="00E43679" w:rsidRPr="00E43679" w:rsidRDefault="00E43679" w:rsidP="00E43679">
            <w:pPr>
              <w:spacing w:after="0" w:line="240" w:lineRule="auto"/>
              <w:rPr>
                <w:rFonts w:ascii="Times New Roman" w:eastAsia="Times New Roman" w:hAnsi="Times New Roman" w:cs="Times New Roman"/>
                <w:color w:val="auto"/>
                <w:sz w:val="20"/>
                <w:szCs w:val="20"/>
                <w:lang w:val="en-GB" w:eastAsia="en-GB"/>
              </w:rPr>
            </w:pPr>
          </w:p>
        </w:tc>
        <w:tc>
          <w:tcPr>
            <w:tcW w:w="1052" w:type="dxa"/>
            <w:tcBorders>
              <w:top w:val="nil"/>
              <w:left w:val="single" w:sz="4" w:space="0" w:color="auto"/>
              <w:bottom w:val="nil"/>
              <w:right w:val="nil"/>
            </w:tcBorders>
            <w:shd w:val="clear" w:color="auto" w:fill="auto"/>
            <w:noWrap/>
            <w:vAlign w:val="bottom"/>
            <w:hideMark/>
          </w:tcPr>
          <w:p w14:paraId="23FFFE9F"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nil"/>
              <w:right w:val="single" w:sz="4" w:space="0" w:color="auto"/>
            </w:tcBorders>
            <w:shd w:val="clear" w:color="auto" w:fill="auto"/>
            <w:noWrap/>
            <w:vAlign w:val="bottom"/>
            <w:hideMark/>
          </w:tcPr>
          <w:p w14:paraId="2ED7D974"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r w:rsidR="00E43679" w:rsidRPr="00E43679" w14:paraId="1B5C0EEC" w14:textId="77777777" w:rsidTr="00E43679">
        <w:trPr>
          <w:trHeight w:val="300"/>
        </w:trPr>
        <w:tc>
          <w:tcPr>
            <w:tcW w:w="5179" w:type="dxa"/>
            <w:gridSpan w:val="4"/>
            <w:tcBorders>
              <w:top w:val="nil"/>
              <w:left w:val="single" w:sz="4" w:space="0" w:color="auto"/>
              <w:bottom w:val="nil"/>
              <w:right w:val="nil"/>
            </w:tcBorders>
            <w:shd w:val="clear" w:color="auto" w:fill="auto"/>
            <w:noWrap/>
            <w:vAlign w:val="bottom"/>
            <w:hideMark/>
          </w:tcPr>
          <w:p w14:paraId="782326F1"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Market Price of Share on the 7th July        ( £ )</w:t>
            </w:r>
          </w:p>
        </w:tc>
        <w:tc>
          <w:tcPr>
            <w:tcW w:w="1322" w:type="dxa"/>
            <w:tcBorders>
              <w:top w:val="nil"/>
              <w:left w:val="nil"/>
              <w:bottom w:val="nil"/>
              <w:right w:val="single" w:sz="4" w:space="0" w:color="auto"/>
            </w:tcBorders>
            <w:shd w:val="clear" w:color="auto" w:fill="auto"/>
            <w:noWrap/>
            <w:vAlign w:val="bottom"/>
            <w:hideMark/>
          </w:tcPr>
          <w:p w14:paraId="7799F6D7"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nil"/>
              <w:right w:val="single" w:sz="4" w:space="0" w:color="auto"/>
            </w:tcBorders>
            <w:shd w:val="clear" w:color="auto" w:fill="auto"/>
            <w:noWrap/>
            <w:vAlign w:val="bottom"/>
            <w:hideMark/>
          </w:tcPr>
          <w:p w14:paraId="689F89B8"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nil"/>
              <w:right w:val="nil"/>
            </w:tcBorders>
            <w:shd w:val="clear" w:color="auto" w:fill="auto"/>
            <w:noWrap/>
            <w:vAlign w:val="bottom"/>
            <w:hideMark/>
          </w:tcPr>
          <w:p w14:paraId="4B733C2C"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80.8 </w:t>
            </w:r>
          </w:p>
        </w:tc>
        <w:tc>
          <w:tcPr>
            <w:tcW w:w="1052" w:type="dxa"/>
            <w:tcBorders>
              <w:top w:val="nil"/>
              <w:left w:val="nil"/>
              <w:bottom w:val="nil"/>
              <w:right w:val="nil"/>
            </w:tcBorders>
            <w:shd w:val="clear" w:color="auto" w:fill="auto"/>
            <w:noWrap/>
            <w:vAlign w:val="bottom"/>
            <w:hideMark/>
          </w:tcPr>
          <w:p w14:paraId="1ED84625"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80.5 </w:t>
            </w:r>
          </w:p>
        </w:tc>
        <w:tc>
          <w:tcPr>
            <w:tcW w:w="1052" w:type="dxa"/>
            <w:tcBorders>
              <w:top w:val="nil"/>
              <w:left w:val="nil"/>
              <w:bottom w:val="nil"/>
              <w:right w:val="nil"/>
            </w:tcBorders>
            <w:shd w:val="clear" w:color="auto" w:fill="auto"/>
            <w:noWrap/>
            <w:vAlign w:val="bottom"/>
            <w:hideMark/>
          </w:tcPr>
          <w:p w14:paraId="6A07AAF7"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57.8 </w:t>
            </w:r>
          </w:p>
        </w:tc>
        <w:tc>
          <w:tcPr>
            <w:tcW w:w="1052" w:type="dxa"/>
            <w:tcBorders>
              <w:top w:val="nil"/>
              <w:left w:val="single" w:sz="4" w:space="0" w:color="auto"/>
              <w:bottom w:val="nil"/>
              <w:right w:val="nil"/>
            </w:tcBorders>
            <w:shd w:val="clear" w:color="auto" w:fill="auto"/>
            <w:noWrap/>
            <w:vAlign w:val="bottom"/>
            <w:hideMark/>
          </w:tcPr>
          <w:p w14:paraId="4336C868"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36.8 </w:t>
            </w:r>
          </w:p>
        </w:tc>
        <w:tc>
          <w:tcPr>
            <w:tcW w:w="1052" w:type="dxa"/>
            <w:tcBorders>
              <w:top w:val="nil"/>
              <w:left w:val="nil"/>
              <w:bottom w:val="nil"/>
              <w:right w:val="single" w:sz="4" w:space="0" w:color="auto"/>
            </w:tcBorders>
            <w:shd w:val="clear" w:color="auto" w:fill="auto"/>
            <w:noWrap/>
            <w:vAlign w:val="bottom"/>
            <w:hideMark/>
          </w:tcPr>
          <w:p w14:paraId="27B30F3B" w14:textId="77777777" w:rsidR="00E43679" w:rsidRPr="00E43679" w:rsidRDefault="00E43679" w:rsidP="00E43679">
            <w:pPr>
              <w:spacing w:after="0" w:line="240" w:lineRule="auto"/>
              <w:jc w:val="right"/>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xml:space="preserve">49.5 </w:t>
            </w:r>
          </w:p>
        </w:tc>
      </w:tr>
      <w:tr w:rsidR="00E43679" w:rsidRPr="00E43679" w14:paraId="4E1F2CB8" w14:textId="77777777" w:rsidTr="00E43679">
        <w:trPr>
          <w:trHeight w:val="300"/>
        </w:trPr>
        <w:tc>
          <w:tcPr>
            <w:tcW w:w="1934" w:type="dxa"/>
            <w:tcBorders>
              <w:top w:val="nil"/>
              <w:left w:val="single" w:sz="4" w:space="0" w:color="auto"/>
              <w:bottom w:val="single" w:sz="4" w:space="0" w:color="auto"/>
              <w:right w:val="nil"/>
            </w:tcBorders>
            <w:shd w:val="clear" w:color="auto" w:fill="auto"/>
            <w:noWrap/>
            <w:vAlign w:val="bottom"/>
            <w:hideMark/>
          </w:tcPr>
          <w:p w14:paraId="35B527F6"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266" w:type="dxa"/>
            <w:tcBorders>
              <w:top w:val="nil"/>
              <w:left w:val="nil"/>
              <w:bottom w:val="single" w:sz="4" w:space="0" w:color="auto"/>
              <w:right w:val="nil"/>
            </w:tcBorders>
            <w:shd w:val="clear" w:color="auto" w:fill="auto"/>
            <w:noWrap/>
            <w:vAlign w:val="bottom"/>
            <w:hideMark/>
          </w:tcPr>
          <w:p w14:paraId="01CAD300"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459" w:type="dxa"/>
            <w:tcBorders>
              <w:top w:val="nil"/>
              <w:left w:val="nil"/>
              <w:bottom w:val="single" w:sz="4" w:space="0" w:color="auto"/>
              <w:right w:val="nil"/>
            </w:tcBorders>
            <w:shd w:val="clear" w:color="auto" w:fill="auto"/>
            <w:noWrap/>
            <w:vAlign w:val="bottom"/>
            <w:hideMark/>
          </w:tcPr>
          <w:p w14:paraId="5D0D572D" w14:textId="77777777" w:rsidR="00E43679" w:rsidRPr="00E43679" w:rsidRDefault="00E43679" w:rsidP="00E43679">
            <w:pPr>
              <w:spacing w:after="0" w:line="240" w:lineRule="auto"/>
              <w:rPr>
                <w:rFonts w:ascii="Calibri" w:eastAsia="Times New Roman" w:hAnsi="Calibri" w:cs="Calibri"/>
                <w:b/>
                <w:color w:val="000000" w:themeColor="text1"/>
                <w:sz w:val="22"/>
                <w:szCs w:val="22"/>
                <w:lang w:val="en-GB" w:eastAsia="en-GB"/>
              </w:rPr>
            </w:pPr>
            <w:r w:rsidRPr="5CE60E2F">
              <w:rPr>
                <w:rFonts w:ascii="Calibri" w:eastAsia="Times New Roman" w:hAnsi="Calibri" w:cs="Calibri"/>
                <w:b/>
                <w:color w:val="000000" w:themeColor="text1"/>
                <w:sz w:val="22"/>
                <w:szCs w:val="22"/>
                <w:lang w:val="en-GB" w:eastAsia="en-GB"/>
              </w:rPr>
              <w:t> </w:t>
            </w:r>
          </w:p>
        </w:tc>
        <w:tc>
          <w:tcPr>
            <w:tcW w:w="1520" w:type="dxa"/>
            <w:tcBorders>
              <w:top w:val="nil"/>
              <w:left w:val="nil"/>
              <w:bottom w:val="single" w:sz="4" w:space="0" w:color="auto"/>
              <w:right w:val="nil"/>
            </w:tcBorders>
            <w:shd w:val="clear" w:color="auto" w:fill="auto"/>
            <w:noWrap/>
            <w:vAlign w:val="bottom"/>
            <w:hideMark/>
          </w:tcPr>
          <w:p w14:paraId="63D651AF"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322" w:type="dxa"/>
            <w:tcBorders>
              <w:top w:val="nil"/>
              <w:left w:val="nil"/>
              <w:bottom w:val="single" w:sz="4" w:space="0" w:color="auto"/>
              <w:right w:val="single" w:sz="4" w:space="0" w:color="auto"/>
            </w:tcBorders>
            <w:shd w:val="clear" w:color="auto" w:fill="auto"/>
            <w:noWrap/>
            <w:vAlign w:val="bottom"/>
            <w:hideMark/>
          </w:tcPr>
          <w:p w14:paraId="30088C7A"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828" w:type="dxa"/>
            <w:tcBorders>
              <w:top w:val="nil"/>
              <w:left w:val="nil"/>
              <w:bottom w:val="single" w:sz="4" w:space="0" w:color="auto"/>
              <w:right w:val="single" w:sz="4" w:space="0" w:color="auto"/>
            </w:tcBorders>
            <w:shd w:val="clear" w:color="auto" w:fill="auto"/>
            <w:noWrap/>
            <w:vAlign w:val="bottom"/>
            <w:hideMark/>
          </w:tcPr>
          <w:p w14:paraId="5301FF5B" w14:textId="77777777" w:rsidR="00E43679" w:rsidRPr="00E43679" w:rsidRDefault="00E43679" w:rsidP="00E43679">
            <w:pPr>
              <w:spacing w:after="0" w:line="240" w:lineRule="auto"/>
              <w:rPr>
                <w:rFonts w:ascii="Calibri" w:eastAsia="Times New Roman" w:hAnsi="Calibri" w:cs="Calibri"/>
                <w:color w:val="000000" w:themeColor="text1"/>
                <w:sz w:val="22"/>
                <w:szCs w:val="22"/>
                <w:lang w:val="en-GB" w:eastAsia="en-GB"/>
              </w:rPr>
            </w:pPr>
            <w:r w:rsidRPr="5CE60E2F">
              <w:rPr>
                <w:rFonts w:ascii="Calibri" w:eastAsia="Times New Roman" w:hAnsi="Calibri" w:cs="Calibri"/>
                <w:color w:val="000000" w:themeColor="text1"/>
                <w:sz w:val="22"/>
                <w:szCs w:val="22"/>
                <w:lang w:val="en-GB" w:eastAsia="en-GB"/>
              </w:rPr>
              <w:t> </w:t>
            </w:r>
          </w:p>
        </w:tc>
        <w:tc>
          <w:tcPr>
            <w:tcW w:w="1052" w:type="dxa"/>
            <w:tcBorders>
              <w:top w:val="nil"/>
              <w:left w:val="nil"/>
              <w:bottom w:val="single" w:sz="4" w:space="0" w:color="auto"/>
              <w:right w:val="nil"/>
            </w:tcBorders>
            <w:shd w:val="clear" w:color="auto" w:fill="auto"/>
            <w:noWrap/>
            <w:vAlign w:val="bottom"/>
            <w:hideMark/>
          </w:tcPr>
          <w:p w14:paraId="0EAE3A80"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single" w:sz="4" w:space="0" w:color="auto"/>
              <w:right w:val="nil"/>
            </w:tcBorders>
            <w:shd w:val="clear" w:color="auto" w:fill="auto"/>
            <w:noWrap/>
            <w:vAlign w:val="bottom"/>
            <w:hideMark/>
          </w:tcPr>
          <w:p w14:paraId="4D06FE51"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single" w:sz="4" w:space="0" w:color="auto"/>
              <w:right w:val="nil"/>
            </w:tcBorders>
            <w:shd w:val="clear" w:color="auto" w:fill="auto"/>
            <w:noWrap/>
            <w:vAlign w:val="bottom"/>
            <w:hideMark/>
          </w:tcPr>
          <w:p w14:paraId="20573DA6"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single" w:sz="4" w:space="0" w:color="auto"/>
              <w:bottom w:val="single" w:sz="4" w:space="0" w:color="auto"/>
              <w:right w:val="nil"/>
            </w:tcBorders>
            <w:shd w:val="clear" w:color="auto" w:fill="auto"/>
            <w:noWrap/>
            <w:vAlign w:val="bottom"/>
            <w:hideMark/>
          </w:tcPr>
          <w:p w14:paraId="4DE4C313"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5C1C8B77" w14:textId="77777777" w:rsidR="00E43679" w:rsidRPr="00E43679" w:rsidRDefault="00E43679" w:rsidP="00E43679">
            <w:pPr>
              <w:spacing w:after="0" w:line="240" w:lineRule="auto"/>
              <w:rPr>
                <w:rFonts w:ascii="Calibri" w:eastAsia="Times New Roman" w:hAnsi="Calibri" w:cs="Calibri"/>
                <w:color w:val="auto"/>
                <w:sz w:val="22"/>
                <w:szCs w:val="22"/>
                <w:lang w:val="en-GB" w:eastAsia="en-GB"/>
              </w:rPr>
            </w:pPr>
            <w:r w:rsidRPr="00E43679">
              <w:rPr>
                <w:rFonts w:ascii="Calibri" w:eastAsia="Times New Roman" w:hAnsi="Calibri" w:cs="Calibri"/>
                <w:color w:val="auto"/>
                <w:sz w:val="22"/>
                <w:szCs w:val="22"/>
                <w:lang w:val="en-GB" w:eastAsia="en-GB"/>
              </w:rPr>
              <w:t> </w:t>
            </w:r>
          </w:p>
        </w:tc>
      </w:tr>
    </w:tbl>
    <w:p w14:paraId="6AF85B7C" w14:textId="77777777" w:rsidR="00F504DD" w:rsidRDefault="00F504DD" w:rsidP="5C7EFC97">
      <w:pPr>
        <w:pStyle w:val="ListBullet"/>
        <w:numPr>
          <w:ilvl w:val="0"/>
          <w:numId w:val="0"/>
        </w:numPr>
        <w:rPr>
          <w:rFonts w:eastAsiaTheme="minorEastAsia"/>
          <w:b/>
          <w:bCs/>
          <w:sz w:val="24"/>
          <w:szCs w:val="24"/>
          <w:lang w:val="en-GB"/>
        </w:rPr>
      </w:pPr>
    </w:p>
    <w:p w14:paraId="78B92A6F" w14:textId="015044A5" w:rsidR="5C7EFC97" w:rsidRDefault="6395FD93" w:rsidP="6395FD93">
      <w:pPr>
        <w:pStyle w:val="ListBullet"/>
        <w:numPr>
          <w:ilvl w:val="0"/>
          <w:numId w:val="0"/>
        </w:numPr>
        <w:rPr>
          <w:rFonts w:eastAsiaTheme="minorEastAsia"/>
          <w:b/>
          <w:bCs/>
          <w:sz w:val="24"/>
          <w:szCs w:val="24"/>
          <w:lang w:val="en-GB"/>
        </w:rPr>
      </w:pPr>
      <w:r w:rsidRPr="6395FD93">
        <w:rPr>
          <w:rFonts w:eastAsiaTheme="minorEastAsia"/>
          <w:b/>
          <w:bCs/>
          <w:sz w:val="24"/>
          <w:szCs w:val="24"/>
          <w:lang w:val="en-GB"/>
        </w:rPr>
        <w:t>Appendix 3</w:t>
      </w:r>
    </w:p>
    <w:p w14:paraId="1DC1DE04" w14:textId="0E5556AD"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Project A (a)</w:t>
      </w:r>
    </w:p>
    <w:p w14:paraId="780FE0A4" w14:textId="4EAB5037"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PAYBACK CALCULATION</w:t>
      </w:r>
    </w:p>
    <w:tbl>
      <w:tblPr>
        <w:tblStyle w:val="GridTable1Light-Accent1"/>
        <w:tblW w:w="0" w:type="auto"/>
        <w:tblLook w:val="04A0" w:firstRow="1" w:lastRow="0" w:firstColumn="1" w:lastColumn="0" w:noHBand="0" w:noVBand="1"/>
      </w:tblPr>
      <w:tblGrid>
        <w:gridCol w:w="900"/>
        <w:gridCol w:w="2535"/>
        <w:gridCol w:w="2040"/>
        <w:gridCol w:w="3885"/>
      </w:tblGrid>
      <w:tr w:rsidR="5C7EFC97" w14:paraId="3CA5F9E3"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dxa"/>
          </w:tcPr>
          <w:p w14:paraId="60C5715E" w14:textId="0FADA837" w:rsidR="5C7EFC97" w:rsidRDefault="6395FD93" w:rsidP="6395FD93">
            <w:pPr>
              <w:rPr>
                <w:sz w:val="24"/>
                <w:szCs w:val="24"/>
                <w:lang w:val="en-GB"/>
              </w:rPr>
            </w:pPr>
            <w:r w:rsidRPr="6395FD93">
              <w:rPr>
                <w:sz w:val="24"/>
                <w:szCs w:val="24"/>
                <w:lang w:val="en-GB"/>
              </w:rPr>
              <w:t>Year</w:t>
            </w:r>
          </w:p>
        </w:tc>
        <w:tc>
          <w:tcPr>
            <w:tcW w:w="2535" w:type="dxa"/>
          </w:tcPr>
          <w:p w14:paraId="7A130DD7" w14:textId="58BEE377"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2040" w:type="dxa"/>
          </w:tcPr>
          <w:p w14:paraId="6F1F7C29" w14:textId="7BC40989"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p w14:paraId="6B549086" w14:textId="27F6CD1C"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c>
          <w:tcPr>
            <w:tcW w:w="3885" w:type="dxa"/>
          </w:tcPr>
          <w:p w14:paraId="635D0EDE" w14:textId="460CE0A4"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Cumulative Cash Flow</w:t>
            </w:r>
          </w:p>
          <w:p w14:paraId="5236E239" w14:textId="6C127AB6"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r>
      <w:tr w:rsidR="5C7EFC97" w14:paraId="2C24F63A"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23A90B8F" w14:textId="744463CF" w:rsidR="5C7EFC97" w:rsidRDefault="6395FD93" w:rsidP="6395FD93">
            <w:pPr>
              <w:rPr>
                <w:sz w:val="24"/>
                <w:szCs w:val="24"/>
                <w:lang w:val="en-GB"/>
              </w:rPr>
            </w:pPr>
            <w:r w:rsidRPr="6395FD93">
              <w:rPr>
                <w:sz w:val="24"/>
                <w:szCs w:val="24"/>
                <w:lang w:val="en-GB"/>
              </w:rPr>
              <w:t>0</w:t>
            </w:r>
          </w:p>
        </w:tc>
        <w:tc>
          <w:tcPr>
            <w:tcW w:w="2535" w:type="dxa"/>
          </w:tcPr>
          <w:p w14:paraId="3671A6B2" w14:textId="5772EE4F"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Initial Investment</w:t>
            </w:r>
          </w:p>
        </w:tc>
        <w:tc>
          <w:tcPr>
            <w:tcW w:w="2040" w:type="dxa"/>
          </w:tcPr>
          <w:p w14:paraId="7CD313B5" w14:textId="0EB5E83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c>
          <w:tcPr>
            <w:tcW w:w="3885" w:type="dxa"/>
          </w:tcPr>
          <w:p w14:paraId="5B87B885" w14:textId="127F828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r>
      <w:tr w:rsidR="5C7EFC97" w14:paraId="30902BAF"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496A5668" w14:textId="46145488" w:rsidR="5C7EFC97" w:rsidRDefault="6395FD93" w:rsidP="6395FD93">
            <w:pPr>
              <w:rPr>
                <w:sz w:val="24"/>
                <w:szCs w:val="24"/>
                <w:lang w:val="en-GB"/>
              </w:rPr>
            </w:pPr>
            <w:r w:rsidRPr="6395FD93">
              <w:rPr>
                <w:sz w:val="24"/>
                <w:szCs w:val="24"/>
                <w:lang w:val="en-GB"/>
              </w:rPr>
              <w:t>1</w:t>
            </w:r>
          </w:p>
        </w:tc>
        <w:tc>
          <w:tcPr>
            <w:tcW w:w="2535" w:type="dxa"/>
          </w:tcPr>
          <w:p w14:paraId="2D1A1BDC" w14:textId="0F6E4B85"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40" w:type="dxa"/>
          </w:tcPr>
          <w:p w14:paraId="0B1F35D3" w14:textId="3818A561"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3885" w:type="dxa"/>
          </w:tcPr>
          <w:p w14:paraId="57A2485E" w14:textId="5D6814D1"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-115,000</w:t>
            </w:r>
          </w:p>
        </w:tc>
      </w:tr>
      <w:tr w:rsidR="5C7EFC97" w14:paraId="0F71E7B1"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12BE9E33" w14:textId="471F8599" w:rsidR="5C7EFC97" w:rsidRDefault="6395FD93" w:rsidP="6395FD93">
            <w:pPr>
              <w:rPr>
                <w:sz w:val="24"/>
                <w:szCs w:val="24"/>
                <w:lang w:val="en-GB"/>
              </w:rPr>
            </w:pPr>
            <w:r w:rsidRPr="6395FD93">
              <w:rPr>
                <w:sz w:val="24"/>
                <w:szCs w:val="24"/>
                <w:lang w:val="en-GB"/>
              </w:rPr>
              <w:t>2</w:t>
            </w:r>
          </w:p>
        </w:tc>
        <w:tc>
          <w:tcPr>
            <w:tcW w:w="2535" w:type="dxa"/>
          </w:tcPr>
          <w:p w14:paraId="08ED6482" w14:textId="3D883D0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40" w:type="dxa"/>
          </w:tcPr>
          <w:p w14:paraId="00ADC9B7" w14:textId="007EDC4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3885" w:type="dxa"/>
          </w:tcPr>
          <w:p w14:paraId="4B398D01" w14:textId="58340A5A"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-70,000</w:t>
            </w:r>
          </w:p>
        </w:tc>
      </w:tr>
      <w:tr w:rsidR="5C7EFC97" w14:paraId="6161F5DB"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49940C33" w14:textId="4E6C0A02" w:rsidR="5C7EFC97" w:rsidRDefault="6395FD93" w:rsidP="6395FD93">
            <w:pPr>
              <w:rPr>
                <w:sz w:val="24"/>
                <w:szCs w:val="24"/>
                <w:lang w:val="en-GB"/>
              </w:rPr>
            </w:pPr>
            <w:r w:rsidRPr="6395FD93">
              <w:rPr>
                <w:sz w:val="24"/>
                <w:szCs w:val="24"/>
                <w:lang w:val="en-GB"/>
              </w:rPr>
              <w:t>3</w:t>
            </w:r>
          </w:p>
        </w:tc>
        <w:tc>
          <w:tcPr>
            <w:tcW w:w="2535" w:type="dxa"/>
          </w:tcPr>
          <w:p w14:paraId="4F525A04" w14:textId="1917DCBC"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40" w:type="dxa"/>
          </w:tcPr>
          <w:p w14:paraId="01FB2DC5" w14:textId="22AD055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3885" w:type="dxa"/>
          </w:tcPr>
          <w:p w14:paraId="53F06EBD" w14:textId="32609AA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-25,000</w:t>
            </w:r>
          </w:p>
        </w:tc>
      </w:tr>
      <w:tr w:rsidR="5C7EFC97" w14:paraId="68FC8FDC"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54F05EBC" w14:textId="082389C8" w:rsidR="5C7EFC97" w:rsidRDefault="6395FD93" w:rsidP="6395FD93">
            <w:pPr>
              <w:rPr>
                <w:sz w:val="24"/>
                <w:szCs w:val="24"/>
                <w:lang w:val="en-GB"/>
              </w:rPr>
            </w:pPr>
            <w:r w:rsidRPr="6395FD93">
              <w:rPr>
                <w:sz w:val="24"/>
                <w:szCs w:val="24"/>
                <w:lang w:val="en-GB"/>
              </w:rPr>
              <w:t>4</w:t>
            </w:r>
          </w:p>
        </w:tc>
        <w:tc>
          <w:tcPr>
            <w:tcW w:w="2535" w:type="dxa"/>
          </w:tcPr>
          <w:p w14:paraId="406E8B41" w14:textId="09F1A105"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40" w:type="dxa"/>
          </w:tcPr>
          <w:p w14:paraId="2E7ADE76" w14:textId="151661C2"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3885" w:type="dxa"/>
          </w:tcPr>
          <w:p w14:paraId="2356D8CF" w14:textId="2872A34A"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791656B6"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2A1468E1" w14:textId="683F248E" w:rsidR="5C7EFC97" w:rsidRDefault="6395FD93" w:rsidP="6395FD93">
            <w:pPr>
              <w:rPr>
                <w:sz w:val="24"/>
                <w:szCs w:val="24"/>
                <w:lang w:val="en-GB"/>
              </w:rPr>
            </w:pPr>
            <w:r w:rsidRPr="6395FD93">
              <w:rPr>
                <w:sz w:val="24"/>
                <w:szCs w:val="24"/>
                <w:lang w:val="en-GB"/>
              </w:rPr>
              <w:t>5</w:t>
            </w:r>
          </w:p>
        </w:tc>
        <w:tc>
          <w:tcPr>
            <w:tcW w:w="2535" w:type="dxa"/>
          </w:tcPr>
          <w:p w14:paraId="5403F25F" w14:textId="4DC66435"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40" w:type="dxa"/>
          </w:tcPr>
          <w:p w14:paraId="2177B14E" w14:textId="6CFC3DE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3885" w:type="dxa"/>
          </w:tcPr>
          <w:p w14:paraId="6B5A42FB" w14:textId="57C85901"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7BF23F70"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06DF1A43" w14:textId="42F18F0C" w:rsidR="5C7EFC97" w:rsidRDefault="6395FD93" w:rsidP="6395FD93">
            <w:pPr>
              <w:rPr>
                <w:sz w:val="24"/>
                <w:szCs w:val="24"/>
                <w:lang w:val="en-GB"/>
              </w:rPr>
            </w:pPr>
            <w:r w:rsidRPr="6395FD93">
              <w:rPr>
                <w:sz w:val="24"/>
                <w:szCs w:val="24"/>
                <w:lang w:val="en-GB"/>
              </w:rPr>
              <w:t>6</w:t>
            </w:r>
          </w:p>
        </w:tc>
        <w:tc>
          <w:tcPr>
            <w:tcW w:w="2535" w:type="dxa"/>
          </w:tcPr>
          <w:p w14:paraId="7189FB71" w14:textId="7980996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40" w:type="dxa"/>
          </w:tcPr>
          <w:p w14:paraId="4B5D4D78" w14:textId="7971356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3885" w:type="dxa"/>
          </w:tcPr>
          <w:p w14:paraId="4A94E857" w14:textId="572A918C"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6FD2AE8C"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7CDCC923" w14:textId="346122A8" w:rsidR="5C7EFC97" w:rsidRDefault="6395FD93" w:rsidP="6395FD93">
            <w:pPr>
              <w:rPr>
                <w:sz w:val="24"/>
                <w:szCs w:val="24"/>
                <w:lang w:val="en-GB"/>
              </w:rPr>
            </w:pPr>
            <w:r w:rsidRPr="6395FD93">
              <w:rPr>
                <w:sz w:val="24"/>
                <w:szCs w:val="24"/>
                <w:lang w:val="en-GB"/>
              </w:rPr>
              <w:t>6</w:t>
            </w:r>
          </w:p>
        </w:tc>
        <w:tc>
          <w:tcPr>
            <w:tcW w:w="2535" w:type="dxa"/>
          </w:tcPr>
          <w:p w14:paraId="146D64D9" w14:textId="78944B4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2040" w:type="dxa"/>
          </w:tcPr>
          <w:p w14:paraId="7B1BCFD9" w14:textId="51D1C76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20,000</w:t>
            </w:r>
          </w:p>
        </w:tc>
        <w:tc>
          <w:tcPr>
            <w:tcW w:w="3885" w:type="dxa"/>
          </w:tcPr>
          <w:p w14:paraId="059382D8" w14:textId="3AAA0BA0"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4D6C761F"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32B77FE4" w14:textId="7EDB96C9" w:rsidR="5C7EFC97" w:rsidRDefault="5C7EFC97" w:rsidP="5C7EFC97">
            <w:pPr>
              <w:rPr>
                <w:sz w:val="24"/>
                <w:szCs w:val="24"/>
                <w:lang w:val="en-GB"/>
              </w:rPr>
            </w:pPr>
          </w:p>
        </w:tc>
        <w:tc>
          <w:tcPr>
            <w:tcW w:w="2535" w:type="dxa"/>
          </w:tcPr>
          <w:p w14:paraId="5CE31CB0" w14:textId="5BE52694"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2040" w:type="dxa"/>
          </w:tcPr>
          <w:p w14:paraId="0A49B20C" w14:textId="7EC94115"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3885" w:type="dxa"/>
          </w:tcPr>
          <w:p w14:paraId="0817A551" w14:textId="549A12E7"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r>
    </w:tbl>
    <w:p w14:paraId="54A00451" w14:textId="72F34783" w:rsidR="5C7EFC97" w:rsidRDefault="6395FD93" w:rsidP="6395FD93">
      <w:pPr>
        <w:pStyle w:val="ListBullet"/>
        <w:numPr>
          <w:ilvl w:val="0"/>
          <w:numId w:val="0"/>
        </w:numPr>
        <w:rPr>
          <w:sz w:val="24"/>
          <w:szCs w:val="24"/>
          <w:lang w:val="en-GB"/>
        </w:rPr>
      </w:pPr>
      <w:r w:rsidRPr="6395FD93">
        <w:rPr>
          <w:sz w:val="24"/>
          <w:szCs w:val="24"/>
          <w:lang w:val="en-GB"/>
        </w:rPr>
        <w:t>Between 3 years and 4 years</w:t>
      </w:r>
    </w:p>
    <w:p w14:paraId="472A2AA8" w14:textId="24B4EB55" w:rsidR="5C7EFC97" w:rsidRDefault="6395FD93" w:rsidP="6395FD93">
      <w:pPr>
        <w:pStyle w:val="NoSpacing"/>
        <w:rPr>
          <w:sz w:val="24"/>
          <w:szCs w:val="24"/>
          <w:lang w:val="en-GB"/>
        </w:rPr>
      </w:pPr>
      <w:r w:rsidRPr="6395FD93">
        <w:rPr>
          <w:sz w:val="24"/>
          <w:szCs w:val="24"/>
          <w:lang w:val="en-GB"/>
        </w:rPr>
        <w:t xml:space="preserve">Payback Period = 3 years plus </w:t>
      </w:r>
      <w:r w:rsidRPr="6395FD93">
        <w:rPr>
          <w:sz w:val="24"/>
          <w:szCs w:val="24"/>
          <w:u w:val="single"/>
          <w:lang w:val="en-GB"/>
        </w:rPr>
        <w:t>25000</w:t>
      </w:r>
      <w:r w:rsidRPr="6395FD93">
        <w:rPr>
          <w:sz w:val="24"/>
          <w:szCs w:val="24"/>
          <w:lang w:val="en-GB"/>
        </w:rPr>
        <w:t xml:space="preserve">  * 12 months</w:t>
      </w:r>
    </w:p>
    <w:p w14:paraId="1CF5E951" w14:textId="65497767" w:rsidR="5C7EFC97" w:rsidRDefault="6395FD93" w:rsidP="6395FD93">
      <w:pPr>
        <w:pStyle w:val="NoSpacing"/>
        <w:rPr>
          <w:sz w:val="24"/>
          <w:szCs w:val="24"/>
          <w:lang w:val="en-GB"/>
        </w:rPr>
      </w:pPr>
      <w:r w:rsidRPr="6395FD93">
        <w:rPr>
          <w:sz w:val="24"/>
          <w:szCs w:val="24"/>
          <w:lang w:val="en-GB"/>
        </w:rPr>
        <w:t xml:space="preserve">                                                  45000</w:t>
      </w:r>
    </w:p>
    <w:p w14:paraId="1B7CB79B" w14:textId="1781BF54" w:rsidR="5C7EFC97" w:rsidRDefault="5C7EFC97" w:rsidP="5C7EFC97">
      <w:pPr>
        <w:pStyle w:val="NoSpacing"/>
        <w:rPr>
          <w:sz w:val="24"/>
          <w:szCs w:val="24"/>
          <w:u w:val="single"/>
          <w:lang w:val="en-GB"/>
        </w:rPr>
      </w:pPr>
    </w:p>
    <w:p w14:paraId="184D0E1B" w14:textId="1B0D8C54" w:rsidR="5C7EFC97" w:rsidRDefault="6395FD93" w:rsidP="6395FD93">
      <w:pPr>
        <w:pStyle w:val="NoSpacing"/>
        <w:rPr>
          <w:sz w:val="24"/>
          <w:szCs w:val="24"/>
          <w:lang w:val="en-GB"/>
        </w:rPr>
      </w:pPr>
      <w:r w:rsidRPr="6395FD93">
        <w:rPr>
          <w:b/>
          <w:bCs/>
          <w:sz w:val="24"/>
          <w:szCs w:val="24"/>
          <w:u w:val="single"/>
          <w:lang w:val="en-GB"/>
        </w:rPr>
        <w:t>Payback Period = 3 years 7 months</w:t>
      </w:r>
      <w:r w:rsidRPr="6395FD93">
        <w:rPr>
          <w:sz w:val="24"/>
          <w:szCs w:val="24"/>
          <w:lang w:val="en-GB"/>
        </w:rPr>
        <w:t xml:space="preserve"> approximately</w:t>
      </w:r>
    </w:p>
    <w:p w14:paraId="57EF5872" w14:textId="4B8D6718" w:rsidR="5C7EFC97" w:rsidRDefault="5C7EFC97" w:rsidP="5C7EFC97">
      <w:pPr>
        <w:pStyle w:val="ListBullet"/>
        <w:numPr>
          <w:ilvl w:val="0"/>
          <w:numId w:val="0"/>
        </w:numPr>
        <w:rPr>
          <w:sz w:val="24"/>
          <w:szCs w:val="24"/>
          <w:lang w:val="en-GB"/>
        </w:rPr>
      </w:pPr>
    </w:p>
    <w:p w14:paraId="5C116E88" w14:textId="4BEDD45F"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Project B</w:t>
      </w:r>
    </w:p>
    <w:p w14:paraId="442BF49D" w14:textId="3A812156"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PAYBACK CALCULATION</w:t>
      </w:r>
    </w:p>
    <w:tbl>
      <w:tblPr>
        <w:tblStyle w:val="GridTable1Light-Accent1"/>
        <w:tblW w:w="0" w:type="auto"/>
        <w:tblLook w:val="04A0" w:firstRow="1" w:lastRow="0" w:firstColumn="1" w:lastColumn="0" w:noHBand="0" w:noVBand="1"/>
      </w:tblPr>
      <w:tblGrid>
        <w:gridCol w:w="900"/>
        <w:gridCol w:w="2550"/>
        <w:gridCol w:w="2025"/>
        <w:gridCol w:w="3885"/>
      </w:tblGrid>
      <w:tr w:rsidR="5C7EFC97" w14:paraId="4BAAB396"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dxa"/>
          </w:tcPr>
          <w:p w14:paraId="167B2E55" w14:textId="0FADA837" w:rsidR="5C7EFC97" w:rsidRDefault="6395FD93" w:rsidP="6395FD93">
            <w:pPr>
              <w:rPr>
                <w:sz w:val="24"/>
                <w:szCs w:val="24"/>
                <w:lang w:val="en-GB"/>
              </w:rPr>
            </w:pPr>
            <w:r w:rsidRPr="6395FD93">
              <w:rPr>
                <w:sz w:val="24"/>
                <w:szCs w:val="24"/>
                <w:lang w:val="en-GB"/>
              </w:rPr>
              <w:t>Year</w:t>
            </w:r>
          </w:p>
        </w:tc>
        <w:tc>
          <w:tcPr>
            <w:tcW w:w="2550" w:type="dxa"/>
          </w:tcPr>
          <w:p w14:paraId="421D8448" w14:textId="14842DF5"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2025" w:type="dxa"/>
          </w:tcPr>
          <w:p w14:paraId="6E9FDA1B" w14:textId="7BC40989"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p w14:paraId="3ACF8C42" w14:textId="45188968"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c>
          <w:tcPr>
            <w:tcW w:w="3885" w:type="dxa"/>
          </w:tcPr>
          <w:p w14:paraId="3CB488CF" w14:textId="460CE0A4"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Cumulative Cash Flow</w:t>
            </w:r>
          </w:p>
          <w:p w14:paraId="17EB53BE" w14:textId="1B4DF0C9"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r>
      <w:tr w:rsidR="5C7EFC97" w14:paraId="235A15F6"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26AFA1A4" w14:textId="744463CF" w:rsidR="5C7EFC97" w:rsidRDefault="6395FD93" w:rsidP="6395FD93">
            <w:pPr>
              <w:rPr>
                <w:sz w:val="24"/>
                <w:szCs w:val="24"/>
                <w:lang w:val="en-GB"/>
              </w:rPr>
            </w:pPr>
            <w:r w:rsidRPr="6395FD93">
              <w:rPr>
                <w:sz w:val="24"/>
                <w:szCs w:val="24"/>
                <w:lang w:val="en-GB"/>
              </w:rPr>
              <w:t>0</w:t>
            </w:r>
          </w:p>
        </w:tc>
        <w:tc>
          <w:tcPr>
            <w:tcW w:w="2550" w:type="dxa"/>
          </w:tcPr>
          <w:p w14:paraId="28AD1016" w14:textId="1959BA92"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Initial investment</w:t>
            </w:r>
          </w:p>
        </w:tc>
        <w:tc>
          <w:tcPr>
            <w:tcW w:w="2025" w:type="dxa"/>
          </w:tcPr>
          <w:p w14:paraId="3062B965" w14:textId="2DD88E4E"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c>
          <w:tcPr>
            <w:tcW w:w="3885" w:type="dxa"/>
          </w:tcPr>
          <w:p w14:paraId="1D4CDBF1" w14:textId="404804A8"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r>
      <w:tr w:rsidR="5C7EFC97" w14:paraId="34572BAB"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123E0C75" w14:textId="46145488" w:rsidR="5C7EFC97" w:rsidRDefault="6395FD93" w:rsidP="6395FD93">
            <w:pPr>
              <w:rPr>
                <w:sz w:val="24"/>
                <w:szCs w:val="24"/>
                <w:lang w:val="en-GB"/>
              </w:rPr>
            </w:pPr>
            <w:r w:rsidRPr="6395FD93">
              <w:rPr>
                <w:sz w:val="24"/>
                <w:szCs w:val="24"/>
                <w:lang w:val="en-GB"/>
              </w:rPr>
              <w:t>1</w:t>
            </w:r>
          </w:p>
        </w:tc>
        <w:tc>
          <w:tcPr>
            <w:tcW w:w="2550" w:type="dxa"/>
          </w:tcPr>
          <w:p w14:paraId="7DEDD1F0" w14:textId="54CE4D67"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25" w:type="dxa"/>
          </w:tcPr>
          <w:p w14:paraId="0B609D57" w14:textId="018D18B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3885" w:type="dxa"/>
          </w:tcPr>
          <w:p w14:paraId="50813825" w14:textId="7B19BB9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r>
      <w:tr w:rsidR="5C7EFC97" w14:paraId="280CF2F1"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77CD41B2" w14:textId="471F8599" w:rsidR="5C7EFC97" w:rsidRDefault="6395FD93" w:rsidP="6395FD93">
            <w:pPr>
              <w:rPr>
                <w:sz w:val="24"/>
                <w:szCs w:val="24"/>
                <w:lang w:val="en-GB"/>
              </w:rPr>
            </w:pPr>
            <w:r w:rsidRPr="6395FD93">
              <w:rPr>
                <w:sz w:val="24"/>
                <w:szCs w:val="24"/>
                <w:lang w:val="en-GB"/>
              </w:rPr>
              <w:t>2</w:t>
            </w:r>
          </w:p>
        </w:tc>
        <w:tc>
          <w:tcPr>
            <w:tcW w:w="2550" w:type="dxa"/>
          </w:tcPr>
          <w:p w14:paraId="5D247520" w14:textId="4AD5F64B"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25" w:type="dxa"/>
          </w:tcPr>
          <w:p w14:paraId="350D2C5B" w14:textId="11B1C356"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3885" w:type="dxa"/>
          </w:tcPr>
          <w:p w14:paraId="4EA38E65" w14:textId="151F43DA"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-100,000</w:t>
            </w:r>
          </w:p>
        </w:tc>
      </w:tr>
      <w:tr w:rsidR="5C7EFC97" w14:paraId="297AF98E"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15D2A730" w14:textId="4E6C0A02" w:rsidR="5C7EFC97" w:rsidRDefault="6395FD93" w:rsidP="6395FD93">
            <w:pPr>
              <w:rPr>
                <w:sz w:val="24"/>
                <w:szCs w:val="24"/>
                <w:lang w:val="en-GB"/>
              </w:rPr>
            </w:pPr>
            <w:r w:rsidRPr="6395FD93">
              <w:rPr>
                <w:sz w:val="24"/>
                <w:szCs w:val="24"/>
                <w:lang w:val="en-GB"/>
              </w:rPr>
              <w:t>3</w:t>
            </w:r>
          </w:p>
        </w:tc>
        <w:tc>
          <w:tcPr>
            <w:tcW w:w="2550" w:type="dxa"/>
          </w:tcPr>
          <w:p w14:paraId="52995391" w14:textId="011DEB41"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25" w:type="dxa"/>
          </w:tcPr>
          <w:p w14:paraId="01696524" w14:textId="45FE282E"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3885" w:type="dxa"/>
          </w:tcPr>
          <w:p w14:paraId="49A981E0" w14:textId="588B340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-40,000</w:t>
            </w:r>
          </w:p>
        </w:tc>
      </w:tr>
      <w:tr w:rsidR="5C7EFC97" w14:paraId="3DA96849"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57EBFBAE" w14:textId="082389C8" w:rsidR="5C7EFC97" w:rsidRDefault="6395FD93" w:rsidP="6395FD93">
            <w:pPr>
              <w:rPr>
                <w:sz w:val="24"/>
                <w:szCs w:val="24"/>
                <w:lang w:val="en-GB"/>
              </w:rPr>
            </w:pPr>
            <w:r w:rsidRPr="6395FD93">
              <w:rPr>
                <w:sz w:val="24"/>
                <w:szCs w:val="24"/>
                <w:lang w:val="en-GB"/>
              </w:rPr>
              <w:t>4</w:t>
            </w:r>
          </w:p>
        </w:tc>
        <w:tc>
          <w:tcPr>
            <w:tcW w:w="2550" w:type="dxa"/>
          </w:tcPr>
          <w:p w14:paraId="65C9742A" w14:textId="03C547C2"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25" w:type="dxa"/>
          </w:tcPr>
          <w:p w14:paraId="57C4E358" w14:textId="4198C0A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3885" w:type="dxa"/>
          </w:tcPr>
          <w:p w14:paraId="77183CD6" w14:textId="2872A34A"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6836B27D"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2F222871" w14:textId="683F248E" w:rsidR="5C7EFC97" w:rsidRDefault="6395FD93" w:rsidP="6395FD93">
            <w:pPr>
              <w:rPr>
                <w:sz w:val="24"/>
                <w:szCs w:val="24"/>
                <w:lang w:val="en-GB"/>
              </w:rPr>
            </w:pPr>
            <w:r w:rsidRPr="6395FD93">
              <w:rPr>
                <w:sz w:val="24"/>
                <w:szCs w:val="24"/>
                <w:lang w:val="en-GB"/>
              </w:rPr>
              <w:t>5</w:t>
            </w:r>
          </w:p>
        </w:tc>
        <w:tc>
          <w:tcPr>
            <w:tcW w:w="2550" w:type="dxa"/>
          </w:tcPr>
          <w:p w14:paraId="42130B62" w14:textId="0BEACE9A"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25" w:type="dxa"/>
          </w:tcPr>
          <w:p w14:paraId="027ABE54" w14:textId="714733D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3885" w:type="dxa"/>
          </w:tcPr>
          <w:p w14:paraId="02BED38B" w14:textId="57C85901"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39451869"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2D21C330" w14:textId="42F18F0C" w:rsidR="5C7EFC97" w:rsidRDefault="6395FD93" w:rsidP="6395FD93">
            <w:pPr>
              <w:rPr>
                <w:sz w:val="24"/>
                <w:szCs w:val="24"/>
                <w:lang w:val="en-GB"/>
              </w:rPr>
            </w:pPr>
            <w:r w:rsidRPr="6395FD93">
              <w:rPr>
                <w:sz w:val="24"/>
                <w:szCs w:val="24"/>
                <w:lang w:val="en-GB"/>
              </w:rPr>
              <w:lastRenderedPageBreak/>
              <w:t>6</w:t>
            </w:r>
          </w:p>
        </w:tc>
        <w:tc>
          <w:tcPr>
            <w:tcW w:w="2550" w:type="dxa"/>
          </w:tcPr>
          <w:p w14:paraId="1DF3FB90" w14:textId="35F73A7B"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2025" w:type="dxa"/>
          </w:tcPr>
          <w:p w14:paraId="45B4AC30" w14:textId="633132E4"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3885" w:type="dxa"/>
          </w:tcPr>
          <w:p w14:paraId="6A8FDFE4" w14:textId="572A918C"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4C0887CF" w14:textId="77777777" w:rsidTr="6395FD93">
        <w:tc>
          <w:tcPr>
            <w:cnfStyle w:val="001000000000" w:firstRow="0" w:lastRow="0" w:firstColumn="1" w:lastColumn="0" w:oddVBand="0" w:evenVBand="0" w:oddHBand="0" w:evenHBand="0" w:firstRowFirstColumn="0" w:firstRowLastColumn="0" w:lastRowFirstColumn="0" w:lastRowLastColumn="0"/>
            <w:tcW w:w="900" w:type="dxa"/>
          </w:tcPr>
          <w:p w14:paraId="174CCE7B" w14:textId="346122A8" w:rsidR="5C7EFC97" w:rsidRDefault="6395FD93" w:rsidP="6395FD93">
            <w:pPr>
              <w:rPr>
                <w:sz w:val="24"/>
                <w:szCs w:val="24"/>
                <w:lang w:val="en-GB"/>
              </w:rPr>
            </w:pPr>
            <w:r w:rsidRPr="6395FD93">
              <w:rPr>
                <w:sz w:val="24"/>
                <w:szCs w:val="24"/>
                <w:lang w:val="en-GB"/>
              </w:rPr>
              <w:t>6</w:t>
            </w:r>
          </w:p>
        </w:tc>
        <w:tc>
          <w:tcPr>
            <w:tcW w:w="2550" w:type="dxa"/>
          </w:tcPr>
          <w:p w14:paraId="1DEDA21F" w14:textId="78944B4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2025" w:type="dxa"/>
          </w:tcPr>
          <w:p w14:paraId="3A69E0D6" w14:textId="053555C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10,000</w:t>
            </w:r>
          </w:p>
        </w:tc>
        <w:tc>
          <w:tcPr>
            <w:tcW w:w="3885" w:type="dxa"/>
          </w:tcPr>
          <w:p w14:paraId="26F7DB34" w14:textId="36FD569C"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bl>
    <w:p w14:paraId="50D69533" w14:textId="72F34783" w:rsidR="5C7EFC97" w:rsidRDefault="6395FD93" w:rsidP="6395FD93">
      <w:pPr>
        <w:pStyle w:val="ListBullet"/>
        <w:numPr>
          <w:ilvl w:val="0"/>
          <w:numId w:val="0"/>
        </w:numPr>
        <w:rPr>
          <w:sz w:val="24"/>
          <w:szCs w:val="24"/>
          <w:lang w:val="en-GB"/>
        </w:rPr>
      </w:pPr>
      <w:r w:rsidRPr="6395FD93">
        <w:rPr>
          <w:sz w:val="24"/>
          <w:szCs w:val="24"/>
          <w:lang w:val="en-GB"/>
        </w:rPr>
        <w:t>Between 3 years and 4 years</w:t>
      </w:r>
    </w:p>
    <w:p w14:paraId="1A031F51" w14:textId="48680407" w:rsidR="5C7EFC97" w:rsidRDefault="6395FD93" w:rsidP="6395FD93">
      <w:pPr>
        <w:pStyle w:val="NoSpacing"/>
        <w:rPr>
          <w:sz w:val="24"/>
          <w:szCs w:val="24"/>
          <w:lang w:val="en-GB"/>
        </w:rPr>
      </w:pPr>
      <w:r w:rsidRPr="6395FD93">
        <w:rPr>
          <w:sz w:val="24"/>
          <w:szCs w:val="24"/>
          <w:lang w:val="en-GB"/>
        </w:rPr>
        <w:t xml:space="preserve">Payback Period = 3 years plus </w:t>
      </w:r>
      <w:r w:rsidRPr="6395FD93">
        <w:rPr>
          <w:sz w:val="24"/>
          <w:szCs w:val="24"/>
          <w:u w:val="single"/>
          <w:lang w:val="en-GB"/>
        </w:rPr>
        <w:t>40000</w:t>
      </w:r>
      <w:r w:rsidRPr="6395FD93">
        <w:rPr>
          <w:sz w:val="24"/>
          <w:szCs w:val="24"/>
          <w:lang w:val="en-GB"/>
        </w:rPr>
        <w:t xml:space="preserve">  * 12 months</w:t>
      </w:r>
    </w:p>
    <w:p w14:paraId="04E8BD85" w14:textId="3AAFA109" w:rsidR="5C7EFC97" w:rsidRDefault="6395FD93" w:rsidP="6395FD93">
      <w:pPr>
        <w:pStyle w:val="NoSpacing"/>
        <w:rPr>
          <w:sz w:val="24"/>
          <w:szCs w:val="24"/>
          <w:lang w:val="en-GB"/>
        </w:rPr>
      </w:pPr>
      <w:r w:rsidRPr="6395FD93">
        <w:rPr>
          <w:sz w:val="24"/>
          <w:szCs w:val="24"/>
          <w:lang w:val="en-GB"/>
        </w:rPr>
        <w:t xml:space="preserve">                                                  60000</w:t>
      </w:r>
    </w:p>
    <w:p w14:paraId="314DAD56" w14:textId="1781BF54" w:rsidR="5C7EFC97" w:rsidRDefault="5C7EFC97" w:rsidP="5C7EFC97">
      <w:pPr>
        <w:pStyle w:val="NoSpacing"/>
        <w:rPr>
          <w:sz w:val="24"/>
          <w:szCs w:val="24"/>
          <w:lang w:val="en-GB"/>
        </w:rPr>
      </w:pPr>
    </w:p>
    <w:p w14:paraId="380C9DCE" w14:textId="3DCDA585" w:rsidR="5C7EFC97" w:rsidRDefault="6395FD93" w:rsidP="6395FD93">
      <w:pPr>
        <w:pStyle w:val="NoSpacing"/>
        <w:rPr>
          <w:sz w:val="24"/>
          <w:szCs w:val="24"/>
          <w:u w:val="single"/>
          <w:lang w:val="en-GB"/>
        </w:rPr>
      </w:pPr>
      <w:r w:rsidRPr="6395FD93">
        <w:rPr>
          <w:b/>
          <w:bCs/>
          <w:sz w:val="24"/>
          <w:szCs w:val="24"/>
          <w:u w:val="single"/>
          <w:lang w:val="en-GB"/>
        </w:rPr>
        <w:t>Payback Period = 3 years 8 months</w:t>
      </w:r>
      <w:r w:rsidRPr="6395FD93">
        <w:rPr>
          <w:sz w:val="24"/>
          <w:szCs w:val="24"/>
          <w:lang w:val="en-GB"/>
        </w:rPr>
        <w:t xml:space="preserve"> </w:t>
      </w:r>
    </w:p>
    <w:p w14:paraId="52DB7EEA" w14:textId="6F9FBB27" w:rsidR="5C7EFC97" w:rsidRDefault="5C7EFC97" w:rsidP="5C7EFC97">
      <w:pPr>
        <w:pStyle w:val="ListBullet"/>
        <w:numPr>
          <w:ilvl w:val="0"/>
          <w:numId w:val="0"/>
        </w:numPr>
        <w:rPr>
          <w:sz w:val="24"/>
          <w:szCs w:val="24"/>
          <w:lang w:val="en-GB"/>
        </w:rPr>
      </w:pPr>
    </w:p>
    <w:p w14:paraId="7A2CC684" w14:textId="4E801519"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Project A</w:t>
      </w:r>
    </w:p>
    <w:p w14:paraId="0E8C9240" w14:textId="1BFC25F1"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NPV CALCULATION</w:t>
      </w:r>
    </w:p>
    <w:tbl>
      <w:tblPr>
        <w:tblStyle w:val="GridTable1Light-Accent1"/>
        <w:tblW w:w="0" w:type="auto"/>
        <w:tblLook w:val="04A0" w:firstRow="1" w:lastRow="0" w:firstColumn="1" w:lastColumn="0" w:noHBand="0" w:noVBand="1"/>
      </w:tblPr>
      <w:tblGrid>
        <w:gridCol w:w="810"/>
        <w:gridCol w:w="2505"/>
        <w:gridCol w:w="1665"/>
        <w:gridCol w:w="2175"/>
        <w:gridCol w:w="2235"/>
      </w:tblGrid>
      <w:tr w:rsidR="5C7EFC97" w14:paraId="76006851"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0" w:type="dxa"/>
          </w:tcPr>
          <w:p w14:paraId="421EFABC" w14:textId="0FADA837" w:rsidR="5C7EFC97" w:rsidRDefault="6395FD93" w:rsidP="6395FD93">
            <w:pPr>
              <w:rPr>
                <w:sz w:val="24"/>
                <w:szCs w:val="24"/>
                <w:lang w:val="en-GB"/>
              </w:rPr>
            </w:pPr>
            <w:r w:rsidRPr="6395FD93">
              <w:rPr>
                <w:sz w:val="24"/>
                <w:szCs w:val="24"/>
                <w:lang w:val="en-GB"/>
              </w:rPr>
              <w:t>Year</w:t>
            </w:r>
          </w:p>
        </w:tc>
        <w:tc>
          <w:tcPr>
            <w:tcW w:w="2505" w:type="dxa"/>
          </w:tcPr>
          <w:p w14:paraId="08A6799E" w14:textId="2BE22D5E"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1665" w:type="dxa"/>
          </w:tcPr>
          <w:p w14:paraId="52332AAB" w14:textId="77CBC536"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        £</w:t>
            </w:r>
          </w:p>
        </w:tc>
        <w:tc>
          <w:tcPr>
            <w:tcW w:w="2175" w:type="dxa"/>
          </w:tcPr>
          <w:p w14:paraId="7D4FB3C3" w14:textId="1B8086FA"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Discount Factor @ 7% </w:t>
            </w:r>
          </w:p>
        </w:tc>
        <w:tc>
          <w:tcPr>
            <w:tcW w:w="2235" w:type="dxa"/>
          </w:tcPr>
          <w:p w14:paraId="723B5036" w14:textId="715165CF"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Present Value</w:t>
            </w:r>
          </w:p>
          <w:p w14:paraId="6E5591A9" w14:textId="12A7AAA5"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p w14:paraId="380E9170" w14:textId="3540B55A"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r>
      <w:tr w:rsidR="5C7EFC97" w14:paraId="353E5FB3"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1530D15A" w14:textId="744463CF" w:rsidR="5C7EFC97" w:rsidRDefault="6395FD93" w:rsidP="6395FD93">
            <w:pPr>
              <w:rPr>
                <w:sz w:val="24"/>
                <w:szCs w:val="24"/>
                <w:lang w:val="en-GB"/>
              </w:rPr>
            </w:pPr>
            <w:r w:rsidRPr="6395FD93">
              <w:rPr>
                <w:sz w:val="24"/>
                <w:szCs w:val="24"/>
                <w:lang w:val="en-GB"/>
              </w:rPr>
              <w:t>0</w:t>
            </w:r>
          </w:p>
        </w:tc>
        <w:tc>
          <w:tcPr>
            <w:tcW w:w="2505" w:type="dxa"/>
          </w:tcPr>
          <w:p w14:paraId="4A83F7C8" w14:textId="18F69E1E"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Initial investment</w:t>
            </w:r>
          </w:p>
        </w:tc>
        <w:tc>
          <w:tcPr>
            <w:tcW w:w="1665" w:type="dxa"/>
          </w:tcPr>
          <w:p w14:paraId="22FF4BA3" w14:textId="12D14021"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c>
          <w:tcPr>
            <w:tcW w:w="2175" w:type="dxa"/>
          </w:tcPr>
          <w:p w14:paraId="1813DD96" w14:textId="250CB1A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w:t>
            </w:r>
          </w:p>
        </w:tc>
        <w:tc>
          <w:tcPr>
            <w:tcW w:w="2235" w:type="dxa"/>
          </w:tcPr>
          <w:p w14:paraId="4973FE81" w14:textId="1AF698D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r>
      <w:tr w:rsidR="5C7EFC97" w14:paraId="33345A8D"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338705B7" w14:textId="46145488" w:rsidR="5C7EFC97" w:rsidRDefault="6395FD93" w:rsidP="6395FD93">
            <w:pPr>
              <w:rPr>
                <w:sz w:val="24"/>
                <w:szCs w:val="24"/>
                <w:lang w:val="en-GB"/>
              </w:rPr>
            </w:pPr>
            <w:r w:rsidRPr="6395FD93">
              <w:rPr>
                <w:sz w:val="24"/>
                <w:szCs w:val="24"/>
                <w:lang w:val="en-GB"/>
              </w:rPr>
              <w:t>1</w:t>
            </w:r>
          </w:p>
        </w:tc>
        <w:tc>
          <w:tcPr>
            <w:tcW w:w="2505" w:type="dxa"/>
          </w:tcPr>
          <w:p w14:paraId="409CD5F0" w14:textId="2A5FBCD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665" w:type="dxa"/>
          </w:tcPr>
          <w:p w14:paraId="5C20914E" w14:textId="3818A561"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75" w:type="dxa"/>
          </w:tcPr>
          <w:p w14:paraId="2B76CC11" w14:textId="32D98B8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0.935</w:t>
            </w:r>
          </w:p>
        </w:tc>
        <w:tc>
          <w:tcPr>
            <w:tcW w:w="2235" w:type="dxa"/>
          </w:tcPr>
          <w:p w14:paraId="4B848F32" w14:textId="25670192"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42,075</w:t>
            </w:r>
          </w:p>
        </w:tc>
      </w:tr>
      <w:tr w:rsidR="5C7EFC97" w14:paraId="76352FC5"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1DCC7FE4" w14:textId="471F8599" w:rsidR="5C7EFC97" w:rsidRDefault="6395FD93" w:rsidP="6395FD93">
            <w:pPr>
              <w:rPr>
                <w:sz w:val="24"/>
                <w:szCs w:val="24"/>
                <w:lang w:val="en-GB"/>
              </w:rPr>
            </w:pPr>
            <w:r w:rsidRPr="6395FD93">
              <w:rPr>
                <w:sz w:val="24"/>
                <w:szCs w:val="24"/>
                <w:lang w:val="en-GB"/>
              </w:rPr>
              <w:t>2</w:t>
            </w:r>
          </w:p>
        </w:tc>
        <w:tc>
          <w:tcPr>
            <w:tcW w:w="2505" w:type="dxa"/>
          </w:tcPr>
          <w:p w14:paraId="7583CDBA" w14:textId="57DE546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65" w:type="dxa"/>
          </w:tcPr>
          <w:p w14:paraId="26F9CD01" w14:textId="007EDC4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75" w:type="dxa"/>
          </w:tcPr>
          <w:p w14:paraId="65DB1D3F" w14:textId="6788403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0.873</w:t>
            </w:r>
          </w:p>
        </w:tc>
        <w:tc>
          <w:tcPr>
            <w:tcW w:w="2235" w:type="dxa"/>
          </w:tcPr>
          <w:p w14:paraId="133C59BB" w14:textId="24946778"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39,285</w:t>
            </w:r>
          </w:p>
        </w:tc>
      </w:tr>
      <w:tr w:rsidR="5C7EFC97" w14:paraId="53F34FFF"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3AC80926" w14:textId="4E6C0A02" w:rsidR="5C7EFC97" w:rsidRDefault="6395FD93" w:rsidP="6395FD93">
            <w:pPr>
              <w:rPr>
                <w:sz w:val="24"/>
                <w:szCs w:val="24"/>
                <w:lang w:val="en-GB"/>
              </w:rPr>
            </w:pPr>
            <w:r w:rsidRPr="6395FD93">
              <w:rPr>
                <w:sz w:val="24"/>
                <w:szCs w:val="24"/>
                <w:lang w:val="en-GB"/>
              </w:rPr>
              <w:t>3</w:t>
            </w:r>
          </w:p>
        </w:tc>
        <w:tc>
          <w:tcPr>
            <w:tcW w:w="2505" w:type="dxa"/>
          </w:tcPr>
          <w:p w14:paraId="264C899A" w14:textId="52A5F2E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65" w:type="dxa"/>
          </w:tcPr>
          <w:p w14:paraId="659CA033" w14:textId="22AD055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75" w:type="dxa"/>
          </w:tcPr>
          <w:p w14:paraId="5A824239" w14:textId="66324EC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0.816</w:t>
            </w:r>
          </w:p>
        </w:tc>
        <w:tc>
          <w:tcPr>
            <w:tcW w:w="2235" w:type="dxa"/>
          </w:tcPr>
          <w:p w14:paraId="711DAB9B" w14:textId="05F0E84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36,720</w:t>
            </w:r>
          </w:p>
        </w:tc>
      </w:tr>
      <w:tr w:rsidR="5C7EFC97" w14:paraId="776C94B1"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651B374E" w14:textId="082389C8" w:rsidR="5C7EFC97" w:rsidRDefault="6395FD93" w:rsidP="6395FD93">
            <w:pPr>
              <w:rPr>
                <w:sz w:val="24"/>
                <w:szCs w:val="24"/>
                <w:lang w:val="en-GB"/>
              </w:rPr>
            </w:pPr>
            <w:r w:rsidRPr="6395FD93">
              <w:rPr>
                <w:sz w:val="24"/>
                <w:szCs w:val="24"/>
                <w:lang w:val="en-GB"/>
              </w:rPr>
              <w:t>4</w:t>
            </w:r>
          </w:p>
        </w:tc>
        <w:tc>
          <w:tcPr>
            <w:tcW w:w="2505" w:type="dxa"/>
          </w:tcPr>
          <w:p w14:paraId="7FFBD749" w14:textId="3FF2BD1D"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65" w:type="dxa"/>
          </w:tcPr>
          <w:p w14:paraId="5701BA3D" w14:textId="151661C2"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75" w:type="dxa"/>
          </w:tcPr>
          <w:p w14:paraId="57CF689A" w14:textId="38C2B2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0.763</w:t>
            </w:r>
          </w:p>
        </w:tc>
        <w:tc>
          <w:tcPr>
            <w:tcW w:w="2235" w:type="dxa"/>
          </w:tcPr>
          <w:p w14:paraId="21844A0E" w14:textId="010F9E7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34,335</w:t>
            </w:r>
          </w:p>
        </w:tc>
      </w:tr>
      <w:tr w:rsidR="5C7EFC97" w14:paraId="744C0F77"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6DD89000" w14:textId="683F248E" w:rsidR="5C7EFC97" w:rsidRDefault="6395FD93" w:rsidP="6395FD93">
            <w:pPr>
              <w:rPr>
                <w:sz w:val="24"/>
                <w:szCs w:val="24"/>
                <w:lang w:val="en-GB"/>
              </w:rPr>
            </w:pPr>
            <w:r w:rsidRPr="6395FD93">
              <w:rPr>
                <w:sz w:val="24"/>
                <w:szCs w:val="24"/>
                <w:lang w:val="en-GB"/>
              </w:rPr>
              <w:t>5</w:t>
            </w:r>
          </w:p>
        </w:tc>
        <w:tc>
          <w:tcPr>
            <w:tcW w:w="2505" w:type="dxa"/>
          </w:tcPr>
          <w:p w14:paraId="0DF642A9" w14:textId="7F7FCADF"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65" w:type="dxa"/>
          </w:tcPr>
          <w:p w14:paraId="30EE27CA" w14:textId="6CFC3DE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75" w:type="dxa"/>
          </w:tcPr>
          <w:p w14:paraId="3BC9CC71" w14:textId="10EBC1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0.713</w:t>
            </w:r>
          </w:p>
        </w:tc>
        <w:tc>
          <w:tcPr>
            <w:tcW w:w="2235" w:type="dxa"/>
          </w:tcPr>
          <w:p w14:paraId="7FD529B2" w14:textId="33CCDF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32,085</w:t>
            </w:r>
          </w:p>
        </w:tc>
      </w:tr>
      <w:tr w:rsidR="5C7EFC97" w14:paraId="7064A7B1"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4D24C521" w14:textId="42F18F0C" w:rsidR="5C7EFC97" w:rsidRDefault="6395FD93" w:rsidP="6395FD93">
            <w:pPr>
              <w:rPr>
                <w:sz w:val="24"/>
                <w:szCs w:val="24"/>
                <w:lang w:val="en-GB"/>
              </w:rPr>
            </w:pPr>
            <w:r w:rsidRPr="6395FD93">
              <w:rPr>
                <w:sz w:val="24"/>
                <w:szCs w:val="24"/>
                <w:lang w:val="en-GB"/>
              </w:rPr>
              <w:t>6</w:t>
            </w:r>
          </w:p>
        </w:tc>
        <w:tc>
          <w:tcPr>
            <w:tcW w:w="2505" w:type="dxa"/>
          </w:tcPr>
          <w:p w14:paraId="640C3E1E" w14:textId="32AB1297"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65" w:type="dxa"/>
          </w:tcPr>
          <w:p w14:paraId="3CE5DAA3" w14:textId="7971356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75" w:type="dxa"/>
          </w:tcPr>
          <w:p w14:paraId="43B9C8D6" w14:textId="055D990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2235" w:type="dxa"/>
          </w:tcPr>
          <w:p w14:paraId="7075F15D" w14:textId="5DD60E6C"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29,970</w:t>
            </w:r>
          </w:p>
        </w:tc>
      </w:tr>
      <w:tr w:rsidR="5C7EFC97" w14:paraId="7F523FB9"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0E24F034" w14:textId="346122A8" w:rsidR="5C7EFC97" w:rsidRDefault="6395FD93" w:rsidP="6395FD93">
            <w:pPr>
              <w:rPr>
                <w:sz w:val="24"/>
                <w:szCs w:val="24"/>
                <w:lang w:val="en-GB"/>
              </w:rPr>
            </w:pPr>
            <w:r w:rsidRPr="6395FD93">
              <w:rPr>
                <w:sz w:val="24"/>
                <w:szCs w:val="24"/>
                <w:lang w:val="en-GB"/>
              </w:rPr>
              <w:t>6</w:t>
            </w:r>
          </w:p>
        </w:tc>
        <w:tc>
          <w:tcPr>
            <w:tcW w:w="2505" w:type="dxa"/>
          </w:tcPr>
          <w:p w14:paraId="677E62DE" w14:textId="78944B4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1665" w:type="dxa"/>
          </w:tcPr>
          <w:p w14:paraId="7F6345EC" w14:textId="51D1C76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20,000</w:t>
            </w:r>
          </w:p>
        </w:tc>
        <w:tc>
          <w:tcPr>
            <w:tcW w:w="2175" w:type="dxa"/>
          </w:tcPr>
          <w:p w14:paraId="53813ADD" w14:textId="50E7D87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2235" w:type="dxa"/>
          </w:tcPr>
          <w:p w14:paraId="3C61F074" w14:textId="0879C41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u w:val="single"/>
                <w:lang w:val="en-GB"/>
              </w:rPr>
            </w:pPr>
            <w:r w:rsidRPr="6395FD93">
              <w:rPr>
                <w:sz w:val="24"/>
                <w:szCs w:val="24"/>
                <w:u w:val="single"/>
                <w:lang w:val="en-GB"/>
              </w:rPr>
              <w:t>13,320</w:t>
            </w:r>
          </w:p>
        </w:tc>
      </w:tr>
      <w:tr w:rsidR="5C7EFC97" w14:paraId="1F8B5469"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3FF91344" w14:textId="7EDB96C9" w:rsidR="5C7EFC97" w:rsidRDefault="5C7EFC97" w:rsidP="5C7EFC97">
            <w:pPr>
              <w:rPr>
                <w:sz w:val="24"/>
                <w:szCs w:val="24"/>
                <w:lang w:val="en-GB"/>
              </w:rPr>
            </w:pPr>
          </w:p>
        </w:tc>
        <w:tc>
          <w:tcPr>
            <w:tcW w:w="2505" w:type="dxa"/>
          </w:tcPr>
          <w:p w14:paraId="50C1C9BC" w14:textId="5BE52694"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65" w:type="dxa"/>
          </w:tcPr>
          <w:p w14:paraId="5EC98680" w14:textId="7EC94115"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2175" w:type="dxa"/>
          </w:tcPr>
          <w:p w14:paraId="1E509005" w14:textId="0325C831"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 xml:space="preserve">            NPV =</w:t>
            </w:r>
          </w:p>
        </w:tc>
        <w:tc>
          <w:tcPr>
            <w:tcW w:w="2235" w:type="dxa"/>
          </w:tcPr>
          <w:p w14:paraId="10CCF3FF" w14:textId="1DE988E6"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67,790</w:t>
            </w:r>
          </w:p>
        </w:tc>
      </w:tr>
    </w:tbl>
    <w:p w14:paraId="20E985C8" w14:textId="49F129B7" w:rsidR="5C7EFC97" w:rsidRDefault="5C7EFC97" w:rsidP="5C7EFC97">
      <w:pPr>
        <w:pStyle w:val="ListBullet"/>
        <w:numPr>
          <w:ilvl w:val="0"/>
          <w:numId w:val="0"/>
        </w:numPr>
        <w:rPr>
          <w:sz w:val="24"/>
          <w:szCs w:val="24"/>
          <w:lang w:val="en-GB"/>
        </w:rPr>
      </w:pPr>
    </w:p>
    <w:p w14:paraId="46AFF378" w14:textId="4BEDD45F"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Project B</w:t>
      </w:r>
    </w:p>
    <w:p w14:paraId="0D6335DC" w14:textId="32674F6A"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NPV CALCULATION</w:t>
      </w:r>
    </w:p>
    <w:tbl>
      <w:tblPr>
        <w:tblStyle w:val="GridTable1Light-Accent1"/>
        <w:tblW w:w="0" w:type="auto"/>
        <w:tblLook w:val="04A0" w:firstRow="1" w:lastRow="0" w:firstColumn="1" w:lastColumn="0" w:noHBand="0" w:noVBand="1"/>
      </w:tblPr>
      <w:tblGrid>
        <w:gridCol w:w="810"/>
        <w:gridCol w:w="2250"/>
        <w:gridCol w:w="1650"/>
        <w:gridCol w:w="2175"/>
        <w:gridCol w:w="2310"/>
      </w:tblGrid>
      <w:tr w:rsidR="5C7EFC97" w14:paraId="478ADBB8"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0" w:type="dxa"/>
          </w:tcPr>
          <w:p w14:paraId="2BA2D52B" w14:textId="274EE2AD" w:rsidR="5C7EFC97" w:rsidRDefault="6395FD93" w:rsidP="6395FD93">
            <w:pPr>
              <w:rPr>
                <w:sz w:val="24"/>
                <w:szCs w:val="24"/>
                <w:lang w:val="en-GB"/>
              </w:rPr>
            </w:pPr>
            <w:r w:rsidRPr="6395FD93">
              <w:rPr>
                <w:sz w:val="24"/>
                <w:szCs w:val="24"/>
                <w:lang w:val="en-GB"/>
              </w:rPr>
              <w:t>Year</w:t>
            </w:r>
          </w:p>
        </w:tc>
        <w:tc>
          <w:tcPr>
            <w:tcW w:w="2250" w:type="dxa"/>
          </w:tcPr>
          <w:p w14:paraId="031A0F91" w14:textId="730980B7"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1650" w:type="dxa"/>
          </w:tcPr>
          <w:p w14:paraId="45E71EEC" w14:textId="50F82FBB"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        £</w:t>
            </w:r>
          </w:p>
        </w:tc>
        <w:tc>
          <w:tcPr>
            <w:tcW w:w="2175" w:type="dxa"/>
          </w:tcPr>
          <w:p w14:paraId="1EFB3E1D" w14:textId="6EB6EB56"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Discount Factor @ 7% </w:t>
            </w:r>
          </w:p>
          <w:p w14:paraId="6DF7D9E0" w14:textId="08E0CF3F"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r w:rsidRPr="5C7EFC97">
              <w:rPr>
                <w:sz w:val="24"/>
                <w:szCs w:val="24"/>
                <w:lang w:val="en-GB"/>
              </w:rPr>
              <w:t xml:space="preserve"> </w:t>
            </w:r>
          </w:p>
        </w:tc>
        <w:tc>
          <w:tcPr>
            <w:tcW w:w="2310" w:type="dxa"/>
          </w:tcPr>
          <w:p w14:paraId="52656CBA" w14:textId="375A937D" w:rsidR="5C7EFC97" w:rsidRDefault="6395FD93" w:rsidP="6395FD93">
            <w:pPr>
              <w:jc w:val="right"/>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Present Value</w:t>
            </w:r>
          </w:p>
          <w:p w14:paraId="2B502981" w14:textId="614A40CA" w:rsidR="5C7EFC97" w:rsidRDefault="6395FD93" w:rsidP="6395FD93">
            <w:pPr>
              <w:jc w:val="right"/>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                          £</w:t>
            </w:r>
          </w:p>
        </w:tc>
      </w:tr>
      <w:tr w:rsidR="5C7EFC97" w14:paraId="2A5891EC"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24E45C09" w14:textId="744463CF" w:rsidR="5C7EFC97" w:rsidRDefault="6395FD93" w:rsidP="6395FD93">
            <w:pPr>
              <w:rPr>
                <w:sz w:val="24"/>
                <w:szCs w:val="24"/>
                <w:lang w:val="en-GB"/>
              </w:rPr>
            </w:pPr>
            <w:r w:rsidRPr="6395FD93">
              <w:rPr>
                <w:sz w:val="24"/>
                <w:szCs w:val="24"/>
                <w:lang w:val="en-GB"/>
              </w:rPr>
              <w:t>0</w:t>
            </w:r>
          </w:p>
        </w:tc>
        <w:tc>
          <w:tcPr>
            <w:tcW w:w="2250" w:type="dxa"/>
          </w:tcPr>
          <w:p w14:paraId="3831568D" w14:textId="61E198AD"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Initial investment</w:t>
            </w:r>
          </w:p>
        </w:tc>
        <w:tc>
          <w:tcPr>
            <w:tcW w:w="1650" w:type="dxa"/>
          </w:tcPr>
          <w:p w14:paraId="2493DCBE" w14:textId="2DD88E4E"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c>
          <w:tcPr>
            <w:tcW w:w="2175" w:type="dxa"/>
          </w:tcPr>
          <w:p w14:paraId="01A31604" w14:textId="250CB1A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w:t>
            </w:r>
          </w:p>
        </w:tc>
        <w:tc>
          <w:tcPr>
            <w:tcW w:w="2310" w:type="dxa"/>
          </w:tcPr>
          <w:p w14:paraId="2E12AD2F" w14:textId="2A23AA6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r>
      <w:tr w:rsidR="5C7EFC97" w14:paraId="47CCAA7B"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4EA02194" w14:textId="46145488" w:rsidR="5C7EFC97" w:rsidRDefault="6395FD93" w:rsidP="6395FD93">
            <w:pPr>
              <w:rPr>
                <w:sz w:val="24"/>
                <w:szCs w:val="24"/>
                <w:lang w:val="en-GB"/>
              </w:rPr>
            </w:pPr>
            <w:r w:rsidRPr="6395FD93">
              <w:rPr>
                <w:sz w:val="24"/>
                <w:szCs w:val="24"/>
                <w:lang w:val="en-GB"/>
              </w:rPr>
              <w:t>1</w:t>
            </w:r>
          </w:p>
        </w:tc>
        <w:tc>
          <w:tcPr>
            <w:tcW w:w="2250" w:type="dxa"/>
          </w:tcPr>
          <w:p w14:paraId="4A360B2A" w14:textId="18CC1D03"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69BB98CF" w14:textId="018D18B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6FB65808" w14:textId="32D98B8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0.935</w:t>
            </w:r>
          </w:p>
        </w:tc>
        <w:tc>
          <w:tcPr>
            <w:tcW w:w="2310" w:type="dxa"/>
          </w:tcPr>
          <w:p w14:paraId="5A27A514" w14:textId="19708BF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56,100</w:t>
            </w:r>
          </w:p>
        </w:tc>
      </w:tr>
      <w:tr w:rsidR="5C7EFC97" w14:paraId="0D913EDA"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66D7CC5E" w14:textId="471F8599" w:rsidR="5C7EFC97" w:rsidRDefault="6395FD93" w:rsidP="6395FD93">
            <w:pPr>
              <w:rPr>
                <w:sz w:val="24"/>
                <w:szCs w:val="24"/>
                <w:lang w:val="en-GB"/>
              </w:rPr>
            </w:pPr>
            <w:r w:rsidRPr="6395FD93">
              <w:rPr>
                <w:sz w:val="24"/>
                <w:szCs w:val="24"/>
                <w:lang w:val="en-GB"/>
              </w:rPr>
              <w:t>2</w:t>
            </w:r>
          </w:p>
        </w:tc>
        <w:tc>
          <w:tcPr>
            <w:tcW w:w="2250" w:type="dxa"/>
          </w:tcPr>
          <w:p w14:paraId="74EAE6DD" w14:textId="57DE546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078E0C18" w14:textId="11B1C356"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6919FE01" w14:textId="6788403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0.873</w:t>
            </w:r>
          </w:p>
        </w:tc>
        <w:tc>
          <w:tcPr>
            <w:tcW w:w="2310" w:type="dxa"/>
          </w:tcPr>
          <w:p w14:paraId="5177508E" w14:textId="36958A94"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52,380</w:t>
            </w:r>
          </w:p>
        </w:tc>
      </w:tr>
      <w:tr w:rsidR="5C7EFC97" w14:paraId="661FC08A"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77762AD7" w14:textId="4E6C0A02" w:rsidR="5C7EFC97" w:rsidRDefault="6395FD93" w:rsidP="6395FD93">
            <w:pPr>
              <w:rPr>
                <w:sz w:val="24"/>
                <w:szCs w:val="24"/>
                <w:lang w:val="en-GB"/>
              </w:rPr>
            </w:pPr>
            <w:r w:rsidRPr="6395FD93">
              <w:rPr>
                <w:sz w:val="24"/>
                <w:szCs w:val="24"/>
                <w:lang w:val="en-GB"/>
              </w:rPr>
              <w:t>3</w:t>
            </w:r>
          </w:p>
        </w:tc>
        <w:tc>
          <w:tcPr>
            <w:tcW w:w="2250" w:type="dxa"/>
          </w:tcPr>
          <w:p w14:paraId="3613527B" w14:textId="52A5F2E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0CE38979" w14:textId="45FE282E"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61AB0C10" w14:textId="66324EC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0.816</w:t>
            </w:r>
          </w:p>
        </w:tc>
        <w:tc>
          <w:tcPr>
            <w:tcW w:w="2310" w:type="dxa"/>
          </w:tcPr>
          <w:p w14:paraId="5BDCC964" w14:textId="5C1086F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48,960</w:t>
            </w:r>
          </w:p>
        </w:tc>
      </w:tr>
      <w:tr w:rsidR="5C7EFC97" w14:paraId="60858D40"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07CDCF98" w14:textId="082389C8" w:rsidR="5C7EFC97" w:rsidRDefault="6395FD93" w:rsidP="6395FD93">
            <w:pPr>
              <w:rPr>
                <w:sz w:val="24"/>
                <w:szCs w:val="24"/>
                <w:lang w:val="en-GB"/>
              </w:rPr>
            </w:pPr>
            <w:r w:rsidRPr="6395FD93">
              <w:rPr>
                <w:sz w:val="24"/>
                <w:szCs w:val="24"/>
                <w:lang w:val="en-GB"/>
              </w:rPr>
              <w:t>4</w:t>
            </w:r>
          </w:p>
        </w:tc>
        <w:tc>
          <w:tcPr>
            <w:tcW w:w="2250" w:type="dxa"/>
          </w:tcPr>
          <w:p w14:paraId="2C0E3BDF" w14:textId="3FF2BD1D"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68A98160" w14:textId="4198C0A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0161123E" w14:textId="38C2B2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0.763</w:t>
            </w:r>
          </w:p>
        </w:tc>
        <w:tc>
          <w:tcPr>
            <w:tcW w:w="2310" w:type="dxa"/>
          </w:tcPr>
          <w:p w14:paraId="6B3CF63A" w14:textId="29DE8B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45,780</w:t>
            </w:r>
          </w:p>
        </w:tc>
      </w:tr>
      <w:tr w:rsidR="5C7EFC97" w14:paraId="4CB96292"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08D6E11D" w14:textId="683F248E" w:rsidR="5C7EFC97" w:rsidRDefault="6395FD93" w:rsidP="6395FD93">
            <w:pPr>
              <w:rPr>
                <w:sz w:val="24"/>
                <w:szCs w:val="24"/>
                <w:lang w:val="en-GB"/>
              </w:rPr>
            </w:pPr>
            <w:r w:rsidRPr="6395FD93">
              <w:rPr>
                <w:sz w:val="24"/>
                <w:szCs w:val="24"/>
                <w:lang w:val="en-GB"/>
              </w:rPr>
              <w:t>5</w:t>
            </w:r>
          </w:p>
        </w:tc>
        <w:tc>
          <w:tcPr>
            <w:tcW w:w="2250" w:type="dxa"/>
          </w:tcPr>
          <w:p w14:paraId="7C2245F6" w14:textId="7F7FCADF"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6761B4A4" w14:textId="714733D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46B5F9EC" w14:textId="10EBC1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0.713</w:t>
            </w:r>
          </w:p>
        </w:tc>
        <w:tc>
          <w:tcPr>
            <w:tcW w:w="2310" w:type="dxa"/>
          </w:tcPr>
          <w:p w14:paraId="06F71E41" w14:textId="22CD1D7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42,780</w:t>
            </w:r>
          </w:p>
        </w:tc>
      </w:tr>
      <w:tr w:rsidR="5C7EFC97" w14:paraId="074109FE"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309982B3" w14:textId="42F18F0C" w:rsidR="5C7EFC97" w:rsidRDefault="6395FD93" w:rsidP="6395FD93">
            <w:pPr>
              <w:rPr>
                <w:sz w:val="24"/>
                <w:szCs w:val="24"/>
                <w:lang w:val="en-GB"/>
              </w:rPr>
            </w:pPr>
            <w:r w:rsidRPr="6395FD93">
              <w:rPr>
                <w:sz w:val="24"/>
                <w:szCs w:val="24"/>
                <w:lang w:val="en-GB"/>
              </w:rPr>
              <w:t>6</w:t>
            </w:r>
          </w:p>
        </w:tc>
        <w:tc>
          <w:tcPr>
            <w:tcW w:w="2250" w:type="dxa"/>
          </w:tcPr>
          <w:p w14:paraId="0989D244" w14:textId="32AB1297"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7226C544" w14:textId="633132E4"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274D5BF2" w14:textId="055D990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2310" w:type="dxa"/>
          </w:tcPr>
          <w:p w14:paraId="7800C40D" w14:textId="425CEAF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39,960</w:t>
            </w:r>
          </w:p>
        </w:tc>
      </w:tr>
      <w:tr w:rsidR="5C7EFC97" w14:paraId="7E2C1660"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75A18960" w14:textId="346122A8" w:rsidR="5C7EFC97" w:rsidRDefault="6395FD93" w:rsidP="6395FD93">
            <w:pPr>
              <w:rPr>
                <w:sz w:val="24"/>
                <w:szCs w:val="24"/>
                <w:lang w:val="en-GB"/>
              </w:rPr>
            </w:pPr>
            <w:r w:rsidRPr="6395FD93">
              <w:rPr>
                <w:sz w:val="24"/>
                <w:szCs w:val="24"/>
                <w:lang w:val="en-GB"/>
              </w:rPr>
              <w:t>6</w:t>
            </w:r>
          </w:p>
        </w:tc>
        <w:tc>
          <w:tcPr>
            <w:tcW w:w="2250" w:type="dxa"/>
          </w:tcPr>
          <w:p w14:paraId="5048F5C3" w14:textId="78944B4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1650" w:type="dxa"/>
          </w:tcPr>
          <w:p w14:paraId="06B83604" w14:textId="053555C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10,000</w:t>
            </w:r>
          </w:p>
        </w:tc>
        <w:tc>
          <w:tcPr>
            <w:tcW w:w="2175" w:type="dxa"/>
          </w:tcPr>
          <w:p w14:paraId="75B1E61E" w14:textId="50E7D87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2310" w:type="dxa"/>
          </w:tcPr>
          <w:p w14:paraId="348106F6" w14:textId="17CF16E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u w:val="single"/>
                <w:lang w:val="en-GB"/>
              </w:rPr>
            </w:pPr>
            <w:r w:rsidRPr="6395FD93">
              <w:rPr>
                <w:sz w:val="24"/>
                <w:szCs w:val="24"/>
                <w:u w:val="single"/>
                <w:lang w:val="en-GB"/>
              </w:rPr>
              <w:t>6,660</w:t>
            </w:r>
          </w:p>
        </w:tc>
      </w:tr>
      <w:tr w:rsidR="5C7EFC97" w14:paraId="19C6F6FF" w14:textId="77777777" w:rsidTr="6395FD93">
        <w:tc>
          <w:tcPr>
            <w:cnfStyle w:val="001000000000" w:firstRow="0" w:lastRow="0" w:firstColumn="1" w:lastColumn="0" w:oddVBand="0" w:evenVBand="0" w:oddHBand="0" w:evenHBand="0" w:firstRowFirstColumn="0" w:firstRowLastColumn="0" w:lastRowFirstColumn="0" w:lastRowLastColumn="0"/>
            <w:tcW w:w="810" w:type="dxa"/>
          </w:tcPr>
          <w:p w14:paraId="215FA919" w14:textId="4660F40A" w:rsidR="5C7EFC97" w:rsidRDefault="5C7EFC97" w:rsidP="5C7EFC97">
            <w:pPr>
              <w:rPr>
                <w:sz w:val="24"/>
                <w:szCs w:val="24"/>
                <w:lang w:val="en-GB"/>
              </w:rPr>
            </w:pPr>
          </w:p>
        </w:tc>
        <w:tc>
          <w:tcPr>
            <w:tcW w:w="2250" w:type="dxa"/>
          </w:tcPr>
          <w:p w14:paraId="4C020C6B" w14:textId="3B3DC280"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50" w:type="dxa"/>
          </w:tcPr>
          <w:p w14:paraId="1D73BA62" w14:textId="4014E9D2"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2175" w:type="dxa"/>
          </w:tcPr>
          <w:p w14:paraId="4A477CBB" w14:textId="024D095E"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 xml:space="preserve">           NPV =</w:t>
            </w:r>
          </w:p>
        </w:tc>
        <w:tc>
          <w:tcPr>
            <w:tcW w:w="2310" w:type="dxa"/>
          </w:tcPr>
          <w:p w14:paraId="0854C068" w14:textId="7C8C7E46"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72,620</w:t>
            </w:r>
          </w:p>
        </w:tc>
      </w:tr>
    </w:tbl>
    <w:p w14:paraId="01C760A7" w14:textId="2281B206" w:rsidR="5C7EFC97" w:rsidRDefault="5C7EFC97" w:rsidP="5C7EFC97">
      <w:pPr>
        <w:pStyle w:val="ListBullet"/>
        <w:numPr>
          <w:ilvl w:val="0"/>
          <w:numId w:val="0"/>
        </w:numPr>
        <w:rPr>
          <w:sz w:val="24"/>
          <w:szCs w:val="24"/>
          <w:lang w:val="en-GB"/>
        </w:rPr>
      </w:pPr>
    </w:p>
    <w:p w14:paraId="15C77176" w14:textId="1F0C61E0" w:rsidR="5C7EFC97" w:rsidRDefault="6395FD93" w:rsidP="6395FD93">
      <w:pPr>
        <w:pStyle w:val="ListBullet"/>
        <w:numPr>
          <w:ilvl w:val="0"/>
          <w:numId w:val="0"/>
        </w:numPr>
        <w:rPr>
          <w:b/>
          <w:bCs/>
          <w:sz w:val="24"/>
          <w:szCs w:val="24"/>
          <w:lang w:val="en-GB"/>
        </w:rPr>
      </w:pPr>
      <w:r w:rsidRPr="6395FD93">
        <w:rPr>
          <w:b/>
          <w:bCs/>
          <w:sz w:val="24"/>
          <w:szCs w:val="24"/>
          <w:lang w:val="en-GB"/>
        </w:rPr>
        <w:t>(b)</w:t>
      </w:r>
    </w:p>
    <w:p w14:paraId="4CD8C0F3" w14:textId="4E801519"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lastRenderedPageBreak/>
        <w:t>Project A</w:t>
      </w:r>
    </w:p>
    <w:p w14:paraId="27B19BB8" w14:textId="0AF4F198"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ARR CALCULATION</w:t>
      </w:r>
    </w:p>
    <w:p w14:paraId="3C01405B" w14:textId="2C6DC8C8" w:rsidR="5C7EFC97" w:rsidRDefault="6395FD93" w:rsidP="6395FD93">
      <w:pPr>
        <w:pStyle w:val="NoSpacing"/>
        <w:rPr>
          <w:sz w:val="24"/>
          <w:szCs w:val="24"/>
          <w:lang w:val="en-GB"/>
        </w:rPr>
      </w:pPr>
      <w:r w:rsidRPr="6395FD93">
        <w:rPr>
          <w:sz w:val="24"/>
          <w:szCs w:val="24"/>
          <w:lang w:val="en-GB"/>
        </w:rPr>
        <w:t xml:space="preserve">ARR – Accounting Rate of Return = </w:t>
      </w:r>
      <w:r w:rsidRPr="6395FD93">
        <w:rPr>
          <w:sz w:val="24"/>
          <w:szCs w:val="24"/>
          <w:u w:val="single"/>
          <w:lang w:val="en-GB"/>
        </w:rPr>
        <w:t xml:space="preserve">Average Profit          </w:t>
      </w:r>
      <w:r w:rsidRPr="6395FD93">
        <w:rPr>
          <w:sz w:val="24"/>
          <w:szCs w:val="24"/>
          <w:lang w:val="en-GB"/>
        </w:rPr>
        <w:t xml:space="preserve">     *  100  %</w:t>
      </w:r>
    </w:p>
    <w:p w14:paraId="717924D3" w14:textId="2B65B3C6" w:rsidR="5C7EFC97" w:rsidRDefault="6395FD93" w:rsidP="6395FD93">
      <w:pPr>
        <w:pStyle w:val="NoSpacing"/>
        <w:rPr>
          <w:sz w:val="24"/>
          <w:szCs w:val="24"/>
          <w:lang w:val="en-GB"/>
        </w:rPr>
      </w:pPr>
      <w:r w:rsidRPr="6395FD93">
        <w:rPr>
          <w:sz w:val="24"/>
          <w:szCs w:val="24"/>
          <w:lang w:val="en-GB"/>
        </w:rPr>
        <w:t xml:space="preserve">                                                          Average Investment</w:t>
      </w:r>
    </w:p>
    <w:p w14:paraId="00B0FE2D" w14:textId="5EF7E735" w:rsidR="5C7EFC97" w:rsidRDefault="6395FD93" w:rsidP="6395FD93">
      <w:pPr>
        <w:pStyle w:val="ListBullet"/>
        <w:numPr>
          <w:ilvl w:val="0"/>
          <w:numId w:val="0"/>
        </w:numPr>
        <w:rPr>
          <w:b/>
          <w:bCs/>
          <w:lang w:val="en-GB"/>
        </w:rPr>
      </w:pPr>
      <w:r w:rsidRPr="6395FD93">
        <w:rPr>
          <w:sz w:val="24"/>
          <w:szCs w:val="24"/>
          <w:lang w:val="en-GB"/>
        </w:rPr>
        <w:t>Initial Investment = £160,000</w:t>
      </w:r>
    </w:p>
    <w:p w14:paraId="0B1FB7B6" w14:textId="13B55BED" w:rsidR="5C7EFC97" w:rsidRDefault="6395FD93" w:rsidP="6395FD93">
      <w:pPr>
        <w:pStyle w:val="ListBullet"/>
        <w:numPr>
          <w:ilvl w:val="0"/>
          <w:numId w:val="0"/>
        </w:numPr>
        <w:rPr>
          <w:sz w:val="24"/>
          <w:szCs w:val="24"/>
          <w:lang w:val="en-GB"/>
        </w:rPr>
      </w:pPr>
      <w:r w:rsidRPr="6395FD93">
        <w:rPr>
          <w:sz w:val="24"/>
          <w:szCs w:val="24"/>
          <w:lang w:val="en-GB"/>
        </w:rPr>
        <w:t>Duration of Project = 6 years</w:t>
      </w:r>
    </w:p>
    <w:p w14:paraId="4F7B0ED6" w14:textId="0F25E1F0" w:rsidR="5C7EFC97" w:rsidRDefault="6395FD93" w:rsidP="6395FD93">
      <w:pPr>
        <w:pStyle w:val="ListBullet"/>
        <w:numPr>
          <w:ilvl w:val="0"/>
          <w:numId w:val="0"/>
        </w:numPr>
        <w:rPr>
          <w:sz w:val="24"/>
          <w:szCs w:val="24"/>
          <w:lang w:val="en-GB"/>
        </w:rPr>
      </w:pPr>
      <w:r w:rsidRPr="6395FD93">
        <w:rPr>
          <w:sz w:val="24"/>
          <w:szCs w:val="24"/>
          <w:lang w:val="en-GB"/>
        </w:rPr>
        <w:t>Residual Value = £20,000</w:t>
      </w:r>
    </w:p>
    <w:p w14:paraId="1A847EA1" w14:textId="7117B946" w:rsidR="5C7EFC97" w:rsidRDefault="6395FD93" w:rsidP="6395FD93">
      <w:pPr>
        <w:pStyle w:val="ListBullet"/>
        <w:numPr>
          <w:ilvl w:val="0"/>
          <w:numId w:val="0"/>
        </w:numPr>
        <w:rPr>
          <w:sz w:val="24"/>
          <w:szCs w:val="24"/>
          <w:lang w:val="en-GB"/>
        </w:rPr>
      </w:pPr>
      <w:r w:rsidRPr="6395FD93">
        <w:rPr>
          <w:sz w:val="24"/>
          <w:szCs w:val="24"/>
          <w:lang w:val="en-GB"/>
        </w:rPr>
        <w:t>Annual Income = £45,000</w:t>
      </w:r>
    </w:p>
    <w:p w14:paraId="5E03CF8F" w14:textId="14F04A2E" w:rsidR="5C7EFC97" w:rsidRDefault="6395FD93" w:rsidP="6395FD93">
      <w:pPr>
        <w:pStyle w:val="ListBullet"/>
        <w:numPr>
          <w:ilvl w:val="0"/>
          <w:numId w:val="0"/>
        </w:numPr>
        <w:rPr>
          <w:sz w:val="24"/>
          <w:szCs w:val="24"/>
          <w:lang w:val="en-GB"/>
        </w:rPr>
      </w:pPr>
      <w:r w:rsidRPr="6395FD93">
        <w:rPr>
          <w:sz w:val="24"/>
          <w:szCs w:val="24"/>
          <w:lang w:val="en-GB"/>
        </w:rPr>
        <w:t>Total Income for 6 years = £45,000 * 6 years = £270,000</w:t>
      </w:r>
    </w:p>
    <w:p w14:paraId="59998754" w14:textId="4C2E9299" w:rsidR="5C7EFC97" w:rsidRDefault="6395FD93" w:rsidP="6395FD93">
      <w:pPr>
        <w:pStyle w:val="ListBullet"/>
        <w:numPr>
          <w:ilvl w:val="0"/>
          <w:numId w:val="0"/>
        </w:numPr>
        <w:rPr>
          <w:sz w:val="24"/>
          <w:szCs w:val="24"/>
          <w:lang w:val="en-GB"/>
        </w:rPr>
      </w:pPr>
      <w:r w:rsidRPr="6395FD93">
        <w:rPr>
          <w:sz w:val="24"/>
          <w:szCs w:val="24"/>
          <w:lang w:val="en-GB"/>
        </w:rPr>
        <w:t>Total Depreciation for 6 years = Depreciable Value</w:t>
      </w:r>
    </w:p>
    <w:p w14:paraId="6001AFB6" w14:textId="50F28862" w:rsidR="5C7EFC97" w:rsidRDefault="6395FD93" w:rsidP="6395FD93">
      <w:pPr>
        <w:pStyle w:val="ListBullet"/>
        <w:numPr>
          <w:ilvl w:val="0"/>
          <w:numId w:val="0"/>
        </w:numPr>
        <w:rPr>
          <w:sz w:val="24"/>
          <w:szCs w:val="24"/>
          <w:lang w:val="en-GB"/>
        </w:rPr>
      </w:pPr>
      <w:r w:rsidRPr="6395FD93">
        <w:rPr>
          <w:sz w:val="24"/>
          <w:szCs w:val="24"/>
          <w:lang w:val="en-GB"/>
        </w:rPr>
        <w:t>Total Depreciation for 6 years = £160,000 - £20,000 = £140,000</w:t>
      </w:r>
    </w:p>
    <w:p w14:paraId="53CED0FC" w14:textId="6667699F" w:rsidR="5C7EFC97" w:rsidRDefault="6395FD93" w:rsidP="6395FD93">
      <w:pPr>
        <w:pStyle w:val="ListBullet"/>
        <w:numPr>
          <w:ilvl w:val="0"/>
          <w:numId w:val="0"/>
        </w:numPr>
        <w:rPr>
          <w:sz w:val="24"/>
          <w:szCs w:val="24"/>
          <w:lang w:val="en-GB"/>
        </w:rPr>
      </w:pPr>
      <w:r w:rsidRPr="6395FD93">
        <w:rPr>
          <w:sz w:val="24"/>
          <w:szCs w:val="24"/>
          <w:lang w:val="en-GB"/>
        </w:rPr>
        <w:t>Income for the 6 years after depreciation = £270,000 - £140,000 = £130,000</w:t>
      </w:r>
    </w:p>
    <w:p w14:paraId="241C17B4" w14:textId="3F036E22" w:rsidR="5C7EFC97" w:rsidRDefault="6395FD93" w:rsidP="6395FD93">
      <w:pPr>
        <w:pStyle w:val="NoSpacing"/>
        <w:rPr>
          <w:sz w:val="24"/>
          <w:szCs w:val="24"/>
          <w:lang w:val="en-GB"/>
        </w:rPr>
      </w:pPr>
      <w:r w:rsidRPr="6395FD93">
        <w:rPr>
          <w:sz w:val="24"/>
          <w:szCs w:val="24"/>
          <w:lang w:val="en-GB"/>
        </w:rPr>
        <w:t>Average Income per year = £</w:t>
      </w:r>
      <w:r w:rsidRPr="6395FD93">
        <w:rPr>
          <w:sz w:val="24"/>
          <w:szCs w:val="24"/>
          <w:u w:val="single"/>
          <w:lang w:val="en-GB"/>
        </w:rPr>
        <w:t>130000</w:t>
      </w:r>
      <w:r w:rsidRPr="6395FD93">
        <w:rPr>
          <w:sz w:val="24"/>
          <w:szCs w:val="24"/>
          <w:lang w:val="en-GB"/>
        </w:rPr>
        <w:t xml:space="preserve">  </w:t>
      </w:r>
    </w:p>
    <w:p w14:paraId="1B4DA964" w14:textId="7A011318" w:rsidR="5C7EFC97" w:rsidRDefault="6395FD93" w:rsidP="6395FD93">
      <w:pPr>
        <w:pStyle w:val="NoSpacing"/>
        <w:rPr>
          <w:sz w:val="24"/>
          <w:szCs w:val="24"/>
          <w:lang w:val="en-GB"/>
        </w:rPr>
      </w:pPr>
      <w:r w:rsidRPr="6395FD93">
        <w:rPr>
          <w:sz w:val="24"/>
          <w:szCs w:val="24"/>
          <w:lang w:val="en-GB"/>
        </w:rPr>
        <w:t xml:space="preserve">                                                    6</w:t>
      </w:r>
    </w:p>
    <w:p w14:paraId="4F92F3D3" w14:textId="77DA9CA1" w:rsidR="5C7EFC97" w:rsidRDefault="5C7EFC97" w:rsidP="5C7EFC97">
      <w:pPr>
        <w:pStyle w:val="NoSpacing"/>
        <w:rPr>
          <w:sz w:val="24"/>
          <w:szCs w:val="24"/>
          <w:lang w:val="en-GB"/>
        </w:rPr>
      </w:pPr>
    </w:p>
    <w:p w14:paraId="659850DC" w14:textId="170EDEE0" w:rsidR="5C7EFC97" w:rsidRDefault="6395FD93" w:rsidP="6395FD93">
      <w:pPr>
        <w:pStyle w:val="NoSpacing"/>
        <w:rPr>
          <w:b/>
          <w:bCs/>
          <w:sz w:val="24"/>
          <w:szCs w:val="24"/>
          <w:lang w:val="en-GB"/>
        </w:rPr>
      </w:pPr>
      <w:r w:rsidRPr="6395FD93">
        <w:rPr>
          <w:b/>
          <w:bCs/>
          <w:sz w:val="24"/>
          <w:szCs w:val="24"/>
          <w:lang w:val="en-GB"/>
        </w:rPr>
        <w:t>Average Income per year = £21,667</w:t>
      </w:r>
    </w:p>
    <w:p w14:paraId="79B2D857" w14:textId="37534197" w:rsidR="5C7EFC97" w:rsidRDefault="5C7EFC97" w:rsidP="5C7EFC97">
      <w:pPr>
        <w:pStyle w:val="NoSpacing"/>
        <w:rPr>
          <w:sz w:val="24"/>
          <w:szCs w:val="24"/>
          <w:lang w:val="en-GB"/>
        </w:rPr>
      </w:pPr>
    </w:p>
    <w:p w14:paraId="33C8B0A7" w14:textId="38EC2462" w:rsidR="5C7EFC97" w:rsidRDefault="5C7EFC97" w:rsidP="5C7EFC97">
      <w:pPr>
        <w:pStyle w:val="NoSpacing"/>
        <w:rPr>
          <w:sz w:val="24"/>
          <w:szCs w:val="24"/>
          <w:lang w:val="en-GB"/>
        </w:rPr>
      </w:pPr>
    </w:p>
    <w:p w14:paraId="078852F2" w14:textId="7144E16B" w:rsidR="5C7EFC97" w:rsidRDefault="6395FD93" w:rsidP="6395FD93">
      <w:pPr>
        <w:pStyle w:val="NoSpacing"/>
        <w:rPr>
          <w:sz w:val="24"/>
          <w:szCs w:val="24"/>
          <w:u w:val="single"/>
          <w:lang w:val="en-GB"/>
        </w:rPr>
      </w:pPr>
      <w:r w:rsidRPr="6395FD93">
        <w:rPr>
          <w:sz w:val="24"/>
          <w:szCs w:val="24"/>
          <w:lang w:val="en-GB"/>
        </w:rPr>
        <w:t xml:space="preserve">Average Investment  = </w:t>
      </w:r>
      <w:r w:rsidRPr="6395FD93">
        <w:rPr>
          <w:sz w:val="24"/>
          <w:szCs w:val="24"/>
          <w:u w:val="single"/>
          <w:lang w:val="en-GB"/>
        </w:rPr>
        <w:t>Initial Investment + Residual Value</w:t>
      </w:r>
    </w:p>
    <w:p w14:paraId="0AE2D32E" w14:textId="6F681406" w:rsidR="5C7EFC97" w:rsidRDefault="6395FD93" w:rsidP="6395FD93">
      <w:pPr>
        <w:pStyle w:val="NoSpacing"/>
        <w:rPr>
          <w:sz w:val="24"/>
          <w:szCs w:val="24"/>
          <w:lang w:val="en-GB"/>
        </w:rPr>
      </w:pPr>
      <w:r w:rsidRPr="6395FD93">
        <w:rPr>
          <w:sz w:val="24"/>
          <w:szCs w:val="24"/>
          <w:lang w:val="en-GB"/>
        </w:rPr>
        <w:t xml:space="preserve">                                                                 2</w:t>
      </w:r>
    </w:p>
    <w:p w14:paraId="4CD5CB72" w14:textId="17E17DED" w:rsidR="5C7EFC97" w:rsidRDefault="5C7EFC97" w:rsidP="5C7EFC97">
      <w:pPr>
        <w:pStyle w:val="NoSpacing"/>
        <w:ind w:left="2880" w:firstLine="720"/>
        <w:rPr>
          <w:lang w:val="en-GB"/>
        </w:rPr>
      </w:pPr>
    </w:p>
    <w:p w14:paraId="2D0D2228" w14:textId="4ED1091F" w:rsidR="5C7EFC97" w:rsidRDefault="6395FD93" w:rsidP="6395FD93">
      <w:pPr>
        <w:pStyle w:val="NoSpacing"/>
        <w:rPr>
          <w:lang w:val="en-GB"/>
        </w:rPr>
      </w:pPr>
      <w:r w:rsidRPr="6395FD93">
        <w:rPr>
          <w:sz w:val="24"/>
          <w:szCs w:val="24"/>
          <w:lang w:val="en-GB"/>
        </w:rPr>
        <w:t xml:space="preserve">Average Investment = </w:t>
      </w:r>
      <w:r w:rsidRPr="6395FD93">
        <w:rPr>
          <w:sz w:val="24"/>
          <w:szCs w:val="24"/>
          <w:u w:val="single"/>
          <w:lang w:val="en-GB"/>
        </w:rPr>
        <w:t>£160,000 + £20,000</w:t>
      </w:r>
    </w:p>
    <w:p w14:paraId="7E5178CA" w14:textId="11B0432F" w:rsidR="5C7EFC97" w:rsidRDefault="6395FD93" w:rsidP="6395FD93">
      <w:pPr>
        <w:pStyle w:val="NoSpacing"/>
        <w:rPr>
          <w:sz w:val="24"/>
          <w:szCs w:val="24"/>
          <w:lang w:val="en-GB"/>
        </w:rPr>
      </w:pPr>
      <w:r w:rsidRPr="6395FD93">
        <w:rPr>
          <w:sz w:val="24"/>
          <w:szCs w:val="24"/>
          <w:lang w:val="en-GB"/>
        </w:rPr>
        <w:t xml:space="preserve">                                                  2</w:t>
      </w:r>
    </w:p>
    <w:p w14:paraId="3F793982" w14:textId="0A5B46D1" w:rsidR="5C7EFC97" w:rsidRDefault="5C7EFC97" w:rsidP="5C7EFC97">
      <w:pPr>
        <w:pStyle w:val="NoSpacing"/>
        <w:rPr>
          <w:sz w:val="24"/>
          <w:szCs w:val="24"/>
          <w:lang w:val="en-GB"/>
        </w:rPr>
      </w:pPr>
    </w:p>
    <w:p w14:paraId="188395C2" w14:textId="0F36EF68" w:rsidR="5C7EFC97" w:rsidRDefault="6395FD93" w:rsidP="6395FD93">
      <w:pPr>
        <w:pStyle w:val="NoSpacing"/>
        <w:rPr>
          <w:b/>
          <w:bCs/>
          <w:sz w:val="24"/>
          <w:szCs w:val="24"/>
          <w:lang w:val="en-GB"/>
        </w:rPr>
      </w:pPr>
      <w:r w:rsidRPr="6395FD93">
        <w:rPr>
          <w:b/>
          <w:bCs/>
          <w:sz w:val="24"/>
          <w:szCs w:val="24"/>
          <w:lang w:val="en-GB"/>
        </w:rPr>
        <w:t>Average Investment = £90,000</w:t>
      </w:r>
    </w:p>
    <w:p w14:paraId="470C8AAD" w14:textId="7EA0F9B6" w:rsidR="5C7EFC97" w:rsidRDefault="5C7EFC97" w:rsidP="5C7EFC97">
      <w:pPr>
        <w:pStyle w:val="NoSpacing"/>
        <w:rPr>
          <w:sz w:val="24"/>
          <w:szCs w:val="24"/>
          <w:lang w:val="en-GB"/>
        </w:rPr>
      </w:pPr>
    </w:p>
    <w:p w14:paraId="6F78908C" w14:textId="06773809" w:rsidR="5C7EFC97" w:rsidRDefault="6395FD93" w:rsidP="6395FD93">
      <w:pPr>
        <w:pStyle w:val="NoSpacing"/>
        <w:rPr>
          <w:sz w:val="24"/>
          <w:szCs w:val="24"/>
          <w:lang w:val="en-GB"/>
        </w:rPr>
      </w:pPr>
      <w:r w:rsidRPr="6395FD93">
        <w:rPr>
          <w:sz w:val="24"/>
          <w:szCs w:val="24"/>
          <w:lang w:val="en-GB"/>
        </w:rPr>
        <w:t xml:space="preserve">Accounting Rate of Return = </w:t>
      </w:r>
      <w:r w:rsidRPr="6395FD93">
        <w:rPr>
          <w:sz w:val="24"/>
          <w:szCs w:val="24"/>
          <w:u w:val="single"/>
          <w:lang w:val="en-GB"/>
        </w:rPr>
        <w:t>£21,667</w:t>
      </w:r>
    </w:p>
    <w:p w14:paraId="6A2CE5D0" w14:textId="2EFD7CDB" w:rsidR="5C7EFC97" w:rsidRDefault="6395FD93" w:rsidP="6395FD93">
      <w:pPr>
        <w:pStyle w:val="NoSpacing"/>
        <w:rPr>
          <w:sz w:val="24"/>
          <w:szCs w:val="24"/>
          <w:lang w:val="en-GB"/>
        </w:rPr>
      </w:pPr>
      <w:r w:rsidRPr="6395FD93">
        <w:rPr>
          <w:sz w:val="24"/>
          <w:szCs w:val="24"/>
          <w:lang w:val="en-GB"/>
        </w:rPr>
        <w:t xml:space="preserve">                                              £90,000</w:t>
      </w:r>
    </w:p>
    <w:p w14:paraId="0B6405C2" w14:textId="19A6C479" w:rsidR="5C7EFC97" w:rsidRDefault="5C7EFC97" w:rsidP="5C7EFC97">
      <w:pPr>
        <w:pStyle w:val="NoSpacing"/>
        <w:rPr>
          <w:sz w:val="24"/>
          <w:szCs w:val="24"/>
          <w:lang w:val="en-GB"/>
        </w:rPr>
      </w:pPr>
    </w:p>
    <w:p w14:paraId="067638E7" w14:textId="6CAFDE47" w:rsidR="5C7EFC97" w:rsidRDefault="6395FD93" w:rsidP="6395FD93">
      <w:pPr>
        <w:pStyle w:val="NoSpacing"/>
        <w:rPr>
          <w:b/>
          <w:bCs/>
          <w:sz w:val="24"/>
          <w:szCs w:val="24"/>
          <w:u w:val="single"/>
          <w:lang w:val="en-GB"/>
        </w:rPr>
      </w:pPr>
      <w:r w:rsidRPr="6395FD93">
        <w:rPr>
          <w:b/>
          <w:bCs/>
          <w:sz w:val="24"/>
          <w:szCs w:val="24"/>
          <w:u w:val="single"/>
          <w:lang w:val="en-GB"/>
        </w:rPr>
        <w:t>Accounting Rate of Return = 24.07%</w:t>
      </w:r>
    </w:p>
    <w:p w14:paraId="182CE50B" w14:textId="14C80823" w:rsidR="5C7EFC97" w:rsidRDefault="5C7EFC97" w:rsidP="5C7EFC97">
      <w:pPr>
        <w:pStyle w:val="NoSpacing"/>
        <w:rPr>
          <w:sz w:val="24"/>
          <w:szCs w:val="24"/>
          <w:lang w:val="en-GB"/>
        </w:rPr>
      </w:pPr>
    </w:p>
    <w:p w14:paraId="1236A7A9" w14:textId="2B32CC27" w:rsidR="5C7EFC97" w:rsidRDefault="5C7EFC97" w:rsidP="5C7EFC97">
      <w:pPr>
        <w:pStyle w:val="ListBullet"/>
        <w:numPr>
          <w:ilvl w:val="0"/>
          <w:numId w:val="0"/>
        </w:numPr>
        <w:rPr>
          <w:sz w:val="24"/>
          <w:szCs w:val="24"/>
          <w:lang w:val="en-GB"/>
        </w:rPr>
      </w:pPr>
    </w:p>
    <w:p w14:paraId="09D13410" w14:textId="4BEDD45F"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Project B</w:t>
      </w:r>
    </w:p>
    <w:p w14:paraId="7AD39DE2" w14:textId="2C6DC8C8" w:rsidR="5C7EFC97" w:rsidRDefault="6395FD93" w:rsidP="6395FD93">
      <w:pPr>
        <w:pStyle w:val="NoSpacing"/>
        <w:rPr>
          <w:sz w:val="24"/>
          <w:szCs w:val="24"/>
          <w:lang w:val="en-GB"/>
        </w:rPr>
      </w:pPr>
      <w:r w:rsidRPr="6395FD93">
        <w:rPr>
          <w:sz w:val="24"/>
          <w:szCs w:val="24"/>
          <w:lang w:val="en-GB"/>
        </w:rPr>
        <w:t xml:space="preserve">ARR – Accounting Rate of Return = </w:t>
      </w:r>
      <w:r w:rsidRPr="6395FD93">
        <w:rPr>
          <w:sz w:val="24"/>
          <w:szCs w:val="24"/>
          <w:u w:val="single"/>
          <w:lang w:val="en-GB"/>
        </w:rPr>
        <w:t xml:space="preserve">Average Profit          </w:t>
      </w:r>
      <w:r w:rsidRPr="6395FD93">
        <w:rPr>
          <w:sz w:val="24"/>
          <w:szCs w:val="24"/>
          <w:lang w:val="en-GB"/>
        </w:rPr>
        <w:t xml:space="preserve">     *  100  %</w:t>
      </w:r>
    </w:p>
    <w:p w14:paraId="6337CA0D" w14:textId="2B65B3C6" w:rsidR="5C7EFC97" w:rsidRDefault="6395FD93" w:rsidP="6395FD93">
      <w:pPr>
        <w:pStyle w:val="NoSpacing"/>
        <w:rPr>
          <w:sz w:val="24"/>
          <w:szCs w:val="24"/>
          <w:lang w:val="en-GB"/>
        </w:rPr>
      </w:pPr>
      <w:r w:rsidRPr="6395FD93">
        <w:rPr>
          <w:sz w:val="24"/>
          <w:szCs w:val="24"/>
          <w:lang w:val="en-GB"/>
        </w:rPr>
        <w:t xml:space="preserve">                                                          Average Investment</w:t>
      </w:r>
    </w:p>
    <w:p w14:paraId="4D0C9626" w14:textId="5D262CC3" w:rsidR="5C7EFC97" w:rsidRDefault="6395FD93" w:rsidP="6395FD93">
      <w:pPr>
        <w:pStyle w:val="ListBullet"/>
        <w:numPr>
          <w:ilvl w:val="0"/>
          <w:numId w:val="0"/>
        </w:numPr>
        <w:rPr>
          <w:b/>
          <w:bCs/>
          <w:lang w:val="en-GB"/>
        </w:rPr>
      </w:pPr>
      <w:r w:rsidRPr="6395FD93">
        <w:rPr>
          <w:sz w:val="24"/>
          <w:szCs w:val="24"/>
          <w:lang w:val="en-GB"/>
        </w:rPr>
        <w:t>Initial Investment = £220,000</w:t>
      </w:r>
    </w:p>
    <w:p w14:paraId="64B397E3" w14:textId="13B55BED" w:rsidR="5C7EFC97" w:rsidRDefault="6395FD93" w:rsidP="6395FD93">
      <w:pPr>
        <w:pStyle w:val="ListBullet"/>
        <w:numPr>
          <w:ilvl w:val="0"/>
          <w:numId w:val="0"/>
        </w:numPr>
        <w:rPr>
          <w:sz w:val="24"/>
          <w:szCs w:val="24"/>
          <w:lang w:val="en-GB"/>
        </w:rPr>
      </w:pPr>
      <w:r w:rsidRPr="6395FD93">
        <w:rPr>
          <w:sz w:val="24"/>
          <w:szCs w:val="24"/>
          <w:lang w:val="en-GB"/>
        </w:rPr>
        <w:t>Duration of Project = 6 years</w:t>
      </w:r>
    </w:p>
    <w:p w14:paraId="3D098D0A" w14:textId="18945CA4" w:rsidR="5C7EFC97" w:rsidRDefault="6395FD93" w:rsidP="6395FD93">
      <w:pPr>
        <w:pStyle w:val="ListBullet"/>
        <w:numPr>
          <w:ilvl w:val="0"/>
          <w:numId w:val="0"/>
        </w:numPr>
        <w:rPr>
          <w:sz w:val="24"/>
          <w:szCs w:val="24"/>
          <w:lang w:val="en-GB"/>
        </w:rPr>
      </w:pPr>
      <w:r w:rsidRPr="6395FD93">
        <w:rPr>
          <w:sz w:val="24"/>
          <w:szCs w:val="24"/>
          <w:lang w:val="en-GB"/>
        </w:rPr>
        <w:t>Residual Value = £10,000</w:t>
      </w:r>
    </w:p>
    <w:p w14:paraId="77114323" w14:textId="34992BD1" w:rsidR="5C7EFC97" w:rsidRDefault="6395FD93" w:rsidP="6395FD93">
      <w:pPr>
        <w:pStyle w:val="ListBullet"/>
        <w:numPr>
          <w:ilvl w:val="0"/>
          <w:numId w:val="0"/>
        </w:numPr>
        <w:rPr>
          <w:sz w:val="24"/>
          <w:szCs w:val="24"/>
          <w:lang w:val="en-GB"/>
        </w:rPr>
      </w:pPr>
      <w:r w:rsidRPr="6395FD93">
        <w:rPr>
          <w:sz w:val="24"/>
          <w:szCs w:val="24"/>
          <w:lang w:val="en-GB"/>
        </w:rPr>
        <w:lastRenderedPageBreak/>
        <w:t>Annual Income = £60,000</w:t>
      </w:r>
    </w:p>
    <w:p w14:paraId="703B3AA3" w14:textId="15E57981" w:rsidR="5C7EFC97" w:rsidRDefault="6395FD93" w:rsidP="6395FD93">
      <w:pPr>
        <w:pStyle w:val="ListBullet"/>
        <w:numPr>
          <w:ilvl w:val="0"/>
          <w:numId w:val="0"/>
        </w:numPr>
        <w:rPr>
          <w:sz w:val="24"/>
          <w:szCs w:val="24"/>
          <w:lang w:val="en-GB"/>
        </w:rPr>
      </w:pPr>
      <w:r w:rsidRPr="6395FD93">
        <w:rPr>
          <w:sz w:val="24"/>
          <w:szCs w:val="24"/>
          <w:lang w:val="en-GB"/>
        </w:rPr>
        <w:t>Total Income for 6 years = £60,000 * 6 years = £360,000</w:t>
      </w:r>
    </w:p>
    <w:p w14:paraId="0B56F27A" w14:textId="4C2E9299" w:rsidR="5C7EFC97" w:rsidRDefault="6395FD93" w:rsidP="6395FD93">
      <w:pPr>
        <w:pStyle w:val="ListBullet"/>
        <w:numPr>
          <w:ilvl w:val="0"/>
          <w:numId w:val="0"/>
        </w:numPr>
        <w:rPr>
          <w:sz w:val="24"/>
          <w:szCs w:val="24"/>
          <w:lang w:val="en-GB"/>
        </w:rPr>
      </w:pPr>
      <w:r w:rsidRPr="6395FD93">
        <w:rPr>
          <w:sz w:val="24"/>
          <w:szCs w:val="24"/>
          <w:lang w:val="en-GB"/>
        </w:rPr>
        <w:t>Total Depreciation for 6 years = Depreciable Value</w:t>
      </w:r>
    </w:p>
    <w:p w14:paraId="3167B8F0" w14:textId="6AB2BD7D" w:rsidR="5C7EFC97" w:rsidRDefault="6395FD93" w:rsidP="6395FD93">
      <w:pPr>
        <w:pStyle w:val="ListBullet"/>
        <w:numPr>
          <w:ilvl w:val="0"/>
          <w:numId w:val="0"/>
        </w:numPr>
        <w:rPr>
          <w:sz w:val="24"/>
          <w:szCs w:val="24"/>
          <w:lang w:val="en-GB"/>
        </w:rPr>
      </w:pPr>
      <w:r w:rsidRPr="6395FD93">
        <w:rPr>
          <w:sz w:val="24"/>
          <w:szCs w:val="24"/>
          <w:lang w:val="en-GB"/>
        </w:rPr>
        <w:t>Total Depreciation for 6 years = £220,000 - £10,000 = £210,000</w:t>
      </w:r>
    </w:p>
    <w:p w14:paraId="773400E1" w14:textId="0A5A5397" w:rsidR="5C7EFC97" w:rsidRDefault="6395FD93" w:rsidP="6395FD93">
      <w:pPr>
        <w:pStyle w:val="ListBullet"/>
        <w:numPr>
          <w:ilvl w:val="0"/>
          <w:numId w:val="0"/>
        </w:numPr>
        <w:rPr>
          <w:sz w:val="24"/>
          <w:szCs w:val="24"/>
          <w:lang w:val="en-GB"/>
        </w:rPr>
      </w:pPr>
      <w:r w:rsidRPr="6395FD93">
        <w:rPr>
          <w:sz w:val="24"/>
          <w:szCs w:val="24"/>
          <w:lang w:val="en-GB"/>
        </w:rPr>
        <w:t>Income for the 6 years after depreciation = £360,000 - £210,000 = £150,000</w:t>
      </w:r>
    </w:p>
    <w:p w14:paraId="0822E00E" w14:textId="557A6500" w:rsidR="5C7EFC97" w:rsidRDefault="6395FD93" w:rsidP="6395FD93">
      <w:pPr>
        <w:pStyle w:val="NoSpacing"/>
        <w:rPr>
          <w:sz w:val="24"/>
          <w:szCs w:val="24"/>
          <w:lang w:val="en-GB"/>
        </w:rPr>
      </w:pPr>
      <w:r w:rsidRPr="6395FD93">
        <w:rPr>
          <w:sz w:val="24"/>
          <w:szCs w:val="24"/>
          <w:lang w:val="en-GB"/>
        </w:rPr>
        <w:t>Average Income per year = £</w:t>
      </w:r>
      <w:r w:rsidRPr="6395FD93">
        <w:rPr>
          <w:sz w:val="24"/>
          <w:szCs w:val="24"/>
          <w:u w:val="single"/>
          <w:lang w:val="en-GB"/>
        </w:rPr>
        <w:t>150000</w:t>
      </w:r>
      <w:r w:rsidRPr="6395FD93">
        <w:rPr>
          <w:sz w:val="24"/>
          <w:szCs w:val="24"/>
          <w:lang w:val="en-GB"/>
        </w:rPr>
        <w:t xml:space="preserve">  </w:t>
      </w:r>
    </w:p>
    <w:p w14:paraId="08EF791E" w14:textId="7A011318" w:rsidR="5C7EFC97" w:rsidRDefault="6395FD93" w:rsidP="6395FD93">
      <w:pPr>
        <w:pStyle w:val="NoSpacing"/>
        <w:rPr>
          <w:sz w:val="24"/>
          <w:szCs w:val="24"/>
          <w:lang w:val="en-GB"/>
        </w:rPr>
      </w:pPr>
      <w:r w:rsidRPr="6395FD93">
        <w:rPr>
          <w:sz w:val="24"/>
          <w:szCs w:val="24"/>
          <w:lang w:val="en-GB"/>
        </w:rPr>
        <w:t xml:space="preserve">                                                    6</w:t>
      </w:r>
    </w:p>
    <w:p w14:paraId="0E717D92" w14:textId="77DA9CA1" w:rsidR="5C7EFC97" w:rsidRDefault="5C7EFC97" w:rsidP="5C7EFC97">
      <w:pPr>
        <w:pStyle w:val="NoSpacing"/>
        <w:rPr>
          <w:sz w:val="24"/>
          <w:szCs w:val="24"/>
          <w:lang w:val="en-GB"/>
        </w:rPr>
      </w:pPr>
    </w:p>
    <w:p w14:paraId="08CA4142" w14:textId="558FA758" w:rsidR="5C7EFC97" w:rsidRDefault="6395FD93" w:rsidP="6395FD93">
      <w:pPr>
        <w:pStyle w:val="NoSpacing"/>
        <w:rPr>
          <w:b/>
          <w:bCs/>
          <w:sz w:val="24"/>
          <w:szCs w:val="24"/>
          <w:lang w:val="en-GB"/>
        </w:rPr>
      </w:pPr>
      <w:r w:rsidRPr="6395FD93">
        <w:rPr>
          <w:b/>
          <w:bCs/>
          <w:sz w:val="24"/>
          <w:szCs w:val="24"/>
          <w:lang w:val="en-GB"/>
        </w:rPr>
        <w:t>Average Income per year = £25,000</w:t>
      </w:r>
    </w:p>
    <w:p w14:paraId="7EC4FE5A" w14:textId="37534197" w:rsidR="5C7EFC97" w:rsidRDefault="5C7EFC97" w:rsidP="5C7EFC97">
      <w:pPr>
        <w:pStyle w:val="NoSpacing"/>
        <w:rPr>
          <w:sz w:val="24"/>
          <w:szCs w:val="24"/>
          <w:lang w:val="en-GB"/>
        </w:rPr>
      </w:pPr>
    </w:p>
    <w:p w14:paraId="3E440161" w14:textId="38EC2462" w:rsidR="5C7EFC97" w:rsidRDefault="5C7EFC97" w:rsidP="5C7EFC97">
      <w:pPr>
        <w:pStyle w:val="NoSpacing"/>
        <w:rPr>
          <w:sz w:val="24"/>
          <w:szCs w:val="24"/>
          <w:lang w:val="en-GB"/>
        </w:rPr>
      </w:pPr>
    </w:p>
    <w:p w14:paraId="261F4CD3" w14:textId="7144E16B" w:rsidR="5C7EFC97" w:rsidRDefault="6395FD93" w:rsidP="6395FD93">
      <w:pPr>
        <w:pStyle w:val="NoSpacing"/>
        <w:rPr>
          <w:sz w:val="24"/>
          <w:szCs w:val="24"/>
          <w:u w:val="single"/>
          <w:lang w:val="en-GB"/>
        </w:rPr>
      </w:pPr>
      <w:r w:rsidRPr="6395FD93">
        <w:rPr>
          <w:sz w:val="24"/>
          <w:szCs w:val="24"/>
          <w:lang w:val="en-GB"/>
        </w:rPr>
        <w:t xml:space="preserve">Average Investment  = </w:t>
      </w:r>
      <w:r w:rsidRPr="6395FD93">
        <w:rPr>
          <w:sz w:val="24"/>
          <w:szCs w:val="24"/>
          <w:u w:val="single"/>
          <w:lang w:val="en-GB"/>
        </w:rPr>
        <w:t>Initial Investment + Residual Value</w:t>
      </w:r>
    </w:p>
    <w:p w14:paraId="3E26BCA4" w14:textId="6F681406" w:rsidR="5C7EFC97" w:rsidRDefault="6395FD93" w:rsidP="6395FD93">
      <w:pPr>
        <w:pStyle w:val="NoSpacing"/>
        <w:rPr>
          <w:sz w:val="24"/>
          <w:szCs w:val="24"/>
          <w:lang w:val="en-GB"/>
        </w:rPr>
      </w:pPr>
      <w:r w:rsidRPr="6395FD93">
        <w:rPr>
          <w:sz w:val="24"/>
          <w:szCs w:val="24"/>
          <w:lang w:val="en-GB"/>
        </w:rPr>
        <w:t xml:space="preserve">                                                                 2</w:t>
      </w:r>
    </w:p>
    <w:p w14:paraId="794A9F3F" w14:textId="17E17DED" w:rsidR="5C7EFC97" w:rsidRDefault="5C7EFC97" w:rsidP="5C7EFC97">
      <w:pPr>
        <w:pStyle w:val="NoSpacing"/>
        <w:ind w:left="2880" w:firstLine="720"/>
        <w:rPr>
          <w:lang w:val="en-GB"/>
        </w:rPr>
      </w:pPr>
    </w:p>
    <w:p w14:paraId="130F0470" w14:textId="45A7261C" w:rsidR="5C7EFC97" w:rsidRDefault="6395FD93" w:rsidP="6395FD93">
      <w:pPr>
        <w:pStyle w:val="NoSpacing"/>
        <w:rPr>
          <w:lang w:val="en-GB"/>
        </w:rPr>
      </w:pPr>
      <w:r w:rsidRPr="6395FD93">
        <w:rPr>
          <w:sz w:val="24"/>
          <w:szCs w:val="24"/>
          <w:lang w:val="en-GB"/>
        </w:rPr>
        <w:t xml:space="preserve">Average Investment = </w:t>
      </w:r>
      <w:r w:rsidRPr="6395FD93">
        <w:rPr>
          <w:sz w:val="24"/>
          <w:szCs w:val="24"/>
          <w:u w:val="single"/>
          <w:lang w:val="en-GB"/>
        </w:rPr>
        <w:t>£220,000 + £10,000</w:t>
      </w:r>
    </w:p>
    <w:p w14:paraId="74B2F506" w14:textId="11B0432F" w:rsidR="5C7EFC97" w:rsidRDefault="6395FD93" w:rsidP="6395FD93">
      <w:pPr>
        <w:pStyle w:val="NoSpacing"/>
        <w:rPr>
          <w:sz w:val="24"/>
          <w:szCs w:val="24"/>
          <w:lang w:val="en-GB"/>
        </w:rPr>
      </w:pPr>
      <w:r w:rsidRPr="6395FD93">
        <w:rPr>
          <w:sz w:val="24"/>
          <w:szCs w:val="24"/>
          <w:lang w:val="en-GB"/>
        </w:rPr>
        <w:t xml:space="preserve">                                                  2</w:t>
      </w:r>
    </w:p>
    <w:p w14:paraId="36BF56D2" w14:textId="0A5B46D1" w:rsidR="5C7EFC97" w:rsidRDefault="5C7EFC97" w:rsidP="5C7EFC97">
      <w:pPr>
        <w:pStyle w:val="NoSpacing"/>
        <w:rPr>
          <w:sz w:val="24"/>
          <w:szCs w:val="24"/>
          <w:lang w:val="en-GB"/>
        </w:rPr>
      </w:pPr>
    </w:p>
    <w:p w14:paraId="6C9252EC" w14:textId="0C90BB05" w:rsidR="5C7EFC97" w:rsidRDefault="6395FD93" w:rsidP="6395FD93">
      <w:pPr>
        <w:pStyle w:val="NoSpacing"/>
        <w:rPr>
          <w:b/>
          <w:bCs/>
          <w:sz w:val="24"/>
          <w:szCs w:val="24"/>
          <w:lang w:val="en-GB"/>
        </w:rPr>
      </w:pPr>
      <w:r w:rsidRPr="6395FD93">
        <w:rPr>
          <w:b/>
          <w:bCs/>
          <w:sz w:val="24"/>
          <w:szCs w:val="24"/>
          <w:lang w:val="en-GB"/>
        </w:rPr>
        <w:t>Average Investment = £115,000</w:t>
      </w:r>
    </w:p>
    <w:p w14:paraId="554448E5" w14:textId="7EA0F9B6" w:rsidR="5C7EFC97" w:rsidRDefault="5C7EFC97" w:rsidP="5C7EFC97">
      <w:pPr>
        <w:pStyle w:val="NoSpacing"/>
        <w:rPr>
          <w:sz w:val="24"/>
          <w:szCs w:val="24"/>
          <w:lang w:val="en-GB"/>
        </w:rPr>
      </w:pPr>
    </w:p>
    <w:p w14:paraId="3343FB2D" w14:textId="5A551C07" w:rsidR="5C7EFC97" w:rsidRDefault="6395FD93" w:rsidP="6395FD93">
      <w:pPr>
        <w:pStyle w:val="NoSpacing"/>
        <w:rPr>
          <w:sz w:val="24"/>
          <w:szCs w:val="24"/>
          <w:lang w:val="en-GB"/>
        </w:rPr>
      </w:pPr>
      <w:r w:rsidRPr="6395FD93">
        <w:rPr>
          <w:sz w:val="24"/>
          <w:szCs w:val="24"/>
          <w:lang w:val="en-GB"/>
        </w:rPr>
        <w:t xml:space="preserve">Accounting Rate of Return = </w:t>
      </w:r>
      <w:r w:rsidRPr="6395FD93">
        <w:rPr>
          <w:sz w:val="24"/>
          <w:szCs w:val="24"/>
          <w:u w:val="single"/>
          <w:lang w:val="en-GB"/>
        </w:rPr>
        <w:t xml:space="preserve">£25,000 </w:t>
      </w:r>
      <w:r w:rsidRPr="6395FD93">
        <w:rPr>
          <w:sz w:val="24"/>
          <w:szCs w:val="24"/>
          <w:lang w:val="en-GB"/>
        </w:rPr>
        <w:t>* 100   %</w:t>
      </w:r>
    </w:p>
    <w:p w14:paraId="1EB70F33" w14:textId="682BEB55" w:rsidR="5C7EFC97" w:rsidRDefault="6395FD93" w:rsidP="6395FD93">
      <w:pPr>
        <w:pStyle w:val="NoSpacing"/>
        <w:rPr>
          <w:sz w:val="24"/>
          <w:szCs w:val="24"/>
          <w:lang w:val="en-GB"/>
        </w:rPr>
      </w:pPr>
      <w:r w:rsidRPr="6395FD93">
        <w:rPr>
          <w:sz w:val="24"/>
          <w:szCs w:val="24"/>
          <w:lang w:val="en-GB"/>
        </w:rPr>
        <w:t xml:space="preserve">                                              £115,000</w:t>
      </w:r>
    </w:p>
    <w:p w14:paraId="56450BC3" w14:textId="19A6C479" w:rsidR="5C7EFC97" w:rsidRDefault="5C7EFC97" w:rsidP="5C7EFC97">
      <w:pPr>
        <w:pStyle w:val="NoSpacing"/>
        <w:rPr>
          <w:sz w:val="24"/>
          <w:szCs w:val="24"/>
          <w:u w:val="single"/>
          <w:lang w:val="en-GB"/>
        </w:rPr>
      </w:pPr>
    </w:p>
    <w:p w14:paraId="4D6861B7" w14:textId="463BD0A5" w:rsidR="5C7EFC97" w:rsidRDefault="6395FD93" w:rsidP="6395FD93">
      <w:pPr>
        <w:pStyle w:val="NoSpacing"/>
        <w:rPr>
          <w:b/>
          <w:bCs/>
          <w:sz w:val="24"/>
          <w:szCs w:val="24"/>
          <w:u w:val="single"/>
          <w:lang w:val="en-GB"/>
        </w:rPr>
      </w:pPr>
      <w:r w:rsidRPr="6395FD93">
        <w:rPr>
          <w:b/>
          <w:bCs/>
          <w:sz w:val="24"/>
          <w:szCs w:val="24"/>
          <w:u w:val="single"/>
          <w:lang w:val="en-GB"/>
        </w:rPr>
        <w:t>Accounting Rate of Return = 21.74%</w:t>
      </w:r>
    </w:p>
    <w:p w14:paraId="6F077CBA" w14:textId="5BCC0B7A" w:rsidR="5C7EFC97" w:rsidRDefault="5C7EFC97" w:rsidP="5C7EFC97">
      <w:pPr>
        <w:pStyle w:val="ListBullet"/>
        <w:numPr>
          <w:ilvl w:val="0"/>
          <w:numId w:val="0"/>
        </w:numPr>
        <w:rPr>
          <w:b/>
          <w:bCs/>
          <w:sz w:val="24"/>
          <w:szCs w:val="24"/>
          <w:u w:val="single"/>
          <w:lang w:val="en-GB"/>
        </w:rPr>
      </w:pPr>
    </w:p>
    <w:p w14:paraId="6ADEEE7B" w14:textId="5FA26B95"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PROJECT A - DISCOUNTED PAYBACK CALCULATION</w:t>
      </w:r>
    </w:p>
    <w:tbl>
      <w:tblPr>
        <w:tblStyle w:val="GridTable1Light-Accent1"/>
        <w:tblW w:w="0" w:type="auto"/>
        <w:tblLook w:val="04A0" w:firstRow="1" w:lastRow="0" w:firstColumn="1" w:lastColumn="0" w:noHBand="0" w:noVBand="1"/>
      </w:tblPr>
      <w:tblGrid>
        <w:gridCol w:w="737"/>
        <w:gridCol w:w="1440"/>
        <w:gridCol w:w="1402"/>
        <w:gridCol w:w="1814"/>
        <w:gridCol w:w="1890"/>
        <w:gridCol w:w="2230"/>
      </w:tblGrid>
      <w:tr w:rsidR="5C7EFC97" w14:paraId="1C9EF516"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4" w:type="dxa"/>
          </w:tcPr>
          <w:p w14:paraId="5C9A3AF9" w14:textId="0FADA837" w:rsidR="5C7EFC97" w:rsidRDefault="6395FD93" w:rsidP="6395FD93">
            <w:pPr>
              <w:rPr>
                <w:sz w:val="24"/>
                <w:szCs w:val="24"/>
                <w:lang w:val="en-GB"/>
              </w:rPr>
            </w:pPr>
            <w:r w:rsidRPr="6395FD93">
              <w:rPr>
                <w:sz w:val="24"/>
                <w:szCs w:val="24"/>
                <w:lang w:val="en-GB"/>
              </w:rPr>
              <w:t>Year</w:t>
            </w:r>
          </w:p>
        </w:tc>
        <w:tc>
          <w:tcPr>
            <w:tcW w:w="1440" w:type="dxa"/>
          </w:tcPr>
          <w:p w14:paraId="3868C96E" w14:textId="0F869048"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1402" w:type="dxa"/>
          </w:tcPr>
          <w:p w14:paraId="1754F5A2" w14:textId="7BC40989"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p w14:paraId="149BEBDF" w14:textId="27F6CD1C"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c>
          <w:tcPr>
            <w:tcW w:w="1814" w:type="dxa"/>
          </w:tcPr>
          <w:p w14:paraId="4612CB33" w14:textId="6F5B4C01"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Discount Factor @ 7%</w:t>
            </w:r>
          </w:p>
          <w:p w14:paraId="6628A751" w14:textId="1B654660"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tc>
        <w:tc>
          <w:tcPr>
            <w:tcW w:w="1890" w:type="dxa"/>
          </w:tcPr>
          <w:p w14:paraId="178B7570" w14:textId="7A0B1FE4"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Discounted Cash Flow </w:t>
            </w:r>
          </w:p>
        </w:tc>
        <w:tc>
          <w:tcPr>
            <w:tcW w:w="2230" w:type="dxa"/>
          </w:tcPr>
          <w:p w14:paraId="3F86185D" w14:textId="15A240A7"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Cumulative Discounted Cash Flow</w:t>
            </w:r>
          </w:p>
          <w:p w14:paraId="0121261F" w14:textId="6C127AB6"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r>
      <w:tr w:rsidR="5C7EFC97" w14:paraId="6781734A" w14:textId="77777777" w:rsidTr="6395FD93">
        <w:tc>
          <w:tcPr>
            <w:cnfStyle w:val="001000000000" w:firstRow="0" w:lastRow="0" w:firstColumn="1" w:lastColumn="0" w:oddVBand="0" w:evenVBand="0" w:oddHBand="0" w:evenHBand="0" w:firstRowFirstColumn="0" w:firstRowLastColumn="0" w:lastRowFirstColumn="0" w:lastRowLastColumn="0"/>
            <w:tcW w:w="584" w:type="dxa"/>
          </w:tcPr>
          <w:p w14:paraId="734DE85E" w14:textId="7205E3EE" w:rsidR="5C7EFC97" w:rsidRDefault="6395FD93" w:rsidP="6395FD93">
            <w:pPr>
              <w:rPr>
                <w:sz w:val="24"/>
                <w:szCs w:val="24"/>
                <w:lang w:val="en-GB"/>
              </w:rPr>
            </w:pPr>
            <w:r w:rsidRPr="6395FD93">
              <w:rPr>
                <w:sz w:val="24"/>
                <w:szCs w:val="24"/>
                <w:lang w:val="en-GB"/>
              </w:rPr>
              <w:t>0</w:t>
            </w:r>
          </w:p>
        </w:tc>
        <w:tc>
          <w:tcPr>
            <w:tcW w:w="1440" w:type="dxa"/>
          </w:tcPr>
          <w:p w14:paraId="1868C0A1" w14:textId="2095958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Initial Investment</w:t>
            </w:r>
          </w:p>
        </w:tc>
        <w:tc>
          <w:tcPr>
            <w:tcW w:w="1402" w:type="dxa"/>
          </w:tcPr>
          <w:p w14:paraId="010B024D" w14:textId="0EB5E83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c>
          <w:tcPr>
            <w:tcW w:w="1814" w:type="dxa"/>
          </w:tcPr>
          <w:p w14:paraId="49EDD6F4" w14:textId="250CB1A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w:t>
            </w:r>
          </w:p>
        </w:tc>
        <w:tc>
          <w:tcPr>
            <w:tcW w:w="1890" w:type="dxa"/>
          </w:tcPr>
          <w:p w14:paraId="3A6FEB9E" w14:textId="31D7BD18"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c>
          <w:tcPr>
            <w:tcW w:w="2230" w:type="dxa"/>
          </w:tcPr>
          <w:p w14:paraId="0C574450" w14:textId="663B30C4"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r>
      <w:tr w:rsidR="5C7EFC97" w14:paraId="6945E3F4" w14:textId="77777777" w:rsidTr="6395FD93">
        <w:tc>
          <w:tcPr>
            <w:cnfStyle w:val="001000000000" w:firstRow="0" w:lastRow="0" w:firstColumn="1" w:lastColumn="0" w:oddVBand="0" w:evenVBand="0" w:oddHBand="0" w:evenHBand="0" w:firstRowFirstColumn="0" w:firstRowLastColumn="0" w:lastRowFirstColumn="0" w:lastRowLastColumn="0"/>
            <w:tcW w:w="584" w:type="dxa"/>
          </w:tcPr>
          <w:p w14:paraId="19A0F9F0" w14:textId="46145488" w:rsidR="5C7EFC97" w:rsidRDefault="6395FD93" w:rsidP="6395FD93">
            <w:pPr>
              <w:rPr>
                <w:sz w:val="24"/>
                <w:szCs w:val="24"/>
                <w:lang w:val="en-GB"/>
              </w:rPr>
            </w:pPr>
            <w:r w:rsidRPr="6395FD93">
              <w:rPr>
                <w:sz w:val="24"/>
                <w:szCs w:val="24"/>
                <w:lang w:val="en-GB"/>
              </w:rPr>
              <w:t>1</w:t>
            </w:r>
          </w:p>
        </w:tc>
        <w:tc>
          <w:tcPr>
            <w:tcW w:w="1440" w:type="dxa"/>
          </w:tcPr>
          <w:p w14:paraId="19230CBB" w14:textId="78B8563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02" w:type="dxa"/>
          </w:tcPr>
          <w:p w14:paraId="4DF7EAC5" w14:textId="3818A561"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814" w:type="dxa"/>
          </w:tcPr>
          <w:p w14:paraId="587D1D37" w14:textId="32D98B8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0.935</w:t>
            </w:r>
          </w:p>
        </w:tc>
        <w:tc>
          <w:tcPr>
            <w:tcW w:w="1890" w:type="dxa"/>
          </w:tcPr>
          <w:p w14:paraId="081FD424" w14:textId="1C1E93C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42075</w:t>
            </w:r>
          </w:p>
        </w:tc>
        <w:tc>
          <w:tcPr>
            <w:tcW w:w="2230" w:type="dxa"/>
          </w:tcPr>
          <w:p w14:paraId="775406E9" w14:textId="5B282D9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-117925</w:t>
            </w:r>
          </w:p>
        </w:tc>
      </w:tr>
      <w:tr w:rsidR="5C7EFC97" w14:paraId="01DFD61E" w14:textId="77777777" w:rsidTr="6395FD93">
        <w:tc>
          <w:tcPr>
            <w:cnfStyle w:val="001000000000" w:firstRow="0" w:lastRow="0" w:firstColumn="1" w:lastColumn="0" w:oddVBand="0" w:evenVBand="0" w:oddHBand="0" w:evenHBand="0" w:firstRowFirstColumn="0" w:firstRowLastColumn="0" w:lastRowFirstColumn="0" w:lastRowLastColumn="0"/>
            <w:tcW w:w="584" w:type="dxa"/>
          </w:tcPr>
          <w:p w14:paraId="531911E4" w14:textId="471F8599" w:rsidR="5C7EFC97" w:rsidRDefault="6395FD93" w:rsidP="6395FD93">
            <w:pPr>
              <w:rPr>
                <w:sz w:val="24"/>
                <w:szCs w:val="24"/>
                <w:lang w:val="en-GB"/>
              </w:rPr>
            </w:pPr>
            <w:r w:rsidRPr="6395FD93">
              <w:rPr>
                <w:sz w:val="24"/>
                <w:szCs w:val="24"/>
                <w:lang w:val="en-GB"/>
              </w:rPr>
              <w:t>2</w:t>
            </w:r>
          </w:p>
        </w:tc>
        <w:tc>
          <w:tcPr>
            <w:tcW w:w="1440" w:type="dxa"/>
          </w:tcPr>
          <w:p w14:paraId="05EE6F82" w14:textId="13C0203D"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02" w:type="dxa"/>
          </w:tcPr>
          <w:p w14:paraId="06C1B7A8" w14:textId="007EDC4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814" w:type="dxa"/>
          </w:tcPr>
          <w:p w14:paraId="197CE99E" w14:textId="6788403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0.873</w:t>
            </w:r>
          </w:p>
        </w:tc>
        <w:tc>
          <w:tcPr>
            <w:tcW w:w="1890" w:type="dxa"/>
          </w:tcPr>
          <w:p w14:paraId="2402EA4E" w14:textId="2FDAFB5E"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39285</w:t>
            </w:r>
          </w:p>
        </w:tc>
        <w:tc>
          <w:tcPr>
            <w:tcW w:w="2230" w:type="dxa"/>
          </w:tcPr>
          <w:p w14:paraId="01E67CBC" w14:textId="0E96804A"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-78640</w:t>
            </w:r>
          </w:p>
        </w:tc>
      </w:tr>
      <w:tr w:rsidR="5C7EFC97" w14:paraId="337F0C00" w14:textId="77777777" w:rsidTr="6395FD93">
        <w:tc>
          <w:tcPr>
            <w:cnfStyle w:val="001000000000" w:firstRow="0" w:lastRow="0" w:firstColumn="1" w:lastColumn="0" w:oddVBand="0" w:evenVBand="0" w:oddHBand="0" w:evenHBand="0" w:firstRowFirstColumn="0" w:firstRowLastColumn="0" w:lastRowFirstColumn="0" w:lastRowLastColumn="0"/>
            <w:tcW w:w="584" w:type="dxa"/>
          </w:tcPr>
          <w:p w14:paraId="6983A80A" w14:textId="4E6C0A02" w:rsidR="5C7EFC97" w:rsidRDefault="6395FD93" w:rsidP="6395FD93">
            <w:pPr>
              <w:rPr>
                <w:sz w:val="24"/>
                <w:szCs w:val="24"/>
                <w:lang w:val="en-GB"/>
              </w:rPr>
            </w:pPr>
            <w:r w:rsidRPr="6395FD93">
              <w:rPr>
                <w:sz w:val="24"/>
                <w:szCs w:val="24"/>
                <w:lang w:val="en-GB"/>
              </w:rPr>
              <w:t>3</w:t>
            </w:r>
          </w:p>
        </w:tc>
        <w:tc>
          <w:tcPr>
            <w:tcW w:w="1440" w:type="dxa"/>
          </w:tcPr>
          <w:p w14:paraId="127EBDCB" w14:textId="0A2EDE9F"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02" w:type="dxa"/>
          </w:tcPr>
          <w:p w14:paraId="2BA6D5CC" w14:textId="22AD055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814" w:type="dxa"/>
          </w:tcPr>
          <w:p w14:paraId="55751816" w14:textId="66324EC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0.816</w:t>
            </w:r>
          </w:p>
        </w:tc>
        <w:tc>
          <w:tcPr>
            <w:tcW w:w="1890" w:type="dxa"/>
          </w:tcPr>
          <w:p w14:paraId="3B05C750" w14:textId="3CB9D3B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36720</w:t>
            </w:r>
          </w:p>
        </w:tc>
        <w:tc>
          <w:tcPr>
            <w:tcW w:w="2230" w:type="dxa"/>
          </w:tcPr>
          <w:p w14:paraId="23138D2B" w14:textId="61C5498C"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-41920</w:t>
            </w:r>
          </w:p>
        </w:tc>
      </w:tr>
      <w:tr w:rsidR="5C7EFC97" w14:paraId="18EA642B" w14:textId="77777777" w:rsidTr="6395FD93">
        <w:tc>
          <w:tcPr>
            <w:cnfStyle w:val="001000000000" w:firstRow="0" w:lastRow="0" w:firstColumn="1" w:lastColumn="0" w:oddVBand="0" w:evenVBand="0" w:oddHBand="0" w:evenHBand="0" w:firstRowFirstColumn="0" w:firstRowLastColumn="0" w:lastRowFirstColumn="0" w:lastRowLastColumn="0"/>
            <w:tcW w:w="584" w:type="dxa"/>
          </w:tcPr>
          <w:p w14:paraId="0CEE0151" w14:textId="082389C8" w:rsidR="5C7EFC97" w:rsidRDefault="6395FD93" w:rsidP="6395FD93">
            <w:pPr>
              <w:rPr>
                <w:sz w:val="24"/>
                <w:szCs w:val="24"/>
                <w:lang w:val="en-GB"/>
              </w:rPr>
            </w:pPr>
            <w:r w:rsidRPr="6395FD93">
              <w:rPr>
                <w:sz w:val="24"/>
                <w:szCs w:val="24"/>
                <w:lang w:val="en-GB"/>
              </w:rPr>
              <w:t>4</w:t>
            </w:r>
          </w:p>
        </w:tc>
        <w:tc>
          <w:tcPr>
            <w:tcW w:w="1440" w:type="dxa"/>
          </w:tcPr>
          <w:p w14:paraId="70A1F058" w14:textId="4D053DCE"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02" w:type="dxa"/>
          </w:tcPr>
          <w:p w14:paraId="40BA09DB" w14:textId="151661C2"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814" w:type="dxa"/>
          </w:tcPr>
          <w:p w14:paraId="78D1204D" w14:textId="38C2B2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0.763</w:t>
            </w:r>
          </w:p>
        </w:tc>
        <w:tc>
          <w:tcPr>
            <w:tcW w:w="1890" w:type="dxa"/>
          </w:tcPr>
          <w:p w14:paraId="507575BC" w14:textId="2C74B792"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34335</w:t>
            </w:r>
          </w:p>
        </w:tc>
        <w:tc>
          <w:tcPr>
            <w:tcW w:w="2230" w:type="dxa"/>
          </w:tcPr>
          <w:p w14:paraId="159A38FD" w14:textId="016606B8"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-7585</w:t>
            </w:r>
          </w:p>
        </w:tc>
      </w:tr>
      <w:tr w:rsidR="5C7EFC97" w14:paraId="1900E853" w14:textId="77777777" w:rsidTr="6395FD93">
        <w:tc>
          <w:tcPr>
            <w:cnfStyle w:val="001000000000" w:firstRow="0" w:lastRow="0" w:firstColumn="1" w:lastColumn="0" w:oddVBand="0" w:evenVBand="0" w:oddHBand="0" w:evenHBand="0" w:firstRowFirstColumn="0" w:firstRowLastColumn="0" w:lastRowFirstColumn="0" w:lastRowLastColumn="0"/>
            <w:tcW w:w="584" w:type="dxa"/>
          </w:tcPr>
          <w:p w14:paraId="0AF3652F" w14:textId="683F248E" w:rsidR="5C7EFC97" w:rsidRDefault="6395FD93" w:rsidP="6395FD93">
            <w:pPr>
              <w:rPr>
                <w:sz w:val="24"/>
                <w:szCs w:val="24"/>
                <w:lang w:val="en-GB"/>
              </w:rPr>
            </w:pPr>
            <w:r w:rsidRPr="6395FD93">
              <w:rPr>
                <w:sz w:val="24"/>
                <w:szCs w:val="24"/>
                <w:lang w:val="en-GB"/>
              </w:rPr>
              <w:t>5</w:t>
            </w:r>
          </w:p>
        </w:tc>
        <w:tc>
          <w:tcPr>
            <w:tcW w:w="1440" w:type="dxa"/>
          </w:tcPr>
          <w:p w14:paraId="1132A0C9" w14:textId="78853240"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02" w:type="dxa"/>
          </w:tcPr>
          <w:p w14:paraId="65E17E28" w14:textId="6CFC3DE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814" w:type="dxa"/>
          </w:tcPr>
          <w:p w14:paraId="6D8C3564" w14:textId="10EBC1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0.713</w:t>
            </w:r>
          </w:p>
        </w:tc>
        <w:tc>
          <w:tcPr>
            <w:tcW w:w="1890" w:type="dxa"/>
          </w:tcPr>
          <w:p w14:paraId="16BB0085" w14:textId="60E21D2E"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32085</w:t>
            </w:r>
          </w:p>
        </w:tc>
        <w:tc>
          <w:tcPr>
            <w:tcW w:w="2230" w:type="dxa"/>
          </w:tcPr>
          <w:p w14:paraId="6AE7F4DD" w14:textId="57C85901"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2FE791B4" w14:textId="77777777" w:rsidTr="6395FD93">
        <w:tc>
          <w:tcPr>
            <w:cnfStyle w:val="001000000000" w:firstRow="0" w:lastRow="0" w:firstColumn="1" w:lastColumn="0" w:oddVBand="0" w:evenVBand="0" w:oddHBand="0" w:evenHBand="0" w:firstRowFirstColumn="0" w:firstRowLastColumn="0" w:lastRowFirstColumn="0" w:lastRowLastColumn="0"/>
            <w:tcW w:w="584" w:type="dxa"/>
          </w:tcPr>
          <w:p w14:paraId="482B1699" w14:textId="42F18F0C" w:rsidR="5C7EFC97" w:rsidRDefault="6395FD93" w:rsidP="6395FD93">
            <w:pPr>
              <w:rPr>
                <w:sz w:val="24"/>
                <w:szCs w:val="24"/>
                <w:lang w:val="en-GB"/>
              </w:rPr>
            </w:pPr>
            <w:r w:rsidRPr="6395FD93">
              <w:rPr>
                <w:sz w:val="24"/>
                <w:szCs w:val="24"/>
                <w:lang w:val="en-GB"/>
              </w:rPr>
              <w:lastRenderedPageBreak/>
              <w:t>6</w:t>
            </w:r>
          </w:p>
        </w:tc>
        <w:tc>
          <w:tcPr>
            <w:tcW w:w="1440" w:type="dxa"/>
          </w:tcPr>
          <w:p w14:paraId="4D3633FF" w14:textId="5F39A2A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02" w:type="dxa"/>
          </w:tcPr>
          <w:p w14:paraId="4B00B7C8" w14:textId="7971356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814" w:type="dxa"/>
          </w:tcPr>
          <w:p w14:paraId="31BB4A31" w14:textId="055D990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1890" w:type="dxa"/>
          </w:tcPr>
          <w:p w14:paraId="027E13FD" w14:textId="768B77C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29970</w:t>
            </w:r>
          </w:p>
        </w:tc>
        <w:tc>
          <w:tcPr>
            <w:tcW w:w="2230" w:type="dxa"/>
          </w:tcPr>
          <w:p w14:paraId="27EBAEBB" w14:textId="572A918C"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42A4CAC4" w14:textId="77777777" w:rsidTr="6395FD93">
        <w:tc>
          <w:tcPr>
            <w:cnfStyle w:val="001000000000" w:firstRow="0" w:lastRow="0" w:firstColumn="1" w:lastColumn="0" w:oddVBand="0" w:evenVBand="0" w:oddHBand="0" w:evenHBand="0" w:firstRowFirstColumn="0" w:firstRowLastColumn="0" w:lastRowFirstColumn="0" w:lastRowLastColumn="0"/>
            <w:tcW w:w="584" w:type="dxa"/>
          </w:tcPr>
          <w:p w14:paraId="16B38C2E" w14:textId="346122A8" w:rsidR="5C7EFC97" w:rsidRDefault="6395FD93" w:rsidP="6395FD93">
            <w:pPr>
              <w:rPr>
                <w:sz w:val="24"/>
                <w:szCs w:val="24"/>
                <w:lang w:val="en-GB"/>
              </w:rPr>
            </w:pPr>
            <w:r w:rsidRPr="6395FD93">
              <w:rPr>
                <w:sz w:val="24"/>
                <w:szCs w:val="24"/>
                <w:lang w:val="en-GB"/>
              </w:rPr>
              <w:t>6</w:t>
            </w:r>
          </w:p>
        </w:tc>
        <w:tc>
          <w:tcPr>
            <w:tcW w:w="1440" w:type="dxa"/>
          </w:tcPr>
          <w:p w14:paraId="1452A2DA" w14:textId="78944B4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1402" w:type="dxa"/>
          </w:tcPr>
          <w:p w14:paraId="62516F23" w14:textId="51D1C76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20,000</w:t>
            </w:r>
          </w:p>
        </w:tc>
        <w:tc>
          <w:tcPr>
            <w:tcW w:w="1814" w:type="dxa"/>
          </w:tcPr>
          <w:p w14:paraId="58004264" w14:textId="50E7D87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1890" w:type="dxa"/>
          </w:tcPr>
          <w:p w14:paraId="490C9032" w14:textId="1A42A17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13320</w:t>
            </w:r>
          </w:p>
        </w:tc>
        <w:tc>
          <w:tcPr>
            <w:tcW w:w="2230" w:type="dxa"/>
          </w:tcPr>
          <w:p w14:paraId="111CC45E" w14:textId="3AAA0BA0"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1E35D54F" w14:textId="77777777" w:rsidTr="6395FD93">
        <w:tc>
          <w:tcPr>
            <w:cnfStyle w:val="001000000000" w:firstRow="0" w:lastRow="0" w:firstColumn="1" w:lastColumn="0" w:oddVBand="0" w:evenVBand="0" w:oddHBand="0" w:evenHBand="0" w:firstRowFirstColumn="0" w:firstRowLastColumn="0" w:lastRowFirstColumn="0" w:lastRowLastColumn="0"/>
            <w:tcW w:w="584" w:type="dxa"/>
          </w:tcPr>
          <w:p w14:paraId="5274B759" w14:textId="7EDB96C9" w:rsidR="5C7EFC97" w:rsidRDefault="5C7EFC97" w:rsidP="5C7EFC97">
            <w:pPr>
              <w:rPr>
                <w:sz w:val="24"/>
                <w:szCs w:val="24"/>
                <w:lang w:val="en-GB"/>
              </w:rPr>
            </w:pPr>
          </w:p>
        </w:tc>
        <w:tc>
          <w:tcPr>
            <w:tcW w:w="1440" w:type="dxa"/>
          </w:tcPr>
          <w:p w14:paraId="3CDFCF8F" w14:textId="5BE52694"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402" w:type="dxa"/>
          </w:tcPr>
          <w:p w14:paraId="226ED754" w14:textId="7EC94115"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814" w:type="dxa"/>
          </w:tcPr>
          <w:p w14:paraId="6E02EDFA" w14:textId="2B23E144"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890" w:type="dxa"/>
          </w:tcPr>
          <w:p w14:paraId="06CD4629" w14:textId="79925D62"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2230" w:type="dxa"/>
          </w:tcPr>
          <w:p w14:paraId="0B06DE78" w14:textId="549A12E7"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r>
    </w:tbl>
    <w:p w14:paraId="646277DF" w14:textId="1EA12A4A" w:rsidR="5C7EFC97" w:rsidRDefault="6395FD93" w:rsidP="6395FD93">
      <w:pPr>
        <w:pStyle w:val="ListBullet"/>
        <w:numPr>
          <w:ilvl w:val="0"/>
          <w:numId w:val="0"/>
        </w:numPr>
        <w:rPr>
          <w:sz w:val="24"/>
          <w:szCs w:val="24"/>
          <w:lang w:val="en-GB"/>
        </w:rPr>
      </w:pPr>
      <w:r w:rsidRPr="6395FD93">
        <w:rPr>
          <w:sz w:val="24"/>
          <w:szCs w:val="24"/>
          <w:lang w:val="en-GB"/>
        </w:rPr>
        <w:t>Between 4 years and 5 years</w:t>
      </w:r>
    </w:p>
    <w:p w14:paraId="74948BA5" w14:textId="6E2BA6CA" w:rsidR="5C7EFC97" w:rsidRDefault="6395FD93" w:rsidP="6395FD93">
      <w:pPr>
        <w:pStyle w:val="NoSpacing"/>
        <w:rPr>
          <w:sz w:val="24"/>
          <w:szCs w:val="24"/>
          <w:lang w:val="en-GB"/>
        </w:rPr>
      </w:pPr>
      <w:r w:rsidRPr="6395FD93">
        <w:rPr>
          <w:sz w:val="24"/>
          <w:szCs w:val="24"/>
          <w:lang w:val="en-GB"/>
        </w:rPr>
        <w:t xml:space="preserve">Payback Period = 4 years plus </w:t>
      </w:r>
      <w:r w:rsidRPr="6395FD93">
        <w:rPr>
          <w:sz w:val="24"/>
          <w:szCs w:val="24"/>
          <w:u w:val="single"/>
          <w:lang w:val="en-GB"/>
        </w:rPr>
        <w:t>7585</w:t>
      </w:r>
      <w:r w:rsidRPr="6395FD93">
        <w:rPr>
          <w:sz w:val="24"/>
          <w:szCs w:val="24"/>
          <w:lang w:val="en-GB"/>
        </w:rPr>
        <w:t xml:space="preserve">  * 12 months</w:t>
      </w:r>
    </w:p>
    <w:p w14:paraId="49106DA1" w14:textId="4CBB7948" w:rsidR="5C7EFC97" w:rsidRDefault="6395FD93" w:rsidP="6395FD93">
      <w:pPr>
        <w:pStyle w:val="NoSpacing"/>
        <w:rPr>
          <w:sz w:val="24"/>
          <w:szCs w:val="24"/>
          <w:lang w:val="en-GB"/>
        </w:rPr>
      </w:pPr>
      <w:r w:rsidRPr="6395FD93">
        <w:rPr>
          <w:sz w:val="24"/>
          <w:szCs w:val="24"/>
          <w:lang w:val="en-GB"/>
        </w:rPr>
        <w:t xml:space="preserve">                                                  32085</w:t>
      </w:r>
    </w:p>
    <w:p w14:paraId="481B95B6" w14:textId="1781BF54" w:rsidR="5C7EFC97" w:rsidRDefault="5C7EFC97" w:rsidP="5C7EFC97">
      <w:pPr>
        <w:pStyle w:val="NoSpacing"/>
        <w:rPr>
          <w:sz w:val="24"/>
          <w:szCs w:val="24"/>
          <w:lang w:val="en-GB"/>
        </w:rPr>
      </w:pPr>
    </w:p>
    <w:p w14:paraId="19CC9CD2" w14:textId="612EA589" w:rsidR="5C7EFC97" w:rsidRDefault="6395FD93" w:rsidP="6395FD93">
      <w:pPr>
        <w:pStyle w:val="NoSpacing"/>
        <w:rPr>
          <w:sz w:val="24"/>
          <w:szCs w:val="24"/>
          <w:u w:val="single"/>
          <w:lang w:val="en-GB"/>
        </w:rPr>
      </w:pPr>
      <w:r w:rsidRPr="6395FD93">
        <w:rPr>
          <w:b/>
          <w:bCs/>
          <w:sz w:val="24"/>
          <w:szCs w:val="24"/>
          <w:u w:val="single"/>
          <w:lang w:val="en-GB"/>
        </w:rPr>
        <w:t>Payback Period = 4 years 3 months approximately</w:t>
      </w:r>
    </w:p>
    <w:p w14:paraId="161F0607" w14:textId="5254FE8C" w:rsidR="5C7EFC97" w:rsidRDefault="5C7EFC97" w:rsidP="5C7EFC97">
      <w:pPr>
        <w:pStyle w:val="ListBullet"/>
        <w:numPr>
          <w:ilvl w:val="0"/>
          <w:numId w:val="0"/>
        </w:numPr>
        <w:rPr>
          <w:sz w:val="24"/>
          <w:szCs w:val="24"/>
          <w:lang w:val="en-GB"/>
        </w:rPr>
      </w:pPr>
    </w:p>
    <w:p w14:paraId="6E8AEB64" w14:textId="4B8D6718" w:rsidR="5C7EFC97" w:rsidRDefault="5C7EFC97" w:rsidP="5C7EFC97">
      <w:pPr>
        <w:pStyle w:val="ListBullet"/>
        <w:numPr>
          <w:ilvl w:val="0"/>
          <w:numId w:val="0"/>
        </w:numPr>
        <w:rPr>
          <w:sz w:val="24"/>
          <w:szCs w:val="24"/>
          <w:lang w:val="en-GB"/>
        </w:rPr>
      </w:pPr>
    </w:p>
    <w:p w14:paraId="3EF12F54" w14:textId="4BEDD45F"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Project B</w:t>
      </w:r>
    </w:p>
    <w:p w14:paraId="1765A134" w14:textId="57E177BE"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PROJECT B - DISCOUNTED PAYBACK CALCULATION</w:t>
      </w:r>
    </w:p>
    <w:tbl>
      <w:tblPr>
        <w:tblStyle w:val="GridTable1Light-Accent1"/>
        <w:tblW w:w="0" w:type="auto"/>
        <w:tblLook w:val="04A0" w:firstRow="1" w:lastRow="0" w:firstColumn="1" w:lastColumn="0" w:noHBand="0" w:noVBand="1"/>
      </w:tblPr>
      <w:tblGrid>
        <w:gridCol w:w="737"/>
        <w:gridCol w:w="1875"/>
        <w:gridCol w:w="1425"/>
        <w:gridCol w:w="1559"/>
        <w:gridCol w:w="1845"/>
        <w:gridCol w:w="2039"/>
      </w:tblGrid>
      <w:tr w:rsidR="5C7EFC97" w14:paraId="05A67DBD"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17" w:type="dxa"/>
          </w:tcPr>
          <w:p w14:paraId="230242C7" w14:textId="0FADA837" w:rsidR="5C7EFC97" w:rsidRDefault="6395FD93" w:rsidP="6395FD93">
            <w:pPr>
              <w:rPr>
                <w:sz w:val="24"/>
                <w:szCs w:val="24"/>
                <w:lang w:val="en-GB"/>
              </w:rPr>
            </w:pPr>
            <w:r w:rsidRPr="6395FD93">
              <w:rPr>
                <w:sz w:val="24"/>
                <w:szCs w:val="24"/>
                <w:lang w:val="en-GB"/>
              </w:rPr>
              <w:t>Year</w:t>
            </w:r>
          </w:p>
        </w:tc>
        <w:tc>
          <w:tcPr>
            <w:tcW w:w="1875" w:type="dxa"/>
          </w:tcPr>
          <w:p w14:paraId="1CB51E48" w14:textId="71AF0E0F"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1425" w:type="dxa"/>
          </w:tcPr>
          <w:p w14:paraId="0DB25A0A" w14:textId="7BC40989"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p w14:paraId="58D8DFE3" w14:textId="3CAF5DDF"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p w14:paraId="3C1CCC11" w14:textId="6710C4DF"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            £</w:t>
            </w:r>
          </w:p>
        </w:tc>
        <w:tc>
          <w:tcPr>
            <w:tcW w:w="1559" w:type="dxa"/>
          </w:tcPr>
          <w:p w14:paraId="72049F35" w14:textId="6F5B4C01"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Discount Factor @ 7%</w:t>
            </w:r>
          </w:p>
          <w:p w14:paraId="616AFC0A" w14:textId="069E7ADC"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r w:rsidRPr="5C7EFC97">
              <w:rPr>
                <w:sz w:val="24"/>
                <w:szCs w:val="24"/>
                <w:lang w:val="en-GB"/>
              </w:rPr>
              <w:t xml:space="preserve">           </w:t>
            </w:r>
          </w:p>
        </w:tc>
        <w:tc>
          <w:tcPr>
            <w:tcW w:w="1845" w:type="dxa"/>
          </w:tcPr>
          <w:p w14:paraId="48105304" w14:textId="4FCF26DB"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Discounted</w:t>
            </w:r>
            <w:r w:rsidR="00A162BE">
              <w:rPr>
                <w:sz w:val="24"/>
                <w:szCs w:val="24"/>
                <w:lang w:val="en-GB"/>
              </w:rPr>
              <w:t xml:space="preserve"> </w:t>
            </w:r>
            <w:r w:rsidRPr="6395FD93">
              <w:rPr>
                <w:sz w:val="24"/>
                <w:szCs w:val="24"/>
                <w:lang w:val="en-GB"/>
              </w:rPr>
              <w:t xml:space="preserve">Cash Flow </w:t>
            </w:r>
          </w:p>
          <w:p w14:paraId="69821776" w14:textId="553ACABC"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p w14:paraId="3361B00C" w14:textId="4C45174A"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                £</w:t>
            </w:r>
          </w:p>
        </w:tc>
        <w:tc>
          <w:tcPr>
            <w:tcW w:w="2039" w:type="dxa"/>
          </w:tcPr>
          <w:p w14:paraId="3132EB87" w14:textId="3959D320"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Cumulative Discounted Cash Flow</w:t>
            </w:r>
          </w:p>
          <w:p w14:paraId="3E178E73" w14:textId="1FE6535F"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                   £</w:t>
            </w:r>
          </w:p>
        </w:tc>
      </w:tr>
      <w:tr w:rsidR="5C7EFC97" w14:paraId="43BF2EA4" w14:textId="77777777" w:rsidTr="6395FD93">
        <w:tc>
          <w:tcPr>
            <w:cnfStyle w:val="001000000000" w:firstRow="0" w:lastRow="0" w:firstColumn="1" w:lastColumn="0" w:oddVBand="0" w:evenVBand="0" w:oddHBand="0" w:evenHBand="0" w:firstRowFirstColumn="0" w:firstRowLastColumn="0" w:lastRowFirstColumn="0" w:lastRowLastColumn="0"/>
            <w:tcW w:w="617" w:type="dxa"/>
          </w:tcPr>
          <w:p w14:paraId="77D48DC9" w14:textId="744463CF" w:rsidR="5C7EFC97" w:rsidRDefault="6395FD93" w:rsidP="6395FD93">
            <w:pPr>
              <w:rPr>
                <w:sz w:val="24"/>
                <w:szCs w:val="24"/>
                <w:lang w:val="en-GB"/>
              </w:rPr>
            </w:pPr>
            <w:r w:rsidRPr="6395FD93">
              <w:rPr>
                <w:sz w:val="24"/>
                <w:szCs w:val="24"/>
                <w:lang w:val="en-GB"/>
              </w:rPr>
              <w:t>0</w:t>
            </w:r>
          </w:p>
        </w:tc>
        <w:tc>
          <w:tcPr>
            <w:tcW w:w="1875" w:type="dxa"/>
          </w:tcPr>
          <w:p w14:paraId="26E2373F" w14:textId="1959BA92"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Initial investment</w:t>
            </w:r>
          </w:p>
        </w:tc>
        <w:tc>
          <w:tcPr>
            <w:tcW w:w="1425" w:type="dxa"/>
          </w:tcPr>
          <w:p w14:paraId="722E00FF" w14:textId="2DD88E4E"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c>
          <w:tcPr>
            <w:tcW w:w="1559" w:type="dxa"/>
          </w:tcPr>
          <w:p w14:paraId="43BFBE80" w14:textId="250CB1A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w:t>
            </w:r>
          </w:p>
        </w:tc>
        <w:tc>
          <w:tcPr>
            <w:tcW w:w="1845" w:type="dxa"/>
          </w:tcPr>
          <w:p w14:paraId="1166BE52" w14:textId="78559734"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c>
          <w:tcPr>
            <w:tcW w:w="2039" w:type="dxa"/>
          </w:tcPr>
          <w:p w14:paraId="02334121" w14:textId="629DAC0E"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r>
      <w:tr w:rsidR="5C7EFC97" w14:paraId="7B820D36" w14:textId="77777777" w:rsidTr="6395FD93">
        <w:tc>
          <w:tcPr>
            <w:cnfStyle w:val="001000000000" w:firstRow="0" w:lastRow="0" w:firstColumn="1" w:lastColumn="0" w:oddVBand="0" w:evenVBand="0" w:oddHBand="0" w:evenHBand="0" w:firstRowFirstColumn="0" w:firstRowLastColumn="0" w:lastRowFirstColumn="0" w:lastRowLastColumn="0"/>
            <w:tcW w:w="617" w:type="dxa"/>
          </w:tcPr>
          <w:p w14:paraId="2E66EB27" w14:textId="46145488" w:rsidR="5C7EFC97" w:rsidRDefault="6395FD93" w:rsidP="6395FD93">
            <w:pPr>
              <w:rPr>
                <w:sz w:val="24"/>
                <w:szCs w:val="24"/>
                <w:lang w:val="en-GB"/>
              </w:rPr>
            </w:pPr>
            <w:r w:rsidRPr="6395FD93">
              <w:rPr>
                <w:sz w:val="24"/>
                <w:szCs w:val="24"/>
                <w:lang w:val="en-GB"/>
              </w:rPr>
              <w:t>1</w:t>
            </w:r>
          </w:p>
        </w:tc>
        <w:tc>
          <w:tcPr>
            <w:tcW w:w="1875" w:type="dxa"/>
          </w:tcPr>
          <w:p w14:paraId="4A41627F" w14:textId="559ADC0F"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25" w:type="dxa"/>
          </w:tcPr>
          <w:p w14:paraId="7733DF32" w14:textId="018D18B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559" w:type="dxa"/>
          </w:tcPr>
          <w:p w14:paraId="2D557E55" w14:textId="32D98B8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0.935</w:t>
            </w:r>
          </w:p>
        </w:tc>
        <w:tc>
          <w:tcPr>
            <w:tcW w:w="1845" w:type="dxa"/>
          </w:tcPr>
          <w:p w14:paraId="48525849" w14:textId="4B9CA42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56,100</w:t>
            </w:r>
          </w:p>
        </w:tc>
        <w:tc>
          <w:tcPr>
            <w:tcW w:w="2039" w:type="dxa"/>
          </w:tcPr>
          <w:p w14:paraId="043B9ED9" w14:textId="7658E99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-163,900</w:t>
            </w:r>
          </w:p>
        </w:tc>
      </w:tr>
      <w:tr w:rsidR="5C7EFC97" w14:paraId="56DCEB3A" w14:textId="77777777" w:rsidTr="6395FD93">
        <w:tc>
          <w:tcPr>
            <w:cnfStyle w:val="001000000000" w:firstRow="0" w:lastRow="0" w:firstColumn="1" w:lastColumn="0" w:oddVBand="0" w:evenVBand="0" w:oddHBand="0" w:evenHBand="0" w:firstRowFirstColumn="0" w:firstRowLastColumn="0" w:lastRowFirstColumn="0" w:lastRowLastColumn="0"/>
            <w:tcW w:w="617" w:type="dxa"/>
          </w:tcPr>
          <w:p w14:paraId="6185DC27" w14:textId="471F8599" w:rsidR="5C7EFC97" w:rsidRDefault="6395FD93" w:rsidP="6395FD93">
            <w:pPr>
              <w:rPr>
                <w:sz w:val="24"/>
                <w:szCs w:val="24"/>
                <w:lang w:val="en-GB"/>
              </w:rPr>
            </w:pPr>
            <w:r w:rsidRPr="6395FD93">
              <w:rPr>
                <w:sz w:val="24"/>
                <w:szCs w:val="24"/>
                <w:lang w:val="en-GB"/>
              </w:rPr>
              <w:t>2</w:t>
            </w:r>
          </w:p>
        </w:tc>
        <w:tc>
          <w:tcPr>
            <w:tcW w:w="1875" w:type="dxa"/>
          </w:tcPr>
          <w:p w14:paraId="368B6536" w14:textId="6AF635A0"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25" w:type="dxa"/>
          </w:tcPr>
          <w:p w14:paraId="1A830B40" w14:textId="11B1C356"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559" w:type="dxa"/>
          </w:tcPr>
          <w:p w14:paraId="6EF39703" w14:textId="6788403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0.873</w:t>
            </w:r>
          </w:p>
        </w:tc>
        <w:tc>
          <w:tcPr>
            <w:tcW w:w="1845" w:type="dxa"/>
          </w:tcPr>
          <w:p w14:paraId="08B6930D" w14:textId="26EF4D8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52,380</w:t>
            </w:r>
          </w:p>
        </w:tc>
        <w:tc>
          <w:tcPr>
            <w:tcW w:w="2039" w:type="dxa"/>
          </w:tcPr>
          <w:p w14:paraId="12746FC7" w14:textId="3602AD3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-111,520</w:t>
            </w:r>
          </w:p>
        </w:tc>
      </w:tr>
      <w:tr w:rsidR="5C7EFC97" w14:paraId="3D15C059" w14:textId="77777777" w:rsidTr="6395FD93">
        <w:tc>
          <w:tcPr>
            <w:cnfStyle w:val="001000000000" w:firstRow="0" w:lastRow="0" w:firstColumn="1" w:lastColumn="0" w:oddVBand="0" w:evenVBand="0" w:oddHBand="0" w:evenHBand="0" w:firstRowFirstColumn="0" w:firstRowLastColumn="0" w:lastRowFirstColumn="0" w:lastRowLastColumn="0"/>
            <w:tcW w:w="617" w:type="dxa"/>
          </w:tcPr>
          <w:p w14:paraId="359F63C9" w14:textId="4E6C0A02" w:rsidR="5C7EFC97" w:rsidRDefault="6395FD93" w:rsidP="6395FD93">
            <w:pPr>
              <w:rPr>
                <w:sz w:val="24"/>
                <w:szCs w:val="24"/>
                <w:lang w:val="en-GB"/>
              </w:rPr>
            </w:pPr>
            <w:r w:rsidRPr="6395FD93">
              <w:rPr>
                <w:sz w:val="24"/>
                <w:szCs w:val="24"/>
                <w:lang w:val="en-GB"/>
              </w:rPr>
              <w:t>3</w:t>
            </w:r>
          </w:p>
        </w:tc>
        <w:tc>
          <w:tcPr>
            <w:tcW w:w="1875" w:type="dxa"/>
          </w:tcPr>
          <w:p w14:paraId="383C4C2C" w14:textId="0F202E5F"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25" w:type="dxa"/>
          </w:tcPr>
          <w:p w14:paraId="649E8293" w14:textId="45FE282E"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559" w:type="dxa"/>
          </w:tcPr>
          <w:p w14:paraId="7A07720A" w14:textId="66324EC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0.816</w:t>
            </w:r>
          </w:p>
        </w:tc>
        <w:tc>
          <w:tcPr>
            <w:tcW w:w="1845" w:type="dxa"/>
          </w:tcPr>
          <w:p w14:paraId="13E1DADB" w14:textId="49F456FA"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48,960</w:t>
            </w:r>
          </w:p>
        </w:tc>
        <w:tc>
          <w:tcPr>
            <w:tcW w:w="2039" w:type="dxa"/>
          </w:tcPr>
          <w:p w14:paraId="10442C5F" w14:textId="4067961C"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-62,560</w:t>
            </w:r>
          </w:p>
        </w:tc>
      </w:tr>
      <w:tr w:rsidR="5C7EFC97" w14:paraId="7592FD7F" w14:textId="77777777" w:rsidTr="6395FD93">
        <w:tc>
          <w:tcPr>
            <w:cnfStyle w:val="001000000000" w:firstRow="0" w:lastRow="0" w:firstColumn="1" w:lastColumn="0" w:oddVBand="0" w:evenVBand="0" w:oddHBand="0" w:evenHBand="0" w:firstRowFirstColumn="0" w:firstRowLastColumn="0" w:lastRowFirstColumn="0" w:lastRowLastColumn="0"/>
            <w:tcW w:w="617" w:type="dxa"/>
          </w:tcPr>
          <w:p w14:paraId="22CF703A" w14:textId="082389C8" w:rsidR="5C7EFC97" w:rsidRDefault="6395FD93" w:rsidP="6395FD93">
            <w:pPr>
              <w:rPr>
                <w:sz w:val="24"/>
                <w:szCs w:val="24"/>
                <w:lang w:val="en-GB"/>
              </w:rPr>
            </w:pPr>
            <w:r w:rsidRPr="6395FD93">
              <w:rPr>
                <w:sz w:val="24"/>
                <w:szCs w:val="24"/>
                <w:lang w:val="en-GB"/>
              </w:rPr>
              <w:t>4</w:t>
            </w:r>
          </w:p>
        </w:tc>
        <w:tc>
          <w:tcPr>
            <w:tcW w:w="1875" w:type="dxa"/>
          </w:tcPr>
          <w:p w14:paraId="1E7B8DA2" w14:textId="0E7018C5"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25" w:type="dxa"/>
          </w:tcPr>
          <w:p w14:paraId="5555DC94" w14:textId="4198C0A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559" w:type="dxa"/>
          </w:tcPr>
          <w:p w14:paraId="095E0E43" w14:textId="38C2B2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0.763</w:t>
            </w:r>
          </w:p>
        </w:tc>
        <w:tc>
          <w:tcPr>
            <w:tcW w:w="1845" w:type="dxa"/>
          </w:tcPr>
          <w:p w14:paraId="6BC329B2" w14:textId="212646D4"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45,780</w:t>
            </w:r>
          </w:p>
        </w:tc>
        <w:tc>
          <w:tcPr>
            <w:tcW w:w="2039" w:type="dxa"/>
          </w:tcPr>
          <w:p w14:paraId="38B0A21C" w14:textId="3CE0517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-16,780</w:t>
            </w:r>
          </w:p>
        </w:tc>
      </w:tr>
      <w:tr w:rsidR="5C7EFC97" w14:paraId="514752AA" w14:textId="77777777" w:rsidTr="6395FD93">
        <w:tc>
          <w:tcPr>
            <w:cnfStyle w:val="001000000000" w:firstRow="0" w:lastRow="0" w:firstColumn="1" w:lastColumn="0" w:oddVBand="0" w:evenVBand="0" w:oddHBand="0" w:evenHBand="0" w:firstRowFirstColumn="0" w:firstRowLastColumn="0" w:lastRowFirstColumn="0" w:lastRowLastColumn="0"/>
            <w:tcW w:w="617" w:type="dxa"/>
          </w:tcPr>
          <w:p w14:paraId="376B27A6" w14:textId="683F248E" w:rsidR="5C7EFC97" w:rsidRDefault="6395FD93" w:rsidP="6395FD93">
            <w:pPr>
              <w:rPr>
                <w:sz w:val="24"/>
                <w:szCs w:val="24"/>
                <w:lang w:val="en-GB"/>
              </w:rPr>
            </w:pPr>
            <w:r w:rsidRPr="6395FD93">
              <w:rPr>
                <w:sz w:val="24"/>
                <w:szCs w:val="24"/>
                <w:lang w:val="en-GB"/>
              </w:rPr>
              <w:t>5</w:t>
            </w:r>
          </w:p>
        </w:tc>
        <w:tc>
          <w:tcPr>
            <w:tcW w:w="1875" w:type="dxa"/>
          </w:tcPr>
          <w:p w14:paraId="2A3BC408" w14:textId="692A9AC7"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25" w:type="dxa"/>
          </w:tcPr>
          <w:p w14:paraId="7A97580E" w14:textId="714733D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559" w:type="dxa"/>
          </w:tcPr>
          <w:p w14:paraId="57B992DE" w14:textId="10EBC1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0.713</w:t>
            </w:r>
          </w:p>
        </w:tc>
        <w:tc>
          <w:tcPr>
            <w:tcW w:w="1845" w:type="dxa"/>
          </w:tcPr>
          <w:p w14:paraId="13364EE4" w14:textId="3A3DAA18"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42,780</w:t>
            </w:r>
          </w:p>
        </w:tc>
        <w:tc>
          <w:tcPr>
            <w:tcW w:w="2039" w:type="dxa"/>
          </w:tcPr>
          <w:p w14:paraId="080ECE4A" w14:textId="57C85901"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4B97518C" w14:textId="77777777" w:rsidTr="6395FD93">
        <w:tc>
          <w:tcPr>
            <w:cnfStyle w:val="001000000000" w:firstRow="0" w:lastRow="0" w:firstColumn="1" w:lastColumn="0" w:oddVBand="0" w:evenVBand="0" w:oddHBand="0" w:evenHBand="0" w:firstRowFirstColumn="0" w:firstRowLastColumn="0" w:lastRowFirstColumn="0" w:lastRowLastColumn="0"/>
            <w:tcW w:w="617" w:type="dxa"/>
          </w:tcPr>
          <w:p w14:paraId="5F81CC34" w14:textId="42F18F0C" w:rsidR="5C7EFC97" w:rsidRDefault="6395FD93" w:rsidP="6395FD93">
            <w:pPr>
              <w:rPr>
                <w:sz w:val="24"/>
                <w:szCs w:val="24"/>
                <w:lang w:val="en-GB"/>
              </w:rPr>
            </w:pPr>
            <w:r w:rsidRPr="6395FD93">
              <w:rPr>
                <w:sz w:val="24"/>
                <w:szCs w:val="24"/>
                <w:lang w:val="en-GB"/>
              </w:rPr>
              <w:t>6</w:t>
            </w:r>
          </w:p>
        </w:tc>
        <w:tc>
          <w:tcPr>
            <w:tcW w:w="1875" w:type="dxa"/>
          </w:tcPr>
          <w:p w14:paraId="132A4042" w14:textId="0C69F428"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425" w:type="dxa"/>
          </w:tcPr>
          <w:p w14:paraId="30D3112D" w14:textId="633132E4"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559" w:type="dxa"/>
          </w:tcPr>
          <w:p w14:paraId="06939BE1" w14:textId="055D990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1845" w:type="dxa"/>
          </w:tcPr>
          <w:p w14:paraId="61585613" w14:textId="1274320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39,960</w:t>
            </w:r>
          </w:p>
        </w:tc>
        <w:tc>
          <w:tcPr>
            <w:tcW w:w="2039" w:type="dxa"/>
          </w:tcPr>
          <w:p w14:paraId="7C39F82F" w14:textId="572A918C"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6FDF3927" w14:textId="77777777" w:rsidTr="6395FD93">
        <w:tc>
          <w:tcPr>
            <w:cnfStyle w:val="001000000000" w:firstRow="0" w:lastRow="0" w:firstColumn="1" w:lastColumn="0" w:oddVBand="0" w:evenVBand="0" w:oddHBand="0" w:evenHBand="0" w:firstRowFirstColumn="0" w:firstRowLastColumn="0" w:lastRowFirstColumn="0" w:lastRowLastColumn="0"/>
            <w:tcW w:w="617" w:type="dxa"/>
          </w:tcPr>
          <w:p w14:paraId="4A003A3F" w14:textId="346122A8" w:rsidR="5C7EFC97" w:rsidRDefault="6395FD93" w:rsidP="6395FD93">
            <w:pPr>
              <w:rPr>
                <w:sz w:val="24"/>
                <w:szCs w:val="24"/>
                <w:lang w:val="en-GB"/>
              </w:rPr>
            </w:pPr>
            <w:r w:rsidRPr="6395FD93">
              <w:rPr>
                <w:sz w:val="24"/>
                <w:szCs w:val="24"/>
                <w:lang w:val="en-GB"/>
              </w:rPr>
              <w:t>6</w:t>
            </w:r>
          </w:p>
        </w:tc>
        <w:tc>
          <w:tcPr>
            <w:tcW w:w="1875" w:type="dxa"/>
          </w:tcPr>
          <w:p w14:paraId="566C752A" w14:textId="78944B4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1425" w:type="dxa"/>
          </w:tcPr>
          <w:p w14:paraId="5FFAA0D9" w14:textId="053555C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10,000</w:t>
            </w:r>
          </w:p>
        </w:tc>
        <w:tc>
          <w:tcPr>
            <w:tcW w:w="1559" w:type="dxa"/>
          </w:tcPr>
          <w:p w14:paraId="3F1B22FE" w14:textId="50E7D87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1845" w:type="dxa"/>
          </w:tcPr>
          <w:p w14:paraId="55E68518" w14:textId="4F253D7A"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6,660</w:t>
            </w:r>
          </w:p>
        </w:tc>
        <w:tc>
          <w:tcPr>
            <w:tcW w:w="2039" w:type="dxa"/>
          </w:tcPr>
          <w:p w14:paraId="4F212461" w14:textId="36FD569C" w:rsidR="5C7EFC97" w:rsidRDefault="5C7EFC97" w:rsidP="5C7EFC97">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p>
        </w:tc>
      </w:tr>
      <w:tr w:rsidR="5C7EFC97" w14:paraId="0D9B33EC" w14:textId="77777777" w:rsidTr="6395FD93">
        <w:tc>
          <w:tcPr>
            <w:cnfStyle w:val="001000000000" w:firstRow="0" w:lastRow="0" w:firstColumn="1" w:lastColumn="0" w:oddVBand="0" w:evenVBand="0" w:oddHBand="0" w:evenHBand="0" w:firstRowFirstColumn="0" w:firstRowLastColumn="0" w:lastRowFirstColumn="0" w:lastRowLastColumn="0"/>
            <w:tcW w:w="617" w:type="dxa"/>
          </w:tcPr>
          <w:p w14:paraId="1DED13BC" w14:textId="4324C893" w:rsidR="5C7EFC97" w:rsidRDefault="5C7EFC97" w:rsidP="5C7EFC97">
            <w:pPr>
              <w:rPr>
                <w:sz w:val="24"/>
                <w:szCs w:val="24"/>
                <w:lang w:val="en-GB"/>
              </w:rPr>
            </w:pPr>
          </w:p>
        </w:tc>
        <w:tc>
          <w:tcPr>
            <w:tcW w:w="1875" w:type="dxa"/>
          </w:tcPr>
          <w:p w14:paraId="26B75FB9" w14:textId="2C11364A"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425" w:type="dxa"/>
          </w:tcPr>
          <w:p w14:paraId="318D5366" w14:textId="65F6000A"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559" w:type="dxa"/>
          </w:tcPr>
          <w:p w14:paraId="4698EF07" w14:textId="0452F452"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845" w:type="dxa"/>
          </w:tcPr>
          <w:p w14:paraId="3A4336C9" w14:textId="23869DF3"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2039" w:type="dxa"/>
          </w:tcPr>
          <w:p w14:paraId="12D8E528" w14:textId="2EEA95ED"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r>
    </w:tbl>
    <w:p w14:paraId="7A2F3C31" w14:textId="1EA12A4A" w:rsidR="5C7EFC97" w:rsidRDefault="6395FD93" w:rsidP="6395FD93">
      <w:pPr>
        <w:pStyle w:val="ListBullet"/>
        <w:numPr>
          <w:ilvl w:val="0"/>
          <w:numId w:val="0"/>
        </w:numPr>
        <w:rPr>
          <w:sz w:val="24"/>
          <w:szCs w:val="24"/>
          <w:lang w:val="en-GB"/>
        </w:rPr>
      </w:pPr>
      <w:r w:rsidRPr="6395FD93">
        <w:rPr>
          <w:sz w:val="24"/>
          <w:szCs w:val="24"/>
          <w:lang w:val="en-GB"/>
        </w:rPr>
        <w:t>Between 4 years and 5 years</w:t>
      </w:r>
    </w:p>
    <w:p w14:paraId="2B866AB0" w14:textId="26FCEA2A" w:rsidR="5C7EFC97" w:rsidRDefault="6395FD93" w:rsidP="6395FD93">
      <w:pPr>
        <w:pStyle w:val="NoSpacing"/>
        <w:rPr>
          <w:sz w:val="24"/>
          <w:szCs w:val="24"/>
          <w:lang w:val="en-GB"/>
        </w:rPr>
      </w:pPr>
      <w:r w:rsidRPr="6395FD93">
        <w:rPr>
          <w:sz w:val="24"/>
          <w:szCs w:val="24"/>
          <w:lang w:val="en-GB"/>
        </w:rPr>
        <w:t xml:space="preserve">Payback Period = 4 years plus </w:t>
      </w:r>
      <w:r w:rsidRPr="6395FD93">
        <w:rPr>
          <w:sz w:val="24"/>
          <w:szCs w:val="24"/>
          <w:u w:val="single"/>
          <w:lang w:val="en-GB"/>
        </w:rPr>
        <w:t>16780</w:t>
      </w:r>
      <w:r w:rsidRPr="6395FD93">
        <w:rPr>
          <w:sz w:val="24"/>
          <w:szCs w:val="24"/>
          <w:lang w:val="en-GB"/>
        </w:rPr>
        <w:t xml:space="preserve">  * 12 months</w:t>
      </w:r>
    </w:p>
    <w:p w14:paraId="2119D03E" w14:textId="7A6439D9" w:rsidR="5C7EFC97" w:rsidRDefault="6395FD93" w:rsidP="6395FD93">
      <w:pPr>
        <w:pStyle w:val="NoSpacing"/>
        <w:rPr>
          <w:sz w:val="24"/>
          <w:szCs w:val="24"/>
          <w:lang w:val="en-GB"/>
        </w:rPr>
      </w:pPr>
      <w:r w:rsidRPr="6395FD93">
        <w:rPr>
          <w:sz w:val="24"/>
          <w:szCs w:val="24"/>
          <w:lang w:val="en-GB"/>
        </w:rPr>
        <w:t xml:space="preserve">                                                  42780</w:t>
      </w:r>
    </w:p>
    <w:p w14:paraId="2582DA12" w14:textId="1781BF54" w:rsidR="5C7EFC97" w:rsidRDefault="5C7EFC97" w:rsidP="5C7EFC97">
      <w:pPr>
        <w:pStyle w:val="NoSpacing"/>
        <w:rPr>
          <w:sz w:val="24"/>
          <w:szCs w:val="24"/>
          <w:lang w:val="en-GB"/>
        </w:rPr>
      </w:pPr>
    </w:p>
    <w:p w14:paraId="0F0A29BB" w14:textId="26E0AF5C" w:rsidR="5C7EFC97" w:rsidRDefault="6395FD93" w:rsidP="6395FD93">
      <w:pPr>
        <w:pStyle w:val="NoSpacing"/>
        <w:rPr>
          <w:sz w:val="24"/>
          <w:szCs w:val="24"/>
          <w:u w:val="single"/>
          <w:lang w:val="en-GB"/>
        </w:rPr>
      </w:pPr>
      <w:r w:rsidRPr="6395FD93">
        <w:rPr>
          <w:b/>
          <w:bCs/>
          <w:sz w:val="24"/>
          <w:szCs w:val="24"/>
          <w:u w:val="single"/>
          <w:lang w:val="en-GB"/>
        </w:rPr>
        <w:t>Payback Period = 4 years 8 months approximately</w:t>
      </w:r>
    </w:p>
    <w:p w14:paraId="4B41527C" w14:textId="7058BA47" w:rsidR="5C7EFC97" w:rsidRDefault="5C7EFC97" w:rsidP="5C7EFC97">
      <w:pPr>
        <w:pStyle w:val="ListBullet"/>
        <w:numPr>
          <w:ilvl w:val="0"/>
          <w:numId w:val="0"/>
        </w:numPr>
        <w:rPr>
          <w:sz w:val="24"/>
          <w:szCs w:val="24"/>
          <w:lang w:val="en-GB"/>
        </w:rPr>
      </w:pPr>
    </w:p>
    <w:p w14:paraId="16EF3433" w14:textId="540BEAF0" w:rsidR="00415895" w:rsidRDefault="00415895" w:rsidP="5C7EFC97">
      <w:pPr>
        <w:pStyle w:val="ListBullet"/>
        <w:numPr>
          <w:ilvl w:val="0"/>
          <w:numId w:val="0"/>
        </w:numPr>
        <w:rPr>
          <w:sz w:val="24"/>
          <w:szCs w:val="24"/>
          <w:lang w:val="en-GB"/>
        </w:rPr>
      </w:pPr>
    </w:p>
    <w:p w14:paraId="6840E708" w14:textId="36F85079" w:rsidR="00415895" w:rsidRDefault="00415895" w:rsidP="5C7EFC97">
      <w:pPr>
        <w:pStyle w:val="ListBullet"/>
        <w:numPr>
          <w:ilvl w:val="0"/>
          <w:numId w:val="0"/>
        </w:numPr>
        <w:rPr>
          <w:sz w:val="24"/>
          <w:szCs w:val="24"/>
          <w:lang w:val="en-GB"/>
        </w:rPr>
      </w:pPr>
    </w:p>
    <w:p w14:paraId="6F341383" w14:textId="3579ED3F" w:rsidR="00415895" w:rsidRDefault="00415895" w:rsidP="5C7EFC97">
      <w:pPr>
        <w:pStyle w:val="ListBullet"/>
        <w:numPr>
          <w:ilvl w:val="0"/>
          <w:numId w:val="0"/>
        </w:numPr>
        <w:rPr>
          <w:sz w:val="24"/>
          <w:szCs w:val="24"/>
          <w:lang w:val="en-GB"/>
        </w:rPr>
      </w:pPr>
    </w:p>
    <w:p w14:paraId="218F5677" w14:textId="006AA364" w:rsidR="00415895" w:rsidRDefault="00415895" w:rsidP="5C7EFC97">
      <w:pPr>
        <w:pStyle w:val="ListBullet"/>
        <w:numPr>
          <w:ilvl w:val="0"/>
          <w:numId w:val="0"/>
        </w:numPr>
        <w:rPr>
          <w:sz w:val="24"/>
          <w:szCs w:val="24"/>
          <w:lang w:val="en-GB"/>
        </w:rPr>
      </w:pPr>
    </w:p>
    <w:p w14:paraId="160ADE6A" w14:textId="77777777" w:rsidR="00415895" w:rsidRDefault="00415895" w:rsidP="5C7EFC97">
      <w:pPr>
        <w:pStyle w:val="ListBullet"/>
        <w:numPr>
          <w:ilvl w:val="0"/>
          <w:numId w:val="0"/>
        </w:numPr>
        <w:rPr>
          <w:sz w:val="24"/>
          <w:szCs w:val="24"/>
          <w:lang w:val="en-GB"/>
        </w:rPr>
      </w:pPr>
    </w:p>
    <w:p w14:paraId="243F78D3" w14:textId="006E091A"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lastRenderedPageBreak/>
        <w:t>Project A</w:t>
      </w:r>
    </w:p>
    <w:p w14:paraId="609747FA" w14:textId="4B347B41"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IRR CALCULATION</w:t>
      </w:r>
    </w:p>
    <w:tbl>
      <w:tblPr>
        <w:tblStyle w:val="GridTable1Light-Accent1"/>
        <w:tblW w:w="9492" w:type="dxa"/>
        <w:tblLook w:val="04A0" w:firstRow="1" w:lastRow="0" w:firstColumn="1" w:lastColumn="0" w:noHBand="0" w:noVBand="1"/>
      </w:tblPr>
      <w:tblGrid>
        <w:gridCol w:w="737"/>
        <w:gridCol w:w="1784"/>
        <w:gridCol w:w="1181"/>
        <w:gridCol w:w="1320"/>
        <w:gridCol w:w="1284"/>
        <w:gridCol w:w="262"/>
        <w:gridCol w:w="1546"/>
        <w:gridCol w:w="1378"/>
      </w:tblGrid>
      <w:tr w:rsidR="5C7EFC97" w14:paraId="32480007"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1" w:type="dxa"/>
          </w:tcPr>
          <w:p w14:paraId="71E06793" w14:textId="0FADA837" w:rsidR="5C7EFC97" w:rsidRDefault="6395FD93" w:rsidP="6395FD93">
            <w:pPr>
              <w:rPr>
                <w:sz w:val="24"/>
                <w:szCs w:val="24"/>
                <w:lang w:val="en-GB"/>
              </w:rPr>
            </w:pPr>
            <w:r w:rsidRPr="6395FD93">
              <w:rPr>
                <w:sz w:val="24"/>
                <w:szCs w:val="24"/>
                <w:lang w:val="en-GB"/>
              </w:rPr>
              <w:t>Year</w:t>
            </w:r>
          </w:p>
        </w:tc>
        <w:tc>
          <w:tcPr>
            <w:tcW w:w="1860" w:type="dxa"/>
          </w:tcPr>
          <w:p w14:paraId="76E97752" w14:textId="2BE22D5E"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1200" w:type="dxa"/>
          </w:tcPr>
          <w:p w14:paraId="6B2E90FA" w14:textId="77CBC536"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        £</w:t>
            </w:r>
          </w:p>
        </w:tc>
        <w:tc>
          <w:tcPr>
            <w:tcW w:w="1335" w:type="dxa"/>
          </w:tcPr>
          <w:p w14:paraId="0A611DF5" w14:textId="7058545A"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Discount Factor @ 7% £</w:t>
            </w:r>
          </w:p>
        </w:tc>
        <w:tc>
          <w:tcPr>
            <w:tcW w:w="1320" w:type="dxa"/>
          </w:tcPr>
          <w:p w14:paraId="6D99F8F2" w14:textId="715165CF"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Present Value</w:t>
            </w:r>
          </w:p>
          <w:p w14:paraId="6CF37D88" w14:textId="12A7AAA5"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p w14:paraId="3A14CCC7" w14:textId="3540B55A"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c>
          <w:tcPr>
            <w:tcW w:w="270" w:type="dxa"/>
          </w:tcPr>
          <w:p w14:paraId="6161DBA3" w14:textId="79FEFFD7"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tc>
        <w:tc>
          <w:tcPr>
            <w:tcW w:w="1604" w:type="dxa"/>
          </w:tcPr>
          <w:p w14:paraId="7BC11320" w14:textId="2E55B563"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Discount Factor @ 20% </w:t>
            </w:r>
          </w:p>
        </w:tc>
        <w:tc>
          <w:tcPr>
            <w:tcW w:w="1432" w:type="dxa"/>
          </w:tcPr>
          <w:p w14:paraId="0631DCA9" w14:textId="715165CF"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Present Value</w:t>
            </w:r>
          </w:p>
          <w:p w14:paraId="31938BC4" w14:textId="12A7AAA5"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p w14:paraId="40E484B1" w14:textId="3540B55A"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r>
      <w:tr w:rsidR="5C7EFC97" w14:paraId="7C67E8C3"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2A2CA0E5" w14:textId="744463CF" w:rsidR="5C7EFC97" w:rsidRDefault="6395FD93" w:rsidP="6395FD93">
            <w:pPr>
              <w:rPr>
                <w:sz w:val="24"/>
                <w:szCs w:val="24"/>
                <w:lang w:val="en-GB"/>
              </w:rPr>
            </w:pPr>
            <w:r w:rsidRPr="6395FD93">
              <w:rPr>
                <w:sz w:val="24"/>
                <w:szCs w:val="24"/>
                <w:lang w:val="en-GB"/>
              </w:rPr>
              <w:t>0</w:t>
            </w:r>
          </w:p>
        </w:tc>
        <w:tc>
          <w:tcPr>
            <w:tcW w:w="1860" w:type="dxa"/>
          </w:tcPr>
          <w:p w14:paraId="342E221D" w14:textId="3E6104FC"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Initial Investment</w:t>
            </w:r>
          </w:p>
        </w:tc>
        <w:tc>
          <w:tcPr>
            <w:tcW w:w="1200" w:type="dxa"/>
          </w:tcPr>
          <w:p w14:paraId="53C6156C" w14:textId="12D14021"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c>
          <w:tcPr>
            <w:tcW w:w="1335" w:type="dxa"/>
          </w:tcPr>
          <w:p w14:paraId="5B2BDB5E" w14:textId="250CB1A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w:t>
            </w:r>
          </w:p>
        </w:tc>
        <w:tc>
          <w:tcPr>
            <w:tcW w:w="1320" w:type="dxa"/>
          </w:tcPr>
          <w:p w14:paraId="257E652E" w14:textId="7C155D5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c>
          <w:tcPr>
            <w:tcW w:w="270" w:type="dxa"/>
          </w:tcPr>
          <w:p w14:paraId="29B96E09" w14:textId="349939D8"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7EF744D2" w14:textId="0D8E34AE" w:rsidR="5C7EFC97" w:rsidRDefault="6395FD93" w:rsidP="6395FD93">
            <w:pPr>
              <w:spacing w:after="120" w:line="259"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w:t>
            </w:r>
          </w:p>
        </w:tc>
        <w:tc>
          <w:tcPr>
            <w:tcW w:w="1432" w:type="dxa"/>
          </w:tcPr>
          <w:p w14:paraId="1817A876" w14:textId="5B51686A"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-160,000</w:t>
            </w:r>
          </w:p>
        </w:tc>
      </w:tr>
      <w:tr w:rsidR="5C7EFC97" w14:paraId="2321B041"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631E54BD" w14:textId="46145488" w:rsidR="5C7EFC97" w:rsidRDefault="6395FD93" w:rsidP="6395FD93">
            <w:pPr>
              <w:rPr>
                <w:sz w:val="24"/>
                <w:szCs w:val="24"/>
                <w:lang w:val="en-GB"/>
              </w:rPr>
            </w:pPr>
            <w:r w:rsidRPr="6395FD93">
              <w:rPr>
                <w:sz w:val="24"/>
                <w:szCs w:val="24"/>
                <w:lang w:val="en-GB"/>
              </w:rPr>
              <w:t>1</w:t>
            </w:r>
          </w:p>
        </w:tc>
        <w:tc>
          <w:tcPr>
            <w:tcW w:w="1860" w:type="dxa"/>
          </w:tcPr>
          <w:p w14:paraId="6AF3C240" w14:textId="720F3440"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200" w:type="dxa"/>
          </w:tcPr>
          <w:p w14:paraId="535268BD" w14:textId="3818A561"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335" w:type="dxa"/>
          </w:tcPr>
          <w:p w14:paraId="68BA1086" w14:textId="32D98B8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0.935</w:t>
            </w:r>
          </w:p>
        </w:tc>
        <w:tc>
          <w:tcPr>
            <w:tcW w:w="1320" w:type="dxa"/>
          </w:tcPr>
          <w:p w14:paraId="43991288" w14:textId="22EB9C73"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42075</w:t>
            </w:r>
          </w:p>
        </w:tc>
        <w:tc>
          <w:tcPr>
            <w:tcW w:w="270" w:type="dxa"/>
          </w:tcPr>
          <w:p w14:paraId="30F9DF41" w14:textId="7A3B42F9"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4E4B7C3C" w14:textId="61F2E245"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0.833</w:t>
            </w:r>
          </w:p>
        </w:tc>
        <w:tc>
          <w:tcPr>
            <w:tcW w:w="1432" w:type="dxa"/>
          </w:tcPr>
          <w:p w14:paraId="5C85264B" w14:textId="09BBC1A7"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37485</w:t>
            </w:r>
          </w:p>
        </w:tc>
      </w:tr>
      <w:tr w:rsidR="5C7EFC97" w14:paraId="38FDC9FF"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4009974F" w14:textId="471F8599" w:rsidR="5C7EFC97" w:rsidRDefault="6395FD93" w:rsidP="6395FD93">
            <w:pPr>
              <w:rPr>
                <w:sz w:val="24"/>
                <w:szCs w:val="24"/>
                <w:lang w:val="en-GB"/>
              </w:rPr>
            </w:pPr>
            <w:r w:rsidRPr="6395FD93">
              <w:rPr>
                <w:sz w:val="24"/>
                <w:szCs w:val="24"/>
                <w:lang w:val="en-GB"/>
              </w:rPr>
              <w:t>2</w:t>
            </w:r>
          </w:p>
        </w:tc>
        <w:tc>
          <w:tcPr>
            <w:tcW w:w="1860" w:type="dxa"/>
          </w:tcPr>
          <w:p w14:paraId="0EB6F26B" w14:textId="62EA174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Infow</w:t>
            </w:r>
          </w:p>
        </w:tc>
        <w:tc>
          <w:tcPr>
            <w:tcW w:w="1200" w:type="dxa"/>
          </w:tcPr>
          <w:p w14:paraId="33FE67EB" w14:textId="007EDC4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335" w:type="dxa"/>
          </w:tcPr>
          <w:p w14:paraId="2926855F" w14:textId="6788403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0.873</w:t>
            </w:r>
          </w:p>
        </w:tc>
        <w:tc>
          <w:tcPr>
            <w:tcW w:w="1320" w:type="dxa"/>
          </w:tcPr>
          <w:p w14:paraId="3F2E7E26" w14:textId="79B754D0"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39285</w:t>
            </w:r>
          </w:p>
        </w:tc>
        <w:tc>
          <w:tcPr>
            <w:tcW w:w="270" w:type="dxa"/>
          </w:tcPr>
          <w:p w14:paraId="11EDE0CF" w14:textId="3B58547C"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6078E770" w14:textId="4F817F21"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0.694</w:t>
            </w:r>
          </w:p>
        </w:tc>
        <w:tc>
          <w:tcPr>
            <w:tcW w:w="1432" w:type="dxa"/>
          </w:tcPr>
          <w:p w14:paraId="4639E2DE" w14:textId="1A0C71B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31230</w:t>
            </w:r>
          </w:p>
        </w:tc>
      </w:tr>
      <w:tr w:rsidR="5C7EFC97" w14:paraId="01DDF149"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11011D73" w14:textId="4E6C0A02" w:rsidR="5C7EFC97" w:rsidRDefault="6395FD93" w:rsidP="6395FD93">
            <w:pPr>
              <w:rPr>
                <w:sz w:val="24"/>
                <w:szCs w:val="24"/>
                <w:lang w:val="en-GB"/>
              </w:rPr>
            </w:pPr>
            <w:r w:rsidRPr="6395FD93">
              <w:rPr>
                <w:sz w:val="24"/>
                <w:szCs w:val="24"/>
                <w:lang w:val="en-GB"/>
              </w:rPr>
              <w:t>3</w:t>
            </w:r>
          </w:p>
        </w:tc>
        <w:tc>
          <w:tcPr>
            <w:tcW w:w="1860" w:type="dxa"/>
          </w:tcPr>
          <w:p w14:paraId="1F07105F" w14:textId="7E0E907C"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Infow</w:t>
            </w:r>
          </w:p>
        </w:tc>
        <w:tc>
          <w:tcPr>
            <w:tcW w:w="1200" w:type="dxa"/>
          </w:tcPr>
          <w:p w14:paraId="6F6B6666" w14:textId="22AD055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335" w:type="dxa"/>
          </w:tcPr>
          <w:p w14:paraId="20270402" w14:textId="66324EC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0.816</w:t>
            </w:r>
          </w:p>
        </w:tc>
        <w:tc>
          <w:tcPr>
            <w:tcW w:w="1320" w:type="dxa"/>
          </w:tcPr>
          <w:p w14:paraId="0D874CE2" w14:textId="511A355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36720</w:t>
            </w:r>
          </w:p>
        </w:tc>
        <w:tc>
          <w:tcPr>
            <w:tcW w:w="270" w:type="dxa"/>
          </w:tcPr>
          <w:p w14:paraId="4F6229DA" w14:textId="7B59CD5E"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11D80859" w14:textId="23BD645D"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0.579</w:t>
            </w:r>
          </w:p>
        </w:tc>
        <w:tc>
          <w:tcPr>
            <w:tcW w:w="1432" w:type="dxa"/>
          </w:tcPr>
          <w:p w14:paraId="7B3C86E5" w14:textId="3B95C6B8"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26055</w:t>
            </w:r>
          </w:p>
        </w:tc>
      </w:tr>
      <w:tr w:rsidR="5C7EFC97" w14:paraId="2C08E82A"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6E118140" w14:textId="082389C8" w:rsidR="5C7EFC97" w:rsidRDefault="6395FD93" w:rsidP="6395FD93">
            <w:pPr>
              <w:rPr>
                <w:sz w:val="24"/>
                <w:szCs w:val="24"/>
                <w:lang w:val="en-GB"/>
              </w:rPr>
            </w:pPr>
            <w:r w:rsidRPr="6395FD93">
              <w:rPr>
                <w:sz w:val="24"/>
                <w:szCs w:val="24"/>
                <w:lang w:val="en-GB"/>
              </w:rPr>
              <w:t>4</w:t>
            </w:r>
          </w:p>
        </w:tc>
        <w:tc>
          <w:tcPr>
            <w:tcW w:w="1860" w:type="dxa"/>
          </w:tcPr>
          <w:p w14:paraId="7DB7C66D" w14:textId="6854558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Infow</w:t>
            </w:r>
          </w:p>
        </w:tc>
        <w:tc>
          <w:tcPr>
            <w:tcW w:w="1200" w:type="dxa"/>
          </w:tcPr>
          <w:p w14:paraId="32959A3A" w14:textId="151661C2"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335" w:type="dxa"/>
          </w:tcPr>
          <w:p w14:paraId="5549DBA5" w14:textId="38C2B2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0.763</w:t>
            </w:r>
          </w:p>
        </w:tc>
        <w:tc>
          <w:tcPr>
            <w:tcW w:w="1320" w:type="dxa"/>
          </w:tcPr>
          <w:p w14:paraId="5611AA7A" w14:textId="13456631"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34335</w:t>
            </w:r>
          </w:p>
        </w:tc>
        <w:tc>
          <w:tcPr>
            <w:tcW w:w="270" w:type="dxa"/>
          </w:tcPr>
          <w:p w14:paraId="38190F1B" w14:textId="50C4B58C"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4EB24ED0" w14:textId="323FBF6F"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0.482</w:t>
            </w:r>
          </w:p>
        </w:tc>
        <w:tc>
          <w:tcPr>
            <w:tcW w:w="1432" w:type="dxa"/>
          </w:tcPr>
          <w:p w14:paraId="4776ED60" w14:textId="447830B5"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21690</w:t>
            </w:r>
          </w:p>
        </w:tc>
      </w:tr>
      <w:tr w:rsidR="5C7EFC97" w14:paraId="031B424E"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63350F96" w14:textId="683F248E" w:rsidR="5C7EFC97" w:rsidRDefault="6395FD93" w:rsidP="6395FD93">
            <w:pPr>
              <w:rPr>
                <w:sz w:val="24"/>
                <w:szCs w:val="24"/>
                <w:lang w:val="en-GB"/>
              </w:rPr>
            </w:pPr>
            <w:r w:rsidRPr="6395FD93">
              <w:rPr>
                <w:sz w:val="24"/>
                <w:szCs w:val="24"/>
                <w:lang w:val="en-GB"/>
              </w:rPr>
              <w:t>5</w:t>
            </w:r>
          </w:p>
        </w:tc>
        <w:tc>
          <w:tcPr>
            <w:tcW w:w="1860" w:type="dxa"/>
          </w:tcPr>
          <w:p w14:paraId="78E72928" w14:textId="03DEB74C"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Infow</w:t>
            </w:r>
          </w:p>
        </w:tc>
        <w:tc>
          <w:tcPr>
            <w:tcW w:w="1200" w:type="dxa"/>
          </w:tcPr>
          <w:p w14:paraId="1ABD2666" w14:textId="6CFC3DE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335" w:type="dxa"/>
          </w:tcPr>
          <w:p w14:paraId="0F1C8778" w14:textId="10EBC1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0.713</w:t>
            </w:r>
          </w:p>
        </w:tc>
        <w:tc>
          <w:tcPr>
            <w:tcW w:w="1320" w:type="dxa"/>
          </w:tcPr>
          <w:p w14:paraId="26078E07" w14:textId="45E711EF"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32085</w:t>
            </w:r>
          </w:p>
        </w:tc>
        <w:tc>
          <w:tcPr>
            <w:tcW w:w="270" w:type="dxa"/>
          </w:tcPr>
          <w:p w14:paraId="0C71F3FB" w14:textId="270524B2"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79F6F2B2" w14:textId="67CC121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0.402</w:t>
            </w:r>
          </w:p>
        </w:tc>
        <w:tc>
          <w:tcPr>
            <w:tcW w:w="1432" w:type="dxa"/>
          </w:tcPr>
          <w:p w14:paraId="0F422359" w14:textId="61EEFF68"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18090</w:t>
            </w:r>
          </w:p>
        </w:tc>
      </w:tr>
      <w:tr w:rsidR="5C7EFC97" w14:paraId="2E9A6514"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73C88162" w14:textId="42F18F0C" w:rsidR="5C7EFC97" w:rsidRDefault="6395FD93" w:rsidP="6395FD93">
            <w:pPr>
              <w:rPr>
                <w:sz w:val="24"/>
                <w:szCs w:val="24"/>
                <w:lang w:val="en-GB"/>
              </w:rPr>
            </w:pPr>
            <w:r w:rsidRPr="6395FD93">
              <w:rPr>
                <w:sz w:val="24"/>
                <w:szCs w:val="24"/>
                <w:lang w:val="en-GB"/>
              </w:rPr>
              <w:t>6</w:t>
            </w:r>
          </w:p>
        </w:tc>
        <w:tc>
          <w:tcPr>
            <w:tcW w:w="1860" w:type="dxa"/>
          </w:tcPr>
          <w:p w14:paraId="64EA3B80" w14:textId="7DDF7D38"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Infow</w:t>
            </w:r>
          </w:p>
        </w:tc>
        <w:tc>
          <w:tcPr>
            <w:tcW w:w="1200" w:type="dxa"/>
          </w:tcPr>
          <w:p w14:paraId="427A8962" w14:textId="7971356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1335" w:type="dxa"/>
          </w:tcPr>
          <w:p w14:paraId="2AD91EEA" w14:textId="055D990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1320" w:type="dxa"/>
          </w:tcPr>
          <w:p w14:paraId="2FA89D41" w14:textId="0E9AA875"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29970</w:t>
            </w:r>
          </w:p>
        </w:tc>
        <w:tc>
          <w:tcPr>
            <w:tcW w:w="270" w:type="dxa"/>
          </w:tcPr>
          <w:p w14:paraId="0F4CC354" w14:textId="1B7F6B0E"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0015279E" w14:textId="1514FF62"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0.335</w:t>
            </w:r>
          </w:p>
        </w:tc>
        <w:tc>
          <w:tcPr>
            <w:tcW w:w="1432" w:type="dxa"/>
          </w:tcPr>
          <w:p w14:paraId="1BC4D322" w14:textId="06340A8A"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15075</w:t>
            </w:r>
          </w:p>
        </w:tc>
      </w:tr>
      <w:tr w:rsidR="5C7EFC97" w14:paraId="289B744F"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30399BED" w14:textId="346122A8" w:rsidR="5C7EFC97" w:rsidRDefault="6395FD93" w:rsidP="6395FD93">
            <w:pPr>
              <w:rPr>
                <w:sz w:val="24"/>
                <w:szCs w:val="24"/>
                <w:lang w:val="en-GB"/>
              </w:rPr>
            </w:pPr>
            <w:r w:rsidRPr="6395FD93">
              <w:rPr>
                <w:sz w:val="24"/>
                <w:szCs w:val="24"/>
                <w:lang w:val="en-GB"/>
              </w:rPr>
              <w:t>6</w:t>
            </w:r>
          </w:p>
        </w:tc>
        <w:tc>
          <w:tcPr>
            <w:tcW w:w="1860" w:type="dxa"/>
          </w:tcPr>
          <w:p w14:paraId="3FDB7089" w14:textId="78944B4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1200" w:type="dxa"/>
          </w:tcPr>
          <w:p w14:paraId="493CD75E" w14:textId="51D1C76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20,000</w:t>
            </w:r>
          </w:p>
        </w:tc>
        <w:tc>
          <w:tcPr>
            <w:tcW w:w="1335" w:type="dxa"/>
          </w:tcPr>
          <w:p w14:paraId="7FEC415F" w14:textId="50E7D87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1320" w:type="dxa"/>
          </w:tcPr>
          <w:p w14:paraId="40631E1A" w14:textId="13162E3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13320</w:t>
            </w:r>
          </w:p>
        </w:tc>
        <w:tc>
          <w:tcPr>
            <w:tcW w:w="270" w:type="dxa"/>
          </w:tcPr>
          <w:p w14:paraId="0148B189" w14:textId="4E4B1AFD"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3D527E6F" w14:textId="416FD87E"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0.335</w:t>
            </w:r>
          </w:p>
        </w:tc>
        <w:tc>
          <w:tcPr>
            <w:tcW w:w="1432" w:type="dxa"/>
          </w:tcPr>
          <w:p w14:paraId="684618FD" w14:textId="307A40EA"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6700</w:t>
            </w:r>
          </w:p>
        </w:tc>
      </w:tr>
      <w:tr w:rsidR="5C7EFC97" w14:paraId="3B595D6D"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6B8E4AA7" w14:textId="7EDB96C9" w:rsidR="5C7EFC97" w:rsidRDefault="5C7EFC97" w:rsidP="5C7EFC97">
            <w:pPr>
              <w:rPr>
                <w:sz w:val="24"/>
                <w:szCs w:val="24"/>
                <w:lang w:val="en-GB"/>
              </w:rPr>
            </w:pPr>
          </w:p>
        </w:tc>
        <w:tc>
          <w:tcPr>
            <w:tcW w:w="1860" w:type="dxa"/>
          </w:tcPr>
          <w:p w14:paraId="08967E8B" w14:textId="5BE52694"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200" w:type="dxa"/>
          </w:tcPr>
          <w:p w14:paraId="4C4DE3E0" w14:textId="7EC94115"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335" w:type="dxa"/>
          </w:tcPr>
          <w:p w14:paraId="5FF7045A" w14:textId="0329AEF2"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NPV</w:t>
            </w:r>
          </w:p>
        </w:tc>
        <w:tc>
          <w:tcPr>
            <w:tcW w:w="1320" w:type="dxa"/>
          </w:tcPr>
          <w:p w14:paraId="608DDFE2" w14:textId="40416F4E"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67790</w:t>
            </w:r>
          </w:p>
        </w:tc>
        <w:tc>
          <w:tcPr>
            <w:tcW w:w="270" w:type="dxa"/>
          </w:tcPr>
          <w:p w14:paraId="15BE1675" w14:textId="4BD0278E" w:rsidR="5C7EFC97" w:rsidRDefault="5C7EFC97" w:rsidP="5C7EFC97">
            <w:pPr>
              <w:cnfStyle w:val="000000000000" w:firstRow="0" w:lastRow="0" w:firstColumn="0" w:lastColumn="0" w:oddVBand="0" w:evenVBand="0" w:oddHBand="0" w:evenHBand="0" w:firstRowFirstColumn="0" w:firstRowLastColumn="0" w:lastRowFirstColumn="0" w:lastRowLastColumn="0"/>
              <w:rPr>
                <w:b/>
                <w:bCs/>
                <w:sz w:val="24"/>
                <w:szCs w:val="24"/>
                <w:lang w:val="en-GB"/>
              </w:rPr>
            </w:pPr>
          </w:p>
        </w:tc>
        <w:tc>
          <w:tcPr>
            <w:tcW w:w="1604" w:type="dxa"/>
          </w:tcPr>
          <w:p w14:paraId="39804B91" w14:textId="38A978AA"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NPV</w:t>
            </w:r>
          </w:p>
        </w:tc>
        <w:tc>
          <w:tcPr>
            <w:tcW w:w="1432" w:type="dxa"/>
          </w:tcPr>
          <w:p w14:paraId="6749A877" w14:textId="6DD6961B"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-3675</w:t>
            </w:r>
          </w:p>
        </w:tc>
      </w:tr>
    </w:tbl>
    <w:p w14:paraId="277F96D6" w14:textId="49F129B7" w:rsidR="5C7EFC97" w:rsidRDefault="5C7EFC97" w:rsidP="5C7EFC97">
      <w:pPr>
        <w:pStyle w:val="ListBullet"/>
        <w:numPr>
          <w:ilvl w:val="0"/>
          <w:numId w:val="0"/>
        </w:numPr>
        <w:rPr>
          <w:sz w:val="24"/>
          <w:szCs w:val="24"/>
          <w:lang w:val="en-GB"/>
        </w:rPr>
      </w:pPr>
    </w:p>
    <w:p w14:paraId="77654EA9" w14:textId="2CC9154C" w:rsidR="5C7EFC97" w:rsidRDefault="6395FD93" w:rsidP="6395FD93">
      <w:pPr>
        <w:pStyle w:val="ListBullet"/>
        <w:numPr>
          <w:ilvl w:val="0"/>
          <w:numId w:val="0"/>
        </w:numPr>
        <w:rPr>
          <w:sz w:val="24"/>
          <w:szCs w:val="24"/>
          <w:lang w:val="en-GB"/>
        </w:rPr>
      </w:pPr>
      <w:r w:rsidRPr="6395FD93">
        <w:rPr>
          <w:sz w:val="24"/>
          <w:szCs w:val="24"/>
          <w:lang w:val="en-GB"/>
        </w:rPr>
        <w:t>NPV@ 7% = 67790</w:t>
      </w:r>
    </w:p>
    <w:p w14:paraId="3BCB2F28" w14:textId="446FAA70" w:rsidR="3C0493CB" w:rsidRDefault="6395FD93" w:rsidP="6395FD93">
      <w:pPr>
        <w:pStyle w:val="ListBullet"/>
        <w:numPr>
          <w:ilvl w:val="0"/>
          <w:numId w:val="0"/>
        </w:numPr>
        <w:rPr>
          <w:sz w:val="24"/>
          <w:szCs w:val="24"/>
          <w:lang w:val="en-GB"/>
        </w:rPr>
      </w:pPr>
      <w:r w:rsidRPr="6395FD93">
        <w:rPr>
          <w:sz w:val="24"/>
          <w:szCs w:val="24"/>
          <w:lang w:val="en-GB"/>
        </w:rPr>
        <w:t>NPV@20%= -3675</w:t>
      </w:r>
    </w:p>
    <w:p w14:paraId="03A1162F" w14:textId="55C3E6D4" w:rsidR="3C0493CB" w:rsidRDefault="6395FD93" w:rsidP="6395FD93">
      <w:pPr>
        <w:pStyle w:val="ListBullet"/>
        <w:numPr>
          <w:ilvl w:val="0"/>
          <w:numId w:val="0"/>
        </w:numPr>
        <w:rPr>
          <w:sz w:val="24"/>
          <w:szCs w:val="24"/>
          <w:lang w:val="en-GB"/>
        </w:rPr>
      </w:pPr>
      <w:r w:rsidRPr="6395FD93">
        <w:rPr>
          <w:sz w:val="24"/>
          <w:szCs w:val="24"/>
          <w:lang w:val="en-GB"/>
        </w:rPr>
        <w:t>Lower DR = 7</w:t>
      </w:r>
    </w:p>
    <w:p w14:paraId="676C147A" w14:textId="17506FBB" w:rsidR="3C0493CB" w:rsidRDefault="6395FD93" w:rsidP="6395FD93">
      <w:pPr>
        <w:pStyle w:val="ListBullet"/>
        <w:numPr>
          <w:ilvl w:val="0"/>
          <w:numId w:val="0"/>
        </w:numPr>
        <w:rPr>
          <w:sz w:val="24"/>
          <w:szCs w:val="24"/>
          <w:lang w:val="en-GB"/>
        </w:rPr>
      </w:pPr>
      <w:r w:rsidRPr="6395FD93">
        <w:rPr>
          <w:sz w:val="24"/>
          <w:szCs w:val="24"/>
          <w:lang w:val="en-GB"/>
        </w:rPr>
        <w:t>Higher DR = 20</w:t>
      </w:r>
    </w:p>
    <w:p w14:paraId="2E293B9E" w14:textId="0E086E94" w:rsidR="3C0493CB" w:rsidRDefault="6395FD93" w:rsidP="6395FD93">
      <w:pPr>
        <w:pStyle w:val="ListBullet"/>
        <w:numPr>
          <w:ilvl w:val="0"/>
          <w:numId w:val="0"/>
        </w:numPr>
        <w:rPr>
          <w:sz w:val="24"/>
          <w:szCs w:val="24"/>
          <w:lang w:val="en-GB"/>
        </w:rPr>
      </w:pPr>
      <w:r w:rsidRPr="6395FD93">
        <w:rPr>
          <w:sz w:val="24"/>
          <w:szCs w:val="24"/>
          <w:lang w:val="en-GB"/>
        </w:rPr>
        <w:t xml:space="preserve">IRR = 7 +    </w:t>
      </w:r>
      <w:r w:rsidRPr="6395FD93">
        <w:rPr>
          <w:sz w:val="24"/>
          <w:szCs w:val="24"/>
          <w:u w:val="single"/>
          <w:lang w:val="en-GB"/>
        </w:rPr>
        <w:t>( 67790         )</w:t>
      </w:r>
      <w:r w:rsidRPr="6395FD93">
        <w:rPr>
          <w:sz w:val="24"/>
          <w:szCs w:val="24"/>
          <w:lang w:val="en-GB"/>
        </w:rPr>
        <w:t xml:space="preserve">        (20 – 7)</w:t>
      </w:r>
    </w:p>
    <w:p w14:paraId="275251AF" w14:textId="50D88DC2" w:rsidR="3C0493CB" w:rsidRDefault="6395FD93" w:rsidP="6395FD93">
      <w:pPr>
        <w:pStyle w:val="ListBullet"/>
        <w:numPr>
          <w:ilvl w:val="0"/>
          <w:numId w:val="0"/>
        </w:numPr>
        <w:rPr>
          <w:sz w:val="24"/>
          <w:szCs w:val="24"/>
          <w:lang w:val="en-GB"/>
        </w:rPr>
      </w:pPr>
      <w:r w:rsidRPr="6395FD93">
        <w:rPr>
          <w:sz w:val="24"/>
          <w:szCs w:val="24"/>
          <w:lang w:val="en-GB"/>
        </w:rPr>
        <w:t xml:space="preserve">                   67790- - 3675</w:t>
      </w:r>
    </w:p>
    <w:p w14:paraId="001AFA6A" w14:textId="0D0B9A56" w:rsidR="3C0493CB" w:rsidRDefault="6395FD93" w:rsidP="6395FD93">
      <w:pPr>
        <w:pStyle w:val="ListBullet"/>
        <w:numPr>
          <w:ilvl w:val="0"/>
          <w:numId w:val="0"/>
        </w:numPr>
        <w:rPr>
          <w:sz w:val="24"/>
          <w:szCs w:val="24"/>
          <w:lang w:val="en-GB"/>
        </w:rPr>
      </w:pPr>
      <w:r w:rsidRPr="6395FD93">
        <w:rPr>
          <w:sz w:val="24"/>
          <w:szCs w:val="24"/>
          <w:lang w:val="en-GB"/>
        </w:rPr>
        <w:t>IRR = 7 + 12.33</w:t>
      </w:r>
    </w:p>
    <w:p w14:paraId="47127892" w14:textId="2818CFAD" w:rsidR="3C0493CB" w:rsidRDefault="6395FD93" w:rsidP="6395FD93">
      <w:pPr>
        <w:pStyle w:val="ListBullet"/>
        <w:numPr>
          <w:ilvl w:val="0"/>
          <w:numId w:val="0"/>
        </w:numPr>
        <w:rPr>
          <w:b/>
          <w:bCs/>
          <w:sz w:val="24"/>
          <w:szCs w:val="24"/>
          <w:u w:val="single"/>
          <w:lang w:val="en-GB"/>
        </w:rPr>
      </w:pPr>
      <w:r w:rsidRPr="6395FD93">
        <w:rPr>
          <w:b/>
          <w:bCs/>
          <w:sz w:val="24"/>
          <w:szCs w:val="24"/>
          <w:u w:val="single"/>
          <w:lang w:val="en-GB"/>
        </w:rPr>
        <w:t>IRR = 19.33%</w:t>
      </w:r>
    </w:p>
    <w:p w14:paraId="061BA54B" w14:textId="2658E29B" w:rsidR="3C0493CB" w:rsidRDefault="3C0493CB" w:rsidP="3C0493CB">
      <w:pPr>
        <w:pStyle w:val="ListBullet"/>
        <w:numPr>
          <w:ilvl w:val="0"/>
          <w:numId w:val="0"/>
        </w:numPr>
        <w:rPr>
          <w:b/>
          <w:bCs/>
          <w:sz w:val="24"/>
          <w:szCs w:val="24"/>
          <w:u w:val="single"/>
          <w:lang w:val="en-GB"/>
        </w:rPr>
      </w:pPr>
    </w:p>
    <w:p w14:paraId="13735ED0" w14:textId="77777777" w:rsidR="00415895" w:rsidRDefault="00415895" w:rsidP="6395FD93">
      <w:pPr>
        <w:pStyle w:val="ListBullet"/>
        <w:numPr>
          <w:ilvl w:val="0"/>
          <w:numId w:val="0"/>
        </w:numPr>
        <w:rPr>
          <w:b/>
          <w:bCs/>
          <w:sz w:val="24"/>
          <w:szCs w:val="24"/>
          <w:u w:val="single"/>
          <w:lang w:val="en-GB"/>
        </w:rPr>
      </w:pPr>
    </w:p>
    <w:p w14:paraId="25148362" w14:textId="77777777" w:rsidR="00415895" w:rsidRDefault="00415895" w:rsidP="6395FD93">
      <w:pPr>
        <w:pStyle w:val="ListBullet"/>
        <w:numPr>
          <w:ilvl w:val="0"/>
          <w:numId w:val="0"/>
        </w:numPr>
        <w:rPr>
          <w:b/>
          <w:bCs/>
          <w:sz w:val="24"/>
          <w:szCs w:val="24"/>
          <w:u w:val="single"/>
          <w:lang w:val="en-GB"/>
        </w:rPr>
      </w:pPr>
    </w:p>
    <w:p w14:paraId="679E22EB" w14:textId="77777777" w:rsidR="00415895" w:rsidRDefault="00415895" w:rsidP="6395FD93">
      <w:pPr>
        <w:pStyle w:val="ListBullet"/>
        <w:numPr>
          <w:ilvl w:val="0"/>
          <w:numId w:val="0"/>
        </w:numPr>
        <w:rPr>
          <w:b/>
          <w:bCs/>
          <w:sz w:val="24"/>
          <w:szCs w:val="24"/>
          <w:u w:val="single"/>
          <w:lang w:val="en-GB"/>
        </w:rPr>
      </w:pPr>
    </w:p>
    <w:p w14:paraId="50D0965F" w14:textId="77777777" w:rsidR="00415895" w:rsidRDefault="00415895" w:rsidP="6395FD93">
      <w:pPr>
        <w:pStyle w:val="ListBullet"/>
        <w:numPr>
          <w:ilvl w:val="0"/>
          <w:numId w:val="0"/>
        </w:numPr>
        <w:rPr>
          <w:b/>
          <w:bCs/>
          <w:sz w:val="24"/>
          <w:szCs w:val="24"/>
          <w:u w:val="single"/>
          <w:lang w:val="en-GB"/>
        </w:rPr>
      </w:pPr>
    </w:p>
    <w:p w14:paraId="04334D1F" w14:textId="77777777" w:rsidR="00415895" w:rsidRDefault="00415895" w:rsidP="6395FD93">
      <w:pPr>
        <w:pStyle w:val="ListBullet"/>
        <w:numPr>
          <w:ilvl w:val="0"/>
          <w:numId w:val="0"/>
        </w:numPr>
        <w:rPr>
          <w:b/>
          <w:bCs/>
          <w:sz w:val="24"/>
          <w:szCs w:val="24"/>
          <w:u w:val="single"/>
          <w:lang w:val="en-GB"/>
        </w:rPr>
      </w:pPr>
    </w:p>
    <w:p w14:paraId="19D13506" w14:textId="77777777" w:rsidR="00415895" w:rsidRDefault="00415895" w:rsidP="6395FD93">
      <w:pPr>
        <w:pStyle w:val="ListBullet"/>
        <w:numPr>
          <w:ilvl w:val="0"/>
          <w:numId w:val="0"/>
        </w:numPr>
        <w:rPr>
          <w:b/>
          <w:bCs/>
          <w:sz w:val="24"/>
          <w:szCs w:val="24"/>
          <w:u w:val="single"/>
          <w:lang w:val="en-GB"/>
        </w:rPr>
      </w:pPr>
    </w:p>
    <w:p w14:paraId="2069D0F1" w14:textId="77777777" w:rsidR="00415895" w:rsidRDefault="00415895" w:rsidP="6395FD93">
      <w:pPr>
        <w:pStyle w:val="ListBullet"/>
        <w:numPr>
          <w:ilvl w:val="0"/>
          <w:numId w:val="0"/>
        </w:numPr>
        <w:rPr>
          <w:b/>
          <w:bCs/>
          <w:sz w:val="24"/>
          <w:szCs w:val="24"/>
          <w:u w:val="single"/>
          <w:lang w:val="en-GB"/>
        </w:rPr>
      </w:pPr>
    </w:p>
    <w:p w14:paraId="20A51A3A" w14:textId="77777777" w:rsidR="00415895" w:rsidRDefault="00415895" w:rsidP="6395FD93">
      <w:pPr>
        <w:pStyle w:val="ListBullet"/>
        <w:numPr>
          <w:ilvl w:val="0"/>
          <w:numId w:val="0"/>
        </w:numPr>
        <w:rPr>
          <w:b/>
          <w:bCs/>
          <w:sz w:val="24"/>
          <w:szCs w:val="24"/>
          <w:u w:val="single"/>
          <w:lang w:val="en-GB"/>
        </w:rPr>
      </w:pPr>
    </w:p>
    <w:p w14:paraId="40A10304" w14:textId="738717B3"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lastRenderedPageBreak/>
        <w:t>Project B</w:t>
      </w:r>
    </w:p>
    <w:p w14:paraId="3E1272C1" w14:textId="6E95271F" w:rsidR="5C7EFC97" w:rsidRDefault="6395FD93" w:rsidP="6395FD93">
      <w:pPr>
        <w:pStyle w:val="ListBullet"/>
        <w:numPr>
          <w:ilvl w:val="0"/>
          <w:numId w:val="0"/>
        </w:numPr>
        <w:rPr>
          <w:b/>
          <w:bCs/>
          <w:sz w:val="24"/>
          <w:szCs w:val="24"/>
          <w:u w:val="single"/>
          <w:lang w:val="en-GB"/>
        </w:rPr>
      </w:pPr>
      <w:r w:rsidRPr="6395FD93">
        <w:rPr>
          <w:b/>
          <w:bCs/>
          <w:sz w:val="24"/>
          <w:szCs w:val="24"/>
          <w:u w:val="single"/>
          <w:lang w:val="en-GB"/>
        </w:rPr>
        <w:t>IRR CALCULATION</w:t>
      </w:r>
    </w:p>
    <w:tbl>
      <w:tblPr>
        <w:tblStyle w:val="GridTable1Light-Accent1"/>
        <w:tblW w:w="0" w:type="auto"/>
        <w:tblLook w:val="04A0" w:firstRow="1" w:lastRow="0" w:firstColumn="1" w:lastColumn="0" w:noHBand="0" w:noVBand="1"/>
      </w:tblPr>
      <w:tblGrid>
        <w:gridCol w:w="737"/>
        <w:gridCol w:w="1550"/>
        <w:gridCol w:w="1341"/>
        <w:gridCol w:w="1414"/>
        <w:gridCol w:w="1291"/>
        <w:gridCol w:w="264"/>
        <w:gridCol w:w="1557"/>
        <w:gridCol w:w="1376"/>
      </w:tblGrid>
      <w:tr w:rsidR="5C7EFC97" w14:paraId="4A7E858F" w14:textId="77777777" w:rsidTr="6395FD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1" w:type="dxa"/>
          </w:tcPr>
          <w:p w14:paraId="2EC2D576" w14:textId="0FADA837" w:rsidR="5C7EFC97" w:rsidRDefault="6395FD93" w:rsidP="6395FD93">
            <w:pPr>
              <w:rPr>
                <w:sz w:val="24"/>
                <w:szCs w:val="24"/>
                <w:lang w:val="en-GB"/>
              </w:rPr>
            </w:pPr>
            <w:r w:rsidRPr="6395FD93">
              <w:rPr>
                <w:sz w:val="24"/>
                <w:szCs w:val="24"/>
                <w:lang w:val="en-GB"/>
              </w:rPr>
              <w:t>Year</w:t>
            </w:r>
          </w:p>
        </w:tc>
        <w:tc>
          <w:tcPr>
            <w:tcW w:w="1575" w:type="dxa"/>
          </w:tcPr>
          <w:p w14:paraId="3033D754" w14:textId="2BE22D5E"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1380" w:type="dxa"/>
          </w:tcPr>
          <w:p w14:paraId="4E4DA81D" w14:textId="77CBC536"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        £</w:t>
            </w:r>
          </w:p>
        </w:tc>
        <w:tc>
          <w:tcPr>
            <w:tcW w:w="1440" w:type="dxa"/>
          </w:tcPr>
          <w:p w14:paraId="70F6077A" w14:textId="7058545A"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Discount Factor @ 7% £</w:t>
            </w:r>
          </w:p>
        </w:tc>
        <w:tc>
          <w:tcPr>
            <w:tcW w:w="1320" w:type="dxa"/>
          </w:tcPr>
          <w:p w14:paraId="7DB25E1F" w14:textId="715165CF"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Present Value</w:t>
            </w:r>
          </w:p>
          <w:p w14:paraId="24C498BC" w14:textId="12A7AAA5"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p w14:paraId="1AC9C0C7" w14:textId="3540B55A"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c>
          <w:tcPr>
            <w:tcW w:w="270" w:type="dxa"/>
          </w:tcPr>
          <w:p w14:paraId="169300E4" w14:textId="79FEFFD7"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tc>
        <w:tc>
          <w:tcPr>
            <w:tcW w:w="1604" w:type="dxa"/>
          </w:tcPr>
          <w:p w14:paraId="5724A389" w14:textId="1219BAA8"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Discount Factor @ 17% </w:t>
            </w:r>
          </w:p>
        </w:tc>
        <w:tc>
          <w:tcPr>
            <w:tcW w:w="1418" w:type="dxa"/>
          </w:tcPr>
          <w:p w14:paraId="40906641" w14:textId="715165CF"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Present Value</w:t>
            </w:r>
          </w:p>
          <w:p w14:paraId="408C3862" w14:textId="12A7AAA5" w:rsidR="5C7EFC97" w:rsidRDefault="5C7EFC97" w:rsidP="5C7EFC97">
            <w:pPr>
              <w:cnfStyle w:val="100000000000" w:firstRow="1" w:lastRow="0" w:firstColumn="0" w:lastColumn="0" w:oddVBand="0" w:evenVBand="0" w:oddHBand="0" w:evenHBand="0" w:firstRowFirstColumn="0" w:firstRowLastColumn="0" w:lastRowFirstColumn="0" w:lastRowLastColumn="0"/>
              <w:rPr>
                <w:sz w:val="24"/>
                <w:szCs w:val="24"/>
                <w:lang w:val="en-GB"/>
              </w:rPr>
            </w:pPr>
          </w:p>
          <w:p w14:paraId="159902F9" w14:textId="3540B55A" w:rsidR="5C7EFC97" w:rsidRDefault="6395FD93" w:rsidP="6395FD93">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r>
      <w:tr w:rsidR="5C7EFC97" w14:paraId="054D6D71"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431F0D5C" w14:textId="744463CF" w:rsidR="5C7EFC97" w:rsidRDefault="6395FD93" w:rsidP="6395FD93">
            <w:pPr>
              <w:rPr>
                <w:sz w:val="24"/>
                <w:szCs w:val="24"/>
                <w:lang w:val="en-GB"/>
              </w:rPr>
            </w:pPr>
            <w:r w:rsidRPr="6395FD93">
              <w:rPr>
                <w:sz w:val="24"/>
                <w:szCs w:val="24"/>
                <w:lang w:val="en-GB"/>
              </w:rPr>
              <w:t>0</w:t>
            </w:r>
          </w:p>
        </w:tc>
        <w:tc>
          <w:tcPr>
            <w:tcW w:w="1575" w:type="dxa"/>
          </w:tcPr>
          <w:p w14:paraId="4C2A0DCF" w14:textId="3E6104FC"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Initial Investment</w:t>
            </w:r>
          </w:p>
        </w:tc>
        <w:tc>
          <w:tcPr>
            <w:tcW w:w="1380" w:type="dxa"/>
          </w:tcPr>
          <w:p w14:paraId="21626AFA" w14:textId="57BB258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c>
          <w:tcPr>
            <w:tcW w:w="1440" w:type="dxa"/>
          </w:tcPr>
          <w:p w14:paraId="2854AE0F" w14:textId="250CB1AB"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w:t>
            </w:r>
          </w:p>
        </w:tc>
        <w:tc>
          <w:tcPr>
            <w:tcW w:w="1320" w:type="dxa"/>
          </w:tcPr>
          <w:p w14:paraId="062E4234" w14:textId="14BC7BC7"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c>
          <w:tcPr>
            <w:tcW w:w="270" w:type="dxa"/>
          </w:tcPr>
          <w:p w14:paraId="78EF05A3" w14:textId="349939D8"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2E02CF8C" w14:textId="6594ED85"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w:t>
            </w:r>
          </w:p>
        </w:tc>
        <w:tc>
          <w:tcPr>
            <w:tcW w:w="1418" w:type="dxa"/>
          </w:tcPr>
          <w:p w14:paraId="730C0620" w14:textId="0B1798D1"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-220000</w:t>
            </w:r>
          </w:p>
        </w:tc>
      </w:tr>
      <w:tr w:rsidR="5C7EFC97" w14:paraId="74D8C906"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26F8DF8B" w14:textId="46145488" w:rsidR="5C7EFC97" w:rsidRDefault="6395FD93" w:rsidP="6395FD93">
            <w:pPr>
              <w:rPr>
                <w:sz w:val="24"/>
                <w:szCs w:val="24"/>
                <w:lang w:val="en-GB"/>
              </w:rPr>
            </w:pPr>
            <w:r w:rsidRPr="6395FD93">
              <w:rPr>
                <w:sz w:val="24"/>
                <w:szCs w:val="24"/>
                <w:lang w:val="en-GB"/>
              </w:rPr>
              <w:t>1</w:t>
            </w:r>
          </w:p>
        </w:tc>
        <w:tc>
          <w:tcPr>
            <w:tcW w:w="1575" w:type="dxa"/>
          </w:tcPr>
          <w:p w14:paraId="2AB4D877" w14:textId="18CC1D03"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380" w:type="dxa"/>
          </w:tcPr>
          <w:p w14:paraId="3FD92B36" w14:textId="1C7858D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440" w:type="dxa"/>
          </w:tcPr>
          <w:p w14:paraId="04444158" w14:textId="32D98B8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0.935</w:t>
            </w:r>
          </w:p>
        </w:tc>
        <w:tc>
          <w:tcPr>
            <w:tcW w:w="1320" w:type="dxa"/>
          </w:tcPr>
          <w:p w14:paraId="50C939AA" w14:textId="3A93AF41"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56100</w:t>
            </w:r>
          </w:p>
        </w:tc>
        <w:tc>
          <w:tcPr>
            <w:tcW w:w="270" w:type="dxa"/>
          </w:tcPr>
          <w:p w14:paraId="2F0BB6EB" w14:textId="7A3B42F9"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43F00C82" w14:textId="45671097"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0.855</w:t>
            </w:r>
          </w:p>
        </w:tc>
        <w:tc>
          <w:tcPr>
            <w:tcW w:w="1418" w:type="dxa"/>
          </w:tcPr>
          <w:p w14:paraId="24EB2DE4" w14:textId="4BBB865A"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51300</w:t>
            </w:r>
          </w:p>
        </w:tc>
      </w:tr>
      <w:tr w:rsidR="5C7EFC97" w14:paraId="35B7AD88"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2D1D9AC9" w14:textId="471F8599" w:rsidR="5C7EFC97" w:rsidRDefault="6395FD93" w:rsidP="6395FD93">
            <w:pPr>
              <w:rPr>
                <w:sz w:val="24"/>
                <w:szCs w:val="24"/>
                <w:lang w:val="en-GB"/>
              </w:rPr>
            </w:pPr>
            <w:r w:rsidRPr="6395FD93">
              <w:rPr>
                <w:sz w:val="24"/>
                <w:szCs w:val="24"/>
                <w:lang w:val="en-GB"/>
              </w:rPr>
              <w:t>2</w:t>
            </w:r>
          </w:p>
        </w:tc>
        <w:tc>
          <w:tcPr>
            <w:tcW w:w="1575" w:type="dxa"/>
          </w:tcPr>
          <w:p w14:paraId="3969053B" w14:textId="57DE546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380" w:type="dxa"/>
          </w:tcPr>
          <w:p w14:paraId="6FEF918C" w14:textId="0938A9C4"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440" w:type="dxa"/>
          </w:tcPr>
          <w:p w14:paraId="384258FD" w14:textId="6788403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0.873</w:t>
            </w:r>
          </w:p>
        </w:tc>
        <w:tc>
          <w:tcPr>
            <w:tcW w:w="1320" w:type="dxa"/>
          </w:tcPr>
          <w:p w14:paraId="2A103042" w14:textId="7437099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52380</w:t>
            </w:r>
          </w:p>
        </w:tc>
        <w:tc>
          <w:tcPr>
            <w:tcW w:w="270" w:type="dxa"/>
          </w:tcPr>
          <w:p w14:paraId="5E6E32F6" w14:textId="3B58547C"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140C0A9C" w14:textId="432776DE"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0.731</w:t>
            </w:r>
          </w:p>
        </w:tc>
        <w:tc>
          <w:tcPr>
            <w:tcW w:w="1418" w:type="dxa"/>
          </w:tcPr>
          <w:p w14:paraId="7EA64585" w14:textId="42FD25AD"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43860</w:t>
            </w:r>
          </w:p>
        </w:tc>
      </w:tr>
      <w:tr w:rsidR="5C7EFC97" w14:paraId="24A3ECEB"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51EFD37A" w14:textId="4E6C0A02" w:rsidR="5C7EFC97" w:rsidRDefault="6395FD93" w:rsidP="6395FD93">
            <w:pPr>
              <w:rPr>
                <w:sz w:val="24"/>
                <w:szCs w:val="24"/>
                <w:lang w:val="en-GB"/>
              </w:rPr>
            </w:pPr>
            <w:r w:rsidRPr="6395FD93">
              <w:rPr>
                <w:sz w:val="24"/>
                <w:szCs w:val="24"/>
                <w:lang w:val="en-GB"/>
              </w:rPr>
              <w:t>3</w:t>
            </w:r>
          </w:p>
        </w:tc>
        <w:tc>
          <w:tcPr>
            <w:tcW w:w="1575" w:type="dxa"/>
          </w:tcPr>
          <w:p w14:paraId="1E91B22F" w14:textId="52A5F2E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380" w:type="dxa"/>
          </w:tcPr>
          <w:p w14:paraId="51FBDA61" w14:textId="1FAE5E47"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440" w:type="dxa"/>
          </w:tcPr>
          <w:p w14:paraId="5F2AC58B" w14:textId="66324ECF"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0.816</w:t>
            </w:r>
          </w:p>
        </w:tc>
        <w:tc>
          <w:tcPr>
            <w:tcW w:w="1320" w:type="dxa"/>
          </w:tcPr>
          <w:p w14:paraId="5D4B057A" w14:textId="73E01AEA"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48960</w:t>
            </w:r>
          </w:p>
        </w:tc>
        <w:tc>
          <w:tcPr>
            <w:tcW w:w="270" w:type="dxa"/>
          </w:tcPr>
          <w:p w14:paraId="06748980" w14:textId="7B59CD5E"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03E9772A" w14:textId="4DEEF012"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0.624</w:t>
            </w:r>
          </w:p>
        </w:tc>
        <w:tc>
          <w:tcPr>
            <w:tcW w:w="1418" w:type="dxa"/>
          </w:tcPr>
          <w:p w14:paraId="5088E499" w14:textId="6504FE6E"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37440</w:t>
            </w:r>
          </w:p>
        </w:tc>
      </w:tr>
      <w:tr w:rsidR="5C7EFC97" w14:paraId="1282B9FF"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74A58244" w14:textId="082389C8" w:rsidR="5C7EFC97" w:rsidRDefault="6395FD93" w:rsidP="6395FD93">
            <w:pPr>
              <w:rPr>
                <w:sz w:val="24"/>
                <w:szCs w:val="24"/>
                <w:lang w:val="en-GB"/>
              </w:rPr>
            </w:pPr>
            <w:r w:rsidRPr="6395FD93">
              <w:rPr>
                <w:sz w:val="24"/>
                <w:szCs w:val="24"/>
                <w:lang w:val="en-GB"/>
              </w:rPr>
              <w:t>4</w:t>
            </w:r>
          </w:p>
        </w:tc>
        <w:tc>
          <w:tcPr>
            <w:tcW w:w="1575" w:type="dxa"/>
          </w:tcPr>
          <w:p w14:paraId="41C8C7DC" w14:textId="3FF2BD1D"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380" w:type="dxa"/>
          </w:tcPr>
          <w:p w14:paraId="177C8661" w14:textId="7BFC0DA6"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440" w:type="dxa"/>
          </w:tcPr>
          <w:p w14:paraId="5B2D91D8" w14:textId="38C2B2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0.763</w:t>
            </w:r>
          </w:p>
        </w:tc>
        <w:tc>
          <w:tcPr>
            <w:tcW w:w="1320" w:type="dxa"/>
          </w:tcPr>
          <w:p w14:paraId="05F313EE" w14:textId="786830A3"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45780</w:t>
            </w:r>
          </w:p>
        </w:tc>
        <w:tc>
          <w:tcPr>
            <w:tcW w:w="270" w:type="dxa"/>
          </w:tcPr>
          <w:p w14:paraId="34287C64" w14:textId="50C4B58C"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5EDCAE2F" w14:textId="5337F08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0.534</w:t>
            </w:r>
          </w:p>
        </w:tc>
        <w:tc>
          <w:tcPr>
            <w:tcW w:w="1418" w:type="dxa"/>
          </w:tcPr>
          <w:p w14:paraId="624945E6" w14:textId="3596718E"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32040</w:t>
            </w:r>
          </w:p>
        </w:tc>
      </w:tr>
      <w:tr w:rsidR="5C7EFC97" w14:paraId="59DF2DBC"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5D7627D8" w14:textId="683F248E" w:rsidR="5C7EFC97" w:rsidRDefault="6395FD93" w:rsidP="6395FD93">
            <w:pPr>
              <w:rPr>
                <w:sz w:val="24"/>
                <w:szCs w:val="24"/>
                <w:lang w:val="en-GB"/>
              </w:rPr>
            </w:pPr>
            <w:r w:rsidRPr="6395FD93">
              <w:rPr>
                <w:sz w:val="24"/>
                <w:szCs w:val="24"/>
                <w:lang w:val="en-GB"/>
              </w:rPr>
              <w:t>5</w:t>
            </w:r>
          </w:p>
        </w:tc>
        <w:tc>
          <w:tcPr>
            <w:tcW w:w="1575" w:type="dxa"/>
          </w:tcPr>
          <w:p w14:paraId="227AF09E" w14:textId="7F7FCADF"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380" w:type="dxa"/>
          </w:tcPr>
          <w:p w14:paraId="6241355E" w14:textId="7BE1CF3A"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440" w:type="dxa"/>
          </w:tcPr>
          <w:p w14:paraId="1B5B203B" w14:textId="10EBC1D0"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0.713</w:t>
            </w:r>
          </w:p>
        </w:tc>
        <w:tc>
          <w:tcPr>
            <w:tcW w:w="1320" w:type="dxa"/>
          </w:tcPr>
          <w:p w14:paraId="0217D46C" w14:textId="76543EA5"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42780</w:t>
            </w:r>
          </w:p>
        </w:tc>
        <w:tc>
          <w:tcPr>
            <w:tcW w:w="270" w:type="dxa"/>
          </w:tcPr>
          <w:p w14:paraId="11321F65" w14:textId="270524B2"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22EE5CBF" w14:textId="186567A2"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0.456</w:t>
            </w:r>
          </w:p>
        </w:tc>
        <w:tc>
          <w:tcPr>
            <w:tcW w:w="1418" w:type="dxa"/>
          </w:tcPr>
          <w:p w14:paraId="28A1B719" w14:textId="50C98559"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27360</w:t>
            </w:r>
          </w:p>
        </w:tc>
      </w:tr>
      <w:tr w:rsidR="5C7EFC97" w14:paraId="3E7962FA"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74F4B6AB" w14:textId="42F18F0C" w:rsidR="5C7EFC97" w:rsidRDefault="6395FD93" w:rsidP="6395FD93">
            <w:pPr>
              <w:rPr>
                <w:sz w:val="24"/>
                <w:szCs w:val="24"/>
                <w:lang w:val="en-GB"/>
              </w:rPr>
            </w:pPr>
            <w:r w:rsidRPr="6395FD93">
              <w:rPr>
                <w:sz w:val="24"/>
                <w:szCs w:val="24"/>
                <w:lang w:val="en-GB"/>
              </w:rPr>
              <w:t>6</w:t>
            </w:r>
          </w:p>
        </w:tc>
        <w:tc>
          <w:tcPr>
            <w:tcW w:w="1575" w:type="dxa"/>
          </w:tcPr>
          <w:p w14:paraId="31F6C28D" w14:textId="32AB1297"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380" w:type="dxa"/>
          </w:tcPr>
          <w:p w14:paraId="32364B8E" w14:textId="402F5863"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1440" w:type="dxa"/>
          </w:tcPr>
          <w:p w14:paraId="5173C9DD" w14:textId="055D9909"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1320" w:type="dxa"/>
          </w:tcPr>
          <w:p w14:paraId="5021AE65" w14:textId="3EDF0C6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39960</w:t>
            </w:r>
          </w:p>
        </w:tc>
        <w:tc>
          <w:tcPr>
            <w:tcW w:w="270" w:type="dxa"/>
          </w:tcPr>
          <w:p w14:paraId="7D44A129" w14:textId="1B7F6B0E"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3FDA7E7D" w14:textId="62885934"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0.390</w:t>
            </w:r>
          </w:p>
        </w:tc>
        <w:tc>
          <w:tcPr>
            <w:tcW w:w="1418" w:type="dxa"/>
          </w:tcPr>
          <w:p w14:paraId="7D192AB8" w14:textId="107E97F8"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23400</w:t>
            </w:r>
          </w:p>
        </w:tc>
      </w:tr>
      <w:tr w:rsidR="5C7EFC97" w14:paraId="040B3E8B"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11C87FE5" w14:textId="346122A8" w:rsidR="5C7EFC97" w:rsidRDefault="6395FD93" w:rsidP="6395FD93">
            <w:pPr>
              <w:rPr>
                <w:sz w:val="24"/>
                <w:szCs w:val="24"/>
                <w:lang w:val="en-GB"/>
              </w:rPr>
            </w:pPr>
            <w:r w:rsidRPr="6395FD93">
              <w:rPr>
                <w:sz w:val="24"/>
                <w:szCs w:val="24"/>
                <w:lang w:val="en-GB"/>
              </w:rPr>
              <w:t>6</w:t>
            </w:r>
          </w:p>
        </w:tc>
        <w:tc>
          <w:tcPr>
            <w:tcW w:w="1575" w:type="dxa"/>
          </w:tcPr>
          <w:p w14:paraId="6E67803C" w14:textId="78944B46"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1380" w:type="dxa"/>
          </w:tcPr>
          <w:p w14:paraId="05156FE2" w14:textId="1AE6F43D"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10,000</w:t>
            </w:r>
          </w:p>
        </w:tc>
        <w:tc>
          <w:tcPr>
            <w:tcW w:w="1440" w:type="dxa"/>
          </w:tcPr>
          <w:p w14:paraId="4D46490E" w14:textId="50E7D875" w:rsidR="5C7EFC97" w:rsidRDefault="6395FD93" w:rsidP="6395FD93">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1320" w:type="dxa"/>
          </w:tcPr>
          <w:p w14:paraId="0654C716" w14:textId="4932EC9C"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6660</w:t>
            </w:r>
          </w:p>
        </w:tc>
        <w:tc>
          <w:tcPr>
            <w:tcW w:w="270" w:type="dxa"/>
          </w:tcPr>
          <w:p w14:paraId="35D46D26" w14:textId="4E4B1AFD"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04" w:type="dxa"/>
          </w:tcPr>
          <w:p w14:paraId="2DED859B" w14:textId="0879BDFC"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0.390</w:t>
            </w:r>
          </w:p>
        </w:tc>
        <w:tc>
          <w:tcPr>
            <w:tcW w:w="1418" w:type="dxa"/>
          </w:tcPr>
          <w:p w14:paraId="70C1BFA0" w14:textId="1AFF0193" w:rsidR="5C7EFC97" w:rsidRDefault="6395FD93" w:rsidP="6395FD93">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3900</w:t>
            </w:r>
          </w:p>
        </w:tc>
      </w:tr>
      <w:tr w:rsidR="5C7EFC97" w14:paraId="38FCD982" w14:textId="77777777" w:rsidTr="6395FD93">
        <w:tc>
          <w:tcPr>
            <w:cnfStyle w:val="001000000000" w:firstRow="0" w:lastRow="0" w:firstColumn="1" w:lastColumn="0" w:oddVBand="0" w:evenVBand="0" w:oddHBand="0" w:evenHBand="0" w:firstRowFirstColumn="0" w:firstRowLastColumn="0" w:lastRowFirstColumn="0" w:lastRowLastColumn="0"/>
            <w:tcW w:w="471" w:type="dxa"/>
          </w:tcPr>
          <w:p w14:paraId="25DC2C40" w14:textId="7EDB96C9" w:rsidR="5C7EFC97" w:rsidRDefault="5C7EFC97" w:rsidP="5C7EFC97">
            <w:pPr>
              <w:rPr>
                <w:sz w:val="24"/>
                <w:szCs w:val="24"/>
                <w:lang w:val="en-GB"/>
              </w:rPr>
            </w:pPr>
          </w:p>
        </w:tc>
        <w:tc>
          <w:tcPr>
            <w:tcW w:w="1575" w:type="dxa"/>
          </w:tcPr>
          <w:p w14:paraId="7966A67C" w14:textId="5BE52694"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380" w:type="dxa"/>
          </w:tcPr>
          <w:p w14:paraId="4B5F0B7B" w14:textId="7EC94115" w:rsidR="5C7EFC97" w:rsidRDefault="5C7EFC97" w:rsidP="5C7EFC97">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440" w:type="dxa"/>
          </w:tcPr>
          <w:p w14:paraId="77DBE482" w14:textId="0329AEF2"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NPV</w:t>
            </w:r>
          </w:p>
        </w:tc>
        <w:tc>
          <w:tcPr>
            <w:tcW w:w="1320" w:type="dxa"/>
          </w:tcPr>
          <w:p w14:paraId="1DC91BE7" w14:textId="2FB1460A"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72620</w:t>
            </w:r>
          </w:p>
        </w:tc>
        <w:tc>
          <w:tcPr>
            <w:tcW w:w="270" w:type="dxa"/>
          </w:tcPr>
          <w:p w14:paraId="3836D3E9" w14:textId="4BD0278E" w:rsidR="5C7EFC97" w:rsidRDefault="5C7EFC97" w:rsidP="5C7EFC97">
            <w:pPr>
              <w:cnfStyle w:val="000000000000" w:firstRow="0" w:lastRow="0" w:firstColumn="0" w:lastColumn="0" w:oddVBand="0" w:evenVBand="0" w:oddHBand="0" w:evenHBand="0" w:firstRowFirstColumn="0" w:firstRowLastColumn="0" w:lastRowFirstColumn="0" w:lastRowLastColumn="0"/>
              <w:rPr>
                <w:b/>
                <w:bCs/>
                <w:sz w:val="24"/>
                <w:szCs w:val="24"/>
                <w:lang w:val="en-GB"/>
              </w:rPr>
            </w:pPr>
          </w:p>
        </w:tc>
        <w:tc>
          <w:tcPr>
            <w:tcW w:w="1604" w:type="dxa"/>
          </w:tcPr>
          <w:p w14:paraId="095F830B" w14:textId="38A978AA"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NPV</w:t>
            </w:r>
          </w:p>
        </w:tc>
        <w:tc>
          <w:tcPr>
            <w:tcW w:w="1418" w:type="dxa"/>
          </w:tcPr>
          <w:p w14:paraId="77CCEA25" w14:textId="3712309B" w:rsidR="5C7EFC97" w:rsidRDefault="6395FD93" w:rsidP="6395FD93">
            <w:pPr>
              <w:cnfStyle w:val="000000000000" w:firstRow="0" w:lastRow="0" w:firstColumn="0" w:lastColumn="0" w:oddVBand="0" w:evenVBand="0" w:oddHBand="0" w:evenHBand="0" w:firstRowFirstColumn="0" w:firstRowLastColumn="0" w:lastRowFirstColumn="0" w:lastRowLastColumn="0"/>
              <w:rPr>
                <w:b/>
                <w:bCs/>
                <w:sz w:val="24"/>
                <w:szCs w:val="24"/>
                <w:lang w:val="en-GB"/>
              </w:rPr>
            </w:pPr>
            <w:r w:rsidRPr="6395FD93">
              <w:rPr>
                <w:b/>
                <w:bCs/>
                <w:sz w:val="24"/>
                <w:szCs w:val="24"/>
                <w:lang w:val="en-GB"/>
              </w:rPr>
              <w:t>-700</w:t>
            </w:r>
          </w:p>
        </w:tc>
      </w:tr>
    </w:tbl>
    <w:p w14:paraId="73C6706C" w14:textId="7CF12E7A" w:rsidR="5C7EFC97" w:rsidRDefault="5C7EFC97" w:rsidP="5C7EFC97">
      <w:pPr>
        <w:pStyle w:val="ListBullet"/>
        <w:numPr>
          <w:ilvl w:val="0"/>
          <w:numId w:val="0"/>
        </w:numPr>
        <w:rPr>
          <w:sz w:val="24"/>
          <w:szCs w:val="24"/>
          <w:lang w:val="en-GB"/>
        </w:rPr>
      </w:pPr>
    </w:p>
    <w:p w14:paraId="250FF3F9" w14:textId="74F9291B" w:rsidR="3C0493CB" w:rsidRDefault="6395FD93" w:rsidP="6395FD93">
      <w:pPr>
        <w:pStyle w:val="ListBullet"/>
        <w:numPr>
          <w:ilvl w:val="0"/>
          <w:numId w:val="0"/>
        </w:numPr>
        <w:rPr>
          <w:sz w:val="24"/>
          <w:szCs w:val="24"/>
          <w:lang w:val="en-GB"/>
        </w:rPr>
      </w:pPr>
      <w:r w:rsidRPr="6395FD93">
        <w:rPr>
          <w:sz w:val="24"/>
          <w:szCs w:val="24"/>
          <w:lang w:val="en-GB"/>
        </w:rPr>
        <w:t>NPV@ 7% = 72620</w:t>
      </w:r>
    </w:p>
    <w:p w14:paraId="2BBF1F08" w14:textId="0776FCB0" w:rsidR="3C0493CB" w:rsidRDefault="6395FD93" w:rsidP="6395FD93">
      <w:pPr>
        <w:pStyle w:val="ListBullet"/>
        <w:numPr>
          <w:ilvl w:val="0"/>
          <w:numId w:val="0"/>
        </w:numPr>
        <w:rPr>
          <w:sz w:val="24"/>
          <w:szCs w:val="24"/>
          <w:lang w:val="en-GB"/>
        </w:rPr>
      </w:pPr>
      <w:r w:rsidRPr="6395FD93">
        <w:rPr>
          <w:sz w:val="24"/>
          <w:szCs w:val="24"/>
          <w:lang w:val="en-GB"/>
        </w:rPr>
        <w:t>NPV@17%= -700</w:t>
      </w:r>
    </w:p>
    <w:p w14:paraId="0E016563" w14:textId="55C3E6D4" w:rsidR="3C0493CB" w:rsidRDefault="6395FD93" w:rsidP="6395FD93">
      <w:pPr>
        <w:pStyle w:val="ListBullet"/>
        <w:numPr>
          <w:ilvl w:val="0"/>
          <w:numId w:val="0"/>
        </w:numPr>
        <w:rPr>
          <w:sz w:val="24"/>
          <w:szCs w:val="24"/>
          <w:lang w:val="en-GB"/>
        </w:rPr>
      </w:pPr>
      <w:r w:rsidRPr="6395FD93">
        <w:rPr>
          <w:sz w:val="24"/>
          <w:szCs w:val="24"/>
          <w:lang w:val="en-GB"/>
        </w:rPr>
        <w:t>Lower DR = 7</w:t>
      </w:r>
    </w:p>
    <w:p w14:paraId="0E8896F4" w14:textId="767F2866" w:rsidR="3C0493CB" w:rsidRDefault="6395FD93" w:rsidP="6395FD93">
      <w:pPr>
        <w:pStyle w:val="ListBullet"/>
        <w:numPr>
          <w:ilvl w:val="0"/>
          <w:numId w:val="0"/>
        </w:numPr>
        <w:rPr>
          <w:sz w:val="24"/>
          <w:szCs w:val="24"/>
          <w:lang w:val="en-GB"/>
        </w:rPr>
      </w:pPr>
      <w:r w:rsidRPr="6395FD93">
        <w:rPr>
          <w:sz w:val="24"/>
          <w:szCs w:val="24"/>
          <w:lang w:val="en-GB"/>
        </w:rPr>
        <w:t>Higher DR = 17</w:t>
      </w:r>
    </w:p>
    <w:p w14:paraId="7EE12C32" w14:textId="70EEE51B" w:rsidR="3C0493CB" w:rsidRDefault="6395FD93" w:rsidP="6395FD93">
      <w:pPr>
        <w:pStyle w:val="ListBullet"/>
        <w:numPr>
          <w:ilvl w:val="0"/>
          <w:numId w:val="0"/>
        </w:numPr>
        <w:rPr>
          <w:sz w:val="24"/>
          <w:szCs w:val="24"/>
          <w:lang w:val="en-GB"/>
        </w:rPr>
      </w:pPr>
      <w:r w:rsidRPr="6395FD93">
        <w:rPr>
          <w:sz w:val="24"/>
          <w:szCs w:val="24"/>
          <w:lang w:val="en-GB"/>
        </w:rPr>
        <w:t xml:space="preserve">IRR = 7 +    </w:t>
      </w:r>
      <w:r w:rsidRPr="6395FD93">
        <w:rPr>
          <w:sz w:val="24"/>
          <w:szCs w:val="24"/>
          <w:u w:val="single"/>
          <w:lang w:val="en-GB"/>
        </w:rPr>
        <w:t>( 72620         )</w:t>
      </w:r>
      <w:r w:rsidRPr="6395FD93">
        <w:rPr>
          <w:sz w:val="24"/>
          <w:szCs w:val="24"/>
          <w:lang w:val="en-GB"/>
        </w:rPr>
        <w:t xml:space="preserve">       (17 – 7)</w:t>
      </w:r>
    </w:p>
    <w:p w14:paraId="326521D0" w14:textId="2AA9A773" w:rsidR="3C0493CB" w:rsidRDefault="6395FD93" w:rsidP="6395FD93">
      <w:pPr>
        <w:pStyle w:val="ListBullet"/>
        <w:numPr>
          <w:ilvl w:val="0"/>
          <w:numId w:val="0"/>
        </w:numPr>
        <w:rPr>
          <w:sz w:val="24"/>
          <w:szCs w:val="24"/>
          <w:lang w:val="en-GB"/>
        </w:rPr>
      </w:pPr>
      <w:r w:rsidRPr="6395FD93">
        <w:rPr>
          <w:sz w:val="24"/>
          <w:szCs w:val="24"/>
          <w:lang w:val="en-GB"/>
        </w:rPr>
        <w:t xml:space="preserve">                   72620- - 700</w:t>
      </w:r>
    </w:p>
    <w:p w14:paraId="5927C403" w14:textId="36D42F6E" w:rsidR="3C0493CB" w:rsidRDefault="6395FD93" w:rsidP="6395FD93">
      <w:pPr>
        <w:pStyle w:val="ListBullet"/>
        <w:numPr>
          <w:ilvl w:val="0"/>
          <w:numId w:val="0"/>
        </w:numPr>
        <w:rPr>
          <w:sz w:val="24"/>
          <w:szCs w:val="24"/>
          <w:lang w:val="en-GB"/>
        </w:rPr>
      </w:pPr>
      <w:r w:rsidRPr="6395FD93">
        <w:rPr>
          <w:sz w:val="24"/>
          <w:szCs w:val="24"/>
          <w:lang w:val="en-GB"/>
        </w:rPr>
        <w:t>IRR = 7 + 9.90</w:t>
      </w:r>
    </w:p>
    <w:p w14:paraId="4A935FFB" w14:textId="7772AD7F" w:rsidR="3C0493CB" w:rsidRDefault="6395FD93" w:rsidP="6395FD93">
      <w:pPr>
        <w:pStyle w:val="ListBullet"/>
        <w:numPr>
          <w:ilvl w:val="0"/>
          <w:numId w:val="0"/>
        </w:numPr>
        <w:rPr>
          <w:b/>
          <w:bCs/>
          <w:sz w:val="24"/>
          <w:szCs w:val="24"/>
          <w:u w:val="single"/>
          <w:lang w:val="en-GB"/>
        </w:rPr>
      </w:pPr>
      <w:r w:rsidRPr="6395FD93">
        <w:rPr>
          <w:b/>
          <w:bCs/>
          <w:sz w:val="24"/>
          <w:szCs w:val="24"/>
          <w:u w:val="single"/>
          <w:lang w:val="en-GB"/>
        </w:rPr>
        <w:t>IRR = 16.90%</w:t>
      </w:r>
    </w:p>
    <w:p w14:paraId="538B1A07" w14:textId="5FBF019A" w:rsidR="3C0493CB" w:rsidRDefault="3C0493CB" w:rsidP="3C0493CB">
      <w:pPr>
        <w:pStyle w:val="ListBullet"/>
        <w:numPr>
          <w:ilvl w:val="0"/>
          <w:numId w:val="0"/>
        </w:numPr>
        <w:rPr>
          <w:rFonts w:eastAsiaTheme="minorEastAsia"/>
          <w:color w:val="555555"/>
          <w:sz w:val="24"/>
          <w:szCs w:val="24"/>
          <w:lang w:val="en-GB"/>
        </w:rPr>
      </w:pPr>
    </w:p>
    <w:p w14:paraId="266E3A03" w14:textId="77777777" w:rsidR="00415895" w:rsidRDefault="00415895" w:rsidP="6395FD93">
      <w:pPr>
        <w:pStyle w:val="ListBullet"/>
        <w:numPr>
          <w:ilvl w:val="0"/>
          <w:numId w:val="0"/>
        </w:numPr>
        <w:rPr>
          <w:rFonts w:eastAsiaTheme="minorEastAsia"/>
          <w:b/>
          <w:bCs/>
          <w:color w:val="555555"/>
          <w:sz w:val="24"/>
          <w:szCs w:val="24"/>
          <w:u w:val="single"/>
          <w:lang w:val="en-GB"/>
        </w:rPr>
      </w:pPr>
    </w:p>
    <w:p w14:paraId="545412CA" w14:textId="77777777" w:rsidR="00415895" w:rsidRDefault="00415895" w:rsidP="6395FD93">
      <w:pPr>
        <w:pStyle w:val="ListBullet"/>
        <w:numPr>
          <w:ilvl w:val="0"/>
          <w:numId w:val="0"/>
        </w:numPr>
        <w:rPr>
          <w:rFonts w:eastAsiaTheme="minorEastAsia"/>
          <w:b/>
          <w:bCs/>
          <w:color w:val="555555"/>
          <w:sz w:val="24"/>
          <w:szCs w:val="24"/>
          <w:u w:val="single"/>
          <w:lang w:val="en-GB"/>
        </w:rPr>
      </w:pPr>
    </w:p>
    <w:p w14:paraId="396D6623" w14:textId="77777777" w:rsidR="00415895" w:rsidRDefault="00415895" w:rsidP="6395FD93">
      <w:pPr>
        <w:pStyle w:val="ListBullet"/>
        <w:numPr>
          <w:ilvl w:val="0"/>
          <w:numId w:val="0"/>
        </w:numPr>
        <w:rPr>
          <w:rFonts w:eastAsiaTheme="minorEastAsia"/>
          <w:b/>
          <w:bCs/>
          <w:color w:val="555555"/>
          <w:sz w:val="24"/>
          <w:szCs w:val="24"/>
          <w:u w:val="single"/>
          <w:lang w:val="en-GB"/>
        </w:rPr>
      </w:pPr>
    </w:p>
    <w:p w14:paraId="1DF27A63" w14:textId="77777777" w:rsidR="00415895" w:rsidRDefault="00415895" w:rsidP="6395FD93">
      <w:pPr>
        <w:pStyle w:val="ListBullet"/>
        <w:numPr>
          <w:ilvl w:val="0"/>
          <w:numId w:val="0"/>
        </w:numPr>
        <w:rPr>
          <w:rFonts w:eastAsiaTheme="minorEastAsia"/>
          <w:b/>
          <w:bCs/>
          <w:color w:val="555555"/>
          <w:sz w:val="24"/>
          <w:szCs w:val="24"/>
          <w:u w:val="single"/>
          <w:lang w:val="en-GB"/>
        </w:rPr>
      </w:pPr>
    </w:p>
    <w:p w14:paraId="33A9B5FF" w14:textId="77777777" w:rsidR="00415895" w:rsidRDefault="00415895" w:rsidP="6395FD93">
      <w:pPr>
        <w:pStyle w:val="ListBullet"/>
        <w:numPr>
          <w:ilvl w:val="0"/>
          <w:numId w:val="0"/>
        </w:numPr>
        <w:rPr>
          <w:rFonts w:eastAsiaTheme="minorEastAsia"/>
          <w:b/>
          <w:bCs/>
          <w:color w:val="555555"/>
          <w:sz w:val="24"/>
          <w:szCs w:val="24"/>
          <w:u w:val="single"/>
          <w:lang w:val="en-GB"/>
        </w:rPr>
      </w:pPr>
    </w:p>
    <w:p w14:paraId="46BB6323" w14:textId="77777777" w:rsidR="00415895" w:rsidRDefault="00415895" w:rsidP="6395FD93">
      <w:pPr>
        <w:pStyle w:val="ListBullet"/>
        <w:numPr>
          <w:ilvl w:val="0"/>
          <w:numId w:val="0"/>
        </w:numPr>
        <w:rPr>
          <w:rFonts w:eastAsiaTheme="minorEastAsia"/>
          <w:b/>
          <w:bCs/>
          <w:color w:val="555555"/>
          <w:sz w:val="24"/>
          <w:szCs w:val="24"/>
          <w:u w:val="single"/>
          <w:lang w:val="en-GB"/>
        </w:rPr>
      </w:pPr>
    </w:p>
    <w:p w14:paraId="38A0EE56" w14:textId="77777777" w:rsidR="00415895" w:rsidRDefault="00415895" w:rsidP="6395FD93">
      <w:pPr>
        <w:pStyle w:val="ListBullet"/>
        <w:numPr>
          <w:ilvl w:val="0"/>
          <w:numId w:val="0"/>
        </w:numPr>
        <w:rPr>
          <w:rFonts w:eastAsiaTheme="minorEastAsia"/>
          <w:b/>
          <w:bCs/>
          <w:color w:val="555555"/>
          <w:sz w:val="24"/>
          <w:szCs w:val="24"/>
          <w:u w:val="single"/>
          <w:lang w:val="en-GB"/>
        </w:rPr>
      </w:pPr>
    </w:p>
    <w:p w14:paraId="05D4C3A7" w14:textId="77777777" w:rsidR="00415895" w:rsidRDefault="00415895" w:rsidP="6395FD93">
      <w:pPr>
        <w:pStyle w:val="ListBullet"/>
        <w:numPr>
          <w:ilvl w:val="0"/>
          <w:numId w:val="0"/>
        </w:numPr>
        <w:rPr>
          <w:rFonts w:eastAsiaTheme="minorEastAsia"/>
          <w:b/>
          <w:bCs/>
          <w:color w:val="555555"/>
          <w:sz w:val="24"/>
          <w:szCs w:val="24"/>
          <w:u w:val="single"/>
          <w:lang w:val="en-GB"/>
        </w:rPr>
      </w:pPr>
    </w:p>
    <w:p w14:paraId="3719B3FE" w14:textId="5DF11C3A" w:rsidR="00680F01" w:rsidRPr="0018130F" w:rsidRDefault="6395FD93" w:rsidP="6395FD93">
      <w:pPr>
        <w:pStyle w:val="ListBullet"/>
        <w:numPr>
          <w:ilvl w:val="0"/>
          <w:numId w:val="0"/>
        </w:numPr>
        <w:rPr>
          <w:rFonts w:eastAsiaTheme="minorEastAsia"/>
          <w:b/>
          <w:bCs/>
          <w:color w:val="555555"/>
          <w:sz w:val="24"/>
          <w:szCs w:val="24"/>
          <w:u w:val="single"/>
          <w:lang w:val="en-GB"/>
        </w:rPr>
      </w:pPr>
      <w:r w:rsidRPr="0018130F">
        <w:rPr>
          <w:rFonts w:eastAsiaTheme="minorEastAsia"/>
          <w:b/>
          <w:bCs/>
          <w:color w:val="555555"/>
          <w:sz w:val="24"/>
          <w:szCs w:val="24"/>
          <w:u w:val="single"/>
          <w:lang w:val="en-GB"/>
        </w:rPr>
        <w:lastRenderedPageBreak/>
        <w:t xml:space="preserve">PROFITABILITY INDEX </w:t>
      </w:r>
      <w:r w:rsidR="0018130F" w:rsidRPr="0018130F">
        <w:rPr>
          <w:rFonts w:eastAsiaTheme="minorEastAsia"/>
          <w:b/>
          <w:bCs/>
          <w:color w:val="555555"/>
          <w:sz w:val="24"/>
          <w:szCs w:val="24"/>
          <w:u w:val="single"/>
          <w:lang w:val="en-GB"/>
        </w:rPr>
        <w:t>CALCULATION</w:t>
      </w:r>
    </w:p>
    <w:p w14:paraId="096DFB1C" w14:textId="390E790B" w:rsidR="004874A8" w:rsidRDefault="6395FD93" w:rsidP="6395FD93">
      <w:pPr>
        <w:pStyle w:val="ListBullet"/>
        <w:numPr>
          <w:ilvl w:val="0"/>
          <w:numId w:val="0"/>
        </w:numPr>
        <w:rPr>
          <w:rFonts w:eastAsiaTheme="minorEastAsia"/>
          <w:color w:val="555555"/>
          <w:sz w:val="24"/>
          <w:szCs w:val="24"/>
          <w:u w:val="single"/>
          <w:lang w:val="en-GB"/>
        </w:rPr>
      </w:pPr>
      <w:r w:rsidRPr="6395FD93">
        <w:rPr>
          <w:rFonts w:eastAsiaTheme="minorEastAsia"/>
          <w:color w:val="555555"/>
          <w:sz w:val="24"/>
          <w:szCs w:val="24"/>
          <w:lang w:val="en-GB"/>
        </w:rPr>
        <w:t xml:space="preserve">PROFITABILITY INDEX =  </w:t>
      </w:r>
      <w:r w:rsidRPr="6395FD93">
        <w:rPr>
          <w:rFonts w:eastAsiaTheme="minorEastAsia"/>
          <w:color w:val="555555"/>
          <w:sz w:val="24"/>
          <w:szCs w:val="24"/>
          <w:u w:val="single"/>
          <w:lang w:val="en-GB"/>
        </w:rPr>
        <w:t xml:space="preserve"> </w:t>
      </w:r>
      <w:r w:rsidR="00B468E4">
        <w:rPr>
          <w:rFonts w:eastAsiaTheme="minorEastAsia"/>
          <w:color w:val="555555"/>
          <w:sz w:val="24"/>
          <w:szCs w:val="24"/>
          <w:u w:val="single"/>
          <w:lang w:val="en-GB"/>
        </w:rPr>
        <w:t xml:space="preserve">PV of </w:t>
      </w:r>
      <w:r w:rsidR="00A52597">
        <w:rPr>
          <w:rFonts w:eastAsiaTheme="minorEastAsia"/>
          <w:color w:val="555555"/>
          <w:sz w:val="24"/>
          <w:szCs w:val="24"/>
          <w:u w:val="single"/>
          <w:lang w:val="en-GB"/>
        </w:rPr>
        <w:t>Future Cash Flows</w:t>
      </w:r>
      <w:r w:rsidRPr="6395FD93">
        <w:rPr>
          <w:rFonts w:eastAsiaTheme="minorEastAsia"/>
          <w:color w:val="555555"/>
          <w:sz w:val="24"/>
          <w:szCs w:val="24"/>
          <w:u w:val="single"/>
          <w:lang w:val="en-GB"/>
        </w:rPr>
        <w:t xml:space="preserve">                               </w:t>
      </w:r>
    </w:p>
    <w:p w14:paraId="6D19626A" w14:textId="1C77FA43" w:rsidR="004874A8" w:rsidRPr="00641493" w:rsidRDefault="6395FD93" w:rsidP="6395FD93">
      <w:pPr>
        <w:pStyle w:val="ListBullet"/>
        <w:numPr>
          <w:ilvl w:val="0"/>
          <w:numId w:val="0"/>
        </w:numPr>
        <w:rPr>
          <w:rFonts w:eastAsiaTheme="minorEastAsia"/>
          <w:color w:val="555555"/>
          <w:sz w:val="24"/>
          <w:szCs w:val="24"/>
          <w:lang w:val="en-GB"/>
        </w:rPr>
      </w:pPr>
      <w:r w:rsidRPr="6395FD93">
        <w:rPr>
          <w:rFonts w:eastAsiaTheme="minorEastAsia"/>
          <w:color w:val="555555"/>
          <w:sz w:val="24"/>
          <w:szCs w:val="24"/>
          <w:lang w:val="en-GB"/>
        </w:rPr>
        <w:t xml:space="preserve">                                          </w:t>
      </w:r>
      <w:r w:rsidR="00A52597">
        <w:rPr>
          <w:rFonts w:eastAsiaTheme="minorEastAsia"/>
          <w:color w:val="555555"/>
          <w:sz w:val="24"/>
          <w:szCs w:val="24"/>
          <w:lang w:val="en-GB"/>
        </w:rPr>
        <w:t xml:space="preserve">        </w:t>
      </w:r>
      <w:r w:rsidRPr="6395FD93">
        <w:rPr>
          <w:rFonts w:eastAsiaTheme="minorEastAsia"/>
          <w:color w:val="555555"/>
          <w:sz w:val="24"/>
          <w:szCs w:val="24"/>
          <w:lang w:val="en-GB"/>
        </w:rPr>
        <w:t xml:space="preserve"> Initial Investment</w:t>
      </w:r>
    </w:p>
    <w:p w14:paraId="6A07E7FE" w14:textId="77777777" w:rsidR="002A410A" w:rsidRDefault="002A410A" w:rsidP="002A410A">
      <w:pPr>
        <w:pStyle w:val="ListBullet"/>
        <w:numPr>
          <w:ilvl w:val="0"/>
          <w:numId w:val="0"/>
        </w:numPr>
        <w:rPr>
          <w:b/>
          <w:bCs/>
          <w:sz w:val="24"/>
          <w:szCs w:val="24"/>
          <w:u w:val="single"/>
          <w:lang w:val="en-GB"/>
        </w:rPr>
      </w:pPr>
      <w:r w:rsidRPr="6395FD93">
        <w:rPr>
          <w:b/>
          <w:bCs/>
          <w:sz w:val="24"/>
          <w:szCs w:val="24"/>
          <w:u w:val="single"/>
          <w:lang w:val="en-GB"/>
        </w:rPr>
        <w:t>Project A</w:t>
      </w:r>
    </w:p>
    <w:p w14:paraId="4C5BF2DC" w14:textId="09A5BCA3" w:rsidR="002A410A" w:rsidRDefault="00662FEC" w:rsidP="002A410A">
      <w:pPr>
        <w:pStyle w:val="ListBullet"/>
        <w:numPr>
          <w:ilvl w:val="0"/>
          <w:numId w:val="0"/>
        </w:numPr>
        <w:rPr>
          <w:b/>
          <w:bCs/>
          <w:sz w:val="24"/>
          <w:szCs w:val="24"/>
          <w:u w:val="single"/>
          <w:lang w:val="en-GB"/>
        </w:rPr>
      </w:pPr>
      <w:r>
        <w:rPr>
          <w:b/>
          <w:bCs/>
          <w:sz w:val="24"/>
          <w:szCs w:val="24"/>
          <w:u w:val="single"/>
          <w:lang w:val="en-GB"/>
        </w:rPr>
        <w:t>PROFITABILITY INDEX</w:t>
      </w:r>
      <w:r w:rsidR="002A410A" w:rsidRPr="6395FD93">
        <w:rPr>
          <w:b/>
          <w:bCs/>
          <w:sz w:val="24"/>
          <w:szCs w:val="24"/>
          <w:u w:val="single"/>
          <w:lang w:val="en-GB"/>
        </w:rPr>
        <w:t xml:space="preserve"> CALCULATION</w:t>
      </w:r>
    </w:p>
    <w:tbl>
      <w:tblPr>
        <w:tblStyle w:val="GridTable1Light-Accent1"/>
        <w:tblW w:w="0" w:type="auto"/>
        <w:tblLook w:val="04A0" w:firstRow="1" w:lastRow="0" w:firstColumn="1" w:lastColumn="0" w:noHBand="0" w:noVBand="1"/>
      </w:tblPr>
      <w:tblGrid>
        <w:gridCol w:w="810"/>
        <w:gridCol w:w="2493"/>
        <w:gridCol w:w="1659"/>
        <w:gridCol w:w="2165"/>
        <w:gridCol w:w="2223"/>
      </w:tblGrid>
      <w:tr w:rsidR="002A410A" w14:paraId="628E2749" w14:textId="77777777" w:rsidTr="00662F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0" w:type="dxa"/>
          </w:tcPr>
          <w:p w14:paraId="7E80B7DC" w14:textId="77777777" w:rsidR="002A410A" w:rsidRDefault="002A410A" w:rsidP="00186F9D">
            <w:pPr>
              <w:rPr>
                <w:sz w:val="24"/>
                <w:szCs w:val="24"/>
                <w:lang w:val="en-GB"/>
              </w:rPr>
            </w:pPr>
            <w:r w:rsidRPr="6395FD93">
              <w:rPr>
                <w:sz w:val="24"/>
                <w:szCs w:val="24"/>
                <w:lang w:val="en-GB"/>
              </w:rPr>
              <w:t>Year</w:t>
            </w:r>
          </w:p>
        </w:tc>
        <w:tc>
          <w:tcPr>
            <w:tcW w:w="2493" w:type="dxa"/>
          </w:tcPr>
          <w:p w14:paraId="2B1A803D"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1659" w:type="dxa"/>
          </w:tcPr>
          <w:p w14:paraId="32B66DD1"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        £</w:t>
            </w:r>
          </w:p>
        </w:tc>
        <w:tc>
          <w:tcPr>
            <w:tcW w:w="2165" w:type="dxa"/>
          </w:tcPr>
          <w:p w14:paraId="1B9FB39C"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Discount Factor @ 7% </w:t>
            </w:r>
          </w:p>
        </w:tc>
        <w:tc>
          <w:tcPr>
            <w:tcW w:w="2223" w:type="dxa"/>
          </w:tcPr>
          <w:p w14:paraId="58BA227D"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Present Value</w:t>
            </w:r>
          </w:p>
          <w:p w14:paraId="77CA05CD"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p>
          <w:p w14:paraId="1C4D74FF"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w:t>
            </w:r>
          </w:p>
        </w:tc>
      </w:tr>
      <w:tr w:rsidR="002A410A" w14:paraId="4668FA1B" w14:textId="77777777" w:rsidTr="00662FEC">
        <w:tc>
          <w:tcPr>
            <w:cnfStyle w:val="001000000000" w:firstRow="0" w:lastRow="0" w:firstColumn="1" w:lastColumn="0" w:oddVBand="0" w:evenVBand="0" w:oddHBand="0" w:evenHBand="0" w:firstRowFirstColumn="0" w:firstRowLastColumn="0" w:lastRowFirstColumn="0" w:lastRowLastColumn="0"/>
            <w:tcW w:w="810" w:type="dxa"/>
          </w:tcPr>
          <w:p w14:paraId="75DB7D36" w14:textId="77777777" w:rsidR="002A410A" w:rsidRDefault="002A410A" w:rsidP="00186F9D">
            <w:pPr>
              <w:rPr>
                <w:sz w:val="24"/>
                <w:szCs w:val="24"/>
                <w:lang w:val="en-GB"/>
              </w:rPr>
            </w:pPr>
            <w:r w:rsidRPr="6395FD93">
              <w:rPr>
                <w:sz w:val="24"/>
                <w:szCs w:val="24"/>
                <w:lang w:val="en-GB"/>
              </w:rPr>
              <w:t>1</w:t>
            </w:r>
          </w:p>
        </w:tc>
        <w:tc>
          <w:tcPr>
            <w:tcW w:w="2493" w:type="dxa"/>
          </w:tcPr>
          <w:p w14:paraId="005F8A0A"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Inflow</w:t>
            </w:r>
          </w:p>
        </w:tc>
        <w:tc>
          <w:tcPr>
            <w:tcW w:w="1659" w:type="dxa"/>
          </w:tcPr>
          <w:p w14:paraId="6C3F5A34"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65" w:type="dxa"/>
          </w:tcPr>
          <w:p w14:paraId="55745C0D"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0.935</w:t>
            </w:r>
          </w:p>
        </w:tc>
        <w:tc>
          <w:tcPr>
            <w:tcW w:w="2223" w:type="dxa"/>
          </w:tcPr>
          <w:p w14:paraId="6BFC3ACF"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42,075</w:t>
            </w:r>
          </w:p>
        </w:tc>
      </w:tr>
      <w:tr w:rsidR="002A410A" w14:paraId="2EEB84EA" w14:textId="77777777" w:rsidTr="00662FEC">
        <w:tc>
          <w:tcPr>
            <w:cnfStyle w:val="001000000000" w:firstRow="0" w:lastRow="0" w:firstColumn="1" w:lastColumn="0" w:oddVBand="0" w:evenVBand="0" w:oddHBand="0" w:evenHBand="0" w:firstRowFirstColumn="0" w:firstRowLastColumn="0" w:lastRowFirstColumn="0" w:lastRowLastColumn="0"/>
            <w:tcW w:w="810" w:type="dxa"/>
          </w:tcPr>
          <w:p w14:paraId="444FAEA8" w14:textId="77777777" w:rsidR="002A410A" w:rsidRDefault="002A410A" w:rsidP="00186F9D">
            <w:pPr>
              <w:rPr>
                <w:sz w:val="24"/>
                <w:szCs w:val="24"/>
                <w:lang w:val="en-GB"/>
              </w:rPr>
            </w:pPr>
            <w:r w:rsidRPr="6395FD93">
              <w:rPr>
                <w:sz w:val="24"/>
                <w:szCs w:val="24"/>
                <w:lang w:val="en-GB"/>
              </w:rPr>
              <w:t>2</w:t>
            </w:r>
          </w:p>
        </w:tc>
        <w:tc>
          <w:tcPr>
            <w:tcW w:w="2493" w:type="dxa"/>
          </w:tcPr>
          <w:p w14:paraId="3FEC3C7F"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9" w:type="dxa"/>
          </w:tcPr>
          <w:p w14:paraId="64D9A954"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65" w:type="dxa"/>
          </w:tcPr>
          <w:p w14:paraId="0D41E984"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0.873</w:t>
            </w:r>
          </w:p>
        </w:tc>
        <w:tc>
          <w:tcPr>
            <w:tcW w:w="2223" w:type="dxa"/>
          </w:tcPr>
          <w:p w14:paraId="34A812F1"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39,285</w:t>
            </w:r>
          </w:p>
        </w:tc>
      </w:tr>
      <w:tr w:rsidR="002A410A" w14:paraId="1BB73246" w14:textId="77777777" w:rsidTr="00662FEC">
        <w:tc>
          <w:tcPr>
            <w:cnfStyle w:val="001000000000" w:firstRow="0" w:lastRow="0" w:firstColumn="1" w:lastColumn="0" w:oddVBand="0" w:evenVBand="0" w:oddHBand="0" w:evenHBand="0" w:firstRowFirstColumn="0" w:firstRowLastColumn="0" w:lastRowFirstColumn="0" w:lastRowLastColumn="0"/>
            <w:tcW w:w="810" w:type="dxa"/>
          </w:tcPr>
          <w:p w14:paraId="1C56C4ED" w14:textId="77777777" w:rsidR="002A410A" w:rsidRDefault="002A410A" w:rsidP="00186F9D">
            <w:pPr>
              <w:rPr>
                <w:sz w:val="24"/>
                <w:szCs w:val="24"/>
                <w:lang w:val="en-GB"/>
              </w:rPr>
            </w:pPr>
            <w:r w:rsidRPr="6395FD93">
              <w:rPr>
                <w:sz w:val="24"/>
                <w:szCs w:val="24"/>
                <w:lang w:val="en-GB"/>
              </w:rPr>
              <w:t>3</w:t>
            </w:r>
          </w:p>
        </w:tc>
        <w:tc>
          <w:tcPr>
            <w:tcW w:w="2493" w:type="dxa"/>
          </w:tcPr>
          <w:p w14:paraId="47CD6940"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9" w:type="dxa"/>
          </w:tcPr>
          <w:p w14:paraId="2E4B9C16"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65" w:type="dxa"/>
          </w:tcPr>
          <w:p w14:paraId="25AFB7AF"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0.816</w:t>
            </w:r>
          </w:p>
        </w:tc>
        <w:tc>
          <w:tcPr>
            <w:tcW w:w="2223" w:type="dxa"/>
          </w:tcPr>
          <w:p w14:paraId="6126772F"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36,720</w:t>
            </w:r>
          </w:p>
        </w:tc>
      </w:tr>
      <w:tr w:rsidR="002A410A" w14:paraId="02112BF1" w14:textId="77777777" w:rsidTr="00662FEC">
        <w:tc>
          <w:tcPr>
            <w:cnfStyle w:val="001000000000" w:firstRow="0" w:lastRow="0" w:firstColumn="1" w:lastColumn="0" w:oddVBand="0" w:evenVBand="0" w:oddHBand="0" w:evenHBand="0" w:firstRowFirstColumn="0" w:firstRowLastColumn="0" w:lastRowFirstColumn="0" w:lastRowLastColumn="0"/>
            <w:tcW w:w="810" w:type="dxa"/>
          </w:tcPr>
          <w:p w14:paraId="5E1065FE" w14:textId="77777777" w:rsidR="002A410A" w:rsidRDefault="002A410A" w:rsidP="00186F9D">
            <w:pPr>
              <w:rPr>
                <w:sz w:val="24"/>
                <w:szCs w:val="24"/>
                <w:lang w:val="en-GB"/>
              </w:rPr>
            </w:pPr>
            <w:r w:rsidRPr="6395FD93">
              <w:rPr>
                <w:sz w:val="24"/>
                <w:szCs w:val="24"/>
                <w:lang w:val="en-GB"/>
              </w:rPr>
              <w:t>4</w:t>
            </w:r>
          </w:p>
        </w:tc>
        <w:tc>
          <w:tcPr>
            <w:tcW w:w="2493" w:type="dxa"/>
          </w:tcPr>
          <w:p w14:paraId="3625B4D0"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9" w:type="dxa"/>
          </w:tcPr>
          <w:p w14:paraId="5F966CD9"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65" w:type="dxa"/>
          </w:tcPr>
          <w:p w14:paraId="28DAA024"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0.763</w:t>
            </w:r>
          </w:p>
        </w:tc>
        <w:tc>
          <w:tcPr>
            <w:tcW w:w="2223" w:type="dxa"/>
          </w:tcPr>
          <w:p w14:paraId="663E60B7"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34,335</w:t>
            </w:r>
          </w:p>
        </w:tc>
      </w:tr>
      <w:tr w:rsidR="002A410A" w14:paraId="12D4E017" w14:textId="77777777" w:rsidTr="00662FEC">
        <w:tc>
          <w:tcPr>
            <w:cnfStyle w:val="001000000000" w:firstRow="0" w:lastRow="0" w:firstColumn="1" w:lastColumn="0" w:oddVBand="0" w:evenVBand="0" w:oddHBand="0" w:evenHBand="0" w:firstRowFirstColumn="0" w:firstRowLastColumn="0" w:lastRowFirstColumn="0" w:lastRowLastColumn="0"/>
            <w:tcW w:w="810" w:type="dxa"/>
          </w:tcPr>
          <w:p w14:paraId="67CF7FC2" w14:textId="77777777" w:rsidR="002A410A" w:rsidRDefault="002A410A" w:rsidP="00186F9D">
            <w:pPr>
              <w:rPr>
                <w:sz w:val="24"/>
                <w:szCs w:val="24"/>
                <w:lang w:val="en-GB"/>
              </w:rPr>
            </w:pPr>
            <w:r w:rsidRPr="6395FD93">
              <w:rPr>
                <w:sz w:val="24"/>
                <w:szCs w:val="24"/>
                <w:lang w:val="en-GB"/>
              </w:rPr>
              <w:t>5</w:t>
            </w:r>
          </w:p>
        </w:tc>
        <w:tc>
          <w:tcPr>
            <w:tcW w:w="2493" w:type="dxa"/>
          </w:tcPr>
          <w:p w14:paraId="1E653310"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9" w:type="dxa"/>
          </w:tcPr>
          <w:p w14:paraId="2B64A16A"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65" w:type="dxa"/>
          </w:tcPr>
          <w:p w14:paraId="4E91269D"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0.713</w:t>
            </w:r>
          </w:p>
        </w:tc>
        <w:tc>
          <w:tcPr>
            <w:tcW w:w="2223" w:type="dxa"/>
          </w:tcPr>
          <w:p w14:paraId="31833D56"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32,085</w:t>
            </w:r>
          </w:p>
        </w:tc>
      </w:tr>
      <w:tr w:rsidR="002A410A" w14:paraId="4BFB83F0" w14:textId="77777777" w:rsidTr="00662FEC">
        <w:tc>
          <w:tcPr>
            <w:cnfStyle w:val="001000000000" w:firstRow="0" w:lastRow="0" w:firstColumn="1" w:lastColumn="0" w:oddVBand="0" w:evenVBand="0" w:oddHBand="0" w:evenHBand="0" w:firstRowFirstColumn="0" w:firstRowLastColumn="0" w:lastRowFirstColumn="0" w:lastRowLastColumn="0"/>
            <w:tcW w:w="810" w:type="dxa"/>
          </w:tcPr>
          <w:p w14:paraId="0BA58FA6" w14:textId="77777777" w:rsidR="002A410A" w:rsidRDefault="002A410A" w:rsidP="00186F9D">
            <w:pPr>
              <w:rPr>
                <w:sz w:val="24"/>
                <w:szCs w:val="24"/>
                <w:lang w:val="en-GB"/>
              </w:rPr>
            </w:pPr>
            <w:r w:rsidRPr="6395FD93">
              <w:rPr>
                <w:sz w:val="24"/>
                <w:szCs w:val="24"/>
                <w:lang w:val="en-GB"/>
              </w:rPr>
              <w:t>6</w:t>
            </w:r>
          </w:p>
        </w:tc>
        <w:tc>
          <w:tcPr>
            <w:tcW w:w="2493" w:type="dxa"/>
          </w:tcPr>
          <w:p w14:paraId="69849D1B"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9" w:type="dxa"/>
          </w:tcPr>
          <w:p w14:paraId="1F8C11CB"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45,000</w:t>
            </w:r>
          </w:p>
        </w:tc>
        <w:tc>
          <w:tcPr>
            <w:tcW w:w="2165" w:type="dxa"/>
          </w:tcPr>
          <w:p w14:paraId="5B934B52"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2223" w:type="dxa"/>
          </w:tcPr>
          <w:p w14:paraId="3CBD79EE"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29,970</w:t>
            </w:r>
          </w:p>
        </w:tc>
      </w:tr>
      <w:tr w:rsidR="002A410A" w14:paraId="107406B4" w14:textId="77777777" w:rsidTr="00662FEC">
        <w:tc>
          <w:tcPr>
            <w:cnfStyle w:val="001000000000" w:firstRow="0" w:lastRow="0" w:firstColumn="1" w:lastColumn="0" w:oddVBand="0" w:evenVBand="0" w:oddHBand="0" w:evenHBand="0" w:firstRowFirstColumn="0" w:firstRowLastColumn="0" w:lastRowFirstColumn="0" w:lastRowLastColumn="0"/>
            <w:tcW w:w="810" w:type="dxa"/>
          </w:tcPr>
          <w:p w14:paraId="0B017E49" w14:textId="77777777" w:rsidR="002A410A" w:rsidRDefault="002A410A" w:rsidP="00186F9D">
            <w:pPr>
              <w:rPr>
                <w:sz w:val="24"/>
                <w:szCs w:val="24"/>
                <w:lang w:val="en-GB"/>
              </w:rPr>
            </w:pPr>
            <w:r w:rsidRPr="6395FD93">
              <w:rPr>
                <w:sz w:val="24"/>
                <w:szCs w:val="24"/>
                <w:lang w:val="en-GB"/>
              </w:rPr>
              <w:t>6</w:t>
            </w:r>
          </w:p>
        </w:tc>
        <w:tc>
          <w:tcPr>
            <w:tcW w:w="2493" w:type="dxa"/>
          </w:tcPr>
          <w:p w14:paraId="53565FCE"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1659" w:type="dxa"/>
          </w:tcPr>
          <w:p w14:paraId="33A63EE6"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20,000</w:t>
            </w:r>
          </w:p>
        </w:tc>
        <w:tc>
          <w:tcPr>
            <w:tcW w:w="2165" w:type="dxa"/>
          </w:tcPr>
          <w:p w14:paraId="0BC7C7F6"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2223" w:type="dxa"/>
          </w:tcPr>
          <w:p w14:paraId="0A4EEA02"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u w:val="single"/>
                <w:lang w:val="en-GB"/>
              </w:rPr>
            </w:pPr>
            <w:r w:rsidRPr="6395FD93">
              <w:rPr>
                <w:sz w:val="24"/>
                <w:szCs w:val="24"/>
                <w:u w:val="single"/>
                <w:lang w:val="en-GB"/>
              </w:rPr>
              <w:t>13,320</w:t>
            </w:r>
          </w:p>
        </w:tc>
      </w:tr>
      <w:tr w:rsidR="002A410A" w14:paraId="76D28897" w14:textId="77777777" w:rsidTr="00662FEC">
        <w:tc>
          <w:tcPr>
            <w:cnfStyle w:val="001000000000" w:firstRow="0" w:lastRow="0" w:firstColumn="1" w:lastColumn="0" w:oddVBand="0" w:evenVBand="0" w:oddHBand="0" w:evenHBand="0" w:firstRowFirstColumn="0" w:firstRowLastColumn="0" w:lastRowFirstColumn="0" w:lastRowLastColumn="0"/>
            <w:tcW w:w="810" w:type="dxa"/>
          </w:tcPr>
          <w:p w14:paraId="4E31CECD" w14:textId="77777777" w:rsidR="002A410A" w:rsidRDefault="002A410A" w:rsidP="00186F9D">
            <w:pPr>
              <w:rPr>
                <w:sz w:val="24"/>
                <w:szCs w:val="24"/>
                <w:lang w:val="en-GB"/>
              </w:rPr>
            </w:pPr>
          </w:p>
        </w:tc>
        <w:tc>
          <w:tcPr>
            <w:tcW w:w="2493" w:type="dxa"/>
          </w:tcPr>
          <w:p w14:paraId="67D77D24"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59" w:type="dxa"/>
          </w:tcPr>
          <w:p w14:paraId="50E8B2C8"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2165" w:type="dxa"/>
          </w:tcPr>
          <w:p w14:paraId="0A1F814B" w14:textId="64008AED" w:rsidR="002A410A" w:rsidRDefault="006E0412" w:rsidP="00186F9D">
            <w:pPr>
              <w:cnfStyle w:val="000000000000" w:firstRow="0" w:lastRow="0" w:firstColumn="0" w:lastColumn="0" w:oddVBand="0" w:evenVBand="0" w:oddHBand="0" w:evenHBand="0" w:firstRowFirstColumn="0" w:firstRowLastColumn="0" w:lastRowFirstColumn="0" w:lastRowLastColumn="0"/>
              <w:rPr>
                <w:b/>
                <w:bCs/>
                <w:sz w:val="24"/>
                <w:szCs w:val="24"/>
                <w:lang w:val="en-GB"/>
              </w:rPr>
            </w:pPr>
            <w:r>
              <w:rPr>
                <w:b/>
                <w:bCs/>
                <w:sz w:val="24"/>
                <w:szCs w:val="24"/>
                <w:lang w:val="en-GB"/>
              </w:rPr>
              <w:t>PV of Future Cash Flows</w:t>
            </w:r>
          </w:p>
        </w:tc>
        <w:tc>
          <w:tcPr>
            <w:tcW w:w="2223" w:type="dxa"/>
          </w:tcPr>
          <w:p w14:paraId="75AFDD87" w14:textId="14D994A6" w:rsidR="002A410A" w:rsidRDefault="006E0412" w:rsidP="00186F9D">
            <w:pPr>
              <w:jc w:val="right"/>
              <w:cnfStyle w:val="000000000000" w:firstRow="0" w:lastRow="0" w:firstColumn="0" w:lastColumn="0" w:oddVBand="0" w:evenVBand="0" w:oddHBand="0" w:evenHBand="0" w:firstRowFirstColumn="0" w:firstRowLastColumn="0" w:lastRowFirstColumn="0" w:lastRowLastColumn="0"/>
              <w:rPr>
                <w:b/>
                <w:bCs/>
                <w:sz w:val="24"/>
                <w:szCs w:val="24"/>
                <w:lang w:val="en-GB"/>
              </w:rPr>
            </w:pPr>
            <w:r>
              <w:rPr>
                <w:b/>
                <w:bCs/>
                <w:sz w:val="24"/>
                <w:szCs w:val="24"/>
                <w:lang w:val="en-GB"/>
              </w:rPr>
              <w:t>22</w:t>
            </w:r>
            <w:r w:rsidR="002A410A" w:rsidRPr="6395FD93">
              <w:rPr>
                <w:b/>
                <w:bCs/>
                <w:sz w:val="24"/>
                <w:szCs w:val="24"/>
                <w:lang w:val="en-GB"/>
              </w:rPr>
              <w:t>7,790</w:t>
            </w:r>
          </w:p>
        </w:tc>
      </w:tr>
    </w:tbl>
    <w:p w14:paraId="05CEEF23" w14:textId="77777777" w:rsidR="002A410A" w:rsidRDefault="002A410A" w:rsidP="002A410A">
      <w:pPr>
        <w:pStyle w:val="ListBullet"/>
        <w:numPr>
          <w:ilvl w:val="0"/>
          <w:numId w:val="0"/>
        </w:numPr>
        <w:rPr>
          <w:sz w:val="24"/>
          <w:szCs w:val="24"/>
          <w:lang w:val="en-GB"/>
        </w:rPr>
      </w:pPr>
    </w:p>
    <w:p w14:paraId="6EB8C2F1" w14:textId="77777777" w:rsidR="002A410A" w:rsidRDefault="002A410A" w:rsidP="002A410A">
      <w:pPr>
        <w:pStyle w:val="ListBullet"/>
        <w:numPr>
          <w:ilvl w:val="0"/>
          <w:numId w:val="0"/>
        </w:numPr>
        <w:rPr>
          <w:b/>
          <w:bCs/>
          <w:sz w:val="24"/>
          <w:szCs w:val="24"/>
          <w:u w:val="single"/>
          <w:lang w:val="en-GB"/>
        </w:rPr>
      </w:pPr>
      <w:r w:rsidRPr="6395FD93">
        <w:rPr>
          <w:b/>
          <w:bCs/>
          <w:sz w:val="24"/>
          <w:szCs w:val="24"/>
          <w:u w:val="single"/>
          <w:lang w:val="en-GB"/>
        </w:rPr>
        <w:t>Project B</w:t>
      </w:r>
    </w:p>
    <w:p w14:paraId="411B7E5A" w14:textId="11CAB1A2" w:rsidR="002A410A" w:rsidRDefault="006E0412" w:rsidP="002A410A">
      <w:pPr>
        <w:pStyle w:val="ListBullet"/>
        <w:numPr>
          <w:ilvl w:val="0"/>
          <w:numId w:val="0"/>
        </w:numPr>
        <w:rPr>
          <w:b/>
          <w:bCs/>
          <w:sz w:val="24"/>
          <w:szCs w:val="24"/>
          <w:u w:val="single"/>
          <w:lang w:val="en-GB"/>
        </w:rPr>
      </w:pPr>
      <w:r>
        <w:rPr>
          <w:b/>
          <w:bCs/>
          <w:sz w:val="24"/>
          <w:szCs w:val="24"/>
          <w:u w:val="single"/>
          <w:lang w:val="en-GB"/>
        </w:rPr>
        <w:t>PROFITABILITY INDEX</w:t>
      </w:r>
      <w:r w:rsidR="002A410A" w:rsidRPr="6395FD93">
        <w:rPr>
          <w:b/>
          <w:bCs/>
          <w:sz w:val="24"/>
          <w:szCs w:val="24"/>
          <w:u w:val="single"/>
          <w:lang w:val="en-GB"/>
        </w:rPr>
        <w:t xml:space="preserve"> CALCULATION</w:t>
      </w:r>
    </w:p>
    <w:tbl>
      <w:tblPr>
        <w:tblStyle w:val="GridTable1Light-Accent1"/>
        <w:tblW w:w="0" w:type="auto"/>
        <w:tblLook w:val="04A0" w:firstRow="1" w:lastRow="0" w:firstColumn="1" w:lastColumn="0" w:noHBand="0" w:noVBand="1"/>
      </w:tblPr>
      <w:tblGrid>
        <w:gridCol w:w="810"/>
        <w:gridCol w:w="2250"/>
        <w:gridCol w:w="1650"/>
        <w:gridCol w:w="2175"/>
        <w:gridCol w:w="2310"/>
      </w:tblGrid>
      <w:tr w:rsidR="002A410A" w14:paraId="0684BF58" w14:textId="77777777" w:rsidTr="00186F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0" w:type="dxa"/>
          </w:tcPr>
          <w:p w14:paraId="56CB24A0" w14:textId="77777777" w:rsidR="002A410A" w:rsidRDefault="002A410A" w:rsidP="00186F9D">
            <w:pPr>
              <w:rPr>
                <w:sz w:val="24"/>
                <w:szCs w:val="24"/>
                <w:lang w:val="en-GB"/>
              </w:rPr>
            </w:pPr>
            <w:r w:rsidRPr="6395FD93">
              <w:rPr>
                <w:sz w:val="24"/>
                <w:szCs w:val="24"/>
                <w:lang w:val="en-GB"/>
              </w:rPr>
              <w:t>Year</w:t>
            </w:r>
          </w:p>
        </w:tc>
        <w:tc>
          <w:tcPr>
            <w:tcW w:w="2250" w:type="dxa"/>
          </w:tcPr>
          <w:p w14:paraId="4A48F779"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Details</w:t>
            </w:r>
          </w:p>
        </w:tc>
        <w:tc>
          <w:tcPr>
            <w:tcW w:w="1650" w:type="dxa"/>
          </w:tcPr>
          <w:p w14:paraId="6C4AC5A1"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        £</w:t>
            </w:r>
          </w:p>
        </w:tc>
        <w:tc>
          <w:tcPr>
            <w:tcW w:w="2175" w:type="dxa"/>
          </w:tcPr>
          <w:p w14:paraId="0B8CA82E"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Discount Factor @ 7% </w:t>
            </w:r>
          </w:p>
          <w:p w14:paraId="2E1C9566" w14:textId="77777777" w:rsidR="002A410A" w:rsidRDefault="002A410A" w:rsidP="00186F9D">
            <w:pPr>
              <w:cnfStyle w:val="100000000000" w:firstRow="1" w:lastRow="0" w:firstColumn="0" w:lastColumn="0" w:oddVBand="0" w:evenVBand="0" w:oddHBand="0" w:evenHBand="0" w:firstRowFirstColumn="0" w:firstRowLastColumn="0" w:lastRowFirstColumn="0" w:lastRowLastColumn="0"/>
              <w:rPr>
                <w:sz w:val="24"/>
                <w:szCs w:val="24"/>
                <w:lang w:val="en-GB"/>
              </w:rPr>
            </w:pPr>
            <w:r w:rsidRPr="5C7EFC97">
              <w:rPr>
                <w:sz w:val="24"/>
                <w:szCs w:val="24"/>
                <w:lang w:val="en-GB"/>
              </w:rPr>
              <w:t xml:space="preserve"> </w:t>
            </w:r>
          </w:p>
        </w:tc>
        <w:tc>
          <w:tcPr>
            <w:tcW w:w="2310" w:type="dxa"/>
          </w:tcPr>
          <w:p w14:paraId="199C35BC" w14:textId="77777777" w:rsidR="002A410A" w:rsidRDefault="002A410A" w:rsidP="00186F9D">
            <w:pPr>
              <w:jc w:val="right"/>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Present Value</w:t>
            </w:r>
          </w:p>
          <w:p w14:paraId="18C6324F" w14:textId="77777777" w:rsidR="002A410A" w:rsidRDefault="002A410A" w:rsidP="00186F9D">
            <w:pPr>
              <w:jc w:val="right"/>
              <w:cnfStyle w:val="100000000000" w:firstRow="1"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 xml:space="preserve">                          £</w:t>
            </w:r>
          </w:p>
        </w:tc>
      </w:tr>
      <w:tr w:rsidR="002A410A" w14:paraId="76DBF387" w14:textId="77777777" w:rsidTr="00186F9D">
        <w:tc>
          <w:tcPr>
            <w:cnfStyle w:val="001000000000" w:firstRow="0" w:lastRow="0" w:firstColumn="1" w:lastColumn="0" w:oddVBand="0" w:evenVBand="0" w:oddHBand="0" w:evenHBand="0" w:firstRowFirstColumn="0" w:firstRowLastColumn="0" w:lastRowFirstColumn="0" w:lastRowLastColumn="0"/>
            <w:tcW w:w="810" w:type="dxa"/>
          </w:tcPr>
          <w:p w14:paraId="520C7DA4" w14:textId="77777777" w:rsidR="002A410A" w:rsidRDefault="002A410A" w:rsidP="00186F9D">
            <w:pPr>
              <w:rPr>
                <w:sz w:val="24"/>
                <w:szCs w:val="24"/>
                <w:lang w:val="en-GB"/>
              </w:rPr>
            </w:pPr>
            <w:r w:rsidRPr="6395FD93">
              <w:rPr>
                <w:sz w:val="24"/>
                <w:szCs w:val="24"/>
                <w:lang w:val="en-GB"/>
              </w:rPr>
              <w:t>1</w:t>
            </w:r>
          </w:p>
        </w:tc>
        <w:tc>
          <w:tcPr>
            <w:tcW w:w="2250" w:type="dxa"/>
          </w:tcPr>
          <w:p w14:paraId="443CCC9A"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6B82097B"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76B2B635"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0.935</w:t>
            </w:r>
          </w:p>
        </w:tc>
        <w:tc>
          <w:tcPr>
            <w:tcW w:w="2310" w:type="dxa"/>
          </w:tcPr>
          <w:p w14:paraId="4104F947"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56,100</w:t>
            </w:r>
          </w:p>
        </w:tc>
      </w:tr>
      <w:tr w:rsidR="002A410A" w14:paraId="78225ADB" w14:textId="77777777" w:rsidTr="00186F9D">
        <w:tc>
          <w:tcPr>
            <w:cnfStyle w:val="001000000000" w:firstRow="0" w:lastRow="0" w:firstColumn="1" w:lastColumn="0" w:oddVBand="0" w:evenVBand="0" w:oddHBand="0" w:evenHBand="0" w:firstRowFirstColumn="0" w:firstRowLastColumn="0" w:lastRowFirstColumn="0" w:lastRowLastColumn="0"/>
            <w:tcW w:w="810" w:type="dxa"/>
          </w:tcPr>
          <w:p w14:paraId="6F1A80F8" w14:textId="77777777" w:rsidR="002A410A" w:rsidRDefault="002A410A" w:rsidP="00186F9D">
            <w:pPr>
              <w:rPr>
                <w:sz w:val="24"/>
                <w:szCs w:val="24"/>
                <w:lang w:val="en-GB"/>
              </w:rPr>
            </w:pPr>
            <w:r w:rsidRPr="6395FD93">
              <w:rPr>
                <w:sz w:val="24"/>
                <w:szCs w:val="24"/>
                <w:lang w:val="en-GB"/>
              </w:rPr>
              <w:t>2</w:t>
            </w:r>
          </w:p>
        </w:tc>
        <w:tc>
          <w:tcPr>
            <w:tcW w:w="2250" w:type="dxa"/>
          </w:tcPr>
          <w:p w14:paraId="66D29EE8"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39270B04"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29DE5F0A"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0.873</w:t>
            </w:r>
          </w:p>
        </w:tc>
        <w:tc>
          <w:tcPr>
            <w:tcW w:w="2310" w:type="dxa"/>
          </w:tcPr>
          <w:p w14:paraId="52F0BA27"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52,380</w:t>
            </w:r>
          </w:p>
        </w:tc>
      </w:tr>
      <w:tr w:rsidR="002A410A" w14:paraId="55D112EC" w14:textId="77777777" w:rsidTr="00186F9D">
        <w:tc>
          <w:tcPr>
            <w:cnfStyle w:val="001000000000" w:firstRow="0" w:lastRow="0" w:firstColumn="1" w:lastColumn="0" w:oddVBand="0" w:evenVBand="0" w:oddHBand="0" w:evenHBand="0" w:firstRowFirstColumn="0" w:firstRowLastColumn="0" w:lastRowFirstColumn="0" w:lastRowLastColumn="0"/>
            <w:tcW w:w="810" w:type="dxa"/>
          </w:tcPr>
          <w:p w14:paraId="59048AF4" w14:textId="77777777" w:rsidR="002A410A" w:rsidRDefault="002A410A" w:rsidP="00186F9D">
            <w:pPr>
              <w:rPr>
                <w:sz w:val="24"/>
                <w:szCs w:val="24"/>
                <w:lang w:val="en-GB"/>
              </w:rPr>
            </w:pPr>
            <w:r w:rsidRPr="6395FD93">
              <w:rPr>
                <w:sz w:val="24"/>
                <w:szCs w:val="24"/>
                <w:lang w:val="en-GB"/>
              </w:rPr>
              <w:t>3</w:t>
            </w:r>
          </w:p>
        </w:tc>
        <w:tc>
          <w:tcPr>
            <w:tcW w:w="2250" w:type="dxa"/>
          </w:tcPr>
          <w:p w14:paraId="1E53952C"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078E8D5B"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02D1A3C5"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0.816</w:t>
            </w:r>
          </w:p>
        </w:tc>
        <w:tc>
          <w:tcPr>
            <w:tcW w:w="2310" w:type="dxa"/>
          </w:tcPr>
          <w:p w14:paraId="3F846986"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48,960</w:t>
            </w:r>
          </w:p>
        </w:tc>
      </w:tr>
      <w:tr w:rsidR="002A410A" w14:paraId="072F3B47" w14:textId="77777777" w:rsidTr="00186F9D">
        <w:tc>
          <w:tcPr>
            <w:cnfStyle w:val="001000000000" w:firstRow="0" w:lastRow="0" w:firstColumn="1" w:lastColumn="0" w:oddVBand="0" w:evenVBand="0" w:oddHBand="0" w:evenHBand="0" w:firstRowFirstColumn="0" w:firstRowLastColumn="0" w:lastRowFirstColumn="0" w:lastRowLastColumn="0"/>
            <w:tcW w:w="810" w:type="dxa"/>
          </w:tcPr>
          <w:p w14:paraId="50CFBF06" w14:textId="77777777" w:rsidR="002A410A" w:rsidRDefault="002A410A" w:rsidP="00186F9D">
            <w:pPr>
              <w:rPr>
                <w:sz w:val="24"/>
                <w:szCs w:val="24"/>
                <w:lang w:val="en-GB"/>
              </w:rPr>
            </w:pPr>
            <w:r w:rsidRPr="6395FD93">
              <w:rPr>
                <w:sz w:val="24"/>
                <w:szCs w:val="24"/>
                <w:lang w:val="en-GB"/>
              </w:rPr>
              <w:t>4</w:t>
            </w:r>
          </w:p>
        </w:tc>
        <w:tc>
          <w:tcPr>
            <w:tcW w:w="2250" w:type="dxa"/>
          </w:tcPr>
          <w:p w14:paraId="4CE03A79"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51300002"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397D3494"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0.763</w:t>
            </w:r>
          </w:p>
        </w:tc>
        <w:tc>
          <w:tcPr>
            <w:tcW w:w="2310" w:type="dxa"/>
          </w:tcPr>
          <w:p w14:paraId="1356E22B"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45,780</w:t>
            </w:r>
          </w:p>
        </w:tc>
      </w:tr>
      <w:tr w:rsidR="002A410A" w14:paraId="5FD5A3B3" w14:textId="77777777" w:rsidTr="00186F9D">
        <w:tc>
          <w:tcPr>
            <w:cnfStyle w:val="001000000000" w:firstRow="0" w:lastRow="0" w:firstColumn="1" w:lastColumn="0" w:oddVBand="0" w:evenVBand="0" w:oddHBand="0" w:evenHBand="0" w:firstRowFirstColumn="0" w:firstRowLastColumn="0" w:lastRowFirstColumn="0" w:lastRowLastColumn="0"/>
            <w:tcW w:w="810" w:type="dxa"/>
          </w:tcPr>
          <w:p w14:paraId="3A01DA5A" w14:textId="77777777" w:rsidR="002A410A" w:rsidRDefault="002A410A" w:rsidP="00186F9D">
            <w:pPr>
              <w:rPr>
                <w:sz w:val="24"/>
                <w:szCs w:val="24"/>
                <w:lang w:val="en-GB"/>
              </w:rPr>
            </w:pPr>
            <w:r w:rsidRPr="6395FD93">
              <w:rPr>
                <w:sz w:val="24"/>
                <w:szCs w:val="24"/>
                <w:lang w:val="en-GB"/>
              </w:rPr>
              <w:t>5</w:t>
            </w:r>
          </w:p>
        </w:tc>
        <w:tc>
          <w:tcPr>
            <w:tcW w:w="2250" w:type="dxa"/>
          </w:tcPr>
          <w:p w14:paraId="74227413"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68CC04BF"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75DEF95C"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0.713</w:t>
            </w:r>
          </w:p>
        </w:tc>
        <w:tc>
          <w:tcPr>
            <w:tcW w:w="2310" w:type="dxa"/>
          </w:tcPr>
          <w:p w14:paraId="061146CC"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42,780</w:t>
            </w:r>
          </w:p>
        </w:tc>
      </w:tr>
      <w:tr w:rsidR="002A410A" w14:paraId="115D3106" w14:textId="77777777" w:rsidTr="00186F9D">
        <w:tc>
          <w:tcPr>
            <w:cnfStyle w:val="001000000000" w:firstRow="0" w:lastRow="0" w:firstColumn="1" w:lastColumn="0" w:oddVBand="0" w:evenVBand="0" w:oddHBand="0" w:evenHBand="0" w:firstRowFirstColumn="0" w:firstRowLastColumn="0" w:lastRowFirstColumn="0" w:lastRowLastColumn="0"/>
            <w:tcW w:w="810" w:type="dxa"/>
          </w:tcPr>
          <w:p w14:paraId="21F5EE95" w14:textId="77777777" w:rsidR="002A410A" w:rsidRDefault="002A410A" w:rsidP="00186F9D">
            <w:pPr>
              <w:rPr>
                <w:sz w:val="24"/>
                <w:szCs w:val="24"/>
                <w:lang w:val="en-GB"/>
              </w:rPr>
            </w:pPr>
            <w:r w:rsidRPr="6395FD93">
              <w:rPr>
                <w:sz w:val="24"/>
                <w:szCs w:val="24"/>
                <w:lang w:val="en-GB"/>
              </w:rPr>
              <w:t>6</w:t>
            </w:r>
          </w:p>
        </w:tc>
        <w:tc>
          <w:tcPr>
            <w:tcW w:w="2250" w:type="dxa"/>
          </w:tcPr>
          <w:p w14:paraId="72CE9AD3"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Cash Flow</w:t>
            </w:r>
          </w:p>
        </w:tc>
        <w:tc>
          <w:tcPr>
            <w:tcW w:w="1650" w:type="dxa"/>
          </w:tcPr>
          <w:p w14:paraId="7B16828A"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60,000</w:t>
            </w:r>
          </w:p>
        </w:tc>
        <w:tc>
          <w:tcPr>
            <w:tcW w:w="2175" w:type="dxa"/>
          </w:tcPr>
          <w:p w14:paraId="299AEBEF"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2310" w:type="dxa"/>
          </w:tcPr>
          <w:p w14:paraId="3759F6C8"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39,960</w:t>
            </w:r>
          </w:p>
        </w:tc>
      </w:tr>
      <w:tr w:rsidR="002A410A" w14:paraId="47297F7E" w14:textId="77777777" w:rsidTr="00186F9D">
        <w:tc>
          <w:tcPr>
            <w:cnfStyle w:val="001000000000" w:firstRow="0" w:lastRow="0" w:firstColumn="1" w:lastColumn="0" w:oddVBand="0" w:evenVBand="0" w:oddHBand="0" w:evenHBand="0" w:firstRowFirstColumn="0" w:firstRowLastColumn="0" w:lastRowFirstColumn="0" w:lastRowLastColumn="0"/>
            <w:tcW w:w="810" w:type="dxa"/>
          </w:tcPr>
          <w:p w14:paraId="3F2E68E7" w14:textId="77777777" w:rsidR="002A410A" w:rsidRDefault="002A410A" w:rsidP="00186F9D">
            <w:pPr>
              <w:rPr>
                <w:sz w:val="24"/>
                <w:szCs w:val="24"/>
                <w:lang w:val="en-GB"/>
              </w:rPr>
            </w:pPr>
            <w:r w:rsidRPr="6395FD93">
              <w:rPr>
                <w:sz w:val="24"/>
                <w:szCs w:val="24"/>
                <w:lang w:val="en-GB"/>
              </w:rPr>
              <w:t>6</w:t>
            </w:r>
          </w:p>
        </w:tc>
        <w:tc>
          <w:tcPr>
            <w:tcW w:w="2250" w:type="dxa"/>
          </w:tcPr>
          <w:p w14:paraId="727B48D2"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Residual value</w:t>
            </w:r>
          </w:p>
        </w:tc>
        <w:tc>
          <w:tcPr>
            <w:tcW w:w="1650" w:type="dxa"/>
          </w:tcPr>
          <w:p w14:paraId="7EA5977F"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10,000</w:t>
            </w:r>
          </w:p>
        </w:tc>
        <w:tc>
          <w:tcPr>
            <w:tcW w:w="2175" w:type="dxa"/>
          </w:tcPr>
          <w:p w14:paraId="31B1E30A"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lang w:val="en-GB"/>
              </w:rPr>
            </w:pPr>
            <w:r w:rsidRPr="6395FD93">
              <w:rPr>
                <w:sz w:val="24"/>
                <w:szCs w:val="24"/>
                <w:lang w:val="en-GB"/>
              </w:rPr>
              <w:t>0.666</w:t>
            </w:r>
          </w:p>
        </w:tc>
        <w:tc>
          <w:tcPr>
            <w:tcW w:w="2310" w:type="dxa"/>
          </w:tcPr>
          <w:p w14:paraId="105FD2DF" w14:textId="77777777" w:rsidR="002A410A" w:rsidRDefault="002A410A" w:rsidP="00186F9D">
            <w:pPr>
              <w:jc w:val="right"/>
              <w:cnfStyle w:val="000000000000" w:firstRow="0" w:lastRow="0" w:firstColumn="0" w:lastColumn="0" w:oddVBand="0" w:evenVBand="0" w:oddHBand="0" w:evenHBand="0" w:firstRowFirstColumn="0" w:firstRowLastColumn="0" w:lastRowFirstColumn="0" w:lastRowLastColumn="0"/>
              <w:rPr>
                <w:sz w:val="24"/>
                <w:szCs w:val="24"/>
                <w:u w:val="single"/>
                <w:lang w:val="en-GB"/>
              </w:rPr>
            </w:pPr>
            <w:r w:rsidRPr="6395FD93">
              <w:rPr>
                <w:sz w:val="24"/>
                <w:szCs w:val="24"/>
                <w:u w:val="single"/>
                <w:lang w:val="en-GB"/>
              </w:rPr>
              <w:t>6,660</w:t>
            </w:r>
          </w:p>
        </w:tc>
      </w:tr>
      <w:tr w:rsidR="002A410A" w14:paraId="30DDBCC4" w14:textId="77777777" w:rsidTr="00186F9D">
        <w:tc>
          <w:tcPr>
            <w:cnfStyle w:val="001000000000" w:firstRow="0" w:lastRow="0" w:firstColumn="1" w:lastColumn="0" w:oddVBand="0" w:evenVBand="0" w:oddHBand="0" w:evenHBand="0" w:firstRowFirstColumn="0" w:firstRowLastColumn="0" w:lastRowFirstColumn="0" w:lastRowLastColumn="0"/>
            <w:tcW w:w="810" w:type="dxa"/>
          </w:tcPr>
          <w:p w14:paraId="1E0CCD62" w14:textId="77777777" w:rsidR="002A410A" w:rsidRDefault="002A410A" w:rsidP="00186F9D">
            <w:pPr>
              <w:rPr>
                <w:sz w:val="24"/>
                <w:szCs w:val="24"/>
                <w:lang w:val="en-GB"/>
              </w:rPr>
            </w:pPr>
          </w:p>
        </w:tc>
        <w:tc>
          <w:tcPr>
            <w:tcW w:w="2250" w:type="dxa"/>
          </w:tcPr>
          <w:p w14:paraId="6C2FDC73"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1650" w:type="dxa"/>
          </w:tcPr>
          <w:p w14:paraId="03291C4B" w14:textId="77777777" w:rsidR="002A410A" w:rsidRDefault="002A410A" w:rsidP="00186F9D">
            <w:pPr>
              <w:cnfStyle w:val="000000000000" w:firstRow="0" w:lastRow="0" w:firstColumn="0" w:lastColumn="0" w:oddVBand="0" w:evenVBand="0" w:oddHBand="0" w:evenHBand="0" w:firstRowFirstColumn="0" w:firstRowLastColumn="0" w:lastRowFirstColumn="0" w:lastRowLastColumn="0"/>
              <w:rPr>
                <w:sz w:val="24"/>
                <w:szCs w:val="24"/>
                <w:lang w:val="en-GB"/>
              </w:rPr>
            </w:pPr>
          </w:p>
        </w:tc>
        <w:tc>
          <w:tcPr>
            <w:tcW w:w="2175" w:type="dxa"/>
          </w:tcPr>
          <w:p w14:paraId="5B2F2E1B" w14:textId="730E9284" w:rsidR="002A410A" w:rsidRDefault="00867A01" w:rsidP="00186F9D">
            <w:pPr>
              <w:cnfStyle w:val="000000000000" w:firstRow="0" w:lastRow="0" w:firstColumn="0" w:lastColumn="0" w:oddVBand="0" w:evenVBand="0" w:oddHBand="0" w:evenHBand="0" w:firstRowFirstColumn="0" w:firstRowLastColumn="0" w:lastRowFirstColumn="0" w:lastRowLastColumn="0"/>
              <w:rPr>
                <w:b/>
                <w:bCs/>
                <w:sz w:val="24"/>
                <w:szCs w:val="24"/>
                <w:lang w:val="en-GB"/>
              </w:rPr>
            </w:pPr>
            <w:r>
              <w:rPr>
                <w:b/>
                <w:bCs/>
                <w:sz w:val="24"/>
                <w:szCs w:val="24"/>
                <w:lang w:val="en-GB"/>
              </w:rPr>
              <w:t>PV of Future Cash Flows</w:t>
            </w:r>
          </w:p>
        </w:tc>
        <w:tc>
          <w:tcPr>
            <w:tcW w:w="2310" w:type="dxa"/>
          </w:tcPr>
          <w:p w14:paraId="3C0898E1" w14:textId="7D87220E" w:rsidR="002A410A" w:rsidRDefault="006E0412" w:rsidP="00186F9D">
            <w:pPr>
              <w:jc w:val="right"/>
              <w:cnfStyle w:val="000000000000" w:firstRow="0" w:lastRow="0" w:firstColumn="0" w:lastColumn="0" w:oddVBand="0" w:evenVBand="0" w:oddHBand="0" w:evenHBand="0" w:firstRowFirstColumn="0" w:firstRowLastColumn="0" w:lastRowFirstColumn="0" w:lastRowLastColumn="0"/>
              <w:rPr>
                <w:b/>
                <w:bCs/>
                <w:sz w:val="24"/>
                <w:szCs w:val="24"/>
                <w:lang w:val="en-GB"/>
              </w:rPr>
            </w:pPr>
            <w:r>
              <w:rPr>
                <w:b/>
                <w:bCs/>
                <w:sz w:val="24"/>
                <w:szCs w:val="24"/>
                <w:lang w:val="en-GB"/>
              </w:rPr>
              <w:t>29</w:t>
            </w:r>
            <w:r w:rsidR="002A410A" w:rsidRPr="6395FD93">
              <w:rPr>
                <w:b/>
                <w:bCs/>
                <w:sz w:val="24"/>
                <w:szCs w:val="24"/>
                <w:lang w:val="en-GB"/>
              </w:rPr>
              <w:t>2,620</w:t>
            </w:r>
          </w:p>
        </w:tc>
      </w:tr>
    </w:tbl>
    <w:p w14:paraId="1C898CD4" w14:textId="77777777" w:rsidR="004874A8" w:rsidRDefault="004874A8" w:rsidP="3C0493CB">
      <w:pPr>
        <w:pStyle w:val="ListBullet"/>
        <w:numPr>
          <w:ilvl w:val="0"/>
          <w:numId w:val="0"/>
        </w:numPr>
        <w:rPr>
          <w:rFonts w:eastAsiaTheme="minorEastAsia"/>
          <w:color w:val="555555"/>
          <w:sz w:val="24"/>
          <w:szCs w:val="24"/>
          <w:lang w:val="en-GB"/>
        </w:rPr>
      </w:pPr>
    </w:p>
    <w:tbl>
      <w:tblPr>
        <w:tblStyle w:val="TableGrid"/>
        <w:tblW w:w="0" w:type="auto"/>
        <w:tblLook w:val="04A0" w:firstRow="1" w:lastRow="0" w:firstColumn="1" w:lastColumn="0" w:noHBand="0" w:noVBand="1"/>
      </w:tblPr>
      <w:tblGrid>
        <w:gridCol w:w="1862"/>
        <w:gridCol w:w="1607"/>
        <w:gridCol w:w="2011"/>
        <w:gridCol w:w="2011"/>
      </w:tblGrid>
      <w:tr w:rsidR="006B14D8" w14:paraId="0429A618" w14:textId="77777777" w:rsidTr="6395FD93">
        <w:tc>
          <w:tcPr>
            <w:tcW w:w="1862" w:type="dxa"/>
          </w:tcPr>
          <w:p w14:paraId="493B8942" w14:textId="77777777" w:rsidR="006B14D8" w:rsidRDefault="006B14D8" w:rsidP="3C0493CB">
            <w:pPr>
              <w:pStyle w:val="ListBullet"/>
              <w:numPr>
                <w:ilvl w:val="0"/>
                <w:numId w:val="0"/>
              </w:numPr>
              <w:rPr>
                <w:rFonts w:eastAsiaTheme="minorEastAsia"/>
                <w:color w:val="555555"/>
                <w:sz w:val="24"/>
                <w:szCs w:val="24"/>
                <w:lang w:val="en-GB"/>
              </w:rPr>
            </w:pPr>
          </w:p>
        </w:tc>
        <w:tc>
          <w:tcPr>
            <w:tcW w:w="1607" w:type="dxa"/>
          </w:tcPr>
          <w:p w14:paraId="1BCE2448" w14:textId="77777777" w:rsidR="006B14D8" w:rsidRPr="0072366E" w:rsidRDefault="006B14D8" w:rsidP="6395FD93">
            <w:pPr>
              <w:pStyle w:val="ListBullet"/>
              <w:numPr>
                <w:ilvl w:val="0"/>
                <w:numId w:val="0"/>
              </w:numPr>
              <w:rPr>
                <w:rFonts w:eastAsiaTheme="minorEastAsia"/>
                <w:b/>
                <w:bCs/>
                <w:color w:val="555555"/>
                <w:sz w:val="24"/>
                <w:szCs w:val="24"/>
                <w:lang w:val="en-GB"/>
              </w:rPr>
            </w:pPr>
            <w:r w:rsidRPr="6395FD93">
              <w:rPr>
                <w:rFonts w:eastAsiaTheme="minorEastAsia"/>
                <w:b/>
                <w:bCs/>
                <w:color w:val="555555"/>
                <w:sz w:val="24"/>
                <w:szCs w:val="24"/>
                <w:lang w:val="en-GB"/>
              </w:rPr>
              <w:t>PV of Future Cash Flow</w:t>
            </w:r>
          </w:p>
          <w:p w14:paraId="1D0A896D" w14:textId="4B04B916" w:rsidR="006B14D8" w:rsidRPr="0072366E" w:rsidRDefault="006B14D8" w:rsidP="6395FD93">
            <w:pPr>
              <w:pStyle w:val="ListBullet"/>
              <w:numPr>
                <w:ilvl w:val="0"/>
                <w:numId w:val="0"/>
              </w:numPr>
              <w:rPr>
                <w:rFonts w:eastAsiaTheme="minorEastAsia"/>
                <w:b/>
                <w:bCs/>
                <w:color w:val="555555"/>
                <w:sz w:val="24"/>
                <w:szCs w:val="24"/>
                <w:lang w:val="en-GB"/>
              </w:rPr>
            </w:pPr>
            <w:r w:rsidRPr="6395FD93">
              <w:rPr>
                <w:rFonts w:eastAsiaTheme="minorEastAsia"/>
                <w:b/>
                <w:bCs/>
                <w:color w:val="555555"/>
                <w:sz w:val="24"/>
                <w:szCs w:val="24"/>
                <w:lang w:val="en-GB"/>
              </w:rPr>
              <w:t>£</w:t>
            </w:r>
          </w:p>
        </w:tc>
        <w:tc>
          <w:tcPr>
            <w:tcW w:w="2011" w:type="dxa"/>
          </w:tcPr>
          <w:p w14:paraId="331C98A4" w14:textId="77777777" w:rsidR="006B14D8" w:rsidRPr="0072366E" w:rsidRDefault="006B14D8" w:rsidP="6395FD93">
            <w:pPr>
              <w:pStyle w:val="ListBullet"/>
              <w:numPr>
                <w:ilvl w:val="0"/>
                <w:numId w:val="0"/>
              </w:numPr>
              <w:rPr>
                <w:rFonts w:eastAsiaTheme="minorEastAsia"/>
                <w:b/>
                <w:bCs/>
                <w:color w:val="555555"/>
                <w:sz w:val="24"/>
                <w:szCs w:val="24"/>
                <w:lang w:val="en-GB"/>
              </w:rPr>
            </w:pPr>
            <w:r w:rsidRPr="6395FD93">
              <w:rPr>
                <w:rFonts w:eastAsiaTheme="minorEastAsia"/>
                <w:b/>
                <w:bCs/>
                <w:color w:val="555555"/>
                <w:sz w:val="24"/>
                <w:szCs w:val="24"/>
                <w:lang w:val="en-GB"/>
              </w:rPr>
              <w:t>Initial Investment</w:t>
            </w:r>
          </w:p>
          <w:p w14:paraId="2B1500A7" w14:textId="77777777" w:rsidR="006B14D8" w:rsidRDefault="006B14D8" w:rsidP="3C0493CB">
            <w:pPr>
              <w:pStyle w:val="ListBullet"/>
              <w:numPr>
                <w:ilvl w:val="0"/>
                <w:numId w:val="0"/>
              </w:numPr>
              <w:rPr>
                <w:rFonts w:eastAsiaTheme="minorEastAsia"/>
                <w:b/>
                <w:bCs/>
                <w:color w:val="555555"/>
                <w:sz w:val="24"/>
                <w:szCs w:val="24"/>
                <w:lang w:val="en-GB"/>
              </w:rPr>
            </w:pPr>
          </w:p>
          <w:p w14:paraId="7D9CBAE1" w14:textId="295488E8" w:rsidR="006B14D8" w:rsidRPr="0072366E" w:rsidRDefault="006B14D8" w:rsidP="6395FD93">
            <w:pPr>
              <w:pStyle w:val="ListBullet"/>
              <w:numPr>
                <w:ilvl w:val="0"/>
                <w:numId w:val="0"/>
              </w:numPr>
              <w:rPr>
                <w:rFonts w:eastAsiaTheme="minorEastAsia"/>
                <w:b/>
                <w:bCs/>
                <w:color w:val="555555"/>
                <w:sz w:val="24"/>
                <w:szCs w:val="24"/>
                <w:lang w:val="en-GB"/>
              </w:rPr>
            </w:pPr>
            <w:r w:rsidRPr="6395FD93">
              <w:rPr>
                <w:rFonts w:eastAsiaTheme="minorEastAsia"/>
                <w:b/>
                <w:bCs/>
                <w:color w:val="555555"/>
                <w:sz w:val="24"/>
                <w:szCs w:val="24"/>
                <w:lang w:val="en-GB"/>
              </w:rPr>
              <w:t>£</w:t>
            </w:r>
          </w:p>
        </w:tc>
        <w:tc>
          <w:tcPr>
            <w:tcW w:w="2011" w:type="dxa"/>
          </w:tcPr>
          <w:p w14:paraId="1C4735D1" w14:textId="77777777" w:rsidR="006B14D8" w:rsidRPr="0072366E" w:rsidRDefault="006B14D8" w:rsidP="6395FD93">
            <w:pPr>
              <w:pStyle w:val="ListBullet"/>
              <w:numPr>
                <w:ilvl w:val="0"/>
                <w:numId w:val="0"/>
              </w:numPr>
              <w:rPr>
                <w:rFonts w:eastAsiaTheme="minorEastAsia"/>
                <w:b/>
                <w:bCs/>
                <w:color w:val="555555"/>
                <w:sz w:val="24"/>
                <w:szCs w:val="24"/>
                <w:lang w:val="en-GB"/>
              </w:rPr>
            </w:pPr>
            <w:r w:rsidRPr="6395FD93">
              <w:rPr>
                <w:rFonts w:eastAsiaTheme="minorEastAsia"/>
                <w:b/>
                <w:bCs/>
                <w:color w:val="555555"/>
                <w:sz w:val="24"/>
                <w:szCs w:val="24"/>
                <w:lang w:val="en-GB"/>
              </w:rPr>
              <w:t>Profitability Index</w:t>
            </w:r>
          </w:p>
          <w:p w14:paraId="6AB770A2" w14:textId="77777777" w:rsidR="006B14D8" w:rsidRDefault="006B14D8" w:rsidP="3C0493CB">
            <w:pPr>
              <w:pStyle w:val="ListBullet"/>
              <w:numPr>
                <w:ilvl w:val="0"/>
                <w:numId w:val="0"/>
              </w:numPr>
              <w:rPr>
                <w:rFonts w:eastAsiaTheme="minorEastAsia"/>
                <w:b/>
                <w:bCs/>
                <w:color w:val="555555"/>
                <w:sz w:val="24"/>
                <w:szCs w:val="24"/>
                <w:lang w:val="en-GB"/>
              </w:rPr>
            </w:pPr>
          </w:p>
          <w:p w14:paraId="00BA3FAE" w14:textId="51A2B99C" w:rsidR="006B14D8" w:rsidRPr="0072366E" w:rsidRDefault="006B14D8" w:rsidP="6395FD93">
            <w:pPr>
              <w:pStyle w:val="ListBullet"/>
              <w:numPr>
                <w:ilvl w:val="0"/>
                <w:numId w:val="0"/>
              </w:numPr>
              <w:rPr>
                <w:rFonts w:eastAsiaTheme="minorEastAsia"/>
                <w:b/>
                <w:bCs/>
                <w:color w:val="555555"/>
                <w:sz w:val="24"/>
                <w:szCs w:val="24"/>
                <w:lang w:val="en-GB"/>
              </w:rPr>
            </w:pPr>
            <w:r w:rsidRPr="6395FD93">
              <w:rPr>
                <w:rFonts w:eastAsiaTheme="minorEastAsia"/>
                <w:b/>
                <w:bCs/>
                <w:color w:val="555555"/>
                <w:sz w:val="24"/>
                <w:szCs w:val="24"/>
                <w:lang w:val="en-GB"/>
              </w:rPr>
              <w:t>£</w:t>
            </w:r>
          </w:p>
        </w:tc>
      </w:tr>
      <w:tr w:rsidR="006B14D8" w14:paraId="378214B6" w14:textId="77777777" w:rsidTr="6395FD93">
        <w:tc>
          <w:tcPr>
            <w:tcW w:w="1862" w:type="dxa"/>
          </w:tcPr>
          <w:p w14:paraId="4CD59CD1" w14:textId="42FA0CD0" w:rsidR="006B14D8" w:rsidRDefault="006B14D8" w:rsidP="6395FD93">
            <w:pPr>
              <w:pStyle w:val="ListBullet"/>
              <w:numPr>
                <w:ilvl w:val="0"/>
                <w:numId w:val="0"/>
              </w:numPr>
              <w:rPr>
                <w:rFonts w:eastAsiaTheme="minorEastAsia"/>
                <w:color w:val="555555"/>
                <w:sz w:val="24"/>
                <w:szCs w:val="24"/>
                <w:lang w:val="en-GB"/>
              </w:rPr>
            </w:pPr>
            <w:r w:rsidRPr="6395FD93">
              <w:rPr>
                <w:rFonts w:eastAsiaTheme="minorEastAsia"/>
                <w:color w:val="555555"/>
                <w:sz w:val="24"/>
                <w:szCs w:val="24"/>
                <w:lang w:val="en-GB"/>
              </w:rPr>
              <w:t>Project A</w:t>
            </w:r>
          </w:p>
        </w:tc>
        <w:tc>
          <w:tcPr>
            <w:tcW w:w="1607" w:type="dxa"/>
          </w:tcPr>
          <w:p w14:paraId="5537AF0F" w14:textId="39B8BEF6" w:rsidR="006B14D8" w:rsidRDefault="006B14D8" w:rsidP="6395FD93">
            <w:pPr>
              <w:pStyle w:val="ListBullet"/>
              <w:numPr>
                <w:ilvl w:val="0"/>
                <w:numId w:val="0"/>
              </w:numPr>
              <w:rPr>
                <w:rFonts w:eastAsiaTheme="minorEastAsia"/>
                <w:color w:val="555555"/>
                <w:sz w:val="24"/>
                <w:szCs w:val="24"/>
                <w:lang w:val="en-GB"/>
              </w:rPr>
            </w:pPr>
            <w:r w:rsidRPr="6395FD93">
              <w:rPr>
                <w:rFonts w:eastAsiaTheme="minorEastAsia"/>
                <w:color w:val="555555"/>
                <w:sz w:val="24"/>
                <w:szCs w:val="24"/>
                <w:lang w:val="en-GB"/>
              </w:rPr>
              <w:t>227,790</w:t>
            </w:r>
          </w:p>
        </w:tc>
        <w:tc>
          <w:tcPr>
            <w:tcW w:w="2011" w:type="dxa"/>
          </w:tcPr>
          <w:p w14:paraId="7709107B" w14:textId="543A37A1" w:rsidR="006B14D8" w:rsidRDefault="006B14D8" w:rsidP="6395FD93">
            <w:pPr>
              <w:pStyle w:val="ListBullet"/>
              <w:numPr>
                <w:ilvl w:val="0"/>
                <w:numId w:val="0"/>
              </w:numPr>
              <w:rPr>
                <w:rFonts w:eastAsiaTheme="minorEastAsia"/>
                <w:color w:val="555555"/>
                <w:sz w:val="24"/>
                <w:szCs w:val="24"/>
                <w:lang w:val="en-GB"/>
              </w:rPr>
            </w:pPr>
            <w:r w:rsidRPr="6395FD93">
              <w:rPr>
                <w:rFonts w:eastAsiaTheme="minorEastAsia"/>
                <w:color w:val="555555"/>
                <w:sz w:val="24"/>
                <w:szCs w:val="24"/>
                <w:lang w:val="en-GB"/>
              </w:rPr>
              <w:t>160,000</w:t>
            </w:r>
          </w:p>
        </w:tc>
        <w:tc>
          <w:tcPr>
            <w:tcW w:w="2011" w:type="dxa"/>
          </w:tcPr>
          <w:p w14:paraId="31CA433C" w14:textId="2631C1C1" w:rsidR="006B14D8" w:rsidRDefault="006B14D8" w:rsidP="6395FD93">
            <w:pPr>
              <w:pStyle w:val="ListBullet"/>
              <w:numPr>
                <w:ilvl w:val="0"/>
                <w:numId w:val="0"/>
              </w:numPr>
              <w:rPr>
                <w:rFonts w:eastAsiaTheme="minorEastAsia"/>
                <w:color w:val="555555"/>
                <w:sz w:val="24"/>
                <w:szCs w:val="24"/>
                <w:lang w:val="en-GB"/>
              </w:rPr>
            </w:pPr>
            <w:r>
              <w:rPr>
                <w:rFonts w:eastAsiaTheme="minorEastAsia"/>
                <w:color w:val="555555"/>
                <w:sz w:val="24"/>
                <w:szCs w:val="24"/>
                <w:lang w:val="en-GB"/>
              </w:rPr>
              <w:t>1</w:t>
            </w:r>
            <w:r w:rsidRPr="6395FD93">
              <w:rPr>
                <w:rFonts w:eastAsiaTheme="minorEastAsia"/>
                <w:color w:val="555555"/>
                <w:sz w:val="24"/>
                <w:szCs w:val="24"/>
                <w:lang w:val="en-GB"/>
              </w:rPr>
              <w:t>.42</w:t>
            </w:r>
          </w:p>
        </w:tc>
      </w:tr>
      <w:tr w:rsidR="006B14D8" w14:paraId="16BA2806" w14:textId="77777777" w:rsidTr="6395FD93">
        <w:tc>
          <w:tcPr>
            <w:tcW w:w="1862" w:type="dxa"/>
          </w:tcPr>
          <w:p w14:paraId="146161A3" w14:textId="35C1CAEC" w:rsidR="006B14D8" w:rsidRDefault="006B14D8" w:rsidP="6395FD93">
            <w:pPr>
              <w:pStyle w:val="ListBullet"/>
              <w:numPr>
                <w:ilvl w:val="0"/>
                <w:numId w:val="0"/>
              </w:numPr>
              <w:rPr>
                <w:rFonts w:eastAsiaTheme="minorEastAsia"/>
                <w:color w:val="555555"/>
                <w:sz w:val="24"/>
                <w:szCs w:val="24"/>
                <w:lang w:val="en-GB"/>
              </w:rPr>
            </w:pPr>
            <w:r w:rsidRPr="6395FD93">
              <w:rPr>
                <w:rFonts w:eastAsiaTheme="minorEastAsia"/>
                <w:color w:val="555555"/>
                <w:sz w:val="24"/>
                <w:szCs w:val="24"/>
                <w:lang w:val="en-GB"/>
              </w:rPr>
              <w:t>Project B</w:t>
            </w:r>
          </w:p>
        </w:tc>
        <w:tc>
          <w:tcPr>
            <w:tcW w:w="1607" w:type="dxa"/>
          </w:tcPr>
          <w:p w14:paraId="643531F7" w14:textId="57893D28" w:rsidR="006B14D8" w:rsidRDefault="006B14D8" w:rsidP="6395FD93">
            <w:pPr>
              <w:pStyle w:val="ListBullet"/>
              <w:numPr>
                <w:ilvl w:val="0"/>
                <w:numId w:val="0"/>
              </w:numPr>
              <w:rPr>
                <w:rFonts w:eastAsiaTheme="minorEastAsia"/>
                <w:color w:val="555555"/>
                <w:sz w:val="24"/>
                <w:szCs w:val="24"/>
                <w:lang w:val="en-GB"/>
              </w:rPr>
            </w:pPr>
            <w:r w:rsidRPr="6395FD93">
              <w:rPr>
                <w:rFonts w:eastAsiaTheme="minorEastAsia"/>
                <w:color w:val="555555"/>
                <w:sz w:val="24"/>
                <w:szCs w:val="24"/>
                <w:lang w:val="en-GB"/>
              </w:rPr>
              <w:t>292,620</w:t>
            </w:r>
          </w:p>
        </w:tc>
        <w:tc>
          <w:tcPr>
            <w:tcW w:w="2011" w:type="dxa"/>
          </w:tcPr>
          <w:p w14:paraId="3F5C16A0" w14:textId="679C9E4B" w:rsidR="006B14D8" w:rsidRDefault="006B14D8" w:rsidP="6395FD93">
            <w:pPr>
              <w:pStyle w:val="ListBullet"/>
              <w:numPr>
                <w:ilvl w:val="0"/>
                <w:numId w:val="0"/>
              </w:numPr>
              <w:rPr>
                <w:rFonts w:eastAsiaTheme="minorEastAsia"/>
                <w:color w:val="555555"/>
                <w:sz w:val="24"/>
                <w:szCs w:val="24"/>
                <w:lang w:val="en-GB"/>
              </w:rPr>
            </w:pPr>
            <w:r w:rsidRPr="6395FD93">
              <w:rPr>
                <w:rFonts w:eastAsiaTheme="minorEastAsia"/>
                <w:color w:val="555555"/>
                <w:sz w:val="24"/>
                <w:szCs w:val="24"/>
                <w:lang w:val="en-GB"/>
              </w:rPr>
              <w:t>220,000</w:t>
            </w:r>
          </w:p>
        </w:tc>
        <w:tc>
          <w:tcPr>
            <w:tcW w:w="2011" w:type="dxa"/>
          </w:tcPr>
          <w:p w14:paraId="4ADCE140" w14:textId="2375B49B" w:rsidR="006B14D8" w:rsidRDefault="006B14D8" w:rsidP="6395FD93">
            <w:pPr>
              <w:pStyle w:val="ListBullet"/>
              <w:numPr>
                <w:ilvl w:val="0"/>
                <w:numId w:val="0"/>
              </w:numPr>
              <w:rPr>
                <w:rFonts w:eastAsiaTheme="minorEastAsia"/>
                <w:color w:val="555555"/>
                <w:sz w:val="24"/>
                <w:szCs w:val="24"/>
                <w:lang w:val="en-GB"/>
              </w:rPr>
            </w:pPr>
            <w:r>
              <w:rPr>
                <w:rFonts w:eastAsiaTheme="minorEastAsia"/>
                <w:color w:val="555555"/>
                <w:sz w:val="24"/>
                <w:szCs w:val="24"/>
                <w:lang w:val="en-GB"/>
              </w:rPr>
              <w:t>1</w:t>
            </w:r>
            <w:r w:rsidRPr="6395FD93">
              <w:rPr>
                <w:rFonts w:eastAsiaTheme="minorEastAsia"/>
                <w:color w:val="555555"/>
                <w:sz w:val="24"/>
                <w:szCs w:val="24"/>
                <w:lang w:val="en-GB"/>
              </w:rPr>
              <w:t>.33</w:t>
            </w:r>
          </w:p>
        </w:tc>
      </w:tr>
    </w:tbl>
    <w:p w14:paraId="3FF9EC32" w14:textId="77777777" w:rsidR="00394BD2" w:rsidRDefault="00394BD2" w:rsidP="3C0493CB">
      <w:pPr>
        <w:pStyle w:val="ListBullet"/>
        <w:numPr>
          <w:ilvl w:val="0"/>
          <w:numId w:val="0"/>
        </w:numPr>
        <w:rPr>
          <w:rFonts w:eastAsiaTheme="minorEastAsia"/>
          <w:color w:val="555555"/>
          <w:sz w:val="24"/>
          <w:szCs w:val="24"/>
          <w:lang w:val="en-GB"/>
        </w:rPr>
      </w:pPr>
    </w:p>
    <w:sectPr w:rsidR="00394BD2" w:rsidSect="00FF585B">
      <w:footerReference w:type="default" r:id="rId15"/>
      <w:pgSz w:w="12240" w:h="15840"/>
      <w:pgMar w:top="1440" w:right="1440" w:bottom="1800" w:left="126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CF6DD2" w14:textId="77777777" w:rsidR="00B20BCF" w:rsidRDefault="00B20BCF">
      <w:r>
        <w:separator/>
      </w:r>
    </w:p>
    <w:p w14:paraId="16B4C3B8" w14:textId="77777777" w:rsidR="00B20BCF" w:rsidRDefault="00B20BCF"/>
  </w:endnote>
  <w:endnote w:type="continuationSeparator" w:id="0">
    <w:p w14:paraId="3969F44C" w14:textId="77777777" w:rsidR="00B20BCF" w:rsidRDefault="00B20BCF">
      <w:r>
        <w:continuationSeparator/>
      </w:r>
    </w:p>
    <w:p w14:paraId="30CDD097" w14:textId="77777777" w:rsidR="00B20BCF" w:rsidRDefault="00B20BCF"/>
  </w:endnote>
  <w:endnote w:type="continuationNotice" w:id="1">
    <w:p w14:paraId="2ED665C5" w14:textId="77777777" w:rsidR="00B20BCF" w:rsidRDefault="00B20B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ource Sans Pro">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w:rsidR="00B20BCF" w14:paraId="2903CBC8" w14:textId="77777777">
          <w:tc>
            <w:tcPr>
              <w:tcW w:w="3116" w:type="dxa"/>
            </w:tcPr>
            <w:p w14:paraId="7B20FA2E" w14:textId="010C06E5" w:rsidR="00B20BCF" w:rsidRDefault="00B20BCF">
              <w:pPr>
                <w:pStyle w:val="Footer"/>
              </w:pPr>
              <w:r>
                <w:fldChar w:fldCharType="begin"/>
              </w:r>
              <w:r>
                <w:instrText xml:space="preserve"> PAGE   \* MERGEFORMAT </w:instrText>
              </w:r>
              <w:r>
                <w:fldChar w:fldCharType="separate"/>
              </w:r>
              <w:r w:rsidR="00583A5F">
                <w:rPr>
                  <w:noProof/>
                </w:rPr>
                <w:t>3</w:t>
              </w:r>
              <w:r>
                <w:rPr>
                  <w:noProof/>
                </w:rPr>
                <w:fldChar w:fldCharType="end"/>
              </w:r>
            </w:p>
          </w:tc>
          <w:tc>
            <w:tcPr>
              <w:tcW w:w="3117" w:type="dxa"/>
            </w:tcPr>
            <w:p w14:paraId="672A6659" w14:textId="77777777" w:rsidR="00B20BCF" w:rsidRDefault="00B20BCF">
              <w:pPr>
                <w:pStyle w:val="Footer"/>
                <w:jc w:val="center"/>
              </w:pPr>
            </w:p>
          </w:tc>
          <w:tc>
            <w:tcPr>
              <w:tcW w:w="3117" w:type="dxa"/>
            </w:tcPr>
            <w:p w14:paraId="0A37501D" w14:textId="77777777" w:rsidR="00B20BCF" w:rsidRDefault="00B20BCF">
              <w:pPr>
                <w:pStyle w:val="Footer"/>
                <w:jc w:val="right"/>
              </w:pPr>
            </w:p>
          </w:tc>
        </w:tr>
      </w:sdtContent>
    </w:sdt>
  </w:tbl>
  <w:p w14:paraId="5DAB6C7B" w14:textId="77777777" w:rsidR="00B20BCF" w:rsidRDefault="00B20B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E55362" w14:textId="77777777" w:rsidR="00B20BCF" w:rsidRDefault="00B20BCF">
      <w:r>
        <w:separator/>
      </w:r>
    </w:p>
    <w:p w14:paraId="7DBCB453" w14:textId="77777777" w:rsidR="00B20BCF" w:rsidRDefault="00B20BCF"/>
  </w:footnote>
  <w:footnote w:type="continuationSeparator" w:id="0">
    <w:p w14:paraId="0F1123E0" w14:textId="77777777" w:rsidR="00B20BCF" w:rsidRDefault="00B20BCF">
      <w:r>
        <w:continuationSeparator/>
      </w:r>
    </w:p>
    <w:p w14:paraId="1F9A0E5C" w14:textId="77777777" w:rsidR="00B20BCF" w:rsidRDefault="00B20BCF"/>
  </w:footnote>
  <w:footnote w:type="continuationNotice" w:id="1">
    <w:p w14:paraId="64416808" w14:textId="77777777" w:rsidR="00B20BCF" w:rsidRDefault="00B20BC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930A86DE"/>
    <w:lvl w:ilvl="0">
      <w:start w:val="1"/>
      <w:numFmt w:val="decimal"/>
      <w:pStyle w:val="Heading3Char"/>
      <w:lvlText w:val="%1."/>
      <w:lvlJc w:val="left"/>
      <w:pPr>
        <w:tabs>
          <w:tab w:val="num" w:pos="360"/>
        </w:tabs>
        <w:ind w:left="360" w:hanging="360"/>
      </w:pPr>
    </w:lvl>
  </w:abstractNum>
  <w:abstractNum w:abstractNumId="1" w15:restartNumberingAfterBreak="0">
    <w:nsid w:val="FFFFFF89"/>
    <w:multiLevelType w:val="singleLevel"/>
    <w:tmpl w:val="D6FC35E4"/>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F292DB6"/>
    <w:multiLevelType w:val="hybridMultilevel"/>
    <w:tmpl w:val="04C0A25E"/>
    <w:lvl w:ilvl="0" w:tplc="1076CE4A">
      <w:start w:val="1"/>
      <w:numFmt w:val="bullet"/>
      <w:lvlText w:val=""/>
      <w:lvlJc w:val="left"/>
      <w:pPr>
        <w:ind w:left="720" w:hanging="360"/>
      </w:pPr>
      <w:rPr>
        <w:rFonts w:ascii="Symbol" w:hAnsi="Symbol" w:hint="default"/>
      </w:rPr>
    </w:lvl>
    <w:lvl w:ilvl="1" w:tplc="72F802CA">
      <w:start w:val="1"/>
      <w:numFmt w:val="bullet"/>
      <w:lvlText w:val="o"/>
      <w:lvlJc w:val="left"/>
      <w:pPr>
        <w:ind w:left="1440" w:hanging="360"/>
      </w:pPr>
      <w:rPr>
        <w:rFonts w:ascii="Courier New" w:hAnsi="Courier New" w:hint="default"/>
      </w:rPr>
    </w:lvl>
    <w:lvl w:ilvl="2" w:tplc="637C15FE">
      <w:start w:val="1"/>
      <w:numFmt w:val="bullet"/>
      <w:lvlText w:val=""/>
      <w:lvlJc w:val="left"/>
      <w:pPr>
        <w:ind w:left="2160" w:hanging="360"/>
      </w:pPr>
      <w:rPr>
        <w:rFonts w:ascii="Wingdings" w:hAnsi="Wingdings" w:hint="default"/>
      </w:rPr>
    </w:lvl>
    <w:lvl w:ilvl="3" w:tplc="260016B0">
      <w:start w:val="1"/>
      <w:numFmt w:val="bullet"/>
      <w:lvlText w:val=""/>
      <w:lvlJc w:val="left"/>
      <w:pPr>
        <w:ind w:left="2880" w:hanging="360"/>
      </w:pPr>
      <w:rPr>
        <w:rFonts w:ascii="Symbol" w:hAnsi="Symbol" w:hint="default"/>
      </w:rPr>
    </w:lvl>
    <w:lvl w:ilvl="4" w:tplc="B4EE8AF4">
      <w:start w:val="1"/>
      <w:numFmt w:val="bullet"/>
      <w:lvlText w:val="o"/>
      <w:lvlJc w:val="left"/>
      <w:pPr>
        <w:ind w:left="3600" w:hanging="360"/>
      </w:pPr>
      <w:rPr>
        <w:rFonts w:ascii="Courier New" w:hAnsi="Courier New" w:hint="default"/>
      </w:rPr>
    </w:lvl>
    <w:lvl w:ilvl="5" w:tplc="1ABABDFA">
      <w:start w:val="1"/>
      <w:numFmt w:val="bullet"/>
      <w:lvlText w:val=""/>
      <w:lvlJc w:val="left"/>
      <w:pPr>
        <w:ind w:left="4320" w:hanging="360"/>
      </w:pPr>
      <w:rPr>
        <w:rFonts w:ascii="Wingdings" w:hAnsi="Wingdings" w:hint="default"/>
      </w:rPr>
    </w:lvl>
    <w:lvl w:ilvl="6" w:tplc="BD585390">
      <w:start w:val="1"/>
      <w:numFmt w:val="bullet"/>
      <w:lvlText w:val=""/>
      <w:lvlJc w:val="left"/>
      <w:pPr>
        <w:ind w:left="5040" w:hanging="360"/>
      </w:pPr>
      <w:rPr>
        <w:rFonts w:ascii="Symbol" w:hAnsi="Symbol" w:hint="default"/>
      </w:rPr>
    </w:lvl>
    <w:lvl w:ilvl="7" w:tplc="3BE8AD5C">
      <w:start w:val="1"/>
      <w:numFmt w:val="bullet"/>
      <w:lvlText w:val="o"/>
      <w:lvlJc w:val="left"/>
      <w:pPr>
        <w:ind w:left="5760" w:hanging="360"/>
      </w:pPr>
      <w:rPr>
        <w:rFonts w:ascii="Courier New" w:hAnsi="Courier New" w:hint="default"/>
      </w:rPr>
    </w:lvl>
    <w:lvl w:ilvl="8" w:tplc="2C66954C">
      <w:start w:val="1"/>
      <w:numFmt w:val="bullet"/>
      <w:lvlText w:val=""/>
      <w:lvlJc w:val="left"/>
      <w:pPr>
        <w:ind w:left="6480" w:hanging="360"/>
      </w:pPr>
      <w:rPr>
        <w:rFonts w:ascii="Wingdings" w:hAnsi="Wingdings" w:hint="default"/>
      </w:rPr>
    </w:lvl>
  </w:abstractNum>
  <w:abstractNum w:abstractNumId="3" w15:restartNumberingAfterBreak="0">
    <w:nsid w:val="27692869"/>
    <w:multiLevelType w:val="hybridMultilevel"/>
    <w:tmpl w:val="B740AA48"/>
    <w:lvl w:ilvl="0" w:tplc="1076CE4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C766E6"/>
    <w:multiLevelType w:val="hybridMultilevel"/>
    <w:tmpl w:val="91423218"/>
    <w:lvl w:ilvl="0" w:tplc="18141B76">
      <w:start w:val="1"/>
      <w:numFmt w:val="bullet"/>
      <w:lvlText w:val=""/>
      <w:lvlJc w:val="left"/>
      <w:pPr>
        <w:ind w:left="720" w:hanging="360"/>
      </w:pPr>
      <w:rPr>
        <w:rFonts w:ascii="Symbol" w:hAnsi="Symbol" w:hint="default"/>
      </w:rPr>
    </w:lvl>
    <w:lvl w:ilvl="1" w:tplc="D03E954A">
      <w:start w:val="1"/>
      <w:numFmt w:val="bullet"/>
      <w:lvlText w:val="o"/>
      <w:lvlJc w:val="left"/>
      <w:pPr>
        <w:ind w:left="1440" w:hanging="360"/>
      </w:pPr>
      <w:rPr>
        <w:rFonts w:ascii="Courier New" w:hAnsi="Courier New" w:hint="default"/>
      </w:rPr>
    </w:lvl>
    <w:lvl w:ilvl="2" w:tplc="E1287974">
      <w:start w:val="1"/>
      <w:numFmt w:val="bullet"/>
      <w:lvlText w:val=""/>
      <w:lvlJc w:val="left"/>
      <w:pPr>
        <w:ind w:left="2160" w:hanging="360"/>
      </w:pPr>
      <w:rPr>
        <w:rFonts w:ascii="Wingdings" w:hAnsi="Wingdings" w:hint="default"/>
      </w:rPr>
    </w:lvl>
    <w:lvl w:ilvl="3" w:tplc="D4EE4068">
      <w:start w:val="1"/>
      <w:numFmt w:val="bullet"/>
      <w:lvlText w:val=""/>
      <w:lvlJc w:val="left"/>
      <w:pPr>
        <w:ind w:left="2880" w:hanging="360"/>
      </w:pPr>
      <w:rPr>
        <w:rFonts w:ascii="Symbol" w:hAnsi="Symbol" w:hint="default"/>
      </w:rPr>
    </w:lvl>
    <w:lvl w:ilvl="4" w:tplc="23F49C12">
      <w:start w:val="1"/>
      <w:numFmt w:val="bullet"/>
      <w:lvlText w:val="o"/>
      <w:lvlJc w:val="left"/>
      <w:pPr>
        <w:ind w:left="3600" w:hanging="360"/>
      </w:pPr>
      <w:rPr>
        <w:rFonts w:ascii="Courier New" w:hAnsi="Courier New" w:hint="default"/>
      </w:rPr>
    </w:lvl>
    <w:lvl w:ilvl="5" w:tplc="FF3092DE">
      <w:start w:val="1"/>
      <w:numFmt w:val="bullet"/>
      <w:lvlText w:val=""/>
      <w:lvlJc w:val="left"/>
      <w:pPr>
        <w:ind w:left="4320" w:hanging="360"/>
      </w:pPr>
      <w:rPr>
        <w:rFonts w:ascii="Wingdings" w:hAnsi="Wingdings" w:hint="default"/>
      </w:rPr>
    </w:lvl>
    <w:lvl w:ilvl="6" w:tplc="F1D4E196">
      <w:start w:val="1"/>
      <w:numFmt w:val="bullet"/>
      <w:lvlText w:val=""/>
      <w:lvlJc w:val="left"/>
      <w:pPr>
        <w:ind w:left="5040" w:hanging="360"/>
      </w:pPr>
      <w:rPr>
        <w:rFonts w:ascii="Symbol" w:hAnsi="Symbol" w:hint="default"/>
      </w:rPr>
    </w:lvl>
    <w:lvl w:ilvl="7" w:tplc="F41C8818">
      <w:start w:val="1"/>
      <w:numFmt w:val="bullet"/>
      <w:lvlText w:val="o"/>
      <w:lvlJc w:val="left"/>
      <w:pPr>
        <w:ind w:left="5760" w:hanging="360"/>
      </w:pPr>
      <w:rPr>
        <w:rFonts w:ascii="Courier New" w:hAnsi="Courier New" w:hint="default"/>
      </w:rPr>
    </w:lvl>
    <w:lvl w:ilvl="8" w:tplc="67F21B5A">
      <w:start w:val="1"/>
      <w:numFmt w:val="bullet"/>
      <w:lvlText w:val=""/>
      <w:lvlJc w:val="left"/>
      <w:pPr>
        <w:ind w:left="6480" w:hanging="360"/>
      </w:pPr>
      <w:rPr>
        <w:rFonts w:ascii="Wingdings" w:hAnsi="Wingdings" w:hint="default"/>
      </w:rPr>
    </w:lvl>
  </w:abstractNum>
  <w:abstractNum w:abstractNumId="5" w15:restartNumberingAfterBreak="0">
    <w:nsid w:val="3E3F338E"/>
    <w:multiLevelType w:val="hybridMultilevel"/>
    <w:tmpl w:val="33E2B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E60C6"/>
    <w:multiLevelType w:val="hybridMultilevel"/>
    <w:tmpl w:val="B00067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4665818"/>
    <w:multiLevelType w:val="hybridMultilevel"/>
    <w:tmpl w:val="79DC8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7"/>
  </w:num>
  <w:num w:numId="6">
    <w:abstractNumId w:val="5"/>
  </w:num>
  <w:num w:numId="7">
    <w:abstractNumId w:val="1"/>
  </w:num>
  <w:num w:numId="8">
    <w:abstractNumId w:val="1"/>
  </w:num>
  <w:num w:numId="9">
    <w:abstractNumId w:val="6"/>
  </w:num>
  <w:num w:numId="10">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A6C2BB"/>
    <w:rsid w:val="00003F06"/>
    <w:rsid w:val="000073A5"/>
    <w:rsid w:val="00010BB2"/>
    <w:rsid w:val="00011E88"/>
    <w:rsid w:val="0002278B"/>
    <w:rsid w:val="000241FB"/>
    <w:rsid w:val="00024910"/>
    <w:rsid w:val="0002652E"/>
    <w:rsid w:val="000278D2"/>
    <w:rsid w:val="000349CF"/>
    <w:rsid w:val="00037B67"/>
    <w:rsid w:val="00040B9E"/>
    <w:rsid w:val="00052416"/>
    <w:rsid w:val="00054D31"/>
    <w:rsid w:val="00056795"/>
    <w:rsid w:val="00063332"/>
    <w:rsid w:val="00065532"/>
    <w:rsid w:val="00070422"/>
    <w:rsid w:val="00070510"/>
    <w:rsid w:val="000739AB"/>
    <w:rsid w:val="00077A31"/>
    <w:rsid w:val="0008234B"/>
    <w:rsid w:val="00086DAD"/>
    <w:rsid w:val="000A1CFC"/>
    <w:rsid w:val="000A2AA1"/>
    <w:rsid w:val="000B438D"/>
    <w:rsid w:val="000B70CB"/>
    <w:rsid w:val="000D45A7"/>
    <w:rsid w:val="000D5A46"/>
    <w:rsid w:val="000E6256"/>
    <w:rsid w:val="000E6BFC"/>
    <w:rsid w:val="000E74BB"/>
    <w:rsid w:val="000F038C"/>
    <w:rsid w:val="000F11A1"/>
    <w:rsid w:val="000F56F2"/>
    <w:rsid w:val="00102C35"/>
    <w:rsid w:val="00103968"/>
    <w:rsid w:val="00105207"/>
    <w:rsid w:val="0010782C"/>
    <w:rsid w:val="00110D4A"/>
    <w:rsid w:val="00111166"/>
    <w:rsid w:val="00117314"/>
    <w:rsid w:val="0012003F"/>
    <w:rsid w:val="0012203F"/>
    <w:rsid w:val="0012303B"/>
    <w:rsid w:val="00126383"/>
    <w:rsid w:val="00127AD6"/>
    <w:rsid w:val="001302AA"/>
    <w:rsid w:val="00136FB1"/>
    <w:rsid w:val="001404F8"/>
    <w:rsid w:val="00142065"/>
    <w:rsid w:val="00142D1C"/>
    <w:rsid w:val="001451CB"/>
    <w:rsid w:val="00152B11"/>
    <w:rsid w:val="00154372"/>
    <w:rsid w:val="00157B81"/>
    <w:rsid w:val="00170EA0"/>
    <w:rsid w:val="0018130F"/>
    <w:rsid w:val="00181C99"/>
    <w:rsid w:val="00181F78"/>
    <w:rsid w:val="00186E67"/>
    <w:rsid w:val="00186F9D"/>
    <w:rsid w:val="0019345A"/>
    <w:rsid w:val="001949AF"/>
    <w:rsid w:val="001950D3"/>
    <w:rsid w:val="00195B37"/>
    <w:rsid w:val="001965EF"/>
    <w:rsid w:val="00197725"/>
    <w:rsid w:val="001B1993"/>
    <w:rsid w:val="001B3E57"/>
    <w:rsid w:val="001B66A5"/>
    <w:rsid w:val="001B7C59"/>
    <w:rsid w:val="001C4A1B"/>
    <w:rsid w:val="001C4E4A"/>
    <w:rsid w:val="001D0D6D"/>
    <w:rsid w:val="001E022C"/>
    <w:rsid w:val="001E3E0E"/>
    <w:rsid w:val="001E7DEC"/>
    <w:rsid w:val="001F28C0"/>
    <w:rsid w:val="001F38D5"/>
    <w:rsid w:val="001F43F7"/>
    <w:rsid w:val="00200237"/>
    <w:rsid w:val="002040AB"/>
    <w:rsid w:val="002132BC"/>
    <w:rsid w:val="002200F5"/>
    <w:rsid w:val="00220B55"/>
    <w:rsid w:val="00220D4C"/>
    <w:rsid w:val="00223E7C"/>
    <w:rsid w:val="002272F3"/>
    <w:rsid w:val="002277FD"/>
    <w:rsid w:val="00231467"/>
    <w:rsid w:val="00231873"/>
    <w:rsid w:val="00233FE9"/>
    <w:rsid w:val="00240635"/>
    <w:rsid w:val="002429B6"/>
    <w:rsid w:val="00245718"/>
    <w:rsid w:val="0024580F"/>
    <w:rsid w:val="00252B04"/>
    <w:rsid w:val="00253FB1"/>
    <w:rsid w:val="00254F96"/>
    <w:rsid w:val="00261E67"/>
    <w:rsid w:val="002627EC"/>
    <w:rsid w:val="00266DF7"/>
    <w:rsid w:val="00267854"/>
    <w:rsid w:val="00270AFF"/>
    <w:rsid w:val="00271304"/>
    <w:rsid w:val="00283A6D"/>
    <w:rsid w:val="00285D45"/>
    <w:rsid w:val="00291291"/>
    <w:rsid w:val="00292B04"/>
    <w:rsid w:val="00293492"/>
    <w:rsid w:val="002944E5"/>
    <w:rsid w:val="00294541"/>
    <w:rsid w:val="002A1FC1"/>
    <w:rsid w:val="002A410A"/>
    <w:rsid w:val="002A50A1"/>
    <w:rsid w:val="002A53E4"/>
    <w:rsid w:val="002A6ACA"/>
    <w:rsid w:val="002B32BA"/>
    <w:rsid w:val="002C42BA"/>
    <w:rsid w:val="002D22D3"/>
    <w:rsid w:val="002D5765"/>
    <w:rsid w:val="002D7778"/>
    <w:rsid w:val="002F00B4"/>
    <w:rsid w:val="002F74D5"/>
    <w:rsid w:val="00300ABB"/>
    <w:rsid w:val="00303520"/>
    <w:rsid w:val="0031149C"/>
    <w:rsid w:val="003124CF"/>
    <w:rsid w:val="00321D8E"/>
    <w:rsid w:val="00324D1B"/>
    <w:rsid w:val="0032541C"/>
    <w:rsid w:val="00330D99"/>
    <w:rsid w:val="003443FB"/>
    <w:rsid w:val="00347DA6"/>
    <w:rsid w:val="00351B46"/>
    <w:rsid w:val="00351DEB"/>
    <w:rsid w:val="003550D7"/>
    <w:rsid w:val="00356D20"/>
    <w:rsid w:val="00360A17"/>
    <w:rsid w:val="003729A5"/>
    <w:rsid w:val="00373E87"/>
    <w:rsid w:val="003744D8"/>
    <w:rsid w:val="00375190"/>
    <w:rsid w:val="00375A4A"/>
    <w:rsid w:val="00376F0D"/>
    <w:rsid w:val="003821F9"/>
    <w:rsid w:val="00386588"/>
    <w:rsid w:val="00386888"/>
    <w:rsid w:val="00392D91"/>
    <w:rsid w:val="00394BD2"/>
    <w:rsid w:val="0039656A"/>
    <w:rsid w:val="00397557"/>
    <w:rsid w:val="003A3BC2"/>
    <w:rsid w:val="003C5CD9"/>
    <w:rsid w:val="003C606F"/>
    <w:rsid w:val="003D0113"/>
    <w:rsid w:val="003D2385"/>
    <w:rsid w:val="003D52C6"/>
    <w:rsid w:val="003D7789"/>
    <w:rsid w:val="003E0C58"/>
    <w:rsid w:val="003E343A"/>
    <w:rsid w:val="003E41F5"/>
    <w:rsid w:val="003E5523"/>
    <w:rsid w:val="003E6092"/>
    <w:rsid w:val="003E610E"/>
    <w:rsid w:val="003E673D"/>
    <w:rsid w:val="003E77BC"/>
    <w:rsid w:val="003F2236"/>
    <w:rsid w:val="00401233"/>
    <w:rsid w:val="00406091"/>
    <w:rsid w:val="00413A15"/>
    <w:rsid w:val="00414A16"/>
    <w:rsid w:val="00415895"/>
    <w:rsid w:val="0042035B"/>
    <w:rsid w:val="004251FC"/>
    <w:rsid w:val="00425AC0"/>
    <w:rsid w:val="00430A26"/>
    <w:rsid w:val="00433DBD"/>
    <w:rsid w:val="00435245"/>
    <w:rsid w:val="00436652"/>
    <w:rsid w:val="00437BBC"/>
    <w:rsid w:val="00441828"/>
    <w:rsid w:val="00442613"/>
    <w:rsid w:val="00445E15"/>
    <w:rsid w:val="00464A89"/>
    <w:rsid w:val="00476588"/>
    <w:rsid w:val="004765CD"/>
    <w:rsid w:val="004803F1"/>
    <w:rsid w:val="0048071D"/>
    <w:rsid w:val="0048322D"/>
    <w:rsid w:val="0048679C"/>
    <w:rsid w:val="00487436"/>
    <w:rsid w:val="004874A8"/>
    <w:rsid w:val="00490367"/>
    <w:rsid w:val="00496894"/>
    <w:rsid w:val="00497155"/>
    <w:rsid w:val="004A068F"/>
    <w:rsid w:val="004A0E71"/>
    <w:rsid w:val="004A1469"/>
    <w:rsid w:val="004A508A"/>
    <w:rsid w:val="004B17AF"/>
    <w:rsid w:val="004C17F4"/>
    <w:rsid w:val="004D2E1B"/>
    <w:rsid w:val="004D68CA"/>
    <w:rsid w:val="004E2484"/>
    <w:rsid w:val="00500706"/>
    <w:rsid w:val="00502287"/>
    <w:rsid w:val="00502D4F"/>
    <w:rsid w:val="00506582"/>
    <w:rsid w:val="00513CC7"/>
    <w:rsid w:val="00515763"/>
    <w:rsid w:val="00525E21"/>
    <w:rsid w:val="00526685"/>
    <w:rsid w:val="005266F7"/>
    <w:rsid w:val="0053178D"/>
    <w:rsid w:val="00532C10"/>
    <w:rsid w:val="005331B1"/>
    <w:rsid w:val="00533269"/>
    <w:rsid w:val="00540CD0"/>
    <w:rsid w:val="00543D4D"/>
    <w:rsid w:val="00551E6F"/>
    <w:rsid w:val="00554980"/>
    <w:rsid w:val="0057133E"/>
    <w:rsid w:val="00576B92"/>
    <w:rsid w:val="005809AD"/>
    <w:rsid w:val="00583A5F"/>
    <w:rsid w:val="005859A1"/>
    <w:rsid w:val="00590A78"/>
    <w:rsid w:val="00596719"/>
    <w:rsid w:val="005973E5"/>
    <w:rsid w:val="005A20F6"/>
    <w:rsid w:val="005A43F2"/>
    <w:rsid w:val="005B683C"/>
    <w:rsid w:val="005C0B2B"/>
    <w:rsid w:val="005C5EE5"/>
    <w:rsid w:val="005D7B19"/>
    <w:rsid w:val="005E054A"/>
    <w:rsid w:val="005E3015"/>
    <w:rsid w:val="005E61C2"/>
    <w:rsid w:val="005E6EBE"/>
    <w:rsid w:val="005F521D"/>
    <w:rsid w:val="005F5612"/>
    <w:rsid w:val="00614049"/>
    <w:rsid w:val="00616E45"/>
    <w:rsid w:val="006172DB"/>
    <w:rsid w:val="00620F0A"/>
    <w:rsid w:val="0062308B"/>
    <w:rsid w:val="00623F2C"/>
    <w:rsid w:val="006241D3"/>
    <w:rsid w:val="00625109"/>
    <w:rsid w:val="0063013E"/>
    <w:rsid w:val="0063241D"/>
    <w:rsid w:val="006326E5"/>
    <w:rsid w:val="00633D8F"/>
    <w:rsid w:val="0063712D"/>
    <w:rsid w:val="00641493"/>
    <w:rsid w:val="0064450E"/>
    <w:rsid w:val="006460EB"/>
    <w:rsid w:val="0064648E"/>
    <w:rsid w:val="00647291"/>
    <w:rsid w:val="00647CA8"/>
    <w:rsid w:val="00651FCD"/>
    <w:rsid w:val="0065290C"/>
    <w:rsid w:val="00653995"/>
    <w:rsid w:val="0065573E"/>
    <w:rsid w:val="00662FEC"/>
    <w:rsid w:val="006729A8"/>
    <w:rsid w:val="00680F01"/>
    <w:rsid w:val="00684868"/>
    <w:rsid w:val="00692A6B"/>
    <w:rsid w:val="006951D0"/>
    <w:rsid w:val="006A3A14"/>
    <w:rsid w:val="006B14D8"/>
    <w:rsid w:val="006B312B"/>
    <w:rsid w:val="006C6188"/>
    <w:rsid w:val="006D615E"/>
    <w:rsid w:val="006E0412"/>
    <w:rsid w:val="006E49F7"/>
    <w:rsid w:val="00703B49"/>
    <w:rsid w:val="007041A3"/>
    <w:rsid w:val="007058BD"/>
    <w:rsid w:val="00706BA0"/>
    <w:rsid w:val="00710291"/>
    <w:rsid w:val="0072366E"/>
    <w:rsid w:val="00725937"/>
    <w:rsid w:val="007304E0"/>
    <w:rsid w:val="00732B6C"/>
    <w:rsid w:val="0074075C"/>
    <w:rsid w:val="00743391"/>
    <w:rsid w:val="00753E76"/>
    <w:rsid w:val="00761427"/>
    <w:rsid w:val="0076347B"/>
    <w:rsid w:val="0076684A"/>
    <w:rsid w:val="00770D77"/>
    <w:rsid w:val="00772A21"/>
    <w:rsid w:val="00774E66"/>
    <w:rsid w:val="007A15BD"/>
    <w:rsid w:val="007C2F8F"/>
    <w:rsid w:val="007C3EF8"/>
    <w:rsid w:val="007D3A64"/>
    <w:rsid w:val="007D63C0"/>
    <w:rsid w:val="007E034E"/>
    <w:rsid w:val="007E03D2"/>
    <w:rsid w:val="007E1836"/>
    <w:rsid w:val="007E3C86"/>
    <w:rsid w:val="007E5B5D"/>
    <w:rsid w:val="007E76BD"/>
    <w:rsid w:val="007F5A9B"/>
    <w:rsid w:val="0082243F"/>
    <w:rsid w:val="00823BDB"/>
    <w:rsid w:val="008257FF"/>
    <w:rsid w:val="008274C0"/>
    <w:rsid w:val="00837AB7"/>
    <w:rsid w:val="00840574"/>
    <w:rsid w:val="00841C91"/>
    <w:rsid w:val="00843095"/>
    <w:rsid w:val="00847E61"/>
    <w:rsid w:val="00850A81"/>
    <w:rsid w:val="008519C9"/>
    <w:rsid w:val="00852CEF"/>
    <w:rsid w:val="0085361C"/>
    <w:rsid w:val="00860D95"/>
    <w:rsid w:val="008616CF"/>
    <w:rsid w:val="00863963"/>
    <w:rsid w:val="00867606"/>
    <w:rsid w:val="00867954"/>
    <w:rsid w:val="00867A01"/>
    <w:rsid w:val="008701C5"/>
    <w:rsid w:val="0087356F"/>
    <w:rsid w:val="00875329"/>
    <w:rsid w:val="00882701"/>
    <w:rsid w:val="0088767D"/>
    <w:rsid w:val="008911D5"/>
    <w:rsid w:val="00891698"/>
    <w:rsid w:val="008924DF"/>
    <w:rsid w:val="008A1C61"/>
    <w:rsid w:val="008A222E"/>
    <w:rsid w:val="008A3E5C"/>
    <w:rsid w:val="008A5FC3"/>
    <w:rsid w:val="008B6029"/>
    <w:rsid w:val="008C22B1"/>
    <w:rsid w:val="008D0A49"/>
    <w:rsid w:val="008D0BE5"/>
    <w:rsid w:val="008D12D3"/>
    <w:rsid w:val="008D1625"/>
    <w:rsid w:val="008E3346"/>
    <w:rsid w:val="008E34F4"/>
    <w:rsid w:val="008F01C2"/>
    <w:rsid w:val="008F2FF1"/>
    <w:rsid w:val="008F474C"/>
    <w:rsid w:val="008F4A25"/>
    <w:rsid w:val="008F626B"/>
    <w:rsid w:val="00900E0B"/>
    <w:rsid w:val="00905144"/>
    <w:rsid w:val="009058F8"/>
    <w:rsid w:val="009062B6"/>
    <w:rsid w:val="009103D9"/>
    <w:rsid w:val="00915862"/>
    <w:rsid w:val="00917AE9"/>
    <w:rsid w:val="00927078"/>
    <w:rsid w:val="00944446"/>
    <w:rsid w:val="009555F6"/>
    <w:rsid w:val="0095709B"/>
    <w:rsid w:val="0096212B"/>
    <w:rsid w:val="009635E0"/>
    <w:rsid w:val="009639E9"/>
    <w:rsid w:val="009641B7"/>
    <w:rsid w:val="009708BC"/>
    <w:rsid w:val="009709C0"/>
    <w:rsid w:val="00981B50"/>
    <w:rsid w:val="00982F5A"/>
    <w:rsid w:val="00983713"/>
    <w:rsid w:val="00985683"/>
    <w:rsid w:val="00985948"/>
    <w:rsid w:val="00985F26"/>
    <w:rsid w:val="00995BC6"/>
    <w:rsid w:val="00996ED7"/>
    <w:rsid w:val="009979AA"/>
    <w:rsid w:val="009A44D1"/>
    <w:rsid w:val="009A6D39"/>
    <w:rsid w:val="009B0EDB"/>
    <w:rsid w:val="009B4ECC"/>
    <w:rsid w:val="009C0F52"/>
    <w:rsid w:val="009C27D6"/>
    <w:rsid w:val="009C5EBA"/>
    <w:rsid w:val="009D1F5F"/>
    <w:rsid w:val="009D682A"/>
    <w:rsid w:val="009E11EA"/>
    <w:rsid w:val="009E2750"/>
    <w:rsid w:val="009F181D"/>
    <w:rsid w:val="009F4089"/>
    <w:rsid w:val="009F6FE9"/>
    <w:rsid w:val="00A0737B"/>
    <w:rsid w:val="00A11D53"/>
    <w:rsid w:val="00A162BE"/>
    <w:rsid w:val="00A177A4"/>
    <w:rsid w:val="00A26E9E"/>
    <w:rsid w:val="00A33803"/>
    <w:rsid w:val="00A339F5"/>
    <w:rsid w:val="00A432B3"/>
    <w:rsid w:val="00A436DA"/>
    <w:rsid w:val="00A45081"/>
    <w:rsid w:val="00A4702F"/>
    <w:rsid w:val="00A476DE"/>
    <w:rsid w:val="00A47DAE"/>
    <w:rsid w:val="00A52597"/>
    <w:rsid w:val="00A52607"/>
    <w:rsid w:val="00A542BA"/>
    <w:rsid w:val="00A63596"/>
    <w:rsid w:val="00A720DE"/>
    <w:rsid w:val="00A72CF7"/>
    <w:rsid w:val="00A741FC"/>
    <w:rsid w:val="00A759AB"/>
    <w:rsid w:val="00A80AB7"/>
    <w:rsid w:val="00A81815"/>
    <w:rsid w:val="00A81A69"/>
    <w:rsid w:val="00A8435C"/>
    <w:rsid w:val="00A86C6E"/>
    <w:rsid w:val="00A877A9"/>
    <w:rsid w:val="00A92369"/>
    <w:rsid w:val="00A9655B"/>
    <w:rsid w:val="00AA4D41"/>
    <w:rsid w:val="00AB38D0"/>
    <w:rsid w:val="00AB3C24"/>
    <w:rsid w:val="00AC38BA"/>
    <w:rsid w:val="00AC7696"/>
    <w:rsid w:val="00AD13B0"/>
    <w:rsid w:val="00AD4B92"/>
    <w:rsid w:val="00AE113C"/>
    <w:rsid w:val="00AF00E3"/>
    <w:rsid w:val="00AF1CF7"/>
    <w:rsid w:val="00AF461C"/>
    <w:rsid w:val="00AF6B9E"/>
    <w:rsid w:val="00AF6F4D"/>
    <w:rsid w:val="00B044F3"/>
    <w:rsid w:val="00B16303"/>
    <w:rsid w:val="00B20BCF"/>
    <w:rsid w:val="00B21D3B"/>
    <w:rsid w:val="00B304C0"/>
    <w:rsid w:val="00B35E25"/>
    <w:rsid w:val="00B468E4"/>
    <w:rsid w:val="00B46F72"/>
    <w:rsid w:val="00B50061"/>
    <w:rsid w:val="00B5185A"/>
    <w:rsid w:val="00B560D9"/>
    <w:rsid w:val="00B56307"/>
    <w:rsid w:val="00B63832"/>
    <w:rsid w:val="00B63CF4"/>
    <w:rsid w:val="00B6581D"/>
    <w:rsid w:val="00B70BEC"/>
    <w:rsid w:val="00B71E73"/>
    <w:rsid w:val="00B75DDE"/>
    <w:rsid w:val="00B75DE1"/>
    <w:rsid w:val="00B77B0F"/>
    <w:rsid w:val="00B804E5"/>
    <w:rsid w:val="00B87523"/>
    <w:rsid w:val="00B875E4"/>
    <w:rsid w:val="00B879FC"/>
    <w:rsid w:val="00B90F2F"/>
    <w:rsid w:val="00B92D54"/>
    <w:rsid w:val="00B9633E"/>
    <w:rsid w:val="00B97B0E"/>
    <w:rsid w:val="00BA00E2"/>
    <w:rsid w:val="00BA4AD1"/>
    <w:rsid w:val="00BA5E63"/>
    <w:rsid w:val="00BA681E"/>
    <w:rsid w:val="00BB3D4D"/>
    <w:rsid w:val="00BB60ED"/>
    <w:rsid w:val="00BC05FF"/>
    <w:rsid w:val="00BC21E6"/>
    <w:rsid w:val="00BD4344"/>
    <w:rsid w:val="00BD5C24"/>
    <w:rsid w:val="00BE162C"/>
    <w:rsid w:val="00BE32A8"/>
    <w:rsid w:val="00BE5BD1"/>
    <w:rsid w:val="00BF78E2"/>
    <w:rsid w:val="00C03197"/>
    <w:rsid w:val="00C10469"/>
    <w:rsid w:val="00C14685"/>
    <w:rsid w:val="00C155EB"/>
    <w:rsid w:val="00C174BA"/>
    <w:rsid w:val="00C206DB"/>
    <w:rsid w:val="00C21FF9"/>
    <w:rsid w:val="00C23645"/>
    <w:rsid w:val="00C31A6D"/>
    <w:rsid w:val="00C41BD3"/>
    <w:rsid w:val="00C44A5A"/>
    <w:rsid w:val="00C476F4"/>
    <w:rsid w:val="00C5024D"/>
    <w:rsid w:val="00C50468"/>
    <w:rsid w:val="00C57E9D"/>
    <w:rsid w:val="00C63830"/>
    <w:rsid w:val="00C702E5"/>
    <w:rsid w:val="00C748AF"/>
    <w:rsid w:val="00C77899"/>
    <w:rsid w:val="00C77D27"/>
    <w:rsid w:val="00C80128"/>
    <w:rsid w:val="00C92418"/>
    <w:rsid w:val="00CA1C8C"/>
    <w:rsid w:val="00CB1CC5"/>
    <w:rsid w:val="00CB28D3"/>
    <w:rsid w:val="00CB79BC"/>
    <w:rsid w:val="00CC1457"/>
    <w:rsid w:val="00CC24B6"/>
    <w:rsid w:val="00CC70BD"/>
    <w:rsid w:val="00CD2BFB"/>
    <w:rsid w:val="00CD39EE"/>
    <w:rsid w:val="00CD4124"/>
    <w:rsid w:val="00CE65D5"/>
    <w:rsid w:val="00D01126"/>
    <w:rsid w:val="00D01F0C"/>
    <w:rsid w:val="00D036EE"/>
    <w:rsid w:val="00D056AF"/>
    <w:rsid w:val="00D13941"/>
    <w:rsid w:val="00D17F19"/>
    <w:rsid w:val="00D336F6"/>
    <w:rsid w:val="00D35D3B"/>
    <w:rsid w:val="00D35F4F"/>
    <w:rsid w:val="00D37EE9"/>
    <w:rsid w:val="00D54C7D"/>
    <w:rsid w:val="00D64E5B"/>
    <w:rsid w:val="00D72070"/>
    <w:rsid w:val="00D76C43"/>
    <w:rsid w:val="00D8158B"/>
    <w:rsid w:val="00D82606"/>
    <w:rsid w:val="00D842B1"/>
    <w:rsid w:val="00D97D84"/>
    <w:rsid w:val="00DA230F"/>
    <w:rsid w:val="00DA4FB4"/>
    <w:rsid w:val="00DA517D"/>
    <w:rsid w:val="00DB13E9"/>
    <w:rsid w:val="00DB3D2B"/>
    <w:rsid w:val="00DB524A"/>
    <w:rsid w:val="00DC4F0B"/>
    <w:rsid w:val="00DC6372"/>
    <w:rsid w:val="00DC6BFC"/>
    <w:rsid w:val="00DD02E5"/>
    <w:rsid w:val="00DE3EAE"/>
    <w:rsid w:val="00E005A5"/>
    <w:rsid w:val="00E05718"/>
    <w:rsid w:val="00E05A69"/>
    <w:rsid w:val="00E06555"/>
    <w:rsid w:val="00E06C4A"/>
    <w:rsid w:val="00E14582"/>
    <w:rsid w:val="00E179F0"/>
    <w:rsid w:val="00E25DF8"/>
    <w:rsid w:val="00E26065"/>
    <w:rsid w:val="00E347AD"/>
    <w:rsid w:val="00E35134"/>
    <w:rsid w:val="00E43679"/>
    <w:rsid w:val="00E45301"/>
    <w:rsid w:val="00E475C4"/>
    <w:rsid w:val="00E510DB"/>
    <w:rsid w:val="00E600BC"/>
    <w:rsid w:val="00E638CC"/>
    <w:rsid w:val="00E64BAF"/>
    <w:rsid w:val="00E65468"/>
    <w:rsid w:val="00E66B0C"/>
    <w:rsid w:val="00E66E0B"/>
    <w:rsid w:val="00E70D7E"/>
    <w:rsid w:val="00E768FE"/>
    <w:rsid w:val="00E86FDD"/>
    <w:rsid w:val="00E91CD9"/>
    <w:rsid w:val="00E93A6D"/>
    <w:rsid w:val="00E94B0C"/>
    <w:rsid w:val="00E950CB"/>
    <w:rsid w:val="00E960EE"/>
    <w:rsid w:val="00EA54BC"/>
    <w:rsid w:val="00EA5992"/>
    <w:rsid w:val="00EA5BB3"/>
    <w:rsid w:val="00EC147E"/>
    <w:rsid w:val="00EC4DE9"/>
    <w:rsid w:val="00EC6EFE"/>
    <w:rsid w:val="00ED2210"/>
    <w:rsid w:val="00ED4331"/>
    <w:rsid w:val="00EE135D"/>
    <w:rsid w:val="00EE3369"/>
    <w:rsid w:val="00EE6E8E"/>
    <w:rsid w:val="00EE74BD"/>
    <w:rsid w:val="00EF1986"/>
    <w:rsid w:val="00EF4E2E"/>
    <w:rsid w:val="00F11E6B"/>
    <w:rsid w:val="00F25C75"/>
    <w:rsid w:val="00F25D41"/>
    <w:rsid w:val="00F27348"/>
    <w:rsid w:val="00F32475"/>
    <w:rsid w:val="00F36E5C"/>
    <w:rsid w:val="00F504DD"/>
    <w:rsid w:val="00F51E09"/>
    <w:rsid w:val="00F52AE3"/>
    <w:rsid w:val="00F65537"/>
    <w:rsid w:val="00F66C00"/>
    <w:rsid w:val="00F678DA"/>
    <w:rsid w:val="00F76388"/>
    <w:rsid w:val="00F8775B"/>
    <w:rsid w:val="00FA1F31"/>
    <w:rsid w:val="00FA26A6"/>
    <w:rsid w:val="00FA432B"/>
    <w:rsid w:val="00FA5BD6"/>
    <w:rsid w:val="00FA73E0"/>
    <w:rsid w:val="00FB3C8E"/>
    <w:rsid w:val="00FB420E"/>
    <w:rsid w:val="00FB4B22"/>
    <w:rsid w:val="00FC05DC"/>
    <w:rsid w:val="00FC097B"/>
    <w:rsid w:val="00FC13EC"/>
    <w:rsid w:val="00FC172B"/>
    <w:rsid w:val="00FC3826"/>
    <w:rsid w:val="00FC70DA"/>
    <w:rsid w:val="00FD3BEE"/>
    <w:rsid w:val="00FD6CA3"/>
    <w:rsid w:val="00FE01C8"/>
    <w:rsid w:val="00FE4818"/>
    <w:rsid w:val="00FE5BB7"/>
    <w:rsid w:val="00FF2DA5"/>
    <w:rsid w:val="00FF585B"/>
    <w:rsid w:val="0543E714"/>
    <w:rsid w:val="05575BF2"/>
    <w:rsid w:val="05D6BB81"/>
    <w:rsid w:val="06BA7192"/>
    <w:rsid w:val="07DB3E0A"/>
    <w:rsid w:val="0A89817B"/>
    <w:rsid w:val="0AC6D2E5"/>
    <w:rsid w:val="0B52BBBE"/>
    <w:rsid w:val="0B7A11AD"/>
    <w:rsid w:val="0BA6C2BB"/>
    <w:rsid w:val="1125E5A7"/>
    <w:rsid w:val="122E61AE"/>
    <w:rsid w:val="13E727E0"/>
    <w:rsid w:val="1484A742"/>
    <w:rsid w:val="16267568"/>
    <w:rsid w:val="162B5B88"/>
    <w:rsid w:val="164FDE3C"/>
    <w:rsid w:val="16E08E1B"/>
    <w:rsid w:val="187007BD"/>
    <w:rsid w:val="19A58FD9"/>
    <w:rsid w:val="19C22B82"/>
    <w:rsid w:val="1A98122A"/>
    <w:rsid w:val="1DC3FBCC"/>
    <w:rsid w:val="1DE74C42"/>
    <w:rsid w:val="1EB6E161"/>
    <w:rsid w:val="1F613CFF"/>
    <w:rsid w:val="221A60A8"/>
    <w:rsid w:val="22DD81BB"/>
    <w:rsid w:val="238B672C"/>
    <w:rsid w:val="238DFD5D"/>
    <w:rsid w:val="23A4EFB7"/>
    <w:rsid w:val="276E5D4D"/>
    <w:rsid w:val="28A864C7"/>
    <w:rsid w:val="29CE9C9F"/>
    <w:rsid w:val="29F6BC3E"/>
    <w:rsid w:val="2ADB8B27"/>
    <w:rsid w:val="2DD703FB"/>
    <w:rsid w:val="317F14A8"/>
    <w:rsid w:val="31B59334"/>
    <w:rsid w:val="32205987"/>
    <w:rsid w:val="32BFCE00"/>
    <w:rsid w:val="32D73BB2"/>
    <w:rsid w:val="3591496F"/>
    <w:rsid w:val="35BFD625"/>
    <w:rsid w:val="369A4143"/>
    <w:rsid w:val="37AB4668"/>
    <w:rsid w:val="39A5C819"/>
    <w:rsid w:val="3A76FF33"/>
    <w:rsid w:val="3B1F7C3C"/>
    <w:rsid w:val="3C0493CB"/>
    <w:rsid w:val="3C6284A6"/>
    <w:rsid w:val="3E3608B5"/>
    <w:rsid w:val="3ED31BD3"/>
    <w:rsid w:val="448510AD"/>
    <w:rsid w:val="4495B924"/>
    <w:rsid w:val="45585AA9"/>
    <w:rsid w:val="45692C60"/>
    <w:rsid w:val="45E9E380"/>
    <w:rsid w:val="48D1F889"/>
    <w:rsid w:val="4A6AFBCB"/>
    <w:rsid w:val="4FD2D0EE"/>
    <w:rsid w:val="50800F7A"/>
    <w:rsid w:val="514999D0"/>
    <w:rsid w:val="5173864F"/>
    <w:rsid w:val="51977B84"/>
    <w:rsid w:val="53592927"/>
    <w:rsid w:val="5C1F239B"/>
    <w:rsid w:val="5C7EFC97"/>
    <w:rsid w:val="5CE60E2F"/>
    <w:rsid w:val="5DFB1C59"/>
    <w:rsid w:val="5E5CE3C4"/>
    <w:rsid w:val="60024F8A"/>
    <w:rsid w:val="6395FD93"/>
    <w:rsid w:val="645FB453"/>
    <w:rsid w:val="64F03C3B"/>
    <w:rsid w:val="65A25D26"/>
    <w:rsid w:val="6A8D5B99"/>
    <w:rsid w:val="6BEC3A1F"/>
    <w:rsid w:val="6CC33E48"/>
    <w:rsid w:val="6DA93795"/>
    <w:rsid w:val="70002A70"/>
    <w:rsid w:val="7119C804"/>
    <w:rsid w:val="7197E8F3"/>
    <w:rsid w:val="749AC286"/>
    <w:rsid w:val="74F76352"/>
    <w:rsid w:val="78F6347D"/>
    <w:rsid w:val="7BD40906"/>
    <w:rsid w:val="7BE23D85"/>
    <w:rsid w:val="7BE7190D"/>
    <w:rsid w:val="7CF8CDD7"/>
    <w:rsid w:val="7D0B0F6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A6C2BB"/>
  <w15:chartTrackingRefBased/>
  <w15:docId w15:val="{3241161D-BFCE-40B9-BF7A-862DCA28D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qFormat="1"/>
    <w:lsdException w:name="List Number" w:uiPriority="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paragraph" w:styleId="ListBullet">
    <w:name w:val="List Bullet"/>
    <w:basedOn w:val="Normal"/>
    <w:uiPriority w:val="9"/>
    <w:qFormat/>
    <w:pPr>
      <w:numPr>
        <w:numId w:val="3"/>
      </w:numPr>
    </w:p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Pr>
      <w:color w:val="62C7AD" w:themeColor="hyperlink"/>
      <w:u w:val="single"/>
    </w:rPr>
  </w:style>
  <w:style w:type="paragraph" w:styleId="NoSpacing">
    <w:name w:val="No Spacing"/>
    <w:uiPriority w:val="1"/>
    <w:qFormat/>
    <w:pPr>
      <w:spacing w:after="0" w:line="240" w:lineRule="auto"/>
    </w:pPr>
  </w:style>
  <w:style w:type="character" w:customStyle="1" w:styleId="UnresolvedMention">
    <w:name w:val="Unresolved Mention"/>
    <w:basedOn w:val="DefaultParagraphFont"/>
    <w:uiPriority w:val="99"/>
    <w:semiHidden/>
    <w:unhideWhenUsed/>
    <w:rsid w:val="00E14582"/>
    <w:rPr>
      <w:color w:val="808080"/>
      <w:shd w:val="clear" w:color="auto" w:fill="E6E6E6"/>
    </w:rPr>
  </w:style>
  <w:style w:type="paragraph" w:styleId="NormalWeb">
    <w:name w:val="Normal (Web)"/>
    <w:basedOn w:val="Normal"/>
    <w:uiPriority w:val="99"/>
    <w:semiHidden/>
    <w:unhideWhenUsed/>
    <w:rsid w:val="00D13941"/>
    <w:pPr>
      <w:spacing w:before="100" w:beforeAutospacing="1" w:after="100" w:afterAutospacing="1" w:line="240" w:lineRule="auto"/>
    </w:pPr>
    <w:rPr>
      <w:rFonts w:ascii="Times New Roman" w:eastAsia="Times New Roman" w:hAnsi="Times New Roman" w:cs="Times New Roman"/>
      <w:color w:val="auto"/>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3042145">
      <w:bodyDiv w:val="1"/>
      <w:marLeft w:val="0"/>
      <w:marRight w:val="0"/>
      <w:marTop w:val="0"/>
      <w:marBottom w:val="0"/>
      <w:divBdr>
        <w:top w:val="none" w:sz="0" w:space="0" w:color="auto"/>
        <w:left w:val="none" w:sz="0" w:space="0" w:color="auto"/>
        <w:bottom w:val="none" w:sz="0" w:space="0" w:color="auto"/>
        <w:right w:val="none" w:sz="0" w:space="0" w:color="auto"/>
      </w:divBdr>
    </w:div>
    <w:div w:id="1636179833">
      <w:bodyDiv w:val="1"/>
      <w:marLeft w:val="0"/>
      <w:marRight w:val="0"/>
      <w:marTop w:val="0"/>
      <w:marBottom w:val="0"/>
      <w:divBdr>
        <w:top w:val="none" w:sz="0" w:space="0" w:color="auto"/>
        <w:left w:val="none" w:sz="0" w:space="0" w:color="auto"/>
        <w:bottom w:val="none" w:sz="0" w:space="0" w:color="auto"/>
        <w:right w:val="none" w:sz="0" w:space="0" w:color="auto"/>
      </w:divBdr>
    </w:div>
    <w:div w:id="1998682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itywire.co.uk/money/share-prices-and-performance/share-factsheet.aspx?InstrumentID=168462" TargetMode="External"/><Relationship Id="rId13" Type="http://schemas.openxmlformats.org/officeDocument/2006/relationships/hyperlink" Target="https://www.williamhillplc.com/media/12106/wh-annual-report-2017-v2.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addypowerbetfair.com/investor-relations/share-price-information/share-price-cent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ddypowerbetfair.com/our-business/histor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eguardian.com/business/2015/aug/26/paddy-power-and-betfair-agree-to-merge" TargetMode="External"/><Relationship Id="rId4" Type="http://schemas.openxmlformats.org/officeDocument/2006/relationships/webSettings" Target="webSettings.xml"/><Relationship Id="rId9" Type="http://schemas.openxmlformats.org/officeDocument/2006/relationships/hyperlink" Target="https://www.ft.com/content/1b67d5a4-030d-11e7-ace0-1ce02ef0def9" TargetMode="External"/><Relationship Id="rId14" Type="http://schemas.openxmlformats.org/officeDocument/2006/relationships/hyperlink" Target="https://www.stockopedia.com/share-prices/william-hill-LON:WMH/" TargetMode="Externa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40</Pages>
  <Words>9352</Words>
  <Characters>53311</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Sunday Fatubarin (1710948);Sunday Fatubarin</dc:creator>
  <cp:keywords/>
  <dc:description/>
  <cp:lastModifiedBy>Sunday Fatubarin (1710948)</cp:lastModifiedBy>
  <cp:revision>2</cp:revision>
  <dcterms:created xsi:type="dcterms:W3CDTF">2018-05-08T14:48:00Z</dcterms:created>
  <dcterms:modified xsi:type="dcterms:W3CDTF">2018-05-08T14:48:00Z</dcterms:modified>
</cp:coreProperties>
</file>