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4FF6A" w14:textId="77777777" w:rsidR="00473EA9" w:rsidRDefault="00C639E0">
      <w:pPr>
        <w:rPr>
          <w:lang w:val="en-GB"/>
        </w:rPr>
      </w:pPr>
      <w:r>
        <w:rPr>
          <w:lang w:val="en-GB"/>
        </w:rPr>
        <w:t>Iamblichu</w:t>
      </w:r>
      <w:r w:rsidR="00524A9A">
        <w:rPr>
          <w:lang w:val="en-GB"/>
        </w:rPr>
        <w:t>s</w:t>
      </w:r>
      <w:r>
        <w:rPr>
          <w:lang w:val="en-GB"/>
        </w:rPr>
        <w:t xml:space="preserve">’ </w:t>
      </w:r>
      <w:r w:rsidR="00D0206C">
        <w:rPr>
          <w:i/>
          <w:iCs/>
          <w:lang w:val="en-GB"/>
        </w:rPr>
        <w:t xml:space="preserve">De </w:t>
      </w:r>
      <w:proofErr w:type="spellStart"/>
      <w:r w:rsidR="00D0206C">
        <w:rPr>
          <w:i/>
          <w:iCs/>
          <w:lang w:val="en-GB"/>
        </w:rPr>
        <w:t>Mysteriis</w:t>
      </w:r>
      <w:proofErr w:type="spellEnd"/>
      <w:r w:rsidR="003F22A5">
        <w:rPr>
          <w:i/>
          <w:iCs/>
          <w:lang w:val="en-GB"/>
        </w:rPr>
        <w:t xml:space="preserve"> </w:t>
      </w:r>
      <w:r w:rsidR="003F22A5">
        <w:rPr>
          <w:lang w:val="en-GB"/>
        </w:rPr>
        <w:t>is a work</w:t>
      </w:r>
      <w:r>
        <w:rPr>
          <w:lang w:val="en-GB"/>
        </w:rPr>
        <w:t xml:space="preserve"> written as a response to </w:t>
      </w:r>
      <w:r w:rsidR="003F22A5">
        <w:rPr>
          <w:lang w:val="en-GB"/>
        </w:rPr>
        <w:t>Porphyry’s</w:t>
      </w:r>
      <w:r>
        <w:rPr>
          <w:lang w:val="en-GB"/>
        </w:rPr>
        <w:t xml:space="preserve"> </w:t>
      </w:r>
      <w:r w:rsidRPr="00D0206C">
        <w:rPr>
          <w:i/>
          <w:iCs/>
          <w:lang w:val="en-GB"/>
        </w:rPr>
        <w:t xml:space="preserve">Letter to </w:t>
      </w:r>
      <w:proofErr w:type="spellStart"/>
      <w:r w:rsidRPr="00D0206C">
        <w:rPr>
          <w:i/>
          <w:iCs/>
          <w:lang w:val="en-GB"/>
        </w:rPr>
        <w:t>Anebo</w:t>
      </w:r>
      <w:proofErr w:type="spellEnd"/>
      <w:r w:rsidR="003F22A5">
        <w:rPr>
          <w:i/>
          <w:iCs/>
          <w:lang w:val="en-GB"/>
        </w:rPr>
        <w:t xml:space="preserve">. </w:t>
      </w:r>
      <w:r w:rsidR="003F22A5">
        <w:rPr>
          <w:lang w:val="en-GB"/>
        </w:rPr>
        <w:t xml:space="preserve">The </w:t>
      </w:r>
      <w:r w:rsidR="003F22A5">
        <w:rPr>
          <w:i/>
          <w:iCs/>
          <w:lang w:val="en-GB"/>
        </w:rPr>
        <w:t xml:space="preserve">Letter to </w:t>
      </w:r>
      <w:proofErr w:type="spellStart"/>
      <w:r w:rsidR="003F22A5">
        <w:rPr>
          <w:i/>
          <w:iCs/>
          <w:lang w:val="en-GB"/>
        </w:rPr>
        <w:t>Anebo</w:t>
      </w:r>
      <w:proofErr w:type="spellEnd"/>
      <w:r w:rsidR="003F22A5">
        <w:rPr>
          <w:lang w:val="en-GB"/>
        </w:rPr>
        <w:t xml:space="preserve"> </w:t>
      </w:r>
      <w:r w:rsidR="00555E23">
        <w:rPr>
          <w:lang w:val="en-GB"/>
        </w:rPr>
        <w:t xml:space="preserve">sets out a series of questions relating to theurgic beliefs, rituals and the nature of the Gods. </w:t>
      </w:r>
    </w:p>
    <w:p w14:paraId="3DC33C4F" w14:textId="77777777" w:rsidR="002724AE" w:rsidRDefault="00473EA9">
      <w:pPr>
        <w:rPr>
          <w:iCs/>
          <w:lang w:val="en-GB"/>
        </w:rPr>
      </w:pPr>
      <w:r>
        <w:rPr>
          <w:i/>
          <w:iCs/>
          <w:lang w:val="en-GB"/>
        </w:rPr>
        <w:t xml:space="preserve">De </w:t>
      </w:r>
      <w:proofErr w:type="spellStart"/>
      <w:r>
        <w:rPr>
          <w:i/>
          <w:iCs/>
          <w:lang w:val="en-GB"/>
        </w:rPr>
        <w:t>Mysteriis</w:t>
      </w:r>
      <w:proofErr w:type="spellEnd"/>
      <w:r>
        <w:rPr>
          <w:lang w:val="en-GB"/>
        </w:rPr>
        <w:t xml:space="preserve"> is</w:t>
      </w:r>
      <w:r w:rsidR="0009770F">
        <w:rPr>
          <w:lang w:val="en-GB"/>
        </w:rPr>
        <w:t xml:space="preserve"> now</w:t>
      </w:r>
      <w:r>
        <w:rPr>
          <w:lang w:val="en-GB"/>
        </w:rPr>
        <w:t xml:space="preserve"> separated into books, each examining a specific topic in response to the </w:t>
      </w:r>
      <w:r>
        <w:rPr>
          <w:i/>
          <w:iCs/>
          <w:lang w:val="en-GB"/>
        </w:rPr>
        <w:t>Letter.</w:t>
      </w:r>
      <w:r w:rsidR="0009770F">
        <w:rPr>
          <w:i/>
          <w:iCs/>
          <w:lang w:val="en-GB"/>
        </w:rPr>
        <w:t xml:space="preserve"> </w:t>
      </w:r>
      <w:r w:rsidR="0009770F">
        <w:rPr>
          <w:lang w:val="en-GB"/>
        </w:rPr>
        <w:t xml:space="preserve">Clarke notes, however, in the introduction to the translated text, that this </w:t>
      </w:r>
      <w:r w:rsidR="002724AE">
        <w:rPr>
          <w:lang w:val="en-GB"/>
        </w:rPr>
        <w:t xml:space="preserve">division of </w:t>
      </w:r>
      <w:r w:rsidR="002724AE">
        <w:rPr>
          <w:i/>
          <w:lang w:val="en-GB"/>
        </w:rPr>
        <w:t xml:space="preserve">De </w:t>
      </w:r>
      <w:proofErr w:type="spellStart"/>
      <w:r w:rsidR="002724AE">
        <w:rPr>
          <w:i/>
          <w:lang w:val="en-GB"/>
        </w:rPr>
        <w:t>Mysteriis</w:t>
      </w:r>
      <w:proofErr w:type="spellEnd"/>
      <w:r w:rsidR="002724AE">
        <w:rPr>
          <w:iCs/>
          <w:lang w:val="en-GB"/>
        </w:rPr>
        <w:t xml:space="preserve"> occurred during the renaissance.</w:t>
      </w:r>
    </w:p>
    <w:p w14:paraId="73264633" w14:textId="05ED7127" w:rsidR="00C639E0" w:rsidRDefault="00C639E0">
      <w:pPr>
        <w:rPr>
          <w:lang w:val="en-GB"/>
        </w:rPr>
      </w:pPr>
      <w:r>
        <w:rPr>
          <w:lang w:val="en-GB"/>
        </w:rPr>
        <w:t xml:space="preserve">Book </w:t>
      </w:r>
      <w:r w:rsidR="00796DBD">
        <w:rPr>
          <w:lang w:val="en-GB"/>
        </w:rPr>
        <w:t>I</w:t>
      </w:r>
      <w:r>
        <w:rPr>
          <w:lang w:val="en-GB"/>
        </w:rPr>
        <w:t xml:space="preserve"> sets out Iamblichus’ philosophy on Gods, daemons, heroes and the purpose and place of theurgy. </w:t>
      </w:r>
    </w:p>
    <w:p w14:paraId="66BE4179" w14:textId="563D77C1" w:rsidR="00C639E0" w:rsidRDefault="00F00BA2">
      <w:pPr>
        <w:rPr>
          <w:lang w:val="en-GB"/>
        </w:rPr>
      </w:pPr>
      <w:r>
        <w:rPr>
          <w:lang w:val="en-GB"/>
        </w:rPr>
        <w:t xml:space="preserve">In Book </w:t>
      </w:r>
      <w:r w:rsidR="00796DBD">
        <w:rPr>
          <w:lang w:val="en-GB"/>
        </w:rPr>
        <w:t>III</w:t>
      </w:r>
      <w:r>
        <w:rPr>
          <w:lang w:val="en-GB"/>
        </w:rPr>
        <w:t xml:space="preserve">, Iamblichus delves further into divination specifically. He examines </w:t>
      </w:r>
      <w:r w:rsidR="00CE469F">
        <w:rPr>
          <w:lang w:val="en-GB"/>
        </w:rPr>
        <w:t xml:space="preserve">what he terms inductive versus intuitive divination, </w:t>
      </w:r>
      <w:r w:rsidR="000E6E19">
        <w:rPr>
          <w:lang w:val="en-GB"/>
        </w:rPr>
        <w:t xml:space="preserve">exploring human limitations and the necessity of the Gods for the purposes of divination. </w:t>
      </w:r>
      <w:r w:rsidR="005F54E7">
        <w:rPr>
          <w:lang w:val="en-GB"/>
        </w:rPr>
        <w:t xml:space="preserve">It is in Book III that Iamblichus’ views on theurgy and </w:t>
      </w:r>
      <w:r w:rsidR="00796DBD">
        <w:rPr>
          <w:lang w:val="en-GB"/>
        </w:rPr>
        <w:t xml:space="preserve">relationship between gods and the realm of generation become clear. </w:t>
      </w:r>
    </w:p>
    <w:p w14:paraId="6E4743F3" w14:textId="77777777" w:rsidR="00CE469F" w:rsidRDefault="00CE469F">
      <w:pPr>
        <w:rPr>
          <w:lang w:val="en-GB"/>
        </w:rPr>
      </w:pPr>
    </w:p>
    <w:p w14:paraId="4F5B2C1F" w14:textId="1BB220AA" w:rsidR="00A9204E" w:rsidRPr="000F4EE5" w:rsidRDefault="00C639E0">
      <w:pPr>
        <w:rPr>
          <w:lang w:val="en-GB"/>
        </w:rPr>
      </w:pPr>
      <w:r>
        <w:rPr>
          <w:lang w:val="en-GB"/>
        </w:rPr>
        <w:t xml:space="preserve">In this critical review, the aim is to examine why Iamblichus has chosen to respond to Porphyry’s </w:t>
      </w:r>
      <w:r w:rsidR="00B363BD">
        <w:rPr>
          <w:i/>
          <w:iCs/>
          <w:lang w:val="en-GB"/>
        </w:rPr>
        <w:t>L</w:t>
      </w:r>
      <w:r w:rsidRPr="00B363BD">
        <w:rPr>
          <w:i/>
          <w:iCs/>
          <w:lang w:val="en-GB"/>
        </w:rPr>
        <w:t>etter</w:t>
      </w:r>
      <w:r>
        <w:rPr>
          <w:lang w:val="en-GB"/>
        </w:rPr>
        <w:t xml:space="preserve"> in this manner</w:t>
      </w:r>
      <w:r w:rsidR="00746D64">
        <w:rPr>
          <w:lang w:val="en-GB"/>
        </w:rPr>
        <w:t xml:space="preserve"> and his responses to Porphyry’s questions. </w:t>
      </w:r>
      <w:r w:rsidR="00C403FF">
        <w:rPr>
          <w:lang w:val="en-GB"/>
        </w:rPr>
        <w:t xml:space="preserve">To do this, it is necessary to make clear the context in which Iamblichus and Porphyry were writing, the </w:t>
      </w:r>
      <w:r w:rsidR="000F4EE5">
        <w:rPr>
          <w:lang w:val="en-GB"/>
        </w:rPr>
        <w:t xml:space="preserve">rise of Christianity and </w:t>
      </w:r>
      <w:r w:rsidR="00473EA9">
        <w:rPr>
          <w:lang w:val="en-GB"/>
        </w:rPr>
        <w:t>its</w:t>
      </w:r>
      <w:r w:rsidR="000F4EE5">
        <w:rPr>
          <w:lang w:val="en-GB"/>
        </w:rPr>
        <w:t xml:space="preserve"> influence </w:t>
      </w:r>
      <w:r w:rsidR="00473EA9">
        <w:rPr>
          <w:lang w:val="en-GB"/>
        </w:rPr>
        <w:t>on</w:t>
      </w:r>
      <w:r w:rsidR="000F4EE5">
        <w:rPr>
          <w:lang w:val="en-GB"/>
        </w:rPr>
        <w:t xml:space="preserve"> Porphyry’s </w:t>
      </w:r>
      <w:r w:rsidR="000F4EE5">
        <w:rPr>
          <w:i/>
          <w:iCs/>
          <w:lang w:val="en-GB"/>
        </w:rPr>
        <w:t>Letter</w:t>
      </w:r>
      <w:r w:rsidR="000F4EE5">
        <w:rPr>
          <w:lang w:val="en-GB"/>
        </w:rPr>
        <w:t xml:space="preserve">, as well as the core differences in each of their philosophies. While both wrote in a Neoplatonic framework, they held different views on </w:t>
      </w:r>
      <w:r w:rsidR="00AB1F7F">
        <w:rPr>
          <w:lang w:val="en-GB"/>
        </w:rPr>
        <w:t xml:space="preserve">soteriology; that is the doctrine of salvation, and the role of theurgy and theology in the ultimate salvation of the human soul. </w:t>
      </w:r>
    </w:p>
    <w:p w14:paraId="2B1F71A7" w14:textId="7057DB86" w:rsidR="00746D64" w:rsidRDefault="00746D64">
      <w:pPr>
        <w:rPr>
          <w:lang w:val="en-GB"/>
        </w:rPr>
      </w:pPr>
    </w:p>
    <w:p w14:paraId="758D84EF" w14:textId="783FF539" w:rsidR="00746D64" w:rsidRDefault="00746D64">
      <w:pPr>
        <w:rPr>
          <w:i/>
          <w:iCs/>
          <w:lang w:val="en-GB"/>
        </w:rPr>
      </w:pPr>
      <w:r w:rsidRPr="00A427D5">
        <w:rPr>
          <w:i/>
          <w:iCs/>
          <w:lang w:val="en-GB"/>
        </w:rPr>
        <w:t>The context of ‘Iamblichus’</w:t>
      </w:r>
      <w:r w:rsidR="007672FC">
        <w:rPr>
          <w:i/>
          <w:iCs/>
          <w:lang w:val="en-GB"/>
        </w:rPr>
        <w:t>, theurgy and religion in Late Antiquity</w:t>
      </w:r>
    </w:p>
    <w:p w14:paraId="74FFFD5C" w14:textId="1BA7963B" w:rsidR="00F607D1" w:rsidRDefault="00F607D1">
      <w:pPr>
        <w:rPr>
          <w:i/>
          <w:iCs/>
          <w:lang w:val="en-GB"/>
        </w:rPr>
      </w:pPr>
    </w:p>
    <w:p w14:paraId="30280860" w14:textId="5010AE31" w:rsidR="005730ED" w:rsidRDefault="00F607D1">
      <w:pPr>
        <w:rPr>
          <w:lang w:val="en-GB"/>
        </w:rPr>
      </w:pPr>
      <w:r>
        <w:rPr>
          <w:lang w:val="en-GB"/>
        </w:rPr>
        <w:t>T</w:t>
      </w:r>
      <w:r w:rsidR="00DD4865">
        <w:rPr>
          <w:lang w:val="en-GB"/>
        </w:rPr>
        <w:t xml:space="preserve">he exact birth date of Iamblichus is not known, but it is thought to be </w:t>
      </w:r>
      <w:r w:rsidR="007D7E9F">
        <w:rPr>
          <w:lang w:val="en-GB"/>
        </w:rPr>
        <w:t>before 260</w:t>
      </w:r>
      <w:r w:rsidR="00F57603">
        <w:rPr>
          <w:rStyle w:val="FootnoteReference"/>
          <w:lang w:val="en-GB"/>
        </w:rPr>
        <w:footnoteReference w:id="1"/>
      </w:r>
      <w:r w:rsidR="00484C1C">
        <w:rPr>
          <w:lang w:val="en-GB"/>
        </w:rPr>
        <w:t xml:space="preserve">, with </w:t>
      </w:r>
      <w:r w:rsidR="00484C1C">
        <w:rPr>
          <w:i/>
          <w:iCs/>
          <w:lang w:val="en-GB"/>
        </w:rPr>
        <w:t xml:space="preserve">De </w:t>
      </w:r>
      <w:proofErr w:type="spellStart"/>
      <w:r w:rsidR="00484C1C">
        <w:rPr>
          <w:i/>
          <w:iCs/>
          <w:lang w:val="en-GB"/>
        </w:rPr>
        <w:t>Mysteriis</w:t>
      </w:r>
      <w:proofErr w:type="spellEnd"/>
      <w:r w:rsidR="00484C1C">
        <w:rPr>
          <w:i/>
          <w:iCs/>
          <w:lang w:val="en-GB"/>
        </w:rPr>
        <w:t xml:space="preserve"> </w:t>
      </w:r>
      <w:r w:rsidR="00484C1C">
        <w:rPr>
          <w:lang w:val="en-GB"/>
        </w:rPr>
        <w:t xml:space="preserve">written in the late third century. </w:t>
      </w:r>
      <w:r w:rsidR="00E1316E">
        <w:rPr>
          <w:lang w:val="en-GB"/>
        </w:rPr>
        <w:t xml:space="preserve">Clarke notes that it is likely that Iamblichus and Porphyry were close in age, attributing </w:t>
      </w:r>
      <w:r w:rsidR="00493E1A">
        <w:rPr>
          <w:lang w:val="en-GB"/>
        </w:rPr>
        <w:t xml:space="preserve">Iamblichus’ style of response to the </w:t>
      </w:r>
      <w:r w:rsidR="00A97D10">
        <w:rPr>
          <w:lang w:val="en-GB"/>
        </w:rPr>
        <w:t>‘uneasy pupil-teacher relationship they appear to have enjoyed.’</w:t>
      </w:r>
      <w:r w:rsidR="00A97D10">
        <w:rPr>
          <w:rStyle w:val="FootnoteReference"/>
          <w:lang w:val="en-GB"/>
        </w:rPr>
        <w:footnoteReference w:id="2"/>
      </w:r>
      <w:r w:rsidR="00A447CB">
        <w:rPr>
          <w:lang w:val="en-GB"/>
        </w:rPr>
        <w:t xml:space="preserve"> </w:t>
      </w:r>
      <w:r w:rsidR="007F4BDC">
        <w:rPr>
          <w:lang w:val="en-GB"/>
        </w:rPr>
        <w:t xml:space="preserve">It will become clear later, however, that </w:t>
      </w:r>
      <w:r w:rsidR="004A567D">
        <w:rPr>
          <w:lang w:val="en-GB"/>
        </w:rPr>
        <w:t xml:space="preserve">their relationship as Neoplatonist philosophers, and students and teachers themselves is not one of animosity, but one that strives to the salvation of the soul in different manners. </w:t>
      </w:r>
    </w:p>
    <w:p w14:paraId="52153CAA" w14:textId="13C527EB" w:rsidR="00C45B65" w:rsidRDefault="00C45B65">
      <w:pPr>
        <w:rPr>
          <w:lang w:val="en-GB"/>
        </w:rPr>
      </w:pPr>
    </w:p>
    <w:p w14:paraId="0983D285" w14:textId="5A95CADD" w:rsidR="00F54CC1" w:rsidRDefault="000956B0">
      <w:r>
        <w:rPr>
          <w:lang w:val="en-GB"/>
        </w:rPr>
        <w:t xml:space="preserve">Michael Bland Simmons notes that ‘these philosophers </w:t>
      </w:r>
      <w:r w:rsidR="00764C04">
        <w:rPr>
          <w:lang w:val="en-GB"/>
        </w:rPr>
        <w:t>… lived during some of the difficult times in the history of the Roman Empire’</w:t>
      </w:r>
      <w:r w:rsidR="00764C04">
        <w:rPr>
          <w:rStyle w:val="FootnoteReference"/>
          <w:lang w:val="en-GB"/>
        </w:rPr>
        <w:footnoteReference w:id="3"/>
      </w:r>
      <w:r w:rsidR="00F742A4">
        <w:rPr>
          <w:lang w:val="en-GB"/>
        </w:rPr>
        <w:t xml:space="preserve"> and that this would ultimately affect the</w:t>
      </w:r>
      <w:r w:rsidR="00D51CA1">
        <w:rPr>
          <w:lang w:val="en-GB"/>
        </w:rPr>
        <w:t xml:space="preserve"> evolution of their </w:t>
      </w:r>
      <w:r w:rsidR="00F742A4">
        <w:rPr>
          <w:lang w:val="en-GB"/>
        </w:rPr>
        <w:t>ontological and eschatological views.</w:t>
      </w:r>
      <w:r w:rsidR="00F742A4">
        <w:rPr>
          <w:rStyle w:val="FootnoteReference"/>
          <w:lang w:val="en-GB"/>
        </w:rPr>
        <w:footnoteReference w:id="4"/>
      </w:r>
      <w:r w:rsidR="002769EE">
        <w:rPr>
          <w:lang w:val="en-GB"/>
        </w:rPr>
        <w:t xml:space="preserve"> </w:t>
      </w:r>
      <w:r w:rsidR="00704D55">
        <w:rPr>
          <w:lang w:val="en-GB"/>
        </w:rPr>
        <w:t xml:space="preserve">He </w:t>
      </w:r>
      <w:r w:rsidR="0088627F">
        <w:rPr>
          <w:lang w:val="en-GB"/>
        </w:rPr>
        <w:t xml:space="preserve">writes that the rise of Christianity coincided with a difficulty in maintaining </w:t>
      </w:r>
      <w:r w:rsidR="00E71EC6">
        <w:rPr>
          <w:lang w:val="en-GB"/>
        </w:rPr>
        <w:t xml:space="preserve">the economic demands of Pagan religion and rituals, directly affecting the way in which ordinary people engaged with religion. </w:t>
      </w:r>
      <w:r w:rsidR="004D43C9">
        <w:rPr>
          <w:lang w:val="en-GB"/>
        </w:rPr>
        <w:t>Both Iamblichus and Porphyry demonstrated the importance of a unified religion in society</w:t>
      </w:r>
      <w:r w:rsidR="00BD1761">
        <w:rPr>
          <w:lang w:val="en-GB"/>
        </w:rPr>
        <w:t xml:space="preserve">. </w:t>
      </w:r>
      <w:r w:rsidR="00E7482C">
        <w:rPr>
          <w:lang w:val="en-GB"/>
        </w:rPr>
        <w:t>Porphyry saw</w:t>
      </w:r>
      <w:r w:rsidR="00BD1761">
        <w:rPr>
          <w:lang w:val="en-GB"/>
        </w:rPr>
        <w:t xml:space="preserve"> a unified religion</w:t>
      </w:r>
      <w:r w:rsidR="00E7482C">
        <w:rPr>
          <w:lang w:val="en-GB"/>
        </w:rPr>
        <w:t xml:space="preserve"> as</w:t>
      </w:r>
      <w:r w:rsidR="000615CD">
        <w:rPr>
          <w:lang w:val="en-GB"/>
        </w:rPr>
        <w:t xml:space="preserve"> the lowest act towards salvation of the soul which could be performed by the common man through ‘</w:t>
      </w:r>
      <w:r w:rsidR="000615CD">
        <w:t xml:space="preserve">the knowledge of the importance of honoring ancestral religious customs, worshipping the gods of his/her city, and practicing the basic ethical behavior commensurate with good citizenship </w:t>
      </w:r>
      <w:r w:rsidR="007E22AA">
        <w:t xml:space="preserve">… </w:t>
      </w:r>
      <w:r w:rsidR="000615CD">
        <w:t>which helped it to achieve the initial phase of the goal of the virtuous life</w:t>
      </w:r>
      <w:r w:rsidR="007E22AA">
        <w:t>.’</w:t>
      </w:r>
      <w:r w:rsidR="007E22AA">
        <w:rPr>
          <w:rStyle w:val="FootnoteReference"/>
        </w:rPr>
        <w:footnoteReference w:id="5"/>
      </w:r>
      <w:r w:rsidR="0046553B">
        <w:t xml:space="preserve"> At this level and this level only, was theurgy necessary according to Porphyry. On t</w:t>
      </w:r>
      <w:r w:rsidR="00DD4250">
        <w:t>he contrary, Iamblichus argues for a consistent use of theurgy</w:t>
      </w:r>
      <w:r w:rsidR="00226A0C">
        <w:t xml:space="preserve">. </w:t>
      </w:r>
      <w:r w:rsidR="00F74315">
        <w:t>Iamblichus makes a call to theurgy in the process of obtaining knowledge</w:t>
      </w:r>
      <w:r w:rsidR="00F54CC1">
        <w:t>. Iamblichus br</w:t>
      </w:r>
      <w:r w:rsidR="000F29B3">
        <w:t>iefl</w:t>
      </w:r>
      <w:r w:rsidR="00F54CC1">
        <w:t xml:space="preserve">y denounces the use of private magic in Book III </w:t>
      </w:r>
      <w:r w:rsidR="00F8628C">
        <w:t>‘those who conjure up spirits secretly without these sacred visions, grope… in the darkness</w:t>
      </w:r>
      <w:r w:rsidR="000366F8">
        <w:t xml:space="preserve"> … and know </w:t>
      </w:r>
      <w:r w:rsidR="000366F8">
        <w:lastRenderedPageBreak/>
        <w:t>nothing of what they do</w:t>
      </w:r>
      <w:r w:rsidR="00F8628C">
        <w:t>’.</w:t>
      </w:r>
      <w:r w:rsidR="00245C29">
        <w:rPr>
          <w:rStyle w:val="FootnoteReference"/>
        </w:rPr>
        <w:footnoteReference w:id="6"/>
      </w:r>
      <w:r w:rsidR="000366F8">
        <w:t xml:space="preserve"> </w:t>
      </w:r>
      <w:r w:rsidR="00626716">
        <w:t>It may be argue</w:t>
      </w:r>
      <w:r w:rsidR="005B65CD">
        <w:t>d</w:t>
      </w:r>
      <w:r w:rsidR="00626716">
        <w:t xml:space="preserve"> that this brief note on conjuring spirits ‘secretly’ as </w:t>
      </w:r>
      <w:r w:rsidR="00B73EEA">
        <w:t>an ill-informed and relatively useless form of divination</w:t>
      </w:r>
      <w:r w:rsidR="005B65CD">
        <w:t xml:space="preserve">, is mentioned as a reference to the civic virtues </w:t>
      </w:r>
      <w:r w:rsidR="00841139">
        <w:t xml:space="preserve">and their importance in Roman theology. </w:t>
      </w:r>
      <w:r w:rsidR="00A23E9E">
        <w:t xml:space="preserve">Theurgy </w:t>
      </w:r>
      <w:r w:rsidR="00027761">
        <w:t xml:space="preserve">as a practice, for Porphyry and Iamblichus was essential, but Iamblichus saw theurgy as a way to further inform practices such as divination. </w:t>
      </w:r>
      <w:r w:rsidR="00932ADB">
        <w:t xml:space="preserve">In Book III, Iamblichus addresses Porphyry’s inquiry into another type of private practice; divination through the standing on magical characters. </w:t>
      </w:r>
      <w:r w:rsidR="00B721CB">
        <w:t>Iamblichus acknowledges that this type of divination has been misused</w:t>
      </w:r>
      <w:r w:rsidR="003B1AD0">
        <w:t>, but attributes any divinatory power occurring from it to a ‘motion of the soul</w:t>
      </w:r>
      <w:r w:rsidR="00C37DE7">
        <w:t>, contrary to the gods</w:t>
      </w:r>
      <w:r w:rsidR="003B1AD0">
        <w:t>’</w:t>
      </w:r>
      <w:r w:rsidR="003801A3">
        <w:t>.</w:t>
      </w:r>
      <w:r w:rsidR="003B1AD0">
        <w:rPr>
          <w:rStyle w:val="FootnoteReference"/>
        </w:rPr>
        <w:footnoteReference w:id="7"/>
      </w:r>
      <w:r w:rsidR="003801A3">
        <w:t xml:space="preserve"> Iamblichus refers to the importance of following sacred rites and rituals</w:t>
      </w:r>
      <w:r w:rsidR="00C65221">
        <w:t xml:space="preserve">. The act of divination cannot simply be achieved by standing on a magical character, and Porphyry is missing the point if he believes this. Iamblichus writes </w:t>
      </w:r>
      <w:r w:rsidR="008A1A4D">
        <w:t>‘there are some who overlook the whole procedure of effective contemplation… and they disdain the order of the sacred observances, its customs prayers and other rituals</w:t>
      </w:r>
      <w:r w:rsidR="007E4A19">
        <w:t>… when they have done this for a mere hour</w:t>
      </w:r>
      <w:r w:rsidR="00973818">
        <w:t>, they believe that they have caused some spirit to enter.</w:t>
      </w:r>
      <w:r w:rsidR="008A1A4D">
        <w:t>’</w:t>
      </w:r>
      <w:r w:rsidR="008A1A4D">
        <w:rPr>
          <w:rStyle w:val="FootnoteReference"/>
        </w:rPr>
        <w:footnoteReference w:id="8"/>
      </w:r>
      <w:r w:rsidR="00662D36">
        <w:t xml:space="preserve"> </w:t>
      </w:r>
      <w:r w:rsidR="00973818">
        <w:t xml:space="preserve">Iamblichus denounces this practice, as it overlooks the theurgical necessities of divination. </w:t>
      </w:r>
      <w:r w:rsidR="00890648">
        <w:t xml:space="preserve">By referring to it as a ‘motion of the soul’, Iamblichus </w:t>
      </w:r>
      <w:r w:rsidR="00835B89">
        <w:t xml:space="preserve">demonstrates that there is no godly hand in this matter, it is </w:t>
      </w:r>
      <w:r w:rsidR="000D184F">
        <w:t xml:space="preserve">an act from within. </w:t>
      </w:r>
      <w:r w:rsidR="006A6ABE">
        <w:t xml:space="preserve">For Iamblichus, theurgy was a part of </w:t>
      </w:r>
      <w:r w:rsidR="00DF0F9B">
        <w:t>divining and public magic</w:t>
      </w:r>
      <w:r w:rsidR="00EA057D">
        <w:t xml:space="preserve"> with the aim of preparing the soul for salvation, some of which required participation in civic life</w:t>
      </w:r>
      <w:r w:rsidR="00DF0F9B">
        <w:t>, and those who overlooked or though</w:t>
      </w:r>
      <w:r w:rsidR="00776BA7">
        <w:t>t it unnecessary, were not truly participating in divination</w:t>
      </w:r>
      <w:r w:rsidR="00EA057D">
        <w:t xml:space="preserve"> or theurgy. </w:t>
      </w:r>
    </w:p>
    <w:p w14:paraId="475E71F1" w14:textId="77777777" w:rsidR="00F54CC1" w:rsidRDefault="00F54CC1"/>
    <w:p w14:paraId="0583A766" w14:textId="6BDC8BA1" w:rsidR="00180FB0" w:rsidRDefault="00BD6DE2" w:rsidP="00180FB0">
      <w:pPr>
        <w:rPr>
          <w:lang w:val="en-GB"/>
        </w:rPr>
      </w:pPr>
      <w:r>
        <w:t xml:space="preserve">Clarke also </w:t>
      </w:r>
      <w:r w:rsidR="009B53C5">
        <w:t xml:space="preserve">notes that Iamblichus’ focus is not on teaching Porphyry </w:t>
      </w:r>
      <w:r w:rsidR="006913FB">
        <w:t>solely through his responses, but guid</w:t>
      </w:r>
      <w:r w:rsidR="007147BC">
        <w:t>ing</w:t>
      </w:r>
      <w:r w:rsidR="006913FB">
        <w:t xml:space="preserve"> Porphyry to recognize </w:t>
      </w:r>
      <w:r w:rsidR="00220F82">
        <w:t>true theurgy.</w:t>
      </w:r>
      <w:r w:rsidR="00220F82">
        <w:rPr>
          <w:rStyle w:val="FootnoteReference"/>
        </w:rPr>
        <w:footnoteReference w:id="9"/>
      </w:r>
      <w:r w:rsidR="004E28A0">
        <w:t xml:space="preserve"> </w:t>
      </w:r>
      <w:r w:rsidR="00220F82">
        <w:rPr>
          <w:lang w:val="en-GB"/>
        </w:rPr>
        <w:t>Writing further, Clarke explains</w:t>
      </w:r>
      <w:r w:rsidR="00180FB0">
        <w:rPr>
          <w:lang w:val="en-GB"/>
        </w:rPr>
        <w:t xml:space="preserve"> ‘With Iamblichus there is an earnest emphasis on ritual’</w:t>
      </w:r>
      <w:r w:rsidR="00180FB0">
        <w:rPr>
          <w:rStyle w:val="FootnoteReference"/>
          <w:lang w:val="en-GB"/>
        </w:rPr>
        <w:footnoteReference w:id="10"/>
      </w:r>
      <w:r w:rsidR="00180FB0">
        <w:rPr>
          <w:lang w:val="en-GB"/>
        </w:rPr>
        <w:t>, with an ‘advocacy of theurgy over theology’</w:t>
      </w:r>
      <w:r w:rsidR="00180FB0">
        <w:rPr>
          <w:rStyle w:val="FootnoteReference"/>
          <w:lang w:val="en-GB"/>
        </w:rPr>
        <w:footnoteReference w:id="11"/>
      </w:r>
      <w:r w:rsidR="00180FB0">
        <w:rPr>
          <w:lang w:val="en-GB"/>
        </w:rPr>
        <w:t xml:space="preserve"> and ‘the author of the ramified hierarchy of levels of being’</w:t>
      </w:r>
      <w:r w:rsidR="00180FB0">
        <w:rPr>
          <w:rStyle w:val="FootnoteReference"/>
          <w:lang w:val="en-GB"/>
        </w:rPr>
        <w:footnoteReference w:id="12"/>
      </w:r>
      <w:r w:rsidR="00180FB0">
        <w:rPr>
          <w:lang w:val="en-GB"/>
        </w:rPr>
        <w:t xml:space="preserve">. The goal of theurgy is not to ‘bind or compel the gods’ </w:t>
      </w:r>
      <w:r w:rsidR="00180FB0">
        <w:rPr>
          <w:rStyle w:val="FootnoteReference"/>
          <w:lang w:val="en-GB"/>
        </w:rPr>
        <w:footnoteReference w:id="13"/>
      </w:r>
      <w:r w:rsidR="00180FB0">
        <w:rPr>
          <w:lang w:val="en-GB"/>
        </w:rPr>
        <w:t>, but rather to respect the hierarchy of beings. This can be seen in Iamblichus’ denial of his students claims that ‘he rose into the air and turned golden’</w:t>
      </w:r>
      <w:r w:rsidR="00180FB0">
        <w:rPr>
          <w:rStyle w:val="FootnoteReference"/>
          <w:lang w:val="en-GB"/>
        </w:rPr>
        <w:footnoteReference w:id="14"/>
      </w:r>
      <w:r w:rsidR="00180FB0">
        <w:rPr>
          <w:lang w:val="en-GB"/>
        </w:rPr>
        <w:t xml:space="preserve">. Iamblichus strictly states that any true divination came from the God’s themselves, and the purpose of </w:t>
      </w:r>
      <w:r w:rsidR="00180FB0">
        <w:rPr>
          <w:i/>
          <w:iCs/>
          <w:lang w:val="en-GB"/>
        </w:rPr>
        <w:t xml:space="preserve">De </w:t>
      </w:r>
      <w:proofErr w:type="spellStart"/>
      <w:r w:rsidR="00180FB0">
        <w:rPr>
          <w:i/>
          <w:iCs/>
          <w:lang w:val="en-GB"/>
        </w:rPr>
        <w:t>Mysteriis</w:t>
      </w:r>
      <w:proofErr w:type="spellEnd"/>
      <w:r w:rsidR="00180FB0">
        <w:rPr>
          <w:i/>
          <w:iCs/>
          <w:lang w:val="en-GB"/>
        </w:rPr>
        <w:t xml:space="preserve"> </w:t>
      </w:r>
      <w:r w:rsidR="00180FB0">
        <w:rPr>
          <w:lang w:val="en-GB"/>
        </w:rPr>
        <w:t>is not to question, as Porphyry’s letter does, the legitimacy of divination, as it is not his place as a human to do so. Iamblichus further expands on this is Book III stating that if ‘someone, then, straying from the primary causes, downgrades the skill of divination to secondary operations … either activities of human life or other psychic or physical explanations … he has wholly erred in supposing that he has given an accurate account of divination.’</w:t>
      </w:r>
      <w:r w:rsidR="00180FB0">
        <w:rPr>
          <w:rStyle w:val="FootnoteReference"/>
          <w:lang w:val="en-GB"/>
        </w:rPr>
        <w:footnoteReference w:id="15"/>
      </w:r>
      <w:r w:rsidR="00180FB0">
        <w:rPr>
          <w:lang w:val="en-GB"/>
        </w:rPr>
        <w:t xml:space="preserve"> </w:t>
      </w:r>
    </w:p>
    <w:p w14:paraId="1B1B5F64" w14:textId="77777777" w:rsidR="0088627F" w:rsidRDefault="0088627F">
      <w:pPr>
        <w:rPr>
          <w:lang w:val="en-GB"/>
        </w:rPr>
      </w:pPr>
    </w:p>
    <w:p w14:paraId="02354DE6" w14:textId="5882D3E9" w:rsidR="000D3193" w:rsidRPr="007147BC" w:rsidRDefault="002769EE">
      <w:pPr>
        <w:rPr>
          <w:lang w:val="en-GB"/>
        </w:rPr>
      </w:pPr>
      <w:r>
        <w:rPr>
          <w:lang w:val="en-GB"/>
        </w:rPr>
        <w:t xml:space="preserve">In </w:t>
      </w:r>
      <w:r w:rsidR="00F364B9">
        <w:rPr>
          <w:i/>
          <w:iCs/>
          <w:lang w:val="en-GB"/>
        </w:rPr>
        <w:t xml:space="preserve">De </w:t>
      </w:r>
      <w:proofErr w:type="spellStart"/>
      <w:r w:rsidR="00F364B9">
        <w:rPr>
          <w:i/>
          <w:iCs/>
          <w:lang w:val="en-GB"/>
        </w:rPr>
        <w:t>Mysteriis</w:t>
      </w:r>
      <w:proofErr w:type="spellEnd"/>
      <w:r>
        <w:rPr>
          <w:lang w:val="en-GB"/>
        </w:rPr>
        <w:t>, Iamblichus often writes of ‘atheist</w:t>
      </w:r>
      <w:r w:rsidR="00F364B9">
        <w:rPr>
          <w:lang w:val="en-GB"/>
        </w:rPr>
        <w:t>s’</w:t>
      </w:r>
      <w:r>
        <w:rPr>
          <w:lang w:val="en-GB"/>
        </w:rPr>
        <w:t xml:space="preserve">, i.e. Christians. </w:t>
      </w:r>
      <w:r w:rsidR="00083C48">
        <w:rPr>
          <w:lang w:val="en-GB"/>
        </w:rPr>
        <w:t xml:space="preserve">Porphyry was </w:t>
      </w:r>
      <w:r w:rsidR="00CD5AA0">
        <w:rPr>
          <w:lang w:val="en-GB"/>
        </w:rPr>
        <w:t xml:space="preserve">considered a </w:t>
      </w:r>
      <w:r w:rsidR="00083C48">
        <w:rPr>
          <w:lang w:val="en-GB"/>
        </w:rPr>
        <w:t xml:space="preserve">notable </w:t>
      </w:r>
      <w:r w:rsidR="00334198">
        <w:rPr>
          <w:lang w:val="en-GB"/>
        </w:rPr>
        <w:t>anti-Christian</w:t>
      </w:r>
      <w:r w:rsidR="00083C48">
        <w:rPr>
          <w:lang w:val="en-GB"/>
        </w:rPr>
        <w:t xml:space="preserve"> philosopher, with </w:t>
      </w:r>
      <w:r w:rsidR="00334198">
        <w:rPr>
          <w:lang w:val="en-GB"/>
        </w:rPr>
        <w:t xml:space="preserve">the lost work </w:t>
      </w:r>
      <w:r w:rsidR="00334198">
        <w:rPr>
          <w:i/>
          <w:iCs/>
          <w:lang w:val="en-GB"/>
        </w:rPr>
        <w:t>Against the Christians</w:t>
      </w:r>
      <w:r w:rsidR="00334198">
        <w:rPr>
          <w:lang w:val="en-GB"/>
        </w:rPr>
        <w:t xml:space="preserve"> written by him. Why then, in the </w:t>
      </w:r>
      <w:r w:rsidR="00334198">
        <w:rPr>
          <w:i/>
          <w:iCs/>
          <w:lang w:val="en-GB"/>
        </w:rPr>
        <w:t xml:space="preserve">Letter to </w:t>
      </w:r>
      <w:proofErr w:type="spellStart"/>
      <w:r w:rsidR="00334198">
        <w:rPr>
          <w:i/>
          <w:iCs/>
          <w:lang w:val="en-GB"/>
        </w:rPr>
        <w:t>Anebo</w:t>
      </w:r>
      <w:proofErr w:type="spellEnd"/>
      <w:r w:rsidR="00334198">
        <w:rPr>
          <w:lang w:val="en-GB"/>
        </w:rPr>
        <w:t>, are there apparent Christian sympathies</w:t>
      </w:r>
      <w:r w:rsidR="0011392F">
        <w:rPr>
          <w:lang w:val="en-GB"/>
        </w:rPr>
        <w:t>, or at least a questioning of aspects of Egyptian religion,</w:t>
      </w:r>
      <w:r w:rsidR="00334198">
        <w:rPr>
          <w:lang w:val="en-GB"/>
        </w:rPr>
        <w:t xml:space="preserve"> which led Iamblichus</w:t>
      </w:r>
      <w:r w:rsidR="00F364B9">
        <w:rPr>
          <w:lang w:val="en-GB"/>
        </w:rPr>
        <w:t xml:space="preserve"> </w:t>
      </w:r>
      <w:r w:rsidR="00334198">
        <w:rPr>
          <w:lang w:val="en-GB"/>
        </w:rPr>
        <w:t>to denounc</w:t>
      </w:r>
      <w:r w:rsidR="00F364B9">
        <w:rPr>
          <w:lang w:val="en-GB"/>
        </w:rPr>
        <w:t>e certain questions</w:t>
      </w:r>
      <w:r w:rsidR="00334198">
        <w:rPr>
          <w:lang w:val="en-GB"/>
        </w:rPr>
        <w:t xml:space="preserve"> </w:t>
      </w:r>
      <w:r w:rsidR="00F364B9">
        <w:rPr>
          <w:lang w:val="en-GB"/>
        </w:rPr>
        <w:t>as having an atheistic view</w:t>
      </w:r>
      <w:r w:rsidR="0011392F">
        <w:rPr>
          <w:lang w:val="en-GB"/>
        </w:rPr>
        <w:t>?</w:t>
      </w:r>
      <w:r w:rsidR="00163259">
        <w:rPr>
          <w:lang w:val="en-GB"/>
        </w:rPr>
        <w:t xml:space="preserve"> </w:t>
      </w:r>
      <w:r w:rsidR="007A0E93">
        <w:rPr>
          <w:lang w:val="en-GB"/>
        </w:rPr>
        <w:t xml:space="preserve">Specifically, Porphyry asks of </w:t>
      </w:r>
      <w:r w:rsidR="00CE312B">
        <w:rPr>
          <w:lang w:val="en-GB"/>
        </w:rPr>
        <w:t xml:space="preserve">the potential of corruption in process of divination, and the place of evil </w:t>
      </w:r>
      <w:proofErr w:type="spellStart"/>
      <w:r w:rsidR="00CE312B">
        <w:rPr>
          <w:lang w:val="en-GB"/>
        </w:rPr>
        <w:t>daimones</w:t>
      </w:r>
      <w:proofErr w:type="spellEnd"/>
      <w:r w:rsidR="00CE312B">
        <w:rPr>
          <w:lang w:val="en-GB"/>
        </w:rPr>
        <w:t xml:space="preserve">. </w:t>
      </w:r>
      <w:proofErr w:type="spellStart"/>
      <w:r w:rsidR="000C71AA">
        <w:rPr>
          <w:lang w:val="en-GB"/>
        </w:rPr>
        <w:t>Addey</w:t>
      </w:r>
      <w:proofErr w:type="spellEnd"/>
      <w:r w:rsidR="000C71AA">
        <w:rPr>
          <w:lang w:val="en-GB"/>
        </w:rPr>
        <w:t xml:space="preserve"> posits that Porphyry actually already knew the answers to the questions he poses in the </w:t>
      </w:r>
      <w:r w:rsidR="000C71AA">
        <w:rPr>
          <w:i/>
          <w:iCs/>
          <w:lang w:val="en-GB"/>
        </w:rPr>
        <w:t>Letter</w:t>
      </w:r>
      <w:r w:rsidR="00B113F1">
        <w:rPr>
          <w:lang w:val="en-GB"/>
        </w:rPr>
        <w:t xml:space="preserve">, </w:t>
      </w:r>
      <w:r w:rsidR="00D64C9B">
        <w:rPr>
          <w:lang w:val="en-GB"/>
        </w:rPr>
        <w:lastRenderedPageBreak/>
        <w:t>and was in fact ‘</w:t>
      </w:r>
      <w:r w:rsidR="00A118CE">
        <w:rPr>
          <w:lang w:val="en-GB"/>
        </w:rPr>
        <w:t>an educational and didactic tool for pagans and philosophers</w:t>
      </w:r>
      <w:r w:rsidR="0083206F">
        <w:rPr>
          <w:lang w:val="en-GB"/>
        </w:rPr>
        <w:t xml:space="preserve"> and… as a defence of paganism against contemporary Christian accusations’</w:t>
      </w:r>
      <w:r w:rsidR="0083206F">
        <w:rPr>
          <w:rStyle w:val="FootnoteReference"/>
          <w:lang w:val="en-GB"/>
        </w:rPr>
        <w:footnoteReference w:id="16"/>
      </w:r>
      <w:r w:rsidR="0083206F">
        <w:rPr>
          <w:lang w:val="en-GB"/>
        </w:rPr>
        <w:t>.</w:t>
      </w:r>
    </w:p>
    <w:p w14:paraId="044DB832" w14:textId="77777777" w:rsidR="000D3193" w:rsidRDefault="000D3193">
      <w:pPr>
        <w:rPr>
          <w:i/>
          <w:iCs/>
          <w:lang w:val="en-GB"/>
        </w:rPr>
      </w:pPr>
    </w:p>
    <w:p w14:paraId="208D083E" w14:textId="51FA2441" w:rsidR="00F01A65" w:rsidRPr="00524A9A" w:rsidRDefault="00F01A65">
      <w:pPr>
        <w:rPr>
          <w:i/>
          <w:iCs/>
          <w:lang w:val="en-GB"/>
        </w:rPr>
      </w:pPr>
      <w:r w:rsidRPr="00524A9A">
        <w:rPr>
          <w:i/>
          <w:iCs/>
          <w:lang w:val="en-GB"/>
        </w:rPr>
        <w:t xml:space="preserve">Platonic Dialogue </w:t>
      </w:r>
    </w:p>
    <w:p w14:paraId="7E8A6097" w14:textId="1DA86E67" w:rsidR="00F01A65" w:rsidRDefault="00F01A65">
      <w:pPr>
        <w:rPr>
          <w:lang w:val="en-GB"/>
        </w:rPr>
      </w:pPr>
    </w:p>
    <w:p w14:paraId="61A02E79" w14:textId="2C857969" w:rsidR="00F01A65" w:rsidRDefault="00F01A65">
      <w:pPr>
        <w:rPr>
          <w:lang w:val="en-GB"/>
        </w:rPr>
      </w:pPr>
      <w:r w:rsidRPr="00F01A65">
        <w:rPr>
          <w:i/>
          <w:iCs/>
          <w:lang w:val="en-GB"/>
        </w:rPr>
        <w:t xml:space="preserve">De </w:t>
      </w:r>
      <w:proofErr w:type="spellStart"/>
      <w:r w:rsidRPr="00F01A65">
        <w:rPr>
          <w:i/>
          <w:iCs/>
          <w:lang w:val="en-GB"/>
        </w:rPr>
        <w:t>Mysteriis</w:t>
      </w:r>
      <w:proofErr w:type="spellEnd"/>
      <w:r>
        <w:rPr>
          <w:lang w:val="en-GB"/>
        </w:rPr>
        <w:t xml:space="preserve"> can be located in the genre of ‘Problems and Solutions’</w:t>
      </w:r>
      <w:r w:rsidR="00A71435">
        <w:rPr>
          <w:lang w:val="en-GB"/>
        </w:rPr>
        <w:t xml:space="preserve"> and Platonic dialogue</w:t>
      </w:r>
      <w:r w:rsidR="00A71435">
        <w:rPr>
          <w:rStyle w:val="FootnoteReference"/>
          <w:lang w:val="en-GB"/>
        </w:rPr>
        <w:footnoteReference w:id="17"/>
      </w:r>
      <w:r>
        <w:rPr>
          <w:lang w:val="en-GB"/>
        </w:rPr>
        <w:t xml:space="preserve">. Iamblichus often quotes directly from Porphyry’s </w:t>
      </w:r>
      <w:r>
        <w:rPr>
          <w:i/>
          <w:iCs/>
          <w:lang w:val="en-GB"/>
        </w:rPr>
        <w:t>Letter.</w:t>
      </w:r>
      <w:r>
        <w:rPr>
          <w:lang w:val="en-GB"/>
        </w:rPr>
        <w:t xml:space="preserve"> </w:t>
      </w:r>
      <w:r w:rsidR="00A418A8">
        <w:rPr>
          <w:lang w:val="en-GB"/>
        </w:rPr>
        <w:t xml:space="preserve">Clarke writes that the tradition of the ‘Problems and Solutions’ goes back </w:t>
      </w:r>
      <w:r w:rsidR="00432CE7">
        <w:rPr>
          <w:lang w:val="en-GB"/>
        </w:rPr>
        <w:t>beyond the early Hellenistic period</w:t>
      </w:r>
      <w:r w:rsidR="00341704">
        <w:rPr>
          <w:lang w:val="en-GB"/>
        </w:rPr>
        <w:t>.</w:t>
      </w:r>
      <w:r w:rsidR="00432CE7">
        <w:rPr>
          <w:rStyle w:val="FootnoteReference"/>
          <w:lang w:val="en-GB"/>
        </w:rPr>
        <w:footnoteReference w:id="18"/>
      </w:r>
      <w:r w:rsidR="00A418A8">
        <w:rPr>
          <w:lang w:val="en-GB"/>
        </w:rPr>
        <w:t xml:space="preserve"> </w:t>
      </w:r>
      <w:r>
        <w:rPr>
          <w:lang w:val="en-GB"/>
        </w:rPr>
        <w:t xml:space="preserve">Both Porphyry and Iamblichus choosing to write according to this genre can show the function of both texts. </w:t>
      </w:r>
      <w:proofErr w:type="spellStart"/>
      <w:r>
        <w:rPr>
          <w:lang w:val="en-GB"/>
        </w:rPr>
        <w:t>Addey</w:t>
      </w:r>
      <w:proofErr w:type="spellEnd"/>
      <w:r>
        <w:rPr>
          <w:lang w:val="en-GB"/>
        </w:rPr>
        <w:t xml:space="preserve"> states that it is ‘the teacher as the central protagonist’</w:t>
      </w:r>
      <w:r>
        <w:rPr>
          <w:rStyle w:val="FootnoteReference"/>
          <w:lang w:val="en-GB"/>
        </w:rPr>
        <w:footnoteReference w:id="19"/>
      </w:r>
      <w:r>
        <w:rPr>
          <w:lang w:val="en-GB"/>
        </w:rPr>
        <w:t xml:space="preserve"> in the genre of Problems and Solutions. </w:t>
      </w:r>
    </w:p>
    <w:p w14:paraId="4B50D41F" w14:textId="43F05FA4" w:rsidR="00C40B8A" w:rsidRDefault="00C40B8A">
      <w:pPr>
        <w:rPr>
          <w:lang w:val="en-GB"/>
        </w:rPr>
      </w:pPr>
    </w:p>
    <w:p w14:paraId="7791EF11" w14:textId="01F1C130" w:rsidR="00C40B8A" w:rsidRDefault="00C40B8A">
      <w:pPr>
        <w:rPr>
          <w:lang w:val="en-GB"/>
        </w:rPr>
      </w:pPr>
      <w:r>
        <w:rPr>
          <w:lang w:val="en-GB"/>
        </w:rPr>
        <w:t>In Book 1</w:t>
      </w:r>
      <w:r w:rsidR="00AD659F">
        <w:rPr>
          <w:lang w:val="en-GB"/>
        </w:rPr>
        <w:t xml:space="preserve"> </w:t>
      </w:r>
      <w:r w:rsidR="00C22476">
        <w:rPr>
          <w:lang w:val="en-GB"/>
        </w:rPr>
        <w:t>Iamblichu</w:t>
      </w:r>
      <w:r w:rsidR="00AD659F">
        <w:rPr>
          <w:lang w:val="en-GB"/>
        </w:rPr>
        <w:t>s,</w:t>
      </w:r>
      <w:r w:rsidR="00C22476">
        <w:rPr>
          <w:lang w:val="en-GB"/>
        </w:rPr>
        <w:t xml:space="preserve"> writing under the name ‘</w:t>
      </w:r>
      <w:proofErr w:type="spellStart"/>
      <w:r w:rsidR="00C22476">
        <w:rPr>
          <w:lang w:val="en-GB"/>
        </w:rPr>
        <w:t>Abamon</w:t>
      </w:r>
      <w:proofErr w:type="spellEnd"/>
      <w:r w:rsidR="00C22476">
        <w:rPr>
          <w:lang w:val="en-GB"/>
        </w:rPr>
        <w:t xml:space="preserve">’, states that it does not matter who Porphyry, or other readers, imagines who is responding but rather the goal is to ‘consider what is said … </w:t>
      </w:r>
      <w:r w:rsidR="00800F91">
        <w:rPr>
          <w:lang w:val="en-GB"/>
        </w:rPr>
        <w:t>rousing up your intellect to the task with a will’</w:t>
      </w:r>
      <w:r w:rsidR="00800F91">
        <w:rPr>
          <w:rStyle w:val="FootnoteReference"/>
          <w:lang w:val="en-GB"/>
        </w:rPr>
        <w:footnoteReference w:id="20"/>
      </w:r>
      <w:r w:rsidR="00E04C7A">
        <w:rPr>
          <w:lang w:val="en-GB"/>
        </w:rPr>
        <w:t xml:space="preserve">. </w:t>
      </w:r>
      <w:r w:rsidR="00A816C4">
        <w:rPr>
          <w:lang w:val="en-GB"/>
        </w:rPr>
        <w:t xml:space="preserve">A.K Cotton writes </w:t>
      </w:r>
      <w:r w:rsidR="00E26B5B">
        <w:rPr>
          <w:lang w:val="en-GB"/>
        </w:rPr>
        <w:t xml:space="preserve">on </w:t>
      </w:r>
      <w:r w:rsidR="00374E2E">
        <w:rPr>
          <w:lang w:val="en-GB"/>
        </w:rPr>
        <w:t xml:space="preserve">the development of </w:t>
      </w:r>
      <w:r w:rsidR="00E26B5B">
        <w:rPr>
          <w:lang w:val="en-GB"/>
        </w:rPr>
        <w:t>forms of Platonic dialogue</w:t>
      </w:r>
      <w:r w:rsidR="00374E2E">
        <w:rPr>
          <w:lang w:val="en-GB"/>
        </w:rPr>
        <w:t>, especially in the teacher-student relationship:</w:t>
      </w:r>
    </w:p>
    <w:p w14:paraId="328D0895" w14:textId="77777777" w:rsidR="00EE2390" w:rsidRDefault="00EE2390">
      <w:pPr>
        <w:rPr>
          <w:lang w:val="en-GB"/>
        </w:rPr>
      </w:pPr>
    </w:p>
    <w:p w14:paraId="47DE895C" w14:textId="678F142B" w:rsidR="00E26B5B" w:rsidRDefault="00E26B5B" w:rsidP="00305F43">
      <w:pPr>
        <w:ind w:left="720"/>
      </w:pPr>
      <w:r>
        <w:rPr>
          <w:lang w:val="en-GB"/>
        </w:rPr>
        <w:t>‘</w:t>
      </w:r>
      <w:r>
        <w:t>Socrates’ comparison of himself to a gadfly in Apology forms part of his attempt to explain and defend his practice as a teacher, in Plato’s account of his speech at his trial. In using this image, Socrates assigns to himself a crucial, yet facilitating role. His aim is to waken the drowsy horse, and to motivate the horse to autonomous and self-propelled movement</w:t>
      </w:r>
      <w:r w:rsidR="00305F43">
        <w:t xml:space="preserve">… </w:t>
      </w:r>
      <w:r>
        <w:t>once awake, the horse will of course provide the energy and power to move himself—the gadfly is only a motivating impulse</w:t>
      </w:r>
      <w:r w:rsidR="00305F43">
        <w:t>.</w:t>
      </w:r>
      <w:r>
        <w:t>’</w:t>
      </w:r>
      <w:r w:rsidR="00374E2E">
        <w:rPr>
          <w:rStyle w:val="FootnoteReference"/>
        </w:rPr>
        <w:footnoteReference w:id="21"/>
      </w:r>
    </w:p>
    <w:p w14:paraId="7705B6DF" w14:textId="77777777" w:rsidR="00EE2390" w:rsidRDefault="00EE2390" w:rsidP="00305F43">
      <w:pPr>
        <w:ind w:left="720"/>
      </w:pPr>
    </w:p>
    <w:p w14:paraId="37DEEB42" w14:textId="4BA3FD60" w:rsidR="00305F43" w:rsidRPr="00BF0B3E" w:rsidRDefault="009E53C4" w:rsidP="00305F43">
      <w:r>
        <w:t>Continuing with Cotton’s line of thought, it may be possible that by assuming the role of the Egyptian ‘</w:t>
      </w:r>
      <w:proofErr w:type="spellStart"/>
      <w:r>
        <w:t>Abamon</w:t>
      </w:r>
      <w:proofErr w:type="spellEnd"/>
      <w:r>
        <w:t xml:space="preserve">’, Iamblichus sets himself up as </w:t>
      </w:r>
      <w:r w:rsidR="00971FC7">
        <w:t>the ‘crucial, yet facilitating role.’</w:t>
      </w:r>
      <w:r w:rsidR="00971FC7">
        <w:rPr>
          <w:rStyle w:val="FootnoteReference"/>
        </w:rPr>
        <w:footnoteReference w:id="22"/>
      </w:r>
      <w:r w:rsidR="00971FC7">
        <w:t xml:space="preserve"> Iamblichus</w:t>
      </w:r>
      <w:r w:rsidR="00737CFC">
        <w:t xml:space="preserve">, however, wants his identity to be secondary to the true purpose of </w:t>
      </w:r>
      <w:r w:rsidR="00737CFC">
        <w:rPr>
          <w:i/>
          <w:iCs/>
        </w:rPr>
        <w:t xml:space="preserve">De </w:t>
      </w:r>
      <w:proofErr w:type="spellStart"/>
      <w:r w:rsidR="00737CFC">
        <w:rPr>
          <w:i/>
          <w:iCs/>
        </w:rPr>
        <w:t>Mysteriis</w:t>
      </w:r>
      <w:proofErr w:type="spellEnd"/>
      <w:r w:rsidR="00737CFC">
        <w:rPr>
          <w:i/>
          <w:iCs/>
        </w:rPr>
        <w:t xml:space="preserve">, </w:t>
      </w:r>
      <w:r w:rsidR="00737CFC">
        <w:t xml:space="preserve">that is to ‘rousing up your intellect to the task with </w:t>
      </w:r>
      <w:r w:rsidR="00737CFC">
        <w:rPr>
          <w:i/>
          <w:iCs/>
        </w:rPr>
        <w:t>a will</w:t>
      </w:r>
      <w:r w:rsidR="00737CFC">
        <w:t xml:space="preserve"> </w:t>
      </w:r>
      <w:r w:rsidR="00F412D5">
        <w:t>[my emphasis].’</w:t>
      </w:r>
      <w:r w:rsidR="00F412D5">
        <w:rPr>
          <w:rStyle w:val="FootnoteReference"/>
        </w:rPr>
        <w:footnoteReference w:id="23"/>
      </w:r>
      <w:r w:rsidR="00EE2390">
        <w:t xml:space="preserve"> The role of Porphyry, or anyone reading </w:t>
      </w:r>
      <w:r w:rsidR="00EE2390">
        <w:rPr>
          <w:i/>
          <w:iCs/>
        </w:rPr>
        <w:t xml:space="preserve">De </w:t>
      </w:r>
      <w:proofErr w:type="spellStart"/>
      <w:r w:rsidR="00EE2390">
        <w:rPr>
          <w:i/>
          <w:iCs/>
        </w:rPr>
        <w:t>Mysteriis</w:t>
      </w:r>
      <w:proofErr w:type="spellEnd"/>
      <w:r w:rsidR="00EE2390">
        <w:rPr>
          <w:i/>
          <w:iCs/>
        </w:rPr>
        <w:t xml:space="preserve">, </w:t>
      </w:r>
      <w:r w:rsidR="00EE2390">
        <w:t xml:space="preserve">is not a passive one. Indeed, Iamblichus </w:t>
      </w:r>
      <w:r w:rsidR="00A2404F">
        <w:t xml:space="preserve">states in the opening of </w:t>
      </w:r>
      <w:r w:rsidR="00A2404F">
        <w:rPr>
          <w:i/>
          <w:iCs/>
        </w:rPr>
        <w:t xml:space="preserve">De </w:t>
      </w:r>
      <w:proofErr w:type="spellStart"/>
      <w:r w:rsidR="00A2404F">
        <w:rPr>
          <w:i/>
          <w:iCs/>
        </w:rPr>
        <w:t>Mysteriis</w:t>
      </w:r>
      <w:proofErr w:type="spellEnd"/>
      <w:r w:rsidR="00A2404F">
        <w:rPr>
          <w:i/>
          <w:iCs/>
        </w:rPr>
        <w:t xml:space="preserve"> </w:t>
      </w:r>
      <w:r w:rsidR="00A2404F">
        <w:t xml:space="preserve">that some of Porphyry’s questions cannot be answered through words alone, and require </w:t>
      </w:r>
      <w:r w:rsidR="00A605C4">
        <w:t>‘experience of actions for their accurate understanding’</w:t>
      </w:r>
      <w:r w:rsidR="00A605C4">
        <w:rPr>
          <w:rStyle w:val="FootnoteReference"/>
        </w:rPr>
        <w:footnoteReference w:id="24"/>
      </w:r>
      <w:r w:rsidR="00A605C4">
        <w:t xml:space="preserve">. These actions Iamblichus speaks of is theurgy. </w:t>
      </w:r>
      <w:r w:rsidR="00F3566C">
        <w:t xml:space="preserve">This will be further examined </w:t>
      </w:r>
      <w:r w:rsidR="006D6F38">
        <w:t xml:space="preserve">in the next section, however for the purposes of this section, it can be linked to the development in Socratic and Platonic dialogues. </w:t>
      </w:r>
      <w:proofErr w:type="spellStart"/>
      <w:r w:rsidR="00B4773B">
        <w:t>Addey</w:t>
      </w:r>
      <w:proofErr w:type="spellEnd"/>
      <w:r w:rsidR="00B4773B">
        <w:t xml:space="preserve"> argues that viewing </w:t>
      </w:r>
      <w:r w:rsidR="00B4773B">
        <w:rPr>
          <w:i/>
          <w:iCs/>
        </w:rPr>
        <w:t xml:space="preserve">De </w:t>
      </w:r>
      <w:proofErr w:type="spellStart"/>
      <w:r w:rsidR="00B4773B">
        <w:rPr>
          <w:i/>
          <w:iCs/>
        </w:rPr>
        <w:t>Mysteriis</w:t>
      </w:r>
      <w:proofErr w:type="spellEnd"/>
      <w:r w:rsidR="00B4773B">
        <w:rPr>
          <w:i/>
          <w:iCs/>
        </w:rPr>
        <w:t xml:space="preserve"> </w:t>
      </w:r>
      <w:r w:rsidR="00B4773B">
        <w:t xml:space="preserve">as a platonic dialogue is ‘more in line with the </w:t>
      </w:r>
      <w:r w:rsidR="00B90B7E">
        <w:t>self-identity</w:t>
      </w:r>
      <w:r w:rsidR="00B4773B">
        <w:t xml:space="preserve"> of both philosophers.’</w:t>
      </w:r>
      <w:r w:rsidR="00B90B7E">
        <w:t xml:space="preserve"> </w:t>
      </w:r>
      <w:r w:rsidR="002E44BD">
        <w:t xml:space="preserve">As Platonists, education was of utmost importance, and this is seen in multiple places, both in </w:t>
      </w:r>
      <w:r w:rsidR="002E44BD">
        <w:rPr>
          <w:i/>
          <w:iCs/>
        </w:rPr>
        <w:t xml:space="preserve">De </w:t>
      </w:r>
      <w:proofErr w:type="spellStart"/>
      <w:r w:rsidR="002E44BD">
        <w:rPr>
          <w:i/>
          <w:iCs/>
        </w:rPr>
        <w:t>Mysteriis</w:t>
      </w:r>
      <w:proofErr w:type="spellEnd"/>
      <w:r w:rsidR="002E44BD">
        <w:rPr>
          <w:i/>
          <w:iCs/>
        </w:rPr>
        <w:t xml:space="preserve">, </w:t>
      </w:r>
      <w:r w:rsidR="002E44BD">
        <w:t xml:space="preserve">and in Iamblichus’ and Porphyry’s general approach to philosophical life. </w:t>
      </w:r>
      <w:r w:rsidR="0050629C">
        <w:t>Simmons cites fragments of Iamblichus’ letters</w:t>
      </w:r>
      <w:r w:rsidR="000E08ED">
        <w:t xml:space="preserve">, where Iamblichus </w:t>
      </w:r>
      <w:r w:rsidR="006124B5">
        <w:t xml:space="preserve">writes on the importance of educating children; ‘they must be educated </w:t>
      </w:r>
      <w:r w:rsidR="000E6BD7">
        <w:t xml:space="preserve">through logical arguments, laying down </w:t>
      </w:r>
      <w:r w:rsidR="000E6BD7">
        <w:lastRenderedPageBreak/>
        <w:t>clearly the definitions of virtues.’</w:t>
      </w:r>
      <w:r w:rsidR="000E6BD7">
        <w:rPr>
          <w:rStyle w:val="FootnoteReference"/>
        </w:rPr>
        <w:footnoteReference w:id="25"/>
      </w:r>
      <w:r w:rsidR="0027059F">
        <w:t xml:space="preserve"> </w:t>
      </w:r>
      <w:r w:rsidR="003073B2">
        <w:t xml:space="preserve">Iamblichus takes </w:t>
      </w:r>
      <w:r w:rsidR="007B1678">
        <w:t xml:space="preserve">a very logical approach to Porphyry’s arguments in </w:t>
      </w:r>
      <w:r w:rsidR="007B1678">
        <w:rPr>
          <w:i/>
          <w:iCs/>
        </w:rPr>
        <w:t xml:space="preserve">De </w:t>
      </w:r>
      <w:proofErr w:type="spellStart"/>
      <w:r w:rsidR="007B1678">
        <w:rPr>
          <w:i/>
          <w:iCs/>
        </w:rPr>
        <w:t>Mysteriis</w:t>
      </w:r>
      <w:proofErr w:type="spellEnd"/>
      <w:r w:rsidR="007B1678">
        <w:rPr>
          <w:i/>
          <w:iCs/>
        </w:rPr>
        <w:t>; ‘</w:t>
      </w:r>
      <w:r w:rsidR="007F4BDC">
        <w:t>We will provide, in an appropriate manner, explanations proper to each, dealing in a theological mode with theological questions and in theurgical terms with those concerning theurgy, while philosophical issues we will join with you in examining philosophical terms</w:t>
      </w:r>
      <w:r w:rsidR="00913FD6">
        <w:t>.</w:t>
      </w:r>
      <w:r w:rsidR="004B3B22">
        <w:t>’</w:t>
      </w:r>
      <w:r w:rsidR="004B3B22">
        <w:rPr>
          <w:rStyle w:val="FootnoteReference"/>
        </w:rPr>
        <w:footnoteReference w:id="26"/>
      </w:r>
      <w:r w:rsidR="004B3B22">
        <w:t xml:space="preserve"> </w:t>
      </w:r>
    </w:p>
    <w:p w14:paraId="71CF6502" w14:textId="6AA5DA23" w:rsidR="00406B87" w:rsidRDefault="00406B87">
      <w:pPr>
        <w:rPr>
          <w:i/>
          <w:iCs/>
          <w:lang w:val="en-GB"/>
        </w:rPr>
      </w:pPr>
    </w:p>
    <w:p w14:paraId="1B377CD1" w14:textId="77777777" w:rsidR="00E803EC" w:rsidRDefault="00E803EC">
      <w:pPr>
        <w:rPr>
          <w:i/>
          <w:iCs/>
          <w:lang w:val="en-GB"/>
        </w:rPr>
      </w:pPr>
    </w:p>
    <w:p w14:paraId="14FCE319" w14:textId="316C1A3E" w:rsidR="007E7177" w:rsidRDefault="007E7177">
      <w:pPr>
        <w:rPr>
          <w:i/>
          <w:iCs/>
          <w:lang w:val="en-GB"/>
        </w:rPr>
      </w:pPr>
      <w:r>
        <w:rPr>
          <w:i/>
          <w:iCs/>
          <w:lang w:val="en-GB"/>
        </w:rPr>
        <w:t xml:space="preserve">De </w:t>
      </w:r>
      <w:proofErr w:type="spellStart"/>
      <w:r>
        <w:rPr>
          <w:i/>
          <w:iCs/>
          <w:lang w:val="en-GB"/>
        </w:rPr>
        <w:t>Mysteriis</w:t>
      </w:r>
      <w:proofErr w:type="spellEnd"/>
      <w:r>
        <w:rPr>
          <w:i/>
          <w:iCs/>
          <w:lang w:val="en-GB"/>
        </w:rPr>
        <w:t xml:space="preserve"> as a call to theurgy</w:t>
      </w:r>
    </w:p>
    <w:p w14:paraId="6E68B640" w14:textId="4224ABA3" w:rsidR="007E7177" w:rsidRDefault="007E7177">
      <w:pPr>
        <w:rPr>
          <w:i/>
          <w:iCs/>
          <w:lang w:val="en-GB"/>
        </w:rPr>
      </w:pPr>
    </w:p>
    <w:p w14:paraId="64434C11" w14:textId="77777777" w:rsidR="00731F59" w:rsidRDefault="007E7177">
      <w:r>
        <w:t xml:space="preserve">Iamblichus appears to be influenced heavily by the </w:t>
      </w:r>
      <w:r>
        <w:rPr>
          <w:i/>
          <w:iCs/>
        </w:rPr>
        <w:t xml:space="preserve">Chaldean Oracles. </w:t>
      </w:r>
      <w:r>
        <w:t xml:space="preserve">The Chaldean Oracles, E.R </w:t>
      </w:r>
      <w:proofErr w:type="spellStart"/>
      <w:r>
        <w:t>Dodds</w:t>
      </w:r>
      <w:proofErr w:type="spellEnd"/>
      <w:r>
        <w:t xml:space="preserve"> writes, provide ‘a prescription ‘for the magical evocation of the gods’.</w:t>
      </w:r>
      <w:r>
        <w:rPr>
          <w:rStyle w:val="FootnoteReference"/>
        </w:rPr>
        <w:footnoteReference w:id="27"/>
      </w:r>
      <w:r>
        <w:t xml:space="preserve"> </w:t>
      </w:r>
      <w:proofErr w:type="spellStart"/>
      <w:r>
        <w:t>Dodds</w:t>
      </w:r>
      <w:proofErr w:type="spellEnd"/>
      <w:r>
        <w:t xml:space="preserve"> goes on to argue that Neoplatonism was not clearly linked to theurgy, and Porphyry, studying under Plotinus, did not subscribe to theurgy either.</w:t>
      </w:r>
      <w:r w:rsidR="00B124F4">
        <w:t xml:space="preserve"> Iamblichus, however, clearly demonstrates a belief in theurgy as the road to unification with The One, or </w:t>
      </w:r>
      <w:r w:rsidR="00B124F4">
        <w:rPr>
          <w:i/>
          <w:iCs/>
        </w:rPr>
        <w:t xml:space="preserve">nous. </w:t>
      </w:r>
      <w:r w:rsidR="004B56DC">
        <w:t>In Book I, Iamblichus states that knowledge of the gods does not come from any form of ‘</w:t>
      </w:r>
      <w:r w:rsidR="00BC1D16">
        <w:t>syllogistic reasoning’, and that Porphyry ‘seems to think that knowledge of divinity is of the same nature as a knowledge of anything else</w:t>
      </w:r>
      <w:r w:rsidR="0094453B">
        <w:t>’</w:t>
      </w:r>
      <w:r w:rsidR="0094453B">
        <w:rPr>
          <w:rStyle w:val="FootnoteReference"/>
        </w:rPr>
        <w:footnoteReference w:id="28"/>
      </w:r>
      <w:r w:rsidR="0094453B">
        <w:t xml:space="preserve"> and that it is by ‘dialectical discussions’</w:t>
      </w:r>
      <w:r w:rsidR="001E48D4">
        <w:rPr>
          <w:rStyle w:val="FootnoteReference"/>
        </w:rPr>
        <w:footnoteReference w:id="29"/>
      </w:r>
      <w:r w:rsidR="001E48D4">
        <w:t xml:space="preserve"> </w:t>
      </w:r>
      <w:r w:rsidR="0094453B">
        <w:t>that a ‘conclusion is reached.’</w:t>
      </w:r>
      <w:r w:rsidR="001E48D4">
        <w:rPr>
          <w:rStyle w:val="FootnoteReference"/>
        </w:rPr>
        <w:footnoteReference w:id="30"/>
      </w:r>
      <w:r w:rsidR="001E48D4">
        <w:t xml:space="preserve"> </w:t>
      </w:r>
      <w:r w:rsidR="00480B02">
        <w:t xml:space="preserve">Iamblichus distinguishes knowledge of the gods from knowledge gained through traditional study. Knowledge of the gods, to Iamblichus, is </w:t>
      </w:r>
      <w:r w:rsidR="00267FC8">
        <w:t>eternal and humans have ‘innate cognition of them</w:t>
      </w:r>
      <w:r w:rsidR="004901F2">
        <w:t>.</w:t>
      </w:r>
      <w:r w:rsidR="00267FC8">
        <w:t>’</w:t>
      </w:r>
      <w:r w:rsidR="004901F2">
        <w:rPr>
          <w:rStyle w:val="FootnoteReference"/>
        </w:rPr>
        <w:footnoteReference w:id="31"/>
      </w:r>
      <w:r w:rsidR="004901F2">
        <w:t xml:space="preserve"> </w:t>
      </w:r>
      <w:r w:rsidR="002D1E76">
        <w:t xml:space="preserve"> </w:t>
      </w:r>
    </w:p>
    <w:p w14:paraId="55D8B852" w14:textId="77777777" w:rsidR="00731F59" w:rsidRDefault="00731F59"/>
    <w:p w14:paraId="13D965C2" w14:textId="5C731E29" w:rsidR="007E7177" w:rsidRDefault="002D1E76">
      <w:r>
        <w:t xml:space="preserve">Simmons notes that </w:t>
      </w:r>
      <w:r w:rsidR="00057A4C">
        <w:t xml:space="preserve">‘Porphyry stressed philosophy via discursive thought, and Iamblichus focused on the </w:t>
      </w:r>
      <w:r w:rsidR="00A201DB">
        <w:t>power of theurgic rituals.’</w:t>
      </w:r>
      <w:r w:rsidR="00A201DB">
        <w:rPr>
          <w:rStyle w:val="FootnoteReference"/>
        </w:rPr>
        <w:footnoteReference w:id="32"/>
      </w:r>
      <w:r w:rsidR="00731F59">
        <w:t xml:space="preserve"> In Book III, </w:t>
      </w:r>
      <w:r w:rsidR="005B0F59">
        <w:t xml:space="preserve">Iamblichus writes that ‘divination does not come from “human faculties”’ and thus it is wrong of Porphyry to go about obtaining knowledge of the gods </w:t>
      </w:r>
      <w:r w:rsidR="007F55CB">
        <w:t xml:space="preserve">as he would any other knowledge, as it is an entirely different form of knowledge. </w:t>
      </w:r>
      <w:r w:rsidR="00B93A95">
        <w:t xml:space="preserve">Further to this, in response to Porphyry’s question on </w:t>
      </w:r>
      <w:r w:rsidR="00CA2C6F">
        <w:t>dream divination, Iamblichus makes distinct that which is human and that which is divine</w:t>
      </w:r>
      <w:r w:rsidR="0039727D">
        <w:t>; ‘these dreams… do not resemble anythin</w:t>
      </w:r>
      <w:r w:rsidR="00965E36">
        <w:t>g human.’</w:t>
      </w:r>
      <w:r w:rsidR="00965E36">
        <w:rPr>
          <w:rStyle w:val="FootnoteReference"/>
        </w:rPr>
        <w:footnoteReference w:id="33"/>
      </w:r>
      <w:r w:rsidR="0067053D">
        <w:t xml:space="preserve"> </w:t>
      </w:r>
      <w:r w:rsidR="00E01EF6">
        <w:t xml:space="preserve">Again, Iamblichus demonstrates his respect for the hierarchy </w:t>
      </w:r>
      <w:r w:rsidR="00844D03">
        <w:t>as ‘</w:t>
      </w:r>
      <w:r w:rsidR="005115AF">
        <w:t>Dreams called “god-sent” do not, however, arise in the way you describe’</w:t>
      </w:r>
      <w:r w:rsidR="005115AF">
        <w:rPr>
          <w:rStyle w:val="FootnoteReference"/>
        </w:rPr>
        <w:footnoteReference w:id="34"/>
      </w:r>
      <w:r w:rsidR="0012591F">
        <w:t xml:space="preserve">, that is through </w:t>
      </w:r>
      <w:r w:rsidR="000E70BC">
        <w:t>‘</w:t>
      </w:r>
      <w:r w:rsidR="0012591F">
        <w:t>human faculties</w:t>
      </w:r>
      <w:r w:rsidR="004F6962">
        <w:t>’</w:t>
      </w:r>
      <w:r w:rsidR="004F6962">
        <w:rPr>
          <w:rStyle w:val="FootnoteReference"/>
        </w:rPr>
        <w:footnoteReference w:id="35"/>
      </w:r>
      <w:r w:rsidR="0012591F">
        <w:t xml:space="preserve">. </w:t>
      </w:r>
      <w:r w:rsidR="00693925">
        <w:t xml:space="preserve">The knowledge granted during dream divination is not acquired in any human manner, but rather it is the gods choosing to bestow it upon the recipient. </w:t>
      </w:r>
      <w:r w:rsidR="00460440">
        <w:t xml:space="preserve">The role of theurgy in dream divination is not the divination itself, but again the ability to recognize true characteristics of divine knowledge. </w:t>
      </w:r>
      <w:r w:rsidR="00A56F57">
        <w:t>Explaining a form of dream divination, Iamblichus writes</w:t>
      </w:r>
      <w:r w:rsidR="00E54BE6">
        <w:t xml:space="preserve"> </w:t>
      </w:r>
      <w:r w:rsidR="00A56F57">
        <w:t>‘</w:t>
      </w:r>
      <w:r w:rsidR="00542C9C">
        <w:t>they both hear what they [the gods] say and know what they do. This is observed even more fully when the sight is active and also the mind, with full vigour, understands the things done’</w:t>
      </w:r>
      <w:r w:rsidR="006D34D9">
        <w:t>.</w:t>
      </w:r>
      <w:r w:rsidR="00542C9C">
        <w:rPr>
          <w:rStyle w:val="FootnoteReference"/>
        </w:rPr>
        <w:footnoteReference w:id="36"/>
      </w:r>
      <w:r w:rsidR="006D34D9">
        <w:t xml:space="preserve"> </w:t>
      </w:r>
      <w:proofErr w:type="spellStart"/>
      <w:r w:rsidR="00B56D13">
        <w:t>Addey</w:t>
      </w:r>
      <w:proofErr w:type="spellEnd"/>
      <w:r w:rsidR="00B56D13">
        <w:t xml:space="preserve"> writes that this line is alluding to the ‘theurgist philosopher’</w:t>
      </w:r>
      <w:r w:rsidR="00B56D13">
        <w:rPr>
          <w:rStyle w:val="FootnoteReference"/>
        </w:rPr>
        <w:footnoteReference w:id="37"/>
      </w:r>
      <w:r w:rsidR="00962A6E">
        <w:t xml:space="preserve"> who has ‘</w:t>
      </w:r>
      <w:r w:rsidR="00962A6E" w:rsidRPr="00962A6E">
        <w:t>through profound contemplation, ritual and rational, discursive thinking.</w:t>
      </w:r>
      <w:r w:rsidR="00962A6E">
        <w:t>’</w:t>
      </w:r>
      <w:r w:rsidR="00962A6E">
        <w:rPr>
          <w:rStyle w:val="FootnoteReference"/>
        </w:rPr>
        <w:footnoteReference w:id="38"/>
      </w:r>
      <w:r w:rsidR="00962A6E">
        <w:t xml:space="preserve"> Again, Iamblichus is stressing that knowledge from divinity or of divinity cannot be </w:t>
      </w:r>
      <w:r w:rsidR="00962A6E">
        <w:lastRenderedPageBreak/>
        <w:t xml:space="preserve">attained in a manner appropriate to knowledge of the corporeal world. </w:t>
      </w:r>
      <w:r w:rsidR="00E631B9">
        <w:t xml:space="preserve">The philosopher must also be a theurgist to have a true understanding of divine inspiration. </w:t>
      </w:r>
    </w:p>
    <w:p w14:paraId="4758FD3C" w14:textId="3BF7C7AE" w:rsidR="00BB6559" w:rsidRDefault="00BB6559"/>
    <w:p w14:paraId="3555CFBE" w14:textId="77777777" w:rsidR="00C670A6" w:rsidRDefault="00BB6559">
      <w:r>
        <w:t xml:space="preserve">Porphyry also questions </w:t>
      </w:r>
      <w:r w:rsidR="00513618">
        <w:t>the practices of oracles, and how divination can occur through the use of water or vapours</w:t>
      </w:r>
      <w:r w:rsidR="00C9219A">
        <w:t xml:space="preserve">, citing </w:t>
      </w:r>
      <w:r w:rsidR="005E331F">
        <w:t>‘the priest of Clarian Apollo… the women who prophesy at Delp</w:t>
      </w:r>
      <w:r w:rsidR="00566EED">
        <w:t xml:space="preserve">hi … the prophetesses of the </w:t>
      </w:r>
      <w:proofErr w:type="spellStart"/>
      <w:r w:rsidR="00566EED">
        <w:t>Branchidai</w:t>
      </w:r>
      <w:proofErr w:type="spellEnd"/>
      <w:r w:rsidR="00566EED">
        <w:t>’</w:t>
      </w:r>
      <w:r w:rsidR="00566EED">
        <w:rPr>
          <w:rStyle w:val="FootnoteReference"/>
        </w:rPr>
        <w:footnoteReference w:id="39"/>
      </w:r>
      <w:r w:rsidR="00513618">
        <w:t xml:space="preserve">. </w:t>
      </w:r>
      <w:r w:rsidR="0011392F">
        <w:t xml:space="preserve">To this, Iamblichus </w:t>
      </w:r>
      <w:r w:rsidR="00C9219A">
        <w:t xml:space="preserve">first examines </w:t>
      </w:r>
      <w:r w:rsidR="00C9219A">
        <w:rPr>
          <w:i/>
          <w:iCs/>
        </w:rPr>
        <w:t xml:space="preserve">why </w:t>
      </w:r>
      <w:r w:rsidR="00C9219A">
        <w:t xml:space="preserve">Porphyry has chosen </w:t>
      </w:r>
      <w:r w:rsidR="00962AA8">
        <w:t>to focus on these oracles</w:t>
      </w:r>
      <w:r w:rsidR="000D75F5">
        <w:t>; ‘you were concerned with the mode in which divination is imparted to human beings by the gods’</w:t>
      </w:r>
      <w:r w:rsidR="000D75F5">
        <w:rPr>
          <w:rStyle w:val="FootnoteReference"/>
        </w:rPr>
        <w:footnoteReference w:id="40"/>
      </w:r>
      <w:r w:rsidR="000D75F5">
        <w:t>.</w:t>
      </w:r>
      <w:r w:rsidR="00E803EC">
        <w:t xml:space="preserve"> </w:t>
      </w:r>
      <w:r w:rsidR="00437A8C">
        <w:t>Iamblichus also repeats that these are not the only oracles present in the world, however he concedes to only examine these three as Porphyry has chosen to focus on them.</w:t>
      </w:r>
      <w:r w:rsidR="000B3841">
        <w:rPr>
          <w:rStyle w:val="FootnoteReference"/>
        </w:rPr>
        <w:footnoteReference w:id="41"/>
      </w:r>
      <w:r w:rsidR="000B3841">
        <w:t xml:space="preserve"> </w:t>
      </w:r>
      <w:r w:rsidR="002D6508">
        <w:t xml:space="preserve">The modes of divination are many, and Iamblichus seems keen to remind Porphyry that </w:t>
      </w:r>
      <w:r w:rsidR="009B7AD5">
        <w:t xml:space="preserve">understanding divination requires a deep understanding of all these modes. Iamblichus notes that it is not simply a case of ingesting water or vapours, but in fact </w:t>
      </w:r>
    </w:p>
    <w:p w14:paraId="3256C002" w14:textId="4510ECB6" w:rsidR="00C670A6" w:rsidRDefault="009B7AD5" w:rsidP="00C670A6">
      <w:pPr>
        <w:ind w:left="720"/>
      </w:pPr>
      <w:r>
        <w:t>‘</w:t>
      </w:r>
      <w:r w:rsidR="006968E1">
        <w:t>the prophet drinks on certain appointed nights, after performing many preliminary ceremonies</w:t>
      </w:r>
      <w:r w:rsidR="00027465">
        <w:t>’</w:t>
      </w:r>
      <w:r w:rsidR="00027465">
        <w:rPr>
          <w:rStyle w:val="FootnoteReference"/>
        </w:rPr>
        <w:footnoteReference w:id="42"/>
      </w:r>
      <w:r w:rsidR="00027465">
        <w:t xml:space="preserve"> and </w:t>
      </w:r>
    </w:p>
    <w:p w14:paraId="2BB432BB" w14:textId="76F4429F" w:rsidR="00BB6559" w:rsidRDefault="00027465" w:rsidP="00C670A6">
      <w:pPr>
        <w:ind w:left="720"/>
      </w:pPr>
      <w:r>
        <w:t>‘Even before drinking, he fast the whole day and night, [after] he withdraws by himself to sacred, inaccessible places</w:t>
      </w:r>
      <w:r w:rsidR="00C670A6">
        <w:t>, and by this withdrawal and separation from human affairs, he purifies himself for receiving the god’.</w:t>
      </w:r>
      <w:r w:rsidR="00C670A6">
        <w:rPr>
          <w:rStyle w:val="FootnoteReference"/>
        </w:rPr>
        <w:footnoteReference w:id="43"/>
      </w:r>
    </w:p>
    <w:p w14:paraId="6A91139D" w14:textId="3FAC08D0" w:rsidR="00334F07" w:rsidRDefault="00BA6957" w:rsidP="00334F07">
      <w:r>
        <w:t xml:space="preserve">Participation in divination requires </w:t>
      </w:r>
      <w:r w:rsidR="00F47DA5">
        <w:t xml:space="preserve">these ‘preliminary ceremonies’ to make the human body fit for the purposes of divination. </w:t>
      </w:r>
      <w:r w:rsidR="00E00483">
        <w:t xml:space="preserve">For Iamblichus’ philosophy proposed that the whole soul was descended from the heavens, contrary to Porphyry’s philosophy that a part of the soul remained undescended. </w:t>
      </w:r>
    </w:p>
    <w:p w14:paraId="256398E9" w14:textId="77777777" w:rsidR="00C670A6" w:rsidRPr="00C9219A" w:rsidRDefault="00C670A6" w:rsidP="00C670A6"/>
    <w:p w14:paraId="05236EB3" w14:textId="3B5A7623" w:rsidR="007F7E4C" w:rsidRDefault="007F7E4C">
      <w:pPr>
        <w:rPr>
          <w:i/>
          <w:lang w:val="en-GB"/>
        </w:rPr>
      </w:pPr>
    </w:p>
    <w:p w14:paraId="1872DD88" w14:textId="5775F24E" w:rsidR="007F7E4C" w:rsidRPr="007F7E4C" w:rsidRDefault="007F7E4C">
      <w:pPr>
        <w:rPr>
          <w:iCs/>
          <w:lang w:val="en-GB"/>
        </w:rPr>
      </w:pPr>
    </w:p>
    <w:sectPr w:rsidR="007F7E4C" w:rsidRPr="007F7E4C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18BAE" w14:textId="77777777" w:rsidR="00DF6F21" w:rsidRDefault="00DF6F21" w:rsidP="00C639E0">
      <w:r>
        <w:separator/>
      </w:r>
    </w:p>
  </w:endnote>
  <w:endnote w:type="continuationSeparator" w:id="0">
    <w:p w14:paraId="4682F957" w14:textId="77777777" w:rsidR="00DF6F21" w:rsidRDefault="00DF6F21" w:rsidP="00C63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95A19" w14:textId="77777777" w:rsidR="00DF6F21" w:rsidRDefault="00DF6F21" w:rsidP="00C639E0">
      <w:r>
        <w:separator/>
      </w:r>
    </w:p>
  </w:footnote>
  <w:footnote w:type="continuationSeparator" w:id="0">
    <w:p w14:paraId="345EE9FB" w14:textId="77777777" w:rsidR="00DF6F21" w:rsidRDefault="00DF6F21" w:rsidP="00C639E0">
      <w:r>
        <w:continuationSeparator/>
      </w:r>
    </w:p>
  </w:footnote>
  <w:footnote w:id="1">
    <w:p w14:paraId="3BEFA3D6" w14:textId="3AD32438" w:rsidR="00F57603" w:rsidRPr="0011392F" w:rsidRDefault="00F57603">
      <w:pPr>
        <w:pStyle w:val="FootnoteText"/>
        <w:rPr>
          <w:sz w:val="20"/>
          <w:szCs w:val="18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</w:t>
      </w:r>
      <w:r w:rsidR="00FF406F" w:rsidRPr="0011392F">
        <w:rPr>
          <w:sz w:val="20"/>
          <w:szCs w:val="18"/>
        </w:rPr>
        <w:t xml:space="preserve">Iamblichus, On the Mysteries (De </w:t>
      </w:r>
      <w:proofErr w:type="spellStart"/>
      <w:r w:rsidR="00FF406F" w:rsidRPr="0011392F">
        <w:rPr>
          <w:sz w:val="20"/>
          <w:szCs w:val="18"/>
        </w:rPr>
        <w:t>Mysteriis</w:t>
      </w:r>
      <w:proofErr w:type="spellEnd"/>
      <w:r w:rsidR="00FF406F" w:rsidRPr="0011392F">
        <w:rPr>
          <w:sz w:val="20"/>
          <w:szCs w:val="18"/>
        </w:rPr>
        <w:t xml:space="preserve">): Emma C. Clarke, John M. Dillon and J.P. </w:t>
      </w:r>
      <w:proofErr w:type="spellStart"/>
      <w:r w:rsidR="00FF406F" w:rsidRPr="0011392F">
        <w:rPr>
          <w:sz w:val="20"/>
          <w:szCs w:val="18"/>
        </w:rPr>
        <w:t>Hershbell</w:t>
      </w:r>
      <w:proofErr w:type="spellEnd"/>
      <w:r w:rsidR="00FF406F" w:rsidRPr="0011392F">
        <w:rPr>
          <w:sz w:val="20"/>
          <w:szCs w:val="18"/>
        </w:rPr>
        <w:t xml:space="preserve"> (eds.), Iamblichus: On the Mysteries, Atlanta: Society of Biblical Literature, 2003. </w:t>
      </w:r>
      <w:r w:rsidR="00A23E71" w:rsidRPr="0011392F">
        <w:rPr>
          <w:sz w:val="20"/>
          <w:szCs w:val="18"/>
        </w:rPr>
        <w:t>xxi</w:t>
      </w:r>
    </w:p>
  </w:footnote>
  <w:footnote w:id="2">
    <w:p w14:paraId="7D3DC7D3" w14:textId="6F6013A7" w:rsidR="00A97D10" w:rsidRPr="0011392F" w:rsidRDefault="00A97D10">
      <w:pPr>
        <w:pStyle w:val="FootnoteText"/>
        <w:rPr>
          <w:sz w:val="20"/>
          <w:szCs w:val="18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Clarke. xix</w:t>
      </w:r>
    </w:p>
  </w:footnote>
  <w:footnote w:id="3">
    <w:p w14:paraId="65031985" w14:textId="2BA13094" w:rsidR="00764C04" w:rsidRPr="0011392F" w:rsidRDefault="00764C04">
      <w:pPr>
        <w:pStyle w:val="FootnoteText"/>
        <w:rPr>
          <w:sz w:val="20"/>
          <w:szCs w:val="18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</w:t>
      </w:r>
      <w:r w:rsidR="00715FBA" w:rsidRPr="0011392F">
        <w:rPr>
          <w:rFonts w:cstheme="minorHAnsi"/>
          <w:color w:val="000000"/>
          <w:sz w:val="20"/>
        </w:rPr>
        <w:t>Simmons, Michael Bland, ‘Porphyry and Iamblichus’, in Universal Salvation in Late Antiquity (New York: Oxford University Press, 2015)</w:t>
      </w:r>
    </w:p>
  </w:footnote>
  <w:footnote w:id="4">
    <w:p w14:paraId="3AF40B6A" w14:textId="31B4CAF9" w:rsidR="00F742A4" w:rsidRPr="0011392F" w:rsidRDefault="00F742A4">
      <w:pPr>
        <w:pStyle w:val="FootnoteText"/>
        <w:rPr>
          <w:sz w:val="20"/>
          <w:szCs w:val="18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Simmons, 3</w:t>
      </w:r>
    </w:p>
  </w:footnote>
  <w:footnote w:id="5">
    <w:p w14:paraId="3F35AF49" w14:textId="27C73CA7" w:rsidR="007E22AA" w:rsidRPr="0011392F" w:rsidRDefault="007E22AA">
      <w:pPr>
        <w:pStyle w:val="FootnoteText"/>
        <w:rPr>
          <w:sz w:val="20"/>
          <w:szCs w:val="18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Simmons</w:t>
      </w:r>
      <w:r w:rsidR="0046553B" w:rsidRPr="0011392F">
        <w:rPr>
          <w:sz w:val="20"/>
          <w:szCs w:val="18"/>
        </w:rPr>
        <w:t>. 6</w:t>
      </w:r>
    </w:p>
  </w:footnote>
  <w:footnote w:id="6">
    <w:p w14:paraId="621F8E69" w14:textId="2E9268A9" w:rsidR="00245C29" w:rsidRPr="003B1AD0" w:rsidRDefault="00245C29">
      <w:pPr>
        <w:pStyle w:val="FootnoteText"/>
        <w:rPr>
          <w:lang w:val="de-DE"/>
        </w:rPr>
      </w:pPr>
      <w:r w:rsidRPr="0011392F">
        <w:rPr>
          <w:rStyle w:val="FootnoteReference"/>
          <w:sz w:val="20"/>
          <w:szCs w:val="18"/>
        </w:rPr>
        <w:footnoteRef/>
      </w:r>
      <w:r w:rsidRPr="003B1AD0">
        <w:rPr>
          <w:sz w:val="20"/>
          <w:szCs w:val="18"/>
          <w:lang w:val="de-DE"/>
        </w:rPr>
        <w:t xml:space="preserve"> DM</w:t>
      </w:r>
      <w:r w:rsidR="001D7671" w:rsidRPr="003B1AD0">
        <w:rPr>
          <w:sz w:val="20"/>
          <w:szCs w:val="18"/>
          <w:lang w:val="de-DE"/>
        </w:rPr>
        <w:t>. III.5-6. 133</w:t>
      </w:r>
    </w:p>
  </w:footnote>
  <w:footnote w:id="7">
    <w:p w14:paraId="06671923" w14:textId="752157BB" w:rsidR="003B1AD0" w:rsidRPr="003B1AD0" w:rsidRDefault="003B1AD0">
      <w:pPr>
        <w:pStyle w:val="FootnoteText"/>
        <w:rPr>
          <w:sz w:val="20"/>
          <w:szCs w:val="18"/>
          <w:lang w:val="de-DE"/>
        </w:rPr>
      </w:pPr>
      <w:r>
        <w:rPr>
          <w:rStyle w:val="FootnoteReference"/>
        </w:rPr>
        <w:footnoteRef/>
      </w:r>
      <w:r w:rsidRPr="003B1AD0">
        <w:rPr>
          <w:lang w:val="de-DE"/>
        </w:rPr>
        <w:t xml:space="preserve"> </w:t>
      </w:r>
      <w:r>
        <w:rPr>
          <w:sz w:val="20"/>
          <w:szCs w:val="18"/>
          <w:lang w:val="de-DE"/>
        </w:rPr>
        <w:t xml:space="preserve">DM. </w:t>
      </w:r>
      <w:r w:rsidR="00DE381D">
        <w:rPr>
          <w:sz w:val="20"/>
          <w:szCs w:val="18"/>
          <w:lang w:val="de-DE"/>
        </w:rPr>
        <w:t>III.11-13. 151.</w:t>
      </w:r>
    </w:p>
  </w:footnote>
  <w:footnote w:id="8">
    <w:p w14:paraId="200D06C7" w14:textId="0ED97203" w:rsidR="008A1A4D" w:rsidRPr="008A1A4D" w:rsidRDefault="008A1A4D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</w:p>
  </w:footnote>
  <w:footnote w:id="9">
    <w:p w14:paraId="6AABC585" w14:textId="0C315025" w:rsidR="00220F82" w:rsidRPr="003B1AD0" w:rsidRDefault="00220F82">
      <w:pPr>
        <w:pStyle w:val="FootnoteText"/>
        <w:rPr>
          <w:sz w:val="20"/>
          <w:szCs w:val="18"/>
          <w:lang w:val="de-DE"/>
        </w:rPr>
      </w:pPr>
      <w:r w:rsidRPr="0011392F">
        <w:rPr>
          <w:rStyle w:val="FootnoteReference"/>
          <w:sz w:val="20"/>
          <w:szCs w:val="18"/>
        </w:rPr>
        <w:footnoteRef/>
      </w:r>
      <w:r w:rsidRPr="003B1AD0">
        <w:rPr>
          <w:sz w:val="20"/>
          <w:szCs w:val="18"/>
          <w:lang w:val="de-DE"/>
        </w:rPr>
        <w:t xml:space="preserve"> Clarke. xlix</w:t>
      </w:r>
    </w:p>
  </w:footnote>
  <w:footnote w:id="10">
    <w:p w14:paraId="26B9A13D" w14:textId="77777777" w:rsidR="00180FB0" w:rsidRPr="0011392F" w:rsidRDefault="00180FB0" w:rsidP="00180FB0">
      <w:pPr>
        <w:pStyle w:val="FootnoteText"/>
        <w:rPr>
          <w:sz w:val="20"/>
          <w:szCs w:val="18"/>
          <w:lang w:val="en-GB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Clarke. xxi</w:t>
      </w:r>
    </w:p>
  </w:footnote>
  <w:footnote w:id="11">
    <w:p w14:paraId="3A6B68F1" w14:textId="77777777" w:rsidR="00180FB0" w:rsidRPr="0011392F" w:rsidRDefault="00180FB0" w:rsidP="00180FB0">
      <w:pPr>
        <w:pStyle w:val="FootnoteText"/>
        <w:rPr>
          <w:sz w:val="20"/>
          <w:szCs w:val="18"/>
          <w:lang w:val="en-GB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</w:t>
      </w:r>
      <w:r w:rsidRPr="0011392F">
        <w:rPr>
          <w:sz w:val="20"/>
          <w:szCs w:val="18"/>
          <w:lang w:val="en-GB"/>
        </w:rPr>
        <w:t>Clarke. xx</w:t>
      </w:r>
    </w:p>
  </w:footnote>
  <w:footnote w:id="12">
    <w:p w14:paraId="45A5BFD7" w14:textId="77777777" w:rsidR="00180FB0" w:rsidRPr="0011392F" w:rsidRDefault="00180FB0" w:rsidP="00180FB0">
      <w:pPr>
        <w:pStyle w:val="FootnoteText"/>
        <w:rPr>
          <w:sz w:val="20"/>
          <w:szCs w:val="18"/>
          <w:lang w:val="en-GB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</w:t>
      </w:r>
      <w:r w:rsidRPr="0011392F">
        <w:rPr>
          <w:sz w:val="20"/>
          <w:szCs w:val="18"/>
          <w:lang w:val="en-GB"/>
        </w:rPr>
        <w:t>Clarke. xx</w:t>
      </w:r>
    </w:p>
  </w:footnote>
  <w:footnote w:id="13">
    <w:p w14:paraId="02BD703A" w14:textId="77777777" w:rsidR="00180FB0" w:rsidRPr="0011392F" w:rsidRDefault="00180FB0" w:rsidP="00180FB0">
      <w:pPr>
        <w:pStyle w:val="FootnoteText"/>
        <w:rPr>
          <w:sz w:val="20"/>
          <w:szCs w:val="18"/>
          <w:lang w:val="en-GB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</w:t>
      </w:r>
      <w:r w:rsidRPr="0011392F">
        <w:rPr>
          <w:sz w:val="20"/>
          <w:szCs w:val="18"/>
          <w:lang w:val="en-GB"/>
        </w:rPr>
        <w:t>Clarke. 59.</w:t>
      </w:r>
    </w:p>
  </w:footnote>
  <w:footnote w:id="14">
    <w:p w14:paraId="388721BC" w14:textId="77777777" w:rsidR="00180FB0" w:rsidRPr="0011392F" w:rsidRDefault="00180FB0" w:rsidP="00180FB0">
      <w:pPr>
        <w:pStyle w:val="FootnoteText"/>
        <w:rPr>
          <w:sz w:val="20"/>
          <w:szCs w:val="18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Clarke xxvi</w:t>
      </w:r>
    </w:p>
  </w:footnote>
  <w:footnote w:id="15">
    <w:p w14:paraId="3325F9C6" w14:textId="77777777" w:rsidR="00180FB0" w:rsidRPr="0011392F" w:rsidRDefault="00180FB0" w:rsidP="00180FB0">
      <w:pPr>
        <w:pStyle w:val="FootnoteText"/>
        <w:rPr>
          <w:sz w:val="20"/>
          <w:szCs w:val="18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DM 121</w:t>
      </w:r>
    </w:p>
  </w:footnote>
  <w:footnote w:id="16">
    <w:p w14:paraId="4AA46C4A" w14:textId="59115C9C" w:rsidR="0083206F" w:rsidRPr="0083206F" w:rsidRDefault="0083206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01E3F">
        <w:t xml:space="preserve">Crystal </w:t>
      </w:r>
      <w:proofErr w:type="spellStart"/>
      <w:r w:rsidR="00D01E3F">
        <w:t>Addey</w:t>
      </w:r>
      <w:proofErr w:type="spellEnd"/>
      <w:r w:rsidR="00D01E3F">
        <w:t>. Divination And Theurgy In Neoplatonism: Oracles Of The Gods. [2014]. 128.</w:t>
      </w:r>
    </w:p>
  </w:footnote>
  <w:footnote w:id="17">
    <w:p w14:paraId="211A34B7" w14:textId="69DCAA40" w:rsidR="00A71435" w:rsidRPr="0011392F" w:rsidRDefault="00A71435" w:rsidP="00925636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11392F">
        <w:rPr>
          <w:rStyle w:val="FootnoteReference"/>
          <w:sz w:val="22"/>
          <w:szCs w:val="22"/>
        </w:rPr>
        <w:footnoteRef/>
      </w:r>
      <w:r w:rsidRPr="0011392F">
        <w:rPr>
          <w:sz w:val="22"/>
          <w:szCs w:val="22"/>
        </w:rPr>
        <w:t xml:space="preserve"> </w:t>
      </w:r>
      <w:proofErr w:type="spellStart"/>
      <w:r w:rsidRPr="0011392F">
        <w:rPr>
          <w:rFonts w:asciiTheme="minorHAnsi" w:hAnsiTheme="minorHAnsi" w:cstheme="minorHAnsi"/>
          <w:color w:val="000000"/>
          <w:sz w:val="20"/>
          <w:szCs w:val="20"/>
        </w:rPr>
        <w:t>Addey</w:t>
      </w:r>
      <w:proofErr w:type="spellEnd"/>
      <w:r w:rsidRPr="0011392F">
        <w:rPr>
          <w:rFonts w:asciiTheme="minorHAnsi" w:hAnsiTheme="minorHAnsi" w:cstheme="minorHAnsi"/>
          <w:color w:val="000000"/>
          <w:sz w:val="20"/>
          <w:szCs w:val="20"/>
        </w:rPr>
        <w:t>, Crystal, Divination and Theurg</w:t>
      </w:r>
      <w:r w:rsidR="00A447CB" w:rsidRPr="0011392F">
        <w:rPr>
          <w:rFonts w:asciiTheme="minorHAnsi" w:hAnsiTheme="minorHAnsi" w:cstheme="minorHAnsi"/>
          <w:color w:val="000000"/>
          <w:sz w:val="20"/>
          <w:szCs w:val="20"/>
        </w:rPr>
        <w:t>y</w:t>
      </w:r>
      <w:r w:rsidRPr="0011392F">
        <w:rPr>
          <w:rFonts w:asciiTheme="minorHAnsi" w:hAnsiTheme="minorHAnsi" w:cstheme="minorHAnsi"/>
          <w:color w:val="000000"/>
          <w:sz w:val="20"/>
          <w:szCs w:val="20"/>
        </w:rPr>
        <w:t xml:space="preserve"> in Neoplatonism: Oracles of the Gods (Farnham, Surrey, [England]</w:t>
      </w:r>
      <w:r w:rsidR="00925636" w:rsidRPr="0011392F">
        <w:rPr>
          <w:rFonts w:asciiTheme="minorHAnsi" w:hAnsiTheme="minorHAnsi" w:cstheme="minorHAnsi"/>
          <w:color w:val="000000"/>
          <w:sz w:val="20"/>
          <w:szCs w:val="20"/>
        </w:rPr>
        <w:t xml:space="preserve">. </w:t>
      </w:r>
      <w:r w:rsidRPr="0011392F">
        <w:rPr>
          <w:rFonts w:asciiTheme="minorHAnsi" w:hAnsiTheme="minorHAnsi" w:cstheme="minorHAnsi"/>
          <w:color w:val="000000"/>
          <w:sz w:val="20"/>
          <w:szCs w:val="20"/>
        </w:rPr>
        <w:t>Ashgate Publishing Group, 2014)</w:t>
      </w:r>
    </w:p>
  </w:footnote>
  <w:footnote w:id="18">
    <w:p w14:paraId="29F476A9" w14:textId="6934D38A" w:rsidR="00432CE7" w:rsidRPr="0011392F" w:rsidRDefault="00432CE7">
      <w:pPr>
        <w:pStyle w:val="FootnoteText"/>
        <w:rPr>
          <w:sz w:val="20"/>
          <w:szCs w:val="18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Clarke. xlviii</w:t>
      </w:r>
    </w:p>
  </w:footnote>
  <w:footnote w:id="19">
    <w:p w14:paraId="73787ACE" w14:textId="6FD8A2FD" w:rsidR="00F01A65" w:rsidRPr="0011392F" w:rsidRDefault="00F01A65" w:rsidP="0011392F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11392F">
        <w:rPr>
          <w:rStyle w:val="FootnoteReference"/>
          <w:sz w:val="22"/>
          <w:szCs w:val="22"/>
        </w:rPr>
        <w:footnoteRef/>
      </w:r>
      <w:r w:rsidRPr="0011392F">
        <w:rPr>
          <w:sz w:val="22"/>
          <w:szCs w:val="22"/>
        </w:rPr>
        <w:t xml:space="preserve"> </w:t>
      </w:r>
      <w:proofErr w:type="spellStart"/>
      <w:r w:rsidRPr="0011392F">
        <w:rPr>
          <w:rFonts w:asciiTheme="minorHAnsi" w:hAnsiTheme="minorHAnsi" w:cstheme="minorHAnsi"/>
          <w:color w:val="000000"/>
          <w:sz w:val="20"/>
          <w:szCs w:val="20"/>
        </w:rPr>
        <w:t>Addey</w:t>
      </w:r>
      <w:proofErr w:type="spellEnd"/>
      <w:r w:rsidR="00925636" w:rsidRPr="0011392F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="00971FC7">
        <w:rPr>
          <w:rFonts w:asciiTheme="minorHAnsi" w:hAnsiTheme="minorHAnsi" w:cstheme="minorHAnsi"/>
          <w:color w:val="000000"/>
          <w:sz w:val="20"/>
          <w:szCs w:val="20"/>
        </w:rPr>
        <w:t xml:space="preserve"> Oracles.</w:t>
      </w:r>
      <w:r w:rsidR="00925636" w:rsidRPr="0011392F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11392F">
        <w:rPr>
          <w:rFonts w:asciiTheme="minorHAnsi" w:hAnsiTheme="minorHAnsi" w:cstheme="minorHAnsi"/>
          <w:color w:val="000000"/>
          <w:sz w:val="20"/>
          <w:szCs w:val="20"/>
        </w:rPr>
        <w:t>133</w:t>
      </w:r>
    </w:p>
  </w:footnote>
  <w:footnote w:id="20">
    <w:p w14:paraId="1F6874EB" w14:textId="2D7D8BE1" w:rsidR="00800F91" w:rsidRPr="00800F91" w:rsidRDefault="00800F91">
      <w:pPr>
        <w:pStyle w:val="FootnoteText"/>
        <w:rPr>
          <w:lang w:val="en-GB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</w:t>
      </w:r>
      <w:r w:rsidRPr="0011392F">
        <w:rPr>
          <w:sz w:val="20"/>
          <w:szCs w:val="18"/>
          <w:lang w:val="en-GB"/>
        </w:rPr>
        <w:t>DM.</w:t>
      </w:r>
      <w:r w:rsidR="00F412D5">
        <w:rPr>
          <w:sz w:val="20"/>
          <w:szCs w:val="18"/>
          <w:lang w:val="en-GB"/>
        </w:rPr>
        <w:t xml:space="preserve"> I.I.</w:t>
      </w:r>
      <w:r w:rsidRPr="0011392F">
        <w:rPr>
          <w:sz w:val="20"/>
          <w:szCs w:val="18"/>
          <w:lang w:val="en-GB"/>
        </w:rPr>
        <w:t xml:space="preserve"> 7</w:t>
      </w:r>
    </w:p>
  </w:footnote>
  <w:footnote w:id="21">
    <w:p w14:paraId="420092E2" w14:textId="079E8172" w:rsidR="00374E2E" w:rsidRPr="00BC161C" w:rsidRDefault="00374E2E">
      <w:pPr>
        <w:pStyle w:val="FootnoteText"/>
        <w:rPr>
          <w:sz w:val="20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="00BC161C">
        <w:rPr>
          <w:sz w:val="20"/>
          <w:szCs w:val="18"/>
        </w:rPr>
        <w:t xml:space="preserve">Cotton. A.K. ‘Platonic Dialogue And The Education Of </w:t>
      </w:r>
      <w:proofErr w:type="spellStart"/>
      <w:r w:rsidR="00BC161C">
        <w:rPr>
          <w:sz w:val="20"/>
          <w:szCs w:val="18"/>
        </w:rPr>
        <w:t>It’s</w:t>
      </w:r>
      <w:proofErr w:type="spellEnd"/>
      <w:r w:rsidR="00BC161C">
        <w:rPr>
          <w:sz w:val="20"/>
          <w:szCs w:val="18"/>
        </w:rPr>
        <w:t xml:space="preserve"> Reader’</w:t>
      </w:r>
    </w:p>
  </w:footnote>
  <w:footnote w:id="22">
    <w:p w14:paraId="3191EC1D" w14:textId="30F5AFE8" w:rsidR="00971FC7" w:rsidRPr="00971FC7" w:rsidRDefault="00971FC7">
      <w:pPr>
        <w:pStyle w:val="FootnoteText"/>
      </w:pPr>
      <w:r>
        <w:rPr>
          <w:rStyle w:val="FootnoteReference"/>
        </w:rPr>
        <w:footnoteRef/>
      </w:r>
      <w:r>
        <w:t xml:space="preserve"> Ibid. </w:t>
      </w:r>
    </w:p>
  </w:footnote>
  <w:footnote w:id="23">
    <w:p w14:paraId="66A8CDCB" w14:textId="5EECEEC8" w:rsidR="00F412D5" w:rsidRPr="00F412D5" w:rsidRDefault="00F412D5">
      <w:pPr>
        <w:pStyle w:val="FootnoteText"/>
      </w:pPr>
      <w:r>
        <w:rPr>
          <w:rStyle w:val="FootnoteReference"/>
        </w:rPr>
        <w:footnoteRef/>
      </w:r>
      <w:r>
        <w:t xml:space="preserve"> DM. I.I. 7. </w:t>
      </w:r>
    </w:p>
  </w:footnote>
  <w:footnote w:id="24">
    <w:p w14:paraId="7C930261" w14:textId="500F0EF5" w:rsidR="00A605C4" w:rsidRPr="00A605C4" w:rsidRDefault="00A605C4">
      <w:pPr>
        <w:pStyle w:val="FootnoteText"/>
      </w:pPr>
      <w:r>
        <w:rPr>
          <w:rStyle w:val="FootnoteReference"/>
        </w:rPr>
        <w:footnoteRef/>
      </w:r>
      <w:r>
        <w:t xml:space="preserve"> DM. I.2-3. 11. </w:t>
      </w:r>
    </w:p>
  </w:footnote>
  <w:footnote w:id="25">
    <w:p w14:paraId="0C56D8D9" w14:textId="0B24785C" w:rsidR="000E6BD7" w:rsidRPr="00B7142E" w:rsidRDefault="000E6BD7">
      <w:pPr>
        <w:pStyle w:val="FootnoteText"/>
        <w:rPr>
          <w:sz w:val="20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B7142E">
        <w:rPr>
          <w:sz w:val="20"/>
          <w:szCs w:val="18"/>
        </w:rPr>
        <w:t xml:space="preserve">Simmons. </w:t>
      </w:r>
      <w:r w:rsidR="00B7142E" w:rsidRPr="00B7142E">
        <w:rPr>
          <w:sz w:val="20"/>
          <w:szCs w:val="18"/>
        </w:rPr>
        <w:t>Porphyry and Iamblichus. 17.</w:t>
      </w:r>
    </w:p>
  </w:footnote>
  <w:footnote w:id="26">
    <w:p w14:paraId="567EC3B2" w14:textId="75732FA1" w:rsidR="004B3B22" w:rsidRPr="004B3B22" w:rsidRDefault="004B3B2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F4BDC">
        <w:rPr>
          <w:sz w:val="20"/>
          <w:szCs w:val="18"/>
        </w:rPr>
        <w:t>DM. I.1-</w:t>
      </w:r>
      <w:r w:rsidR="007F4BDC" w:rsidRPr="007F4BDC">
        <w:rPr>
          <w:sz w:val="20"/>
          <w:szCs w:val="18"/>
        </w:rPr>
        <w:t>3. 11.</w:t>
      </w:r>
    </w:p>
  </w:footnote>
  <w:footnote w:id="27">
    <w:p w14:paraId="01B36519" w14:textId="15035C80" w:rsidR="007E7177" w:rsidRPr="0011392F" w:rsidRDefault="007E7177" w:rsidP="007E7177">
      <w:pPr>
        <w:pStyle w:val="FootnoteText"/>
        <w:rPr>
          <w:sz w:val="20"/>
          <w:szCs w:val="18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</w:t>
      </w:r>
      <w:proofErr w:type="spellStart"/>
      <w:r w:rsidRPr="0011392F">
        <w:rPr>
          <w:sz w:val="20"/>
          <w:szCs w:val="18"/>
        </w:rPr>
        <w:t>Dodds</w:t>
      </w:r>
      <w:proofErr w:type="spellEnd"/>
      <w:r w:rsidRPr="0011392F">
        <w:rPr>
          <w:sz w:val="20"/>
          <w:szCs w:val="18"/>
        </w:rPr>
        <w:t xml:space="preserve">, E. R, ‘Theurgy </w:t>
      </w:r>
      <w:r w:rsidR="00AF3A6A" w:rsidRPr="0011392F">
        <w:rPr>
          <w:sz w:val="20"/>
          <w:szCs w:val="18"/>
        </w:rPr>
        <w:t>A</w:t>
      </w:r>
      <w:r w:rsidRPr="0011392F">
        <w:rPr>
          <w:sz w:val="20"/>
          <w:szCs w:val="18"/>
        </w:rPr>
        <w:t xml:space="preserve">nd Its Relationship </w:t>
      </w:r>
      <w:r w:rsidR="00AF3A6A" w:rsidRPr="0011392F">
        <w:rPr>
          <w:sz w:val="20"/>
          <w:szCs w:val="18"/>
        </w:rPr>
        <w:t>T</w:t>
      </w:r>
      <w:r w:rsidRPr="0011392F">
        <w:rPr>
          <w:sz w:val="20"/>
          <w:szCs w:val="18"/>
        </w:rPr>
        <w:t>o Neoplatonism’, The Journal of Roman Studies, 22.I (1947), 49–69</w:t>
      </w:r>
    </w:p>
  </w:footnote>
  <w:footnote w:id="28">
    <w:p w14:paraId="1737BB4F" w14:textId="34B21578" w:rsidR="0094453B" w:rsidRPr="0011392F" w:rsidRDefault="0094453B">
      <w:pPr>
        <w:pStyle w:val="FootnoteText"/>
        <w:rPr>
          <w:sz w:val="20"/>
          <w:szCs w:val="18"/>
          <w:lang w:val="en-GB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</w:t>
      </w:r>
      <w:r w:rsidRPr="0011392F">
        <w:rPr>
          <w:sz w:val="20"/>
          <w:szCs w:val="18"/>
          <w:lang w:val="en-GB"/>
        </w:rPr>
        <w:t xml:space="preserve">DM. </w:t>
      </w:r>
      <w:r w:rsidR="001E48D4" w:rsidRPr="0011392F">
        <w:rPr>
          <w:sz w:val="20"/>
          <w:szCs w:val="18"/>
          <w:lang w:val="en-GB"/>
        </w:rPr>
        <w:t>I.3-4. 15.</w:t>
      </w:r>
    </w:p>
  </w:footnote>
  <w:footnote w:id="29">
    <w:p w14:paraId="3AE6AA02" w14:textId="3D9A5CFA" w:rsidR="001E48D4" w:rsidRPr="0011392F" w:rsidRDefault="001E48D4">
      <w:pPr>
        <w:pStyle w:val="FootnoteText"/>
        <w:rPr>
          <w:sz w:val="20"/>
          <w:szCs w:val="18"/>
          <w:lang w:val="en-GB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</w:t>
      </w:r>
      <w:r w:rsidRPr="0011392F">
        <w:rPr>
          <w:sz w:val="20"/>
          <w:szCs w:val="18"/>
          <w:lang w:val="en-GB"/>
        </w:rPr>
        <w:t>DM. I.3-4. 15.</w:t>
      </w:r>
    </w:p>
  </w:footnote>
  <w:footnote w:id="30">
    <w:p w14:paraId="05D18BFE" w14:textId="24F7F34C" w:rsidR="001E48D4" w:rsidRPr="0011392F" w:rsidRDefault="001E48D4">
      <w:pPr>
        <w:pStyle w:val="FootnoteText"/>
        <w:rPr>
          <w:sz w:val="20"/>
          <w:szCs w:val="18"/>
          <w:lang w:val="en-GB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</w:t>
      </w:r>
      <w:r w:rsidRPr="0011392F">
        <w:rPr>
          <w:sz w:val="20"/>
          <w:szCs w:val="18"/>
          <w:lang w:val="en-GB"/>
        </w:rPr>
        <w:t>DM. I.3-4. 15.</w:t>
      </w:r>
    </w:p>
  </w:footnote>
  <w:footnote w:id="31">
    <w:p w14:paraId="707CAC98" w14:textId="44C60E81" w:rsidR="004901F2" w:rsidRPr="0011392F" w:rsidRDefault="004901F2">
      <w:pPr>
        <w:pStyle w:val="FootnoteText"/>
        <w:rPr>
          <w:sz w:val="20"/>
          <w:szCs w:val="18"/>
          <w:lang w:val="en-GB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</w:t>
      </w:r>
      <w:r w:rsidRPr="0011392F">
        <w:rPr>
          <w:sz w:val="20"/>
          <w:szCs w:val="18"/>
          <w:lang w:val="en-GB"/>
        </w:rPr>
        <w:t>DM. I.3-4. 15.</w:t>
      </w:r>
    </w:p>
  </w:footnote>
  <w:footnote w:id="32">
    <w:p w14:paraId="2BBC64C5" w14:textId="498F0646" w:rsidR="00A201DB" w:rsidRPr="0011392F" w:rsidRDefault="00A201DB">
      <w:pPr>
        <w:pStyle w:val="FootnoteText"/>
        <w:rPr>
          <w:sz w:val="20"/>
          <w:szCs w:val="18"/>
          <w:lang w:val="en-GB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</w:t>
      </w:r>
      <w:r w:rsidRPr="0011392F">
        <w:rPr>
          <w:sz w:val="20"/>
          <w:szCs w:val="18"/>
          <w:lang w:val="en-GB"/>
        </w:rPr>
        <w:t>Simmons.</w:t>
      </w:r>
      <w:r w:rsidR="00B7142E">
        <w:rPr>
          <w:sz w:val="20"/>
          <w:szCs w:val="18"/>
          <w:lang w:val="en-GB"/>
        </w:rPr>
        <w:t xml:space="preserve"> Porphyry and Iamblichus.</w:t>
      </w:r>
      <w:r w:rsidRPr="0011392F">
        <w:rPr>
          <w:sz w:val="20"/>
          <w:szCs w:val="18"/>
          <w:lang w:val="en-GB"/>
        </w:rPr>
        <w:t xml:space="preserve"> 2. </w:t>
      </w:r>
    </w:p>
  </w:footnote>
  <w:footnote w:id="33">
    <w:p w14:paraId="21881AEF" w14:textId="27649D84" w:rsidR="00965E36" w:rsidRPr="0011392F" w:rsidRDefault="00965E36">
      <w:pPr>
        <w:pStyle w:val="FootnoteText"/>
        <w:rPr>
          <w:sz w:val="20"/>
          <w:szCs w:val="18"/>
          <w:lang w:val="en-GB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</w:t>
      </w:r>
      <w:r w:rsidRPr="0011392F">
        <w:rPr>
          <w:sz w:val="20"/>
          <w:szCs w:val="18"/>
          <w:lang w:val="en-GB"/>
        </w:rPr>
        <w:t xml:space="preserve">DM. </w:t>
      </w:r>
      <w:r w:rsidR="00AF3A6A" w:rsidRPr="0011392F">
        <w:rPr>
          <w:sz w:val="20"/>
          <w:szCs w:val="18"/>
          <w:lang w:val="en-GB"/>
        </w:rPr>
        <w:t xml:space="preserve">III.2. 123. </w:t>
      </w:r>
    </w:p>
  </w:footnote>
  <w:footnote w:id="34">
    <w:p w14:paraId="606266F4" w14:textId="5160DB50" w:rsidR="005115AF" w:rsidRPr="0011392F" w:rsidRDefault="005115AF">
      <w:pPr>
        <w:pStyle w:val="FootnoteText"/>
        <w:rPr>
          <w:sz w:val="20"/>
          <w:szCs w:val="18"/>
          <w:lang w:val="en-GB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</w:t>
      </w:r>
      <w:r w:rsidRPr="0011392F">
        <w:rPr>
          <w:sz w:val="20"/>
          <w:szCs w:val="18"/>
          <w:lang w:val="en-GB"/>
        </w:rPr>
        <w:t>DM. III</w:t>
      </w:r>
      <w:r w:rsidR="0012591F" w:rsidRPr="0011392F">
        <w:rPr>
          <w:sz w:val="20"/>
          <w:szCs w:val="18"/>
          <w:lang w:val="en-GB"/>
        </w:rPr>
        <w:t>.1-2. 121</w:t>
      </w:r>
    </w:p>
  </w:footnote>
  <w:footnote w:id="35">
    <w:p w14:paraId="6D22327D" w14:textId="31C926F8" w:rsidR="004F6962" w:rsidRPr="0011392F" w:rsidRDefault="004F6962">
      <w:pPr>
        <w:pStyle w:val="FootnoteText"/>
        <w:rPr>
          <w:sz w:val="20"/>
          <w:szCs w:val="18"/>
          <w:lang w:val="en-GB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</w:t>
      </w:r>
      <w:proofErr w:type="spellStart"/>
      <w:r w:rsidRPr="0011392F">
        <w:rPr>
          <w:sz w:val="20"/>
          <w:szCs w:val="18"/>
          <w:lang w:val="en-GB"/>
        </w:rPr>
        <w:t>Addey</w:t>
      </w:r>
      <w:proofErr w:type="spellEnd"/>
      <w:r w:rsidRPr="0011392F">
        <w:rPr>
          <w:sz w:val="20"/>
          <w:szCs w:val="18"/>
          <w:lang w:val="en-GB"/>
        </w:rPr>
        <w:t xml:space="preserve">. </w:t>
      </w:r>
      <w:r w:rsidR="00216484" w:rsidRPr="0011392F">
        <w:rPr>
          <w:sz w:val="20"/>
          <w:szCs w:val="18"/>
          <w:lang w:val="en-GB"/>
        </w:rPr>
        <w:t>Oracles. 43.</w:t>
      </w:r>
    </w:p>
  </w:footnote>
  <w:footnote w:id="36">
    <w:p w14:paraId="2FE57E6B" w14:textId="2AD85954" w:rsidR="00542C9C" w:rsidRPr="0011392F" w:rsidRDefault="00542C9C">
      <w:pPr>
        <w:pStyle w:val="FootnoteText"/>
        <w:rPr>
          <w:sz w:val="20"/>
          <w:szCs w:val="18"/>
          <w:lang w:val="en-GB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</w:t>
      </w:r>
      <w:r w:rsidRPr="0011392F">
        <w:rPr>
          <w:sz w:val="20"/>
          <w:szCs w:val="18"/>
          <w:lang w:val="en-GB"/>
        </w:rPr>
        <w:t xml:space="preserve">DM. </w:t>
      </w:r>
      <w:r w:rsidR="006D34D9" w:rsidRPr="0011392F">
        <w:rPr>
          <w:sz w:val="20"/>
          <w:szCs w:val="18"/>
          <w:lang w:val="en-GB"/>
        </w:rPr>
        <w:t xml:space="preserve">III.2. 123. </w:t>
      </w:r>
    </w:p>
  </w:footnote>
  <w:footnote w:id="37">
    <w:p w14:paraId="381DCD59" w14:textId="02C5A75D" w:rsidR="00B56D13" w:rsidRPr="0011392F" w:rsidRDefault="00B56D13">
      <w:pPr>
        <w:pStyle w:val="FootnoteText"/>
        <w:rPr>
          <w:sz w:val="20"/>
          <w:szCs w:val="18"/>
          <w:lang w:val="en-GB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</w:t>
      </w:r>
      <w:proofErr w:type="spellStart"/>
      <w:r w:rsidRPr="0011392F">
        <w:rPr>
          <w:sz w:val="20"/>
          <w:szCs w:val="18"/>
          <w:lang w:val="en-GB"/>
        </w:rPr>
        <w:t>Addey</w:t>
      </w:r>
      <w:proofErr w:type="spellEnd"/>
      <w:r w:rsidRPr="0011392F">
        <w:rPr>
          <w:sz w:val="20"/>
          <w:szCs w:val="18"/>
          <w:lang w:val="en-GB"/>
        </w:rPr>
        <w:t xml:space="preserve">. Oracles. </w:t>
      </w:r>
      <w:r w:rsidR="00607CDB" w:rsidRPr="0011392F">
        <w:rPr>
          <w:sz w:val="20"/>
          <w:szCs w:val="18"/>
          <w:lang w:val="en-GB"/>
        </w:rPr>
        <w:t>45.</w:t>
      </w:r>
    </w:p>
  </w:footnote>
  <w:footnote w:id="38">
    <w:p w14:paraId="50667587" w14:textId="0AAD2916" w:rsidR="00962A6E" w:rsidRPr="00962A6E" w:rsidRDefault="00962A6E">
      <w:pPr>
        <w:pStyle w:val="FootnoteText"/>
        <w:rPr>
          <w:lang w:val="en-GB"/>
        </w:rPr>
      </w:pPr>
      <w:r w:rsidRPr="0011392F">
        <w:rPr>
          <w:rStyle w:val="FootnoteReference"/>
          <w:sz w:val="20"/>
          <w:szCs w:val="18"/>
        </w:rPr>
        <w:footnoteRef/>
      </w:r>
      <w:r w:rsidRPr="0011392F">
        <w:rPr>
          <w:sz w:val="20"/>
          <w:szCs w:val="18"/>
        </w:rPr>
        <w:t xml:space="preserve"> </w:t>
      </w:r>
      <w:r w:rsidRPr="0011392F">
        <w:rPr>
          <w:sz w:val="20"/>
          <w:szCs w:val="18"/>
          <w:lang w:val="en-GB"/>
        </w:rPr>
        <w:t>Ibid.</w:t>
      </w:r>
    </w:p>
  </w:footnote>
  <w:footnote w:id="39">
    <w:p w14:paraId="73E6A766" w14:textId="7A104593" w:rsidR="00566EED" w:rsidRPr="00566EED" w:rsidRDefault="00566EED">
      <w:pPr>
        <w:pStyle w:val="FootnoteText"/>
        <w:rPr>
          <w:sz w:val="20"/>
          <w:szCs w:val="18"/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sz w:val="20"/>
          <w:szCs w:val="18"/>
          <w:lang w:val="en-GB"/>
        </w:rPr>
        <w:t xml:space="preserve">DM. III.10-11. 145. </w:t>
      </w:r>
    </w:p>
  </w:footnote>
  <w:footnote w:id="40">
    <w:p w14:paraId="71F7F1AE" w14:textId="45463500" w:rsidR="000D75F5" w:rsidRPr="000D75F5" w:rsidRDefault="000D75F5">
      <w:pPr>
        <w:pStyle w:val="FootnoteText"/>
        <w:rPr>
          <w:lang w:val="en-GB"/>
        </w:rPr>
      </w:pPr>
      <w:r w:rsidRPr="00E803EC">
        <w:rPr>
          <w:rStyle w:val="FootnoteReference"/>
          <w:sz w:val="20"/>
          <w:szCs w:val="18"/>
        </w:rPr>
        <w:footnoteRef/>
      </w:r>
      <w:r w:rsidRPr="00E803EC">
        <w:rPr>
          <w:sz w:val="20"/>
          <w:szCs w:val="18"/>
        </w:rPr>
        <w:t xml:space="preserve"> </w:t>
      </w:r>
      <w:r w:rsidRPr="00E803EC">
        <w:rPr>
          <w:sz w:val="20"/>
          <w:szCs w:val="18"/>
          <w:lang w:val="en-GB"/>
        </w:rPr>
        <w:t>DM. III.10-11</w:t>
      </w:r>
      <w:r w:rsidR="00E803EC" w:rsidRPr="00E803EC">
        <w:rPr>
          <w:sz w:val="20"/>
          <w:szCs w:val="18"/>
          <w:lang w:val="en-GB"/>
        </w:rPr>
        <w:t>. 145.</w:t>
      </w:r>
    </w:p>
  </w:footnote>
  <w:footnote w:id="41">
    <w:p w14:paraId="4C4C83E6" w14:textId="3FA99E3D" w:rsidR="000B3841" w:rsidRPr="000B3841" w:rsidRDefault="000B3841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Ibid. </w:t>
      </w:r>
    </w:p>
  </w:footnote>
  <w:footnote w:id="42">
    <w:p w14:paraId="243AA256" w14:textId="7B53DCBE" w:rsidR="00027465" w:rsidRPr="00027465" w:rsidRDefault="00027465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Ibid. </w:t>
      </w:r>
    </w:p>
  </w:footnote>
  <w:footnote w:id="43">
    <w:p w14:paraId="15DCC6B8" w14:textId="5BE7EC11" w:rsidR="00C670A6" w:rsidRPr="00C670A6" w:rsidRDefault="00C670A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Ibid.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95D17" w14:textId="4B390093" w:rsidR="00C639E0" w:rsidRPr="00C639E0" w:rsidRDefault="00C639E0">
    <w:pPr>
      <w:pStyle w:val="Header"/>
      <w:rPr>
        <w:lang w:val="en-GB"/>
      </w:rPr>
    </w:pPr>
    <w:r>
      <w:rPr>
        <w:lang w:val="en-GB"/>
      </w:rPr>
      <w:t xml:space="preserve">Ayeshah Lalloo – HCPA7027 – Essay 1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92741FB"/>
    <w:multiLevelType w:val="hybridMultilevel"/>
    <w:tmpl w:val="8E34C1FA"/>
    <w:lvl w:ilvl="0" w:tplc="E49E39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0"/>
  </w:num>
  <w:num w:numId="2">
    <w:abstractNumId w:val="13"/>
  </w:num>
  <w:num w:numId="3">
    <w:abstractNumId w:val="10"/>
  </w:num>
  <w:num w:numId="4">
    <w:abstractNumId w:val="22"/>
  </w:num>
  <w:num w:numId="5">
    <w:abstractNumId w:val="14"/>
  </w:num>
  <w:num w:numId="6">
    <w:abstractNumId w:val="17"/>
  </w:num>
  <w:num w:numId="7">
    <w:abstractNumId w:val="19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5"/>
  </w:num>
  <w:num w:numId="19">
    <w:abstractNumId w:val="16"/>
  </w:num>
  <w:num w:numId="20">
    <w:abstractNumId w:val="21"/>
  </w:num>
  <w:num w:numId="21">
    <w:abstractNumId w:val="18"/>
  </w:num>
  <w:num w:numId="22">
    <w:abstractNumId w:val="11"/>
  </w:num>
  <w:num w:numId="23">
    <w:abstractNumId w:val="23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9E0"/>
    <w:rsid w:val="00027465"/>
    <w:rsid w:val="00027761"/>
    <w:rsid w:val="000366F8"/>
    <w:rsid w:val="00057A4C"/>
    <w:rsid w:val="000615CD"/>
    <w:rsid w:val="00083C48"/>
    <w:rsid w:val="000956B0"/>
    <w:rsid w:val="0009770F"/>
    <w:rsid w:val="000B3841"/>
    <w:rsid w:val="000C71AA"/>
    <w:rsid w:val="000D184F"/>
    <w:rsid w:val="000D3193"/>
    <w:rsid w:val="000D5648"/>
    <w:rsid w:val="000D622F"/>
    <w:rsid w:val="000D75F5"/>
    <w:rsid w:val="000E08ED"/>
    <w:rsid w:val="000E6BD7"/>
    <w:rsid w:val="000E6E19"/>
    <w:rsid w:val="000E70BC"/>
    <w:rsid w:val="000F29B3"/>
    <w:rsid w:val="000F4EE5"/>
    <w:rsid w:val="00103AF5"/>
    <w:rsid w:val="0011392F"/>
    <w:rsid w:val="0012591F"/>
    <w:rsid w:val="00133ED4"/>
    <w:rsid w:val="00140F44"/>
    <w:rsid w:val="00163259"/>
    <w:rsid w:val="00180FB0"/>
    <w:rsid w:val="001A32F4"/>
    <w:rsid w:val="001D7671"/>
    <w:rsid w:val="001E48D4"/>
    <w:rsid w:val="001E712E"/>
    <w:rsid w:val="002020B4"/>
    <w:rsid w:val="00216484"/>
    <w:rsid w:val="00220F82"/>
    <w:rsid w:val="00226A0C"/>
    <w:rsid w:val="002320B7"/>
    <w:rsid w:val="00245C29"/>
    <w:rsid w:val="00267FC8"/>
    <w:rsid w:val="0027059F"/>
    <w:rsid w:val="002724AE"/>
    <w:rsid w:val="002769EE"/>
    <w:rsid w:val="002B4528"/>
    <w:rsid w:val="002D1E76"/>
    <w:rsid w:val="002D6508"/>
    <w:rsid w:val="002E44BD"/>
    <w:rsid w:val="00305F43"/>
    <w:rsid w:val="003073B2"/>
    <w:rsid w:val="00334198"/>
    <w:rsid w:val="00334F07"/>
    <w:rsid w:val="0033568F"/>
    <w:rsid w:val="00341704"/>
    <w:rsid w:val="0035594A"/>
    <w:rsid w:val="00360E2A"/>
    <w:rsid w:val="00374E2E"/>
    <w:rsid w:val="003801A3"/>
    <w:rsid w:val="0039727D"/>
    <w:rsid w:val="003B1AD0"/>
    <w:rsid w:val="003F22A5"/>
    <w:rsid w:val="00406B87"/>
    <w:rsid w:val="00432CE7"/>
    <w:rsid w:val="00437A8C"/>
    <w:rsid w:val="004576A8"/>
    <w:rsid w:val="00460440"/>
    <w:rsid w:val="0046553B"/>
    <w:rsid w:val="00473EA9"/>
    <w:rsid w:val="00480B02"/>
    <w:rsid w:val="00484C1C"/>
    <w:rsid w:val="004901F2"/>
    <w:rsid w:val="00493E1A"/>
    <w:rsid w:val="004A567D"/>
    <w:rsid w:val="004B0B1E"/>
    <w:rsid w:val="004B3B22"/>
    <w:rsid w:val="004B56DC"/>
    <w:rsid w:val="004C4EC6"/>
    <w:rsid w:val="004D43C9"/>
    <w:rsid w:val="004E28A0"/>
    <w:rsid w:val="004F6962"/>
    <w:rsid w:val="0050629C"/>
    <w:rsid w:val="005115AF"/>
    <w:rsid w:val="00513618"/>
    <w:rsid w:val="00524A9A"/>
    <w:rsid w:val="00542C9C"/>
    <w:rsid w:val="00544E72"/>
    <w:rsid w:val="00555E23"/>
    <w:rsid w:val="00566EED"/>
    <w:rsid w:val="005730ED"/>
    <w:rsid w:val="005B0F59"/>
    <w:rsid w:val="005B548F"/>
    <w:rsid w:val="005B65CD"/>
    <w:rsid w:val="005D0D6F"/>
    <w:rsid w:val="005E331F"/>
    <w:rsid w:val="005F54E7"/>
    <w:rsid w:val="00607CDB"/>
    <w:rsid w:val="006124B5"/>
    <w:rsid w:val="00626716"/>
    <w:rsid w:val="00645252"/>
    <w:rsid w:val="00662D36"/>
    <w:rsid w:val="0067053D"/>
    <w:rsid w:val="00671377"/>
    <w:rsid w:val="006913FB"/>
    <w:rsid w:val="00693925"/>
    <w:rsid w:val="006968E1"/>
    <w:rsid w:val="006A414B"/>
    <w:rsid w:val="006A6ABE"/>
    <w:rsid w:val="006D133D"/>
    <w:rsid w:val="006D34D9"/>
    <w:rsid w:val="006D3D74"/>
    <w:rsid w:val="006D6604"/>
    <w:rsid w:val="006D6F38"/>
    <w:rsid w:val="00704D55"/>
    <w:rsid w:val="0071404E"/>
    <w:rsid w:val="007147BC"/>
    <w:rsid w:val="00715FBA"/>
    <w:rsid w:val="00731F59"/>
    <w:rsid w:val="00737CFC"/>
    <w:rsid w:val="00746D64"/>
    <w:rsid w:val="00764C04"/>
    <w:rsid w:val="007672FC"/>
    <w:rsid w:val="00770AAE"/>
    <w:rsid w:val="00776BA7"/>
    <w:rsid w:val="007770A0"/>
    <w:rsid w:val="007902CE"/>
    <w:rsid w:val="00796DBD"/>
    <w:rsid w:val="007A0E93"/>
    <w:rsid w:val="007B1678"/>
    <w:rsid w:val="007B6F28"/>
    <w:rsid w:val="007D7E9F"/>
    <w:rsid w:val="007E22AA"/>
    <w:rsid w:val="007E4A19"/>
    <w:rsid w:val="007E7177"/>
    <w:rsid w:val="007F08EC"/>
    <w:rsid w:val="007F4BDC"/>
    <w:rsid w:val="007F54B0"/>
    <w:rsid w:val="007F55CB"/>
    <w:rsid w:val="007F7E4C"/>
    <w:rsid w:val="00800F91"/>
    <w:rsid w:val="0080475A"/>
    <w:rsid w:val="00807CA8"/>
    <w:rsid w:val="0083206F"/>
    <w:rsid w:val="0083569A"/>
    <w:rsid w:val="00835B89"/>
    <w:rsid w:val="00835E6C"/>
    <w:rsid w:val="00841139"/>
    <w:rsid w:val="00844D03"/>
    <w:rsid w:val="008741A0"/>
    <w:rsid w:val="0088627F"/>
    <w:rsid w:val="00890648"/>
    <w:rsid w:val="008A1A4D"/>
    <w:rsid w:val="008C4242"/>
    <w:rsid w:val="008C6AC1"/>
    <w:rsid w:val="00913FD6"/>
    <w:rsid w:val="00925636"/>
    <w:rsid w:val="00932ADB"/>
    <w:rsid w:val="0094453B"/>
    <w:rsid w:val="00962A6E"/>
    <w:rsid w:val="00962AA8"/>
    <w:rsid w:val="00965E36"/>
    <w:rsid w:val="00971FC7"/>
    <w:rsid w:val="00973818"/>
    <w:rsid w:val="00976518"/>
    <w:rsid w:val="009B53C5"/>
    <w:rsid w:val="009B7AD5"/>
    <w:rsid w:val="009C2431"/>
    <w:rsid w:val="009C31E4"/>
    <w:rsid w:val="009E53C4"/>
    <w:rsid w:val="00A118CE"/>
    <w:rsid w:val="00A201DB"/>
    <w:rsid w:val="00A23E71"/>
    <w:rsid w:val="00A23E9E"/>
    <w:rsid w:val="00A2404F"/>
    <w:rsid w:val="00A315E1"/>
    <w:rsid w:val="00A418A8"/>
    <w:rsid w:val="00A41C29"/>
    <w:rsid w:val="00A427D5"/>
    <w:rsid w:val="00A447CB"/>
    <w:rsid w:val="00A56F57"/>
    <w:rsid w:val="00A605C4"/>
    <w:rsid w:val="00A71435"/>
    <w:rsid w:val="00A816C4"/>
    <w:rsid w:val="00A84AB1"/>
    <w:rsid w:val="00A9204E"/>
    <w:rsid w:val="00A97D10"/>
    <w:rsid w:val="00AB1F7F"/>
    <w:rsid w:val="00AD659F"/>
    <w:rsid w:val="00AE74C9"/>
    <w:rsid w:val="00AF3A6A"/>
    <w:rsid w:val="00B113F1"/>
    <w:rsid w:val="00B124F4"/>
    <w:rsid w:val="00B363BD"/>
    <w:rsid w:val="00B4773B"/>
    <w:rsid w:val="00B56D13"/>
    <w:rsid w:val="00B64B09"/>
    <w:rsid w:val="00B7142E"/>
    <w:rsid w:val="00B721CB"/>
    <w:rsid w:val="00B73EEA"/>
    <w:rsid w:val="00B90B7E"/>
    <w:rsid w:val="00B93A95"/>
    <w:rsid w:val="00BA6957"/>
    <w:rsid w:val="00BB6559"/>
    <w:rsid w:val="00BC161C"/>
    <w:rsid w:val="00BC1D16"/>
    <w:rsid w:val="00BD1761"/>
    <w:rsid w:val="00BD6DE2"/>
    <w:rsid w:val="00BF0B3E"/>
    <w:rsid w:val="00C22476"/>
    <w:rsid w:val="00C35171"/>
    <w:rsid w:val="00C37DE7"/>
    <w:rsid w:val="00C403FF"/>
    <w:rsid w:val="00C40B8A"/>
    <w:rsid w:val="00C45B65"/>
    <w:rsid w:val="00C51C1F"/>
    <w:rsid w:val="00C537A6"/>
    <w:rsid w:val="00C639E0"/>
    <w:rsid w:val="00C65221"/>
    <w:rsid w:val="00C670A6"/>
    <w:rsid w:val="00C827E5"/>
    <w:rsid w:val="00C9219A"/>
    <w:rsid w:val="00CA2C6F"/>
    <w:rsid w:val="00CB41F1"/>
    <w:rsid w:val="00CB6F16"/>
    <w:rsid w:val="00CD5AA0"/>
    <w:rsid w:val="00CE312B"/>
    <w:rsid w:val="00CE469F"/>
    <w:rsid w:val="00CF0997"/>
    <w:rsid w:val="00D01E3F"/>
    <w:rsid w:val="00D0206C"/>
    <w:rsid w:val="00D134B6"/>
    <w:rsid w:val="00D14D16"/>
    <w:rsid w:val="00D16BF6"/>
    <w:rsid w:val="00D50078"/>
    <w:rsid w:val="00D51CA1"/>
    <w:rsid w:val="00D64C9B"/>
    <w:rsid w:val="00D8784E"/>
    <w:rsid w:val="00DC2DFA"/>
    <w:rsid w:val="00DD4250"/>
    <w:rsid w:val="00DD4865"/>
    <w:rsid w:val="00DE381D"/>
    <w:rsid w:val="00DF0F9B"/>
    <w:rsid w:val="00DF2403"/>
    <w:rsid w:val="00DF6F21"/>
    <w:rsid w:val="00E00483"/>
    <w:rsid w:val="00E01EF6"/>
    <w:rsid w:val="00E04C7A"/>
    <w:rsid w:val="00E1316E"/>
    <w:rsid w:val="00E26B5B"/>
    <w:rsid w:val="00E44E8E"/>
    <w:rsid w:val="00E54BE6"/>
    <w:rsid w:val="00E631B9"/>
    <w:rsid w:val="00E71EC6"/>
    <w:rsid w:val="00E7482C"/>
    <w:rsid w:val="00E803EC"/>
    <w:rsid w:val="00E91BA6"/>
    <w:rsid w:val="00EA057D"/>
    <w:rsid w:val="00EA6CBF"/>
    <w:rsid w:val="00EC081D"/>
    <w:rsid w:val="00EC189F"/>
    <w:rsid w:val="00ED5C71"/>
    <w:rsid w:val="00EE2390"/>
    <w:rsid w:val="00F00BA2"/>
    <w:rsid w:val="00F01A65"/>
    <w:rsid w:val="00F06B41"/>
    <w:rsid w:val="00F3566C"/>
    <w:rsid w:val="00F364B9"/>
    <w:rsid w:val="00F412D5"/>
    <w:rsid w:val="00F47DA5"/>
    <w:rsid w:val="00F54CC1"/>
    <w:rsid w:val="00F57603"/>
    <w:rsid w:val="00F607D1"/>
    <w:rsid w:val="00F65440"/>
    <w:rsid w:val="00F742A4"/>
    <w:rsid w:val="00F74315"/>
    <w:rsid w:val="00F8628C"/>
    <w:rsid w:val="00FB10E5"/>
    <w:rsid w:val="00FF4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03B2D8"/>
  <w15:chartTrackingRefBased/>
  <w15:docId w15:val="{BEB6E303-E9F6-431D-BB75-F629D2A27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character" w:styleId="FootnoteReference">
    <w:name w:val="footnote reference"/>
    <w:basedOn w:val="DefaultParagraphFont"/>
    <w:uiPriority w:val="99"/>
    <w:semiHidden/>
    <w:unhideWhenUsed/>
    <w:rsid w:val="00746D64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01A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styleId="ListParagraph">
    <w:name w:val="List Paragraph"/>
    <w:basedOn w:val="Normal"/>
    <w:uiPriority w:val="34"/>
    <w:unhideWhenUsed/>
    <w:qFormat/>
    <w:rsid w:val="00C537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89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2124407\AppData\Local\Microsoft\Office\16.0\DTS\en-US%7b7AE08C01-5A90-4B38-B7B8-05247DBA9B35%7d\%7b1DDBB093-EF50-44EA-9FB6-A7F0F5BE4C28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13F7EC-3265-4E73-ACC6-11BDE48F9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{1DDBB093-EF50-44EA-9FB6-A7F0F5BE4C28}tf02786999_win32</Template>
  <TotalTime>0</TotalTime>
  <Pages>5</Pages>
  <Words>2342</Words>
  <Characters>11971</Characters>
  <Application>Microsoft Office Word</Application>
  <DocSecurity>0</DocSecurity>
  <Lines>190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Ayeshah Lalloo (2124407)</dc:creator>
  <cp:keywords/>
  <dc:description/>
  <cp:lastModifiedBy>Ayeshah Lalloo (2124407)</cp:lastModifiedBy>
  <cp:revision>269</cp:revision>
  <dcterms:created xsi:type="dcterms:W3CDTF">2022-03-06T15:47:00Z</dcterms:created>
  <dcterms:modified xsi:type="dcterms:W3CDTF">2022-03-13T14:14:00Z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