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6E46D0" w14:textId="0239500D" w:rsidR="00D23DDB" w:rsidRDefault="00CC5970">
      <w:pPr>
        <w:rPr>
          <w:rFonts w:ascii="Comic Sans MS" w:hAnsi="Comic Sans MS"/>
          <w:sz w:val="28"/>
          <w:szCs w:val="28"/>
        </w:rPr>
      </w:pPr>
      <w:r w:rsidRPr="00D122C6">
        <w:rPr>
          <w:rFonts w:ascii="Comic Sans MS" w:hAnsi="Comic Sans MS"/>
          <w:sz w:val="28"/>
          <w:szCs w:val="28"/>
        </w:rPr>
        <w:t xml:space="preserve">Past Peoples, Present Societies: </w:t>
      </w:r>
      <w:r w:rsidR="00D122C6" w:rsidRPr="00D122C6">
        <w:rPr>
          <w:rFonts w:ascii="Comic Sans MS" w:hAnsi="Comic Sans MS"/>
          <w:sz w:val="28"/>
          <w:szCs w:val="28"/>
        </w:rPr>
        <w:t>Research Methods and Skills</w:t>
      </w:r>
      <w:r w:rsidR="00D122C6">
        <w:rPr>
          <w:rFonts w:ascii="Comic Sans MS" w:hAnsi="Comic Sans MS"/>
          <w:sz w:val="28"/>
          <w:szCs w:val="28"/>
        </w:rPr>
        <w:t xml:space="preserve"> (</w:t>
      </w:r>
      <w:r w:rsidR="00D122C6" w:rsidRPr="00D122C6">
        <w:rPr>
          <w:rFonts w:ascii="Comic Sans MS" w:hAnsi="Comic Sans MS"/>
          <w:sz w:val="28"/>
          <w:szCs w:val="28"/>
        </w:rPr>
        <w:t>HPHI7016)</w:t>
      </w:r>
    </w:p>
    <w:p w14:paraId="4F874CC4" w14:textId="52992CCC" w:rsidR="00D122C6" w:rsidRPr="009A3DBC" w:rsidRDefault="009A3DBC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9A3DBC">
        <w:rPr>
          <w:rFonts w:ascii="Comic Sans MS" w:hAnsi="Comic Sans MS"/>
          <w:b/>
          <w:bCs/>
          <w:sz w:val="28"/>
          <w:szCs w:val="28"/>
          <w:u w:val="single"/>
        </w:rPr>
        <w:t>Part 1</w:t>
      </w:r>
    </w:p>
    <w:p w14:paraId="5B990E83" w14:textId="2C2FBC6E" w:rsidR="00D122C6" w:rsidRDefault="00D122C6">
      <w:pPr>
        <w:rPr>
          <w:rFonts w:ascii="Segoe UI" w:hAnsi="Segoe UI" w:cs="Segoe UI"/>
          <w:color w:val="000080"/>
          <w:sz w:val="27"/>
          <w:szCs w:val="27"/>
          <w:shd w:val="clear" w:color="auto" w:fill="FBF7F5"/>
        </w:rPr>
      </w:pPr>
      <w:r>
        <w:rPr>
          <w:rFonts w:ascii="Segoe UI" w:hAnsi="Segoe UI" w:cs="Segoe UI"/>
          <w:color w:val="000080"/>
          <w:sz w:val="27"/>
          <w:szCs w:val="27"/>
          <w:shd w:val="clear" w:color="auto" w:fill="FBF7F5"/>
        </w:rPr>
        <w:t>Janet E Burton, </w:t>
      </w:r>
      <w:hyperlink r:id="rId4" w:history="1">
        <w:r>
          <w:rPr>
            <w:rStyle w:val="Hyperlink"/>
            <w:rFonts w:ascii="Segoe UI" w:hAnsi="Segoe UI" w:cs="Segoe UI"/>
            <w:color w:val="000080"/>
            <w:sz w:val="27"/>
            <w:szCs w:val="27"/>
          </w:rPr>
          <w:t>'Authority and Conflict at the Cistercian Abbey of Strata Florida</w:t>
        </w:r>
      </w:hyperlink>
      <w:r>
        <w:rPr>
          <w:rFonts w:ascii="Segoe UI" w:hAnsi="Segoe UI" w:cs="Segoe UI"/>
          <w:color w:val="000080"/>
          <w:sz w:val="27"/>
          <w:szCs w:val="27"/>
          <w:shd w:val="clear" w:color="auto" w:fill="FBF7F5"/>
        </w:rPr>
        <w:t>,' </w:t>
      </w:r>
      <w:r>
        <w:rPr>
          <w:rStyle w:val="Emphasis"/>
          <w:rFonts w:ascii="Segoe UI" w:hAnsi="Segoe UI" w:cs="Segoe UI"/>
          <w:color w:val="000080"/>
          <w:sz w:val="27"/>
          <w:szCs w:val="27"/>
          <w:shd w:val="clear" w:color="auto" w:fill="FBF7F5"/>
        </w:rPr>
        <w:t>Welsh History Review/Cylchgrawn Hanes Cymru</w:t>
      </w:r>
      <w:r>
        <w:rPr>
          <w:rFonts w:ascii="Segoe UI" w:hAnsi="Segoe UI" w:cs="Segoe UI"/>
          <w:color w:val="000080"/>
          <w:sz w:val="27"/>
          <w:szCs w:val="27"/>
          <w:shd w:val="clear" w:color="auto" w:fill="FBF7F5"/>
        </w:rPr>
        <w:t>, 29/3 (2019), pp. 377–407</w:t>
      </w:r>
    </w:p>
    <w:p w14:paraId="3E5C9C68" w14:textId="01E91076" w:rsidR="00D122C6" w:rsidRDefault="00D122C6">
      <w:pPr>
        <w:rPr>
          <w:rFonts w:ascii="Segoe UI" w:hAnsi="Segoe UI" w:cs="Segoe UI"/>
          <w:color w:val="000080"/>
          <w:sz w:val="27"/>
          <w:szCs w:val="27"/>
          <w:shd w:val="clear" w:color="auto" w:fill="FBF7F5"/>
        </w:rPr>
      </w:pPr>
    </w:p>
    <w:p w14:paraId="652927B3" w14:textId="39ADD3E5" w:rsidR="00D122C6" w:rsidRDefault="009F017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 w:rsidRPr="009F0170">
        <w:rPr>
          <w:rFonts w:ascii="Comic Sans MS" w:hAnsi="Comic Sans MS" w:cs="Segoe UI"/>
          <w:sz w:val="28"/>
          <w:szCs w:val="28"/>
          <w:shd w:val="clear" w:color="auto" w:fill="FBF7F5"/>
        </w:rPr>
        <w:t>Reading</w:t>
      </w:r>
      <w:r>
        <w:rPr>
          <w:rFonts w:ascii="Comic Sans MS" w:hAnsi="Comic Sans MS" w:cs="Segoe UI"/>
          <w:color w:val="000080"/>
          <w:sz w:val="28"/>
          <w:szCs w:val="28"/>
          <w:shd w:val="clear" w:color="auto" w:fill="FBF7F5"/>
        </w:rPr>
        <w:t xml:space="preserve"> 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>Janey Burtons article was a completely new subject and historical timeline for me.  I have no prior knowledge of Strata Florida, other than to know of its location here in Wales.</w:t>
      </w:r>
    </w:p>
    <w:p w14:paraId="5CA6CF08" w14:textId="066153C1" w:rsidR="009F0170" w:rsidRDefault="009F017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ED6D187" w14:textId="344A58BE" w:rsidR="009F0170" w:rsidRDefault="009F017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The article informed the </w:t>
      </w:r>
      <w:r w:rsidR="003C292F">
        <w:rPr>
          <w:rFonts w:ascii="Comic Sans MS" w:hAnsi="Comic Sans MS" w:cs="Segoe UI"/>
          <w:sz w:val="28"/>
          <w:szCs w:val="28"/>
          <w:shd w:val="clear" w:color="auto" w:fill="FBF7F5"/>
        </w:rPr>
        <w:t>me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that this was the first time that research into this</w:t>
      </w:r>
      <w:r w:rsidR="009D1107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specific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subject had been undertaken.  This </w:t>
      </w:r>
      <w:r w:rsidR="009D1107">
        <w:rPr>
          <w:rFonts w:ascii="Comic Sans MS" w:hAnsi="Comic Sans MS" w:cs="Segoe UI"/>
          <w:sz w:val="28"/>
          <w:szCs w:val="28"/>
          <w:shd w:val="clear" w:color="auto" w:fill="FBF7F5"/>
        </w:rPr>
        <w:t>gave me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an understanding of the motivation of the author </w:t>
      </w:r>
      <w:r w:rsidR="0045436C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to research the </w:t>
      </w:r>
      <w:r w:rsidR="003503C9">
        <w:rPr>
          <w:rFonts w:ascii="Comic Sans MS" w:hAnsi="Comic Sans MS" w:cs="Segoe UI"/>
          <w:sz w:val="28"/>
          <w:szCs w:val="28"/>
          <w:shd w:val="clear" w:color="auto" w:fill="FBF7F5"/>
        </w:rPr>
        <w:t>subject in depth</w:t>
      </w:r>
      <w:r w:rsidR="009D1107">
        <w:rPr>
          <w:rFonts w:ascii="Comic Sans MS" w:hAnsi="Comic Sans MS" w:cs="Segoe UI"/>
          <w:sz w:val="28"/>
          <w:szCs w:val="28"/>
          <w:shd w:val="clear" w:color="auto" w:fill="FBF7F5"/>
        </w:rPr>
        <w:t>, for her to discover more and to inform other acad</w:t>
      </w:r>
      <w:r w:rsidR="00DC24D2">
        <w:rPr>
          <w:rFonts w:ascii="Comic Sans MS" w:hAnsi="Comic Sans MS" w:cs="Segoe UI"/>
          <w:sz w:val="28"/>
          <w:szCs w:val="28"/>
          <w:shd w:val="clear" w:color="auto" w:fill="FBF7F5"/>
        </w:rPr>
        <w:t>e</w:t>
      </w:r>
      <w:r w:rsidR="009D1107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mics and </w:t>
      </w:r>
      <w:r w:rsidR="00DC24D2">
        <w:rPr>
          <w:rFonts w:ascii="Comic Sans MS" w:hAnsi="Comic Sans MS" w:cs="Segoe UI"/>
          <w:sz w:val="28"/>
          <w:szCs w:val="28"/>
          <w:shd w:val="clear" w:color="auto" w:fill="FBF7F5"/>
        </w:rPr>
        <w:t>the public of her findings.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.  </w:t>
      </w:r>
    </w:p>
    <w:p w14:paraId="0B5BD07D" w14:textId="5C5A0A0C" w:rsidR="009F0170" w:rsidRDefault="009F017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FEB09BB" w14:textId="2E3CB26A" w:rsidR="00913534" w:rsidRDefault="009F017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>A quick search of the author reveals their</w:t>
      </w:r>
      <w:r w:rsidR="00BC65C3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interests</w:t>
      </w:r>
      <w:r w:rsidR="00913534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in specific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</w:t>
      </w:r>
      <w:r w:rsidR="00BC65C3">
        <w:rPr>
          <w:rFonts w:ascii="Comic Sans MS" w:hAnsi="Comic Sans MS" w:cs="Segoe UI"/>
          <w:sz w:val="28"/>
          <w:szCs w:val="28"/>
          <w:shd w:val="clear" w:color="auto" w:fill="FBF7F5"/>
        </w:rPr>
        <w:t>area</w:t>
      </w:r>
      <w:r w:rsidR="00913534">
        <w:rPr>
          <w:rFonts w:ascii="Comic Sans MS" w:hAnsi="Comic Sans MS" w:cs="Segoe UI"/>
          <w:sz w:val="28"/>
          <w:szCs w:val="28"/>
          <w:shd w:val="clear" w:color="auto" w:fill="FBF7F5"/>
        </w:rPr>
        <w:t>s</w:t>
      </w:r>
      <w:r w:rsidR="00BC65C3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of research and previous works</w:t>
      </w:r>
      <w:r w:rsidR="00913534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.  </w:t>
      </w:r>
      <w:r w:rsidR="00E44129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This can and may be of use </w:t>
      </w:r>
      <w:r w:rsidR="00F50368">
        <w:rPr>
          <w:rFonts w:ascii="Comic Sans MS" w:hAnsi="Comic Sans MS" w:cs="Segoe UI"/>
          <w:sz w:val="28"/>
          <w:szCs w:val="28"/>
          <w:shd w:val="clear" w:color="auto" w:fill="FBF7F5"/>
        </w:rPr>
        <w:t>for the readers own research</w:t>
      </w:r>
      <w:r w:rsidR="009B0C91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topic</w:t>
      </w:r>
      <w:r w:rsidR="00E86DB0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because this information is useful in further research and study</w:t>
      </w:r>
      <w:r w:rsidR="009B0C91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.   </w:t>
      </w:r>
    </w:p>
    <w:p w14:paraId="4D07B851" w14:textId="3C36E573" w:rsidR="009B0C91" w:rsidRDefault="009B0C91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03AE1475" w14:textId="77777777" w:rsidR="00876A50" w:rsidRDefault="009B0C91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</w:t>
      </w:r>
      <w:r w:rsidR="007D2ED5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The use of footnotes enables </w:t>
      </w:r>
      <w:r w:rsidR="00D85D05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the reader to identify the research </w:t>
      </w:r>
      <w:r w:rsidR="00DC3729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routes that were taken.  </w:t>
      </w:r>
    </w:p>
    <w:p w14:paraId="47644637" w14:textId="77777777" w:rsidR="00876A50" w:rsidRDefault="00876A5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1DA24E0A" w14:textId="77777777" w:rsidR="000124F3" w:rsidRDefault="00DC3729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>Within this article Janet E Burton used materi</w:t>
      </w:r>
      <w:r w:rsidR="00095C0A">
        <w:rPr>
          <w:rFonts w:ascii="Comic Sans MS" w:hAnsi="Comic Sans MS" w:cs="Segoe UI"/>
          <w:sz w:val="28"/>
          <w:szCs w:val="28"/>
          <w:shd w:val="clear" w:color="auto" w:fill="FBF7F5"/>
        </w:rPr>
        <w:t>al from the</w:t>
      </w:r>
    </w:p>
    <w:p w14:paraId="210D4771" w14:textId="7698976B" w:rsidR="009B0C91" w:rsidRDefault="00095C0A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>‘National Archives’ in both London and Cardiff</w:t>
      </w:r>
      <w:r w:rsidR="00964DCB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and also the archives of Aberystwyth</w:t>
      </w:r>
      <w:r w:rsidR="00876A50">
        <w:rPr>
          <w:rFonts w:ascii="Comic Sans MS" w:hAnsi="Comic Sans MS" w:cs="Segoe UI"/>
          <w:sz w:val="28"/>
          <w:szCs w:val="28"/>
          <w:shd w:val="clear" w:color="auto" w:fill="FBF7F5"/>
        </w:rPr>
        <w:t>, Wales.</w:t>
      </w:r>
    </w:p>
    <w:p w14:paraId="56F5D024" w14:textId="7B6C89F5" w:rsidR="000124F3" w:rsidRDefault="00CD01E3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>Books, journals</w:t>
      </w:r>
      <w:r w:rsidR="003674EA">
        <w:rPr>
          <w:rFonts w:ascii="Comic Sans MS" w:hAnsi="Comic Sans MS" w:cs="Segoe UI"/>
          <w:sz w:val="28"/>
          <w:szCs w:val="28"/>
          <w:shd w:val="clear" w:color="auto" w:fill="FBF7F5"/>
        </w:rPr>
        <w:t>,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and others research papers were used to support the authors findings.</w:t>
      </w:r>
    </w:p>
    <w:p w14:paraId="6F071158" w14:textId="18B3391D" w:rsidR="00CD01E3" w:rsidRDefault="00CD01E3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lastRenderedPageBreak/>
        <w:t>Research was acc</w:t>
      </w:r>
      <w:r w:rsidR="00102C9D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essed using the internet </w:t>
      </w:r>
      <w:r w:rsidR="0009590B">
        <w:rPr>
          <w:rFonts w:ascii="Comic Sans MS" w:hAnsi="Comic Sans MS" w:cs="Segoe UI"/>
          <w:sz w:val="28"/>
          <w:szCs w:val="28"/>
          <w:shd w:val="clear" w:color="auto" w:fill="FBF7F5"/>
        </w:rPr>
        <w:t>and web pages were identified within the footnotes.</w:t>
      </w:r>
    </w:p>
    <w:p w14:paraId="2EA2C090" w14:textId="34C2228A" w:rsidR="0009590B" w:rsidRDefault="0009590B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16B3D3E3" w14:textId="1C9F0A8F" w:rsidR="0009590B" w:rsidRDefault="0009590B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I particularly found the extent of the research </w:t>
      </w:r>
      <w:r w:rsidR="00112503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both informative and interesting.  The reference to poets as well as the archival materials </w:t>
      </w:r>
      <w:r w:rsidR="009F07DB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made me realise that there is an almost inexhaustible web of resources and not always </w:t>
      </w:r>
      <w:r w:rsidR="00F23CD9">
        <w:rPr>
          <w:rFonts w:ascii="Comic Sans MS" w:hAnsi="Comic Sans MS" w:cs="Segoe UI"/>
          <w:sz w:val="28"/>
          <w:szCs w:val="28"/>
          <w:shd w:val="clear" w:color="auto" w:fill="FBF7F5"/>
        </w:rPr>
        <w:t>clear in the beginning of research.</w:t>
      </w:r>
    </w:p>
    <w:p w14:paraId="1C64D795" w14:textId="63AF3B7B" w:rsidR="00F23CD9" w:rsidRDefault="00F23CD9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489BB0B" w14:textId="29F7AC0F" w:rsidR="00F23CD9" w:rsidRDefault="00F23CD9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The use of and references to the work of others </w:t>
      </w:r>
      <w:r w:rsidR="00F33738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also showed how it should not be assumed that </w:t>
      </w:r>
      <w:r w:rsidR="0038759B">
        <w:rPr>
          <w:rFonts w:ascii="Comic Sans MS" w:hAnsi="Comic Sans MS" w:cs="Segoe UI"/>
          <w:sz w:val="28"/>
          <w:szCs w:val="28"/>
          <w:shd w:val="clear" w:color="auto" w:fill="FBF7F5"/>
        </w:rPr>
        <w:t>one should not challenge the conclusions of others work.</w:t>
      </w:r>
    </w:p>
    <w:p w14:paraId="1D908C86" w14:textId="4D6BB8AF" w:rsidR="0038759B" w:rsidRDefault="0038759B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389900C5" w14:textId="51AA5F03" w:rsidR="0038759B" w:rsidRDefault="0019714D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Some of </w:t>
      </w:r>
      <w:r w:rsidR="00735E23">
        <w:rPr>
          <w:rFonts w:ascii="Comic Sans MS" w:hAnsi="Comic Sans MS" w:cs="Segoe UI"/>
          <w:sz w:val="28"/>
          <w:szCs w:val="28"/>
          <w:shd w:val="clear" w:color="auto" w:fill="FBF7F5"/>
        </w:rPr>
        <w:t>the</w:t>
      </w:r>
      <w:r w:rsidR="00F37A92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primary </w:t>
      </w:r>
      <w:r w:rsidR="00566952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sources within this work were the documents accessed at the National Archives and also the </w:t>
      </w:r>
      <w:r w:rsidR="00735E23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Welsh Diocese records.  </w:t>
      </w:r>
    </w:p>
    <w:p w14:paraId="100BCD4F" w14:textId="2FD013A9" w:rsidR="0019714D" w:rsidRDefault="0019714D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C8F0A91" w14:textId="609FFB4D" w:rsidR="0019714D" w:rsidRDefault="0019714D">
      <w:pPr>
        <w:rPr>
          <w:rFonts w:ascii="Comic Sans MS" w:hAnsi="Comic Sans MS" w:cs="Segoe UI"/>
          <w:sz w:val="28"/>
          <w:szCs w:val="28"/>
          <w:shd w:val="clear" w:color="auto" w:fill="FBF7F5"/>
        </w:rPr>
      </w:pPr>
      <w:r>
        <w:rPr>
          <w:rFonts w:ascii="Comic Sans MS" w:hAnsi="Comic Sans MS" w:cs="Segoe UI"/>
          <w:sz w:val="28"/>
          <w:szCs w:val="28"/>
          <w:shd w:val="clear" w:color="auto" w:fill="FBF7F5"/>
        </w:rPr>
        <w:t>I must admit to my assessment being a little rushed and incomplete</w:t>
      </w:r>
      <w:r w:rsidR="00E02B1A">
        <w:rPr>
          <w:rFonts w:ascii="Comic Sans MS" w:hAnsi="Comic Sans MS" w:cs="Segoe UI"/>
          <w:sz w:val="28"/>
          <w:szCs w:val="28"/>
          <w:shd w:val="clear" w:color="auto" w:fill="FBF7F5"/>
        </w:rPr>
        <w:t>,</w:t>
      </w:r>
      <w:r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but I </w:t>
      </w:r>
      <w:r w:rsidR="003C5402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am inspired by the footnotes and this article to make my further study </w:t>
      </w:r>
      <w:r w:rsidR="00003A25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and research broader and to </w:t>
      </w:r>
      <w:r w:rsidR="00731E48">
        <w:rPr>
          <w:rFonts w:ascii="Comic Sans MS" w:hAnsi="Comic Sans MS" w:cs="Segoe UI"/>
          <w:sz w:val="28"/>
          <w:szCs w:val="28"/>
          <w:shd w:val="clear" w:color="auto" w:fill="FBF7F5"/>
        </w:rPr>
        <w:t>encourage me</w:t>
      </w:r>
      <w:r w:rsidR="00003A25">
        <w:rPr>
          <w:rFonts w:ascii="Comic Sans MS" w:hAnsi="Comic Sans MS" w:cs="Segoe UI"/>
          <w:sz w:val="28"/>
          <w:szCs w:val="28"/>
          <w:shd w:val="clear" w:color="auto" w:fill="FBF7F5"/>
        </w:rPr>
        <w:t xml:space="preserve"> to explore avenues that may seem </w:t>
      </w:r>
      <w:r w:rsidR="00BA7F5C">
        <w:rPr>
          <w:rFonts w:ascii="Comic Sans MS" w:hAnsi="Comic Sans MS" w:cs="Segoe UI"/>
          <w:sz w:val="28"/>
          <w:szCs w:val="28"/>
          <w:shd w:val="clear" w:color="auto" w:fill="FBF7F5"/>
        </w:rPr>
        <w:t>less obvious.</w:t>
      </w:r>
    </w:p>
    <w:p w14:paraId="0C0F330E" w14:textId="59586E77" w:rsidR="00876A50" w:rsidRDefault="00876A5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3092BBB3" w14:textId="08378E29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6555CFC" w14:textId="23DD2230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757561D4" w14:textId="3336EC6A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D1875A6" w14:textId="0E6644AA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0464DBB1" w14:textId="2C4CD60A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1ABC1514" w14:textId="3C8152C5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3697E5FE" w14:textId="40A925B8" w:rsidR="009A3DBC" w:rsidRDefault="009A3DBC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3418CD59" w14:textId="72794604" w:rsidR="009A3DBC" w:rsidRPr="001A7A3A" w:rsidRDefault="001A7A3A">
      <w:pPr>
        <w:rPr>
          <w:rFonts w:ascii="Comic Sans MS" w:hAnsi="Comic Sans MS" w:cs="Segoe UI"/>
          <w:b/>
          <w:bCs/>
          <w:sz w:val="28"/>
          <w:szCs w:val="28"/>
          <w:u w:val="single"/>
          <w:shd w:val="clear" w:color="auto" w:fill="FBF7F5"/>
        </w:rPr>
      </w:pPr>
      <w:r w:rsidRPr="001A7A3A">
        <w:rPr>
          <w:rFonts w:ascii="Comic Sans MS" w:hAnsi="Comic Sans MS" w:cs="Segoe UI"/>
          <w:b/>
          <w:bCs/>
          <w:sz w:val="28"/>
          <w:szCs w:val="28"/>
          <w:u w:val="single"/>
          <w:shd w:val="clear" w:color="auto" w:fill="FBF7F5"/>
        </w:rPr>
        <w:lastRenderedPageBreak/>
        <w:t>Part 2</w:t>
      </w:r>
    </w:p>
    <w:p w14:paraId="5956BCEC" w14:textId="77777777" w:rsidR="00D75109" w:rsidRDefault="00D75109" w:rsidP="00D75109">
      <w:pPr>
        <w:autoSpaceDE w:val="0"/>
        <w:autoSpaceDN w:val="0"/>
        <w:adjustRightInd w:val="0"/>
        <w:spacing w:after="0" w:line="240" w:lineRule="auto"/>
        <w:rPr>
          <w:rFonts w:ascii="AdvOT0c01107a" w:hAnsi="AdvOT0c01107a" w:cs="AdvOT0c01107a"/>
          <w:sz w:val="36"/>
          <w:szCs w:val="36"/>
        </w:rPr>
      </w:pPr>
      <w:r>
        <w:rPr>
          <w:rFonts w:ascii="AdvOT0c01107a+20" w:hAnsi="AdvOT0c01107a+20" w:cs="AdvOT0c01107a+20"/>
          <w:sz w:val="36"/>
          <w:szCs w:val="36"/>
        </w:rPr>
        <w:t>‘</w:t>
      </w:r>
      <w:r>
        <w:rPr>
          <w:rFonts w:ascii="AdvOT0c01107a" w:hAnsi="AdvOT0c01107a" w:cs="AdvOT0c01107a"/>
          <w:sz w:val="36"/>
          <w:szCs w:val="36"/>
        </w:rPr>
        <w:t>A PERMANENT CIVILISING EFFECT</w:t>
      </w:r>
      <w:r>
        <w:rPr>
          <w:rFonts w:ascii="AdvOT0c01107a+20" w:hAnsi="AdvOT0c01107a+20" w:cs="AdvOT0c01107a+20"/>
          <w:sz w:val="36"/>
          <w:szCs w:val="36"/>
        </w:rPr>
        <w:t>’</w:t>
      </w:r>
      <w:r>
        <w:rPr>
          <w:rFonts w:ascii="AdvOT0c01107a" w:hAnsi="AdvOT0c01107a" w:cs="AdvOT0c01107a"/>
          <w:sz w:val="36"/>
          <w:szCs w:val="36"/>
        </w:rPr>
        <w:t>?</w:t>
      </w:r>
    </w:p>
    <w:p w14:paraId="6F9A8345" w14:textId="77777777" w:rsidR="00D75109" w:rsidRDefault="00D75109" w:rsidP="00D75109">
      <w:pPr>
        <w:autoSpaceDE w:val="0"/>
        <w:autoSpaceDN w:val="0"/>
        <w:adjustRightInd w:val="0"/>
        <w:spacing w:after="0" w:line="240" w:lineRule="auto"/>
        <w:rPr>
          <w:rFonts w:ascii="AdvOTda3659c3" w:hAnsi="AdvOTda3659c3" w:cs="AdvOTda3659c3"/>
          <w:sz w:val="30"/>
          <w:szCs w:val="30"/>
        </w:rPr>
      </w:pPr>
      <w:r>
        <w:rPr>
          <w:rFonts w:ascii="AdvOTda3659c3" w:hAnsi="AdvOTda3659c3" w:cs="AdvOTda3659c3"/>
          <w:sz w:val="30"/>
          <w:szCs w:val="30"/>
        </w:rPr>
        <w:t>The impact of reforming working-class museum</w:t>
      </w:r>
    </w:p>
    <w:p w14:paraId="15AAF098" w14:textId="77777777" w:rsidR="00D75109" w:rsidRDefault="00D75109" w:rsidP="00D75109">
      <w:pPr>
        <w:autoSpaceDE w:val="0"/>
        <w:autoSpaceDN w:val="0"/>
        <w:adjustRightInd w:val="0"/>
        <w:spacing w:after="0" w:line="240" w:lineRule="auto"/>
        <w:rPr>
          <w:rFonts w:ascii="AdvOTda3659c3" w:hAnsi="AdvOTda3659c3" w:cs="AdvOTda3659c3"/>
          <w:sz w:val="30"/>
          <w:szCs w:val="30"/>
        </w:rPr>
      </w:pPr>
      <w:r>
        <w:rPr>
          <w:rFonts w:ascii="AdvOTda3659c3" w:hAnsi="AdvOTda3659c3" w:cs="AdvOTda3659c3"/>
          <w:sz w:val="30"/>
          <w:szCs w:val="30"/>
        </w:rPr>
        <w:t>visitors in Liverpool during the nineteenth century</w:t>
      </w:r>
    </w:p>
    <w:p w14:paraId="317FF3E0" w14:textId="69452795" w:rsidR="001A7A3A" w:rsidRDefault="00D75109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>Alexander Scott</w:t>
      </w:r>
    </w:p>
    <w:p w14:paraId="1D0C74FE" w14:textId="01F10367" w:rsidR="00F03D1E" w:rsidRDefault="00F03D1E" w:rsidP="00D75109">
      <w:pPr>
        <w:rPr>
          <w:rFonts w:ascii="AdvOTef299c07.I" w:hAnsi="AdvOTef299c07.I" w:cs="AdvOTef299c07.I"/>
          <w:sz w:val="26"/>
          <w:szCs w:val="26"/>
        </w:rPr>
      </w:pPr>
    </w:p>
    <w:p w14:paraId="32F1361F" w14:textId="38545215" w:rsidR="0004297A" w:rsidRDefault="00FC3F86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 xml:space="preserve">I am very keen to read social history, particularly the </w:t>
      </w:r>
      <w:r w:rsidR="00195C0C">
        <w:rPr>
          <w:rFonts w:ascii="AdvOTef299c07.I" w:hAnsi="AdvOTef299c07.I" w:cs="AdvOTef299c07.I"/>
          <w:sz w:val="26"/>
          <w:szCs w:val="26"/>
        </w:rPr>
        <w:t>18</w:t>
      </w:r>
      <w:r w:rsidR="00195C0C" w:rsidRPr="00195C0C">
        <w:rPr>
          <w:rFonts w:ascii="AdvOTef299c07.I" w:hAnsi="AdvOTef299c07.I" w:cs="AdvOTef299c07.I"/>
          <w:sz w:val="26"/>
          <w:szCs w:val="26"/>
          <w:vertAlign w:val="superscript"/>
        </w:rPr>
        <w:t>th</w:t>
      </w:r>
      <w:r w:rsidR="00195C0C">
        <w:rPr>
          <w:rFonts w:ascii="AdvOTef299c07.I" w:hAnsi="AdvOTef299c07.I" w:cs="AdvOTef299c07.I"/>
          <w:sz w:val="26"/>
          <w:szCs w:val="26"/>
        </w:rPr>
        <w:t xml:space="preserve"> and 19</w:t>
      </w:r>
      <w:r w:rsidR="00195C0C" w:rsidRPr="00195C0C">
        <w:rPr>
          <w:rFonts w:ascii="AdvOTef299c07.I" w:hAnsi="AdvOTef299c07.I" w:cs="AdvOTef299c07.I"/>
          <w:sz w:val="26"/>
          <w:szCs w:val="26"/>
          <w:vertAlign w:val="superscript"/>
        </w:rPr>
        <w:t>th</w:t>
      </w:r>
      <w:r w:rsidR="00195C0C">
        <w:rPr>
          <w:rFonts w:ascii="AdvOTef299c07.I" w:hAnsi="AdvOTef299c07.I" w:cs="AdvOTef299c07.I"/>
          <w:sz w:val="26"/>
          <w:szCs w:val="26"/>
        </w:rPr>
        <w:t xml:space="preserve"> centuries.  This chapter is rich with information and </w:t>
      </w:r>
      <w:r w:rsidR="00263551">
        <w:rPr>
          <w:rFonts w:ascii="AdvOTef299c07.I" w:hAnsi="AdvOTef299c07.I" w:cs="AdvOTef299c07.I"/>
          <w:sz w:val="26"/>
          <w:szCs w:val="26"/>
        </w:rPr>
        <w:t>like Janet E Burton’s journal article, the resources and research materials are</w:t>
      </w:r>
      <w:r w:rsidR="00F904A8">
        <w:rPr>
          <w:rFonts w:ascii="AdvOTef299c07.I" w:hAnsi="AdvOTef299c07.I" w:cs="AdvOTef299c07.I"/>
          <w:sz w:val="26"/>
          <w:szCs w:val="26"/>
        </w:rPr>
        <w:t xml:space="preserve"> found in footnotes.   Unlike </w:t>
      </w:r>
      <w:r w:rsidR="0004297A">
        <w:rPr>
          <w:rFonts w:ascii="AdvOTef299c07.I" w:hAnsi="AdvOTef299c07.I" w:cs="AdvOTef299c07.I"/>
          <w:sz w:val="26"/>
          <w:szCs w:val="26"/>
        </w:rPr>
        <w:t>Janet’s work the footnote, bibliography and other resource information is found at the end of the written work.</w:t>
      </w:r>
    </w:p>
    <w:p w14:paraId="5A0C72A6" w14:textId="2A97202D" w:rsidR="0004297A" w:rsidRDefault="0004297A" w:rsidP="00D75109">
      <w:pPr>
        <w:rPr>
          <w:rFonts w:ascii="AdvOTef299c07.I" w:hAnsi="AdvOTef299c07.I" w:cs="AdvOTef299c07.I"/>
          <w:sz w:val="26"/>
          <w:szCs w:val="26"/>
        </w:rPr>
      </w:pPr>
    </w:p>
    <w:p w14:paraId="02BA17F9" w14:textId="2E8DE944" w:rsidR="0004297A" w:rsidRDefault="0004297A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 xml:space="preserve">Primary resources referenced </w:t>
      </w:r>
      <w:r w:rsidR="0086756A">
        <w:rPr>
          <w:rFonts w:ascii="AdvOTef299c07.I" w:hAnsi="AdvOTef299c07.I" w:cs="AdvOTef299c07.I"/>
          <w:sz w:val="26"/>
          <w:szCs w:val="26"/>
        </w:rPr>
        <w:t xml:space="preserve">include newspapers, </w:t>
      </w:r>
      <w:r w:rsidR="0086756A" w:rsidRPr="00F56AC6">
        <w:rPr>
          <w:rFonts w:ascii="AdvOTef299c07.I" w:hAnsi="AdvOTef299c07.I" w:cs="AdvOTef299c07.I"/>
          <w:i/>
          <w:iCs/>
          <w:sz w:val="26"/>
          <w:szCs w:val="26"/>
        </w:rPr>
        <w:t>The Times and Mercury</w:t>
      </w:r>
      <w:r w:rsidR="0086756A">
        <w:rPr>
          <w:rFonts w:ascii="AdvOTef299c07.I" w:hAnsi="AdvOTef299c07.I" w:cs="AdvOTef299c07.I"/>
          <w:sz w:val="26"/>
          <w:szCs w:val="26"/>
        </w:rPr>
        <w:t xml:space="preserve">, </w:t>
      </w:r>
      <w:r w:rsidR="00F56AC6">
        <w:rPr>
          <w:rFonts w:ascii="AdvOTef299c07.I" w:hAnsi="AdvOTef299c07.I" w:cs="AdvOTef299c07.I"/>
          <w:sz w:val="26"/>
          <w:szCs w:val="26"/>
        </w:rPr>
        <w:t xml:space="preserve">ad further primary sources are from both town records and </w:t>
      </w:r>
      <w:r w:rsidR="00677D5E" w:rsidRPr="00677D5E">
        <w:rPr>
          <w:rFonts w:ascii="AdvOTef299c07.I" w:hAnsi="AdvOTef299c07.I" w:cs="AdvOTef299c07.I"/>
          <w:i/>
          <w:iCs/>
          <w:sz w:val="26"/>
          <w:szCs w:val="26"/>
        </w:rPr>
        <w:t>Hansard</w:t>
      </w:r>
      <w:r w:rsidR="00677D5E">
        <w:rPr>
          <w:rFonts w:ascii="AdvOTef299c07.I" w:hAnsi="AdvOTef299c07.I" w:cs="AdvOTef299c07.I"/>
          <w:i/>
          <w:iCs/>
          <w:sz w:val="26"/>
          <w:szCs w:val="26"/>
        </w:rPr>
        <w:t xml:space="preserve">.  </w:t>
      </w:r>
    </w:p>
    <w:p w14:paraId="153A965F" w14:textId="03A764A0" w:rsidR="008D4C70" w:rsidRDefault="008D4C70" w:rsidP="00D75109">
      <w:pPr>
        <w:rPr>
          <w:rFonts w:ascii="AdvOTef299c07.I" w:hAnsi="AdvOTef299c07.I" w:cs="AdvOTef299c07.I"/>
          <w:sz w:val="26"/>
          <w:szCs w:val="26"/>
        </w:rPr>
      </w:pPr>
    </w:p>
    <w:p w14:paraId="47CC04BF" w14:textId="5F75E908" w:rsidR="008D4C70" w:rsidRDefault="008D4C70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>I found interesting and informative the reference to Hill’s writing</w:t>
      </w:r>
      <w:r w:rsidR="00641114">
        <w:rPr>
          <w:rFonts w:ascii="AdvOTef299c07.I" w:hAnsi="AdvOTef299c07.I" w:cs="AdvOTef299c07.I"/>
          <w:sz w:val="26"/>
          <w:szCs w:val="26"/>
        </w:rPr>
        <w:t xml:space="preserve">, where he brings into question the available primary sources and whose voice and opinions are </w:t>
      </w:r>
      <w:r w:rsidR="00F77237">
        <w:rPr>
          <w:rFonts w:ascii="AdvOTef299c07.I" w:hAnsi="AdvOTef299c07.I" w:cs="AdvOTef299c07.I"/>
          <w:sz w:val="26"/>
          <w:szCs w:val="26"/>
        </w:rPr>
        <w:t>used.</w:t>
      </w:r>
    </w:p>
    <w:p w14:paraId="4979BBB6" w14:textId="5E230CDB" w:rsidR="00F77237" w:rsidRDefault="00F77237" w:rsidP="00D75109">
      <w:pPr>
        <w:rPr>
          <w:rFonts w:ascii="AdvOTef299c07.I" w:hAnsi="AdvOTef299c07.I" w:cs="AdvOTef299c07.I"/>
          <w:sz w:val="26"/>
          <w:szCs w:val="26"/>
        </w:rPr>
      </w:pPr>
    </w:p>
    <w:p w14:paraId="01B1224D" w14:textId="7CE658C5" w:rsidR="00F77237" w:rsidRDefault="00F77237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 xml:space="preserve">Town record office documents are shown as a source </w:t>
      </w:r>
      <w:r w:rsidR="008F0D9A">
        <w:rPr>
          <w:rFonts w:ascii="AdvOTef299c07.I" w:hAnsi="AdvOTef299c07.I" w:cs="AdvOTef299c07.I"/>
          <w:sz w:val="26"/>
          <w:szCs w:val="26"/>
        </w:rPr>
        <w:t xml:space="preserve">of research, I am unsure if unprinted documents would require </w:t>
      </w:r>
      <w:r w:rsidR="00ED655F">
        <w:rPr>
          <w:rFonts w:ascii="AdvOTef299c07.I" w:hAnsi="AdvOTef299c07.I" w:cs="AdvOTef299c07.I"/>
          <w:sz w:val="26"/>
          <w:szCs w:val="26"/>
        </w:rPr>
        <w:t>the author/researcher to visit physical record offices or would this information be available online for viewing.</w:t>
      </w:r>
    </w:p>
    <w:p w14:paraId="2BE87647" w14:textId="100E4D40" w:rsidR="00ED655F" w:rsidRDefault="00ED655F" w:rsidP="00D75109">
      <w:pPr>
        <w:rPr>
          <w:rFonts w:ascii="AdvOTef299c07.I" w:hAnsi="AdvOTef299c07.I" w:cs="AdvOTef299c07.I"/>
          <w:sz w:val="26"/>
          <w:szCs w:val="26"/>
        </w:rPr>
      </w:pPr>
    </w:p>
    <w:p w14:paraId="0FB6405B" w14:textId="631F988F" w:rsidR="00ED655F" w:rsidRDefault="0088635A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>Alexander Scott at the beginning of the chapter informs the reader of where the majority of materials were sourced, namely</w:t>
      </w:r>
      <w:r w:rsidR="00B959E6">
        <w:rPr>
          <w:rFonts w:ascii="AdvOTef299c07.I" w:hAnsi="AdvOTef299c07.I" w:cs="AdvOTef299c07.I"/>
          <w:sz w:val="26"/>
          <w:szCs w:val="26"/>
        </w:rPr>
        <w:t xml:space="preserve"> ‘archival material (newspaper, annual report</w:t>
      </w:r>
      <w:r w:rsidR="00F15020">
        <w:rPr>
          <w:rFonts w:ascii="AdvOTef299c07.I" w:hAnsi="AdvOTef299c07.I" w:cs="AdvOTef299c07.I"/>
          <w:sz w:val="26"/>
          <w:szCs w:val="26"/>
        </w:rPr>
        <w:t>s, minute</w:t>
      </w:r>
      <w:r w:rsidR="0011106C">
        <w:rPr>
          <w:rFonts w:ascii="AdvOTef299c07.I" w:hAnsi="AdvOTef299c07.I" w:cs="AdvOTef299c07.I"/>
          <w:sz w:val="26"/>
          <w:szCs w:val="26"/>
        </w:rPr>
        <w:t xml:space="preserve"> books)’, on reading the work it is noted that the works of others is used and referenced.</w:t>
      </w:r>
    </w:p>
    <w:p w14:paraId="4E2C95F7" w14:textId="1F8213C7" w:rsidR="0011106C" w:rsidRDefault="0011106C" w:rsidP="00D75109">
      <w:pPr>
        <w:rPr>
          <w:rFonts w:ascii="AdvOTef299c07.I" w:hAnsi="AdvOTef299c07.I" w:cs="AdvOTef299c07.I"/>
          <w:sz w:val="26"/>
          <w:szCs w:val="26"/>
        </w:rPr>
      </w:pPr>
    </w:p>
    <w:p w14:paraId="5C3D741C" w14:textId="6F458537" w:rsidR="0011106C" w:rsidRPr="00677D5E" w:rsidRDefault="0011106C" w:rsidP="00D75109">
      <w:pPr>
        <w:rPr>
          <w:rFonts w:ascii="AdvOTef299c07.I" w:hAnsi="AdvOTef299c07.I" w:cs="AdvOTef299c07.I"/>
          <w:sz w:val="26"/>
          <w:szCs w:val="26"/>
        </w:rPr>
      </w:pPr>
      <w:r>
        <w:rPr>
          <w:rFonts w:ascii="AdvOTef299c07.I" w:hAnsi="AdvOTef299c07.I" w:cs="AdvOTef299c07.I"/>
          <w:sz w:val="26"/>
          <w:szCs w:val="26"/>
        </w:rPr>
        <w:t xml:space="preserve">Again </w:t>
      </w:r>
      <w:r w:rsidR="00A12FB7">
        <w:rPr>
          <w:rFonts w:ascii="AdvOTef299c07.I" w:hAnsi="AdvOTef299c07.I" w:cs="AdvOTef299c07.I"/>
          <w:sz w:val="26"/>
          <w:szCs w:val="26"/>
        </w:rPr>
        <w:t>this work demonstrates that there are numerous avenues for research and that there is also an importance to cross reference and not rely upon one source.</w:t>
      </w:r>
    </w:p>
    <w:p w14:paraId="7EBF4483" w14:textId="77777777" w:rsidR="001A7A3A" w:rsidRDefault="001A7A3A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p w14:paraId="5D1BE71B" w14:textId="77777777" w:rsidR="00876A50" w:rsidRPr="00913534" w:rsidRDefault="00876A50">
      <w:pPr>
        <w:rPr>
          <w:rFonts w:ascii="Comic Sans MS" w:hAnsi="Comic Sans MS" w:cs="Segoe UI"/>
          <w:sz w:val="28"/>
          <w:szCs w:val="28"/>
          <w:shd w:val="clear" w:color="auto" w:fill="FBF7F5"/>
        </w:rPr>
      </w:pPr>
    </w:p>
    <w:sectPr w:rsidR="00876A50" w:rsidRPr="00913534" w:rsidSect="00D122C6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dvOT0c01107a+2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dvOT0c01107a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dvOTda3659c3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dvOTef299c07.I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970"/>
    <w:rsid w:val="00003A25"/>
    <w:rsid w:val="000124F3"/>
    <w:rsid w:val="0004297A"/>
    <w:rsid w:val="0009590B"/>
    <w:rsid w:val="00095C0A"/>
    <w:rsid w:val="00102C9D"/>
    <w:rsid w:val="0011106C"/>
    <w:rsid w:val="00112503"/>
    <w:rsid w:val="00195C0C"/>
    <w:rsid w:val="0019714D"/>
    <w:rsid w:val="001A7A3A"/>
    <w:rsid w:val="00263551"/>
    <w:rsid w:val="002D1C74"/>
    <w:rsid w:val="003503C9"/>
    <w:rsid w:val="003674EA"/>
    <w:rsid w:val="0038759B"/>
    <w:rsid w:val="003C292F"/>
    <w:rsid w:val="003C5402"/>
    <w:rsid w:val="0045436C"/>
    <w:rsid w:val="00566952"/>
    <w:rsid w:val="00641114"/>
    <w:rsid w:val="00674F33"/>
    <w:rsid w:val="00677D5E"/>
    <w:rsid w:val="00731E48"/>
    <w:rsid w:val="00735E23"/>
    <w:rsid w:val="007D2ED5"/>
    <w:rsid w:val="0086756A"/>
    <w:rsid w:val="00876A50"/>
    <w:rsid w:val="0088635A"/>
    <w:rsid w:val="008D4C70"/>
    <w:rsid w:val="008F0D9A"/>
    <w:rsid w:val="00913534"/>
    <w:rsid w:val="00964DCB"/>
    <w:rsid w:val="009A3DBC"/>
    <w:rsid w:val="009B0C91"/>
    <w:rsid w:val="009D1107"/>
    <w:rsid w:val="009F0170"/>
    <w:rsid w:val="009F07DB"/>
    <w:rsid w:val="00A12FB7"/>
    <w:rsid w:val="00B959E6"/>
    <w:rsid w:val="00BA7F5C"/>
    <w:rsid w:val="00BC65C3"/>
    <w:rsid w:val="00CC5970"/>
    <w:rsid w:val="00CD01E3"/>
    <w:rsid w:val="00D122C6"/>
    <w:rsid w:val="00D23DDB"/>
    <w:rsid w:val="00D75109"/>
    <w:rsid w:val="00D85D05"/>
    <w:rsid w:val="00DC24D2"/>
    <w:rsid w:val="00DC3729"/>
    <w:rsid w:val="00E02B1A"/>
    <w:rsid w:val="00E44129"/>
    <w:rsid w:val="00E86DB0"/>
    <w:rsid w:val="00ED655F"/>
    <w:rsid w:val="00F03D1E"/>
    <w:rsid w:val="00F15020"/>
    <w:rsid w:val="00F23CD9"/>
    <w:rsid w:val="00F33738"/>
    <w:rsid w:val="00F37A92"/>
    <w:rsid w:val="00F50368"/>
    <w:rsid w:val="00F56AC6"/>
    <w:rsid w:val="00F77237"/>
    <w:rsid w:val="00F904A8"/>
    <w:rsid w:val="00FC3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501E2"/>
  <w15:chartTrackingRefBased/>
  <w15:docId w15:val="{D066EC3C-13B5-45F7-AB77-B4D08B34A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122C6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D122C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oodle.uwtsd.ac.uk/pluginfile.php/425683/mod_resource/content/1/Welsh%20History%20Review%20June%2020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</TotalTime>
  <Pages>3</Pages>
  <Words>564</Words>
  <Characters>3218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Jane Fullwood (1805948)</dc:creator>
  <cp:keywords/>
  <dc:description/>
  <cp:lastModifiedBy>Susan Jane Fullwood (1805948)</cp:lastModifiedBy>
  <cp:revision>61</cp:revision>
  <dcterms:created xsi:type="dcterms:W3CDTF">2021-10-11T12:05:00Z</dcterms:created>
  <dcterms:modified xsi:type="dcterms:W3CDTF">2021-10-11T23:00:00Z</dcterms:modified>
</cp:coreProperties>
</file>