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97D89F" w14:textId="1BEEC362" w:rsidR="006E2ED6" w:rsidRDefault="005B12F6">
      <w:pPr>
        <w:rPr>
          <w:noProof/>
        </w:rPr>
      </w:pPr>
      <w:r>
        <w:rPr>
          <w:noProof/>
        </w:rPr>
        <w:drawing>
          <wp:inline distT="0" distB="0" distL="0" distR="0" wp14:anchorId="44E2BBA3" wp14:editId="46D70874">
            <wp:extent cx="2679065" cy="1119773"/>
            <wp:effectExtent l="0" t="0" r="6985" b="4445"/>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93419" cy="1125772"/>
                    </a:xfrm>
                    <a:prstGeom prst="rect">
                      <a:avLst/>
                    </a:prstGeom>
                    <a:noFill/>
                    <a:ln>
                      <a:noFill/>
                    </a:ln>
                  </pic:spPr>
                </pic:pic>
              </a:graphicData>
            </a:graphic>
          </wp:inline>
        </w:drawing>
      </w:r>
    </w:p>
    <w:p w14:paraId="5E4756E1" w14:textId="71DCE275" w:rsidR="008643A0" w:rsidRDefault="008643A0" w:rsidP="008643A0">
      <w:pPr>
        <w:spacing w:before="100" w:beforeAutospacing="1" w:after="100" w:afterAutospacing="1" w:line="240" w:lineRule="auto"/>
        <w:outlineLvl w:val="1"/>
        <w:rPr>
          <w:b/>
          <w:bCs/>
        </w:rPr>
      </w:pPr>
      <w:r w:rsidRPr="008643A0">
        <w:rPr>
          <w:b/>
          <w:bCs/>
        </w:rPr>
        <w:t>Programme: BSc (Hons) Health and Social Care Module: Changemakers</w:t>
      </w:r>
    </w:p>
    <w:p w14:paraId="282F879C" w14:textId="6BB01CA2" w:rsidR="008643A0" w:rsidRPr="008643A0" w:rsidRDefault="008643A0" w:rsidP="008643A0">
      <w:pPr>
        <w:spacing w:before="100" w:beforeAutospacing="1" w:after="100" w:afterAutospacing="1" w:line="240" w:lineRule="auto"/>
        <w:outlineLvl w:val="1"/>
      </w:pPr>
      <w:r w:rsidRPr="008643A0">
        <w:rPr>
          <w:b/>
          <w:bCs/>
        </w:rPr>
        <w:t xml:space="preserve"> Creativity and Value Creation Module code: </w:t>
      </w:r>
      <w:r w:rsidRPr="008643A0">
        <w:t xml:space="preserve">BMHP5014 Contribution to Overall Module Assessment </w:t>
      </w:r>
    </w:p>
    <w:p w14:paraId="0F0E7120" w14:textId="77777777" w:rsidR="00AA1DF5" w:rsidRPr="00AA1DF5" w:rsidRDefault="00AA1DF5" w:rsidP="00AA1DF5"/>
    <w:p w14:paraId="75C9A788" w14:textId="5F664D20" w:rsidR="00AA1DF5" w:rsidRDefault="00AA1DF5" w:rsidP="00AA1DF5">
      <w:pPr>
        <w:tabs>
          <w:tab w:val="left" w:pos="2795"/>
        </w:tabs>
      </w:pPr>
    </w:p>
    <w:p w14:paraId="6AA96218" w14:textId="5DA57CF6" w:rsidR="008643A0" w:rsidRDefault="008643A0" w:rsidP="008643A0">
      <w:pPr>
        <w:spacing w:before="100" w:beforeAutospacing="1" w:after="100" w:afterAutospacing="1" w:line="240" w:lineRule="auto"/>
        <w:outlineLvl w:val="1"/>
      </w:pPr>
      <w:r w:rsidRPr="008643A0">
        <w:rPr>
          <w:b/>
          <w:bCs/>
        </w:rPr>
        <w:t>Student name</w:t>
      </w:r>
      <w:r>
        <w:t>:</w:t>
      </w:r>
      <w:r>
        <w:t xml:space="preserve"> </w:t>
      </w:r>
      <w:proofErr w:type="spellStart"/>
      <w:r>
        <w:t>Bouadoua</w:t>
      </w:r>
      <w:proofErr w:type="spellEnd"/>
      <w:r>
        <w:t xml:space="preserve"> </w:t>
      </w:r>
      <w:proofErr w:type="spellStart"/>
      <w:r>
        <w:t>sylvie</w:t>
      </w:r>
      <w:proofErr w:type="spellEnd"/>
      <w:r>
        <w:t xml:space="preserve"> Kouao</w:t>
      </w:r>
    </w:p>
    <w:p w14:paraId="507B80C7" w14:textId="77777777" w:rsidR="008643A0" w:rsidRDefault="008643A0" w:rsidP="008643A0">
      <w:pPr>
        <w:spacing w:before="100" w:beforeAutospacing="1" w:after="100" w:afterAutospacing="1" w:line="240" w:lineRule="auto"/>
        <w:outlineLvl w:val="1"/>
      </w:pPr>
    </w:p>
    <w:p w14:paraId="169CF10F" w14:textId="090EB2CF" w:rsidR="008643A0" w:rsidRDefault="008643A0" w:rsidP="008643A0">
      <w:pPr>
        <w:spacing w:before="100" w:beforeAutospacing="1" w:after="100" w:afterAutospacing="1" w:line="240" w:lineRule="auto"/>
        <w:outlineLvl w:val="1"/>
      </w:pPr>
      <w:r w:rsidRPr="008643A0">
        <w:rPr>
          <w:b/>
          <w:bCs/>
        </w:rPr>
        <w:t>Student ID number:</w:t>
      </w:r>
      <w:r>
        <w:t xml:space="preserve"> </w:t>
      </w:r>
      <w:r w:rsidR="00DF2790">
        <w:t>2417904</w:t>
      </w:r>
    </w:p>
    <w:p w14:paraId="35B24668" w14:textId="77777777" w:rsidR="008643A0" w:rsidRDefault="008643A0" w:rsidP="008643A0">
      <w:pPr>
        <w:spacing w:before="100" w:beforeAutospacing="1" w:after="100" w:afterAutospacing="1" w:line="240" w:lineRule="auto"/>
        <w:outlineLvl w:val="1"/>
      </w:pPr>
    </w:p>
    <w:p w14:paraId="31C827F5" w14:textId="0985887E" w:rsidR="008643A0" w:rsidRDefault="008643A0" w:rsidP="008643A0">
      <w:pPr>
        <w:spacing w:before="100" w:beforeAutospacing="1" w:after="100" w:afterAutospacing="1" w:line="240" w:lineRule="auto"/>
        <w:outlineLvl w:val="1"/>
      </w:pPr>
      <w:r>
        <w:t xml:space="preserve"> </w:t>
      </w:r>
      <w:r w:rsidRPr="008643A0">
        <w:rPr>
          <w:b/>
          <w:bCs/>
        </w:rPr>
        <w:t>Lecturer</w:t>
      </w:r>
      <w:r>
        <w:rPr>
          <w:b/>
          <w:bCs/>
        </w:rPr>
        <w:t xml:space="preserve"> Name</w:t>
      </w:r>
      <w:r w:rsidRPr="008643A0">
        <w:t>:  Laila Surani</w:t>
      </w:r>
      <w:r w:rsidRPr="008643A0">
        <w:rPr>
          <w:b/>
          <w:bCs/>
        </w:rPr>
        <w:t xml:space="preserve"> </w:t>
      </w:r>
    </w:p>
    <w:p w14:paraId="49697732" w14:textId="77777777" w:rsidR="008643A0" w:rsidRDefault="008643A0" w:rsidP="008643A0">
      <w:pPr>
        <w:spacing w:before="100" w:beforeAutospacing="1" w:after="100" w:afterAutospacing="1" w:line="240" w:lineRule="auto"/>
        <w:outlineLvl w:val="1"/>
      </w:pPr>
    </w:p>
    <w:p w14:paraId="2AC84AE5" w14:textId="29B5A222" w:rsidR="008643A0" w:rsidRPr="008643A0" w:rsidRDefault="008643A0" w:rsidP="008643A0">
      <w:pPr>
        <w:spacing w:before="100" w:beforeAutospacing="1" w:after="100" w:afterAutospacing="1" w:line="240" w:lineRule="auto"/>
        <w:outlineLvl w:val="1"/>
      </w:pPr>
      <w:r>
        <w:t xml:space="preserve"> </w:t>
      </w:r>
      <w:r w:rsidRPr="008643A0">
        <w:rPr>
          <w:b/>
          <w:bCs/>
        </w:rPr>
        <w:t>Assignment Title</w:t>
      </w:r>
      <w:r>
        <w:t xml:space="preserve"> </w:t>
      </w:r>
      <w:r w:rsidRPr="008643A0">
        <w:rPr>
          <w:b/>
          <w:bCs/>
        </w:rPr>
        <w:t>Component 2</w:t>
      </w:r>
      <w:r>
        <w:t>:</w:t>
      </w:r>
      <w:r>
        <w:t xml:space="preserve"> </w:t>
      </w:r>
      <w:r>
        <w:t xml:space="preserve"> Assignment (Report) Word count (or equivalent): 2,000 words</w:t>
      </w:r>
    </w:p>
    <w:p w14:paraId="60EE0337" w14:textId="77777777" w:rsidR="008643A0" w:rsidRDefault="008643A0" w:rsidP="008643A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5FE2E86" w14:textId="77777777" w:rsidR="008643A0" w:rsidRDefault="008643A0" w:rsidP="008643A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34B807B" w14:textId="77777777" w:rsidR="008643A0" w:rsidRDefault="008643A0" w:rsidP="008643A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28CB232" w14:textId="77777777" w:rsidR="008643A0" w:rsidRDefault="008643A0" w:rsidP="008643A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A9CF4E5" w14:textId="77777777" w:rsidR="008643A0" w:rsidRDefault="008643A0" w:rsidP="008643A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26BA8AB" w14:textId="77777777" w:rsidR="008643A0" w:rsidRDefault="008643A0" w:rsidP="008643A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73279CB" w14:textId="77777777" w:rsidR="008643A0" w:rsidRDefault="008643A0" w:rsidP="008643A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2956548" w14:textId="77777777" w:rsidR="008643A0" w:rsidRPr="00D55AB5" w:rsidRDefault="008643A0" w:rsidP="008643A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roofErr w:type="spellStart"/>
      <w:r w:rsidRPr="00D55AB5">
        <w:rPr>
          <w:rFonts w:ascii="Times New Roman" w:eastAsia="Times New Roman" w:hAnsi="Times New Roman" w:cs="Times New Roman"/>
          <w:b/>
          <w:bCs/>
          <w:kern w:val="0"/>
          <w:sz w:val="36"/>
          <w:szCs w:val="36"/>
          <w:lang w:eastAsia="en-GB"/>
          <w14:ligatures w14:val="none"/>
        </w:rPr>
        <w:lastRenderedPageBreak/>
        <w:t>MediSafe</w:t>
      </w:r>
      <w:proofErr w:type="spellEnd"/>
      <w:r w:rsidRPr="00D55AB5">
        <w:rPr>
          <w:rFonts w:ascii="Times New Roman" w:eastAsia="Times New Roman" w:hAnsi="Times New Roman" w:cs="Times New Roman"/>
          <w:b/>
          <w:bCs/>
          <w:kern w:val="0"/>
          <w:sz w:val="36"/>
          <w:szCs w:val="36"/>
          <w:lang w:eastAsia="en-GB"/>
          <w14:ligatures w14:val="none"/>
        </w:rPr>
        <w:t>: A Digital Solution to Reduce Medication Errors in Health and Social Care</w:t>
      </w:r>
    </w:p>
    <w:p w14:paraId="785B549E"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Medication errors remain a persistent and preventable issue within health and social care systems, posing a serious threat to patient safety. The World Health Organization estimates that medication errors cause severe harm to millions of patients globally each year and cost approximately $42 billion annually (WHO, 2017). Within the United Kingdom, errors occur across all stages of the medication process, including prescribing, dispensing, and administration, resulting in significant clinical and economic consequences (Elliott et al., 2018). These errors are often linked to systemic issues such as workload pressures, communication failures, and the inadequate use of technology, highlighting the need for innovative, system-based solutions rather than individual blame.</w:t>
      </w:r>
    </w:p>
    <w:p w14:paraId="62CA2CF4"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D55AB5">
        <w:rPr>
          <w:rFonts w:ascii="Times New Roman" w:eastAsia="Times New Roman" w:hAnsi="Times New Roman" w:cs="Times New Roman"/>
          <w:kern w:val="0"/>
          <w:lang w:eastAsia="en-GB"/>
          <w14:ligatures w14:val="none"/>
        </w:rPr>
        <w:t>MediSafe</w:t>
      </w:r>
      <w:proofErr w:type="spellEnd"/>
      <w:r w:rsidRPr="00D55AB5">
        <w:rPr>
          <w:rFonts w:ascii="Times New Roman" w:eastAsia="Times New Roman" w:hAnsi="Times New Roman" w:cs="Times New Roman"/>
          <w:kern w:val="0"/>
          <w:lang w:eastAsia="en-GB"/>
          <w14:ligatures w14:val="none"/>
        </w:rPr>
        <w:t xml:space="preserve"> is a proposed digital intervention designed to reduce medication errors through the integration of barcode medication administration (BCMA), artificial intelligence (AI), and electronic prescribing systems. This innovation adopts a proactive approach by preventing errors before they occur, aligning with contemporary patient safety frameworks that emphasise system-wide improvement (NHS England, 2019). By combining technological tools with professional practice, </w:t>
      </w:r>
      <w:proofErr w:type="spellStart"/>
      <w:r w:rsidRPr="00D55AB5">
        <w:rPr>
          <w:rFonts w:ascii="Times New Roman" w:eastAsia="Times New Roman" w:hAnsi="Times New Roman" w:cs="Times New Roman"/>
          <w:kern w:val="0"/>
          <w:lang w:eastAsia="en-GB"/>
          <w14:ligatures w14:val="none"/>
        </w:rPr>
        <w:t>MediSafe</w:t>
      </w:r>
      <w:proofErr w:type="spellEnd"/>
      <w:r w:rsidRPr="00D55AB5">
        <w:rPr>
          <w:rFonts w:ascii="Times New Roman" w:eastAsia="Times New Roman" w:hAnsi="Times New Roman" w:cs="Times New Roman"/>
          <w:kern w:val="0"/>
          <w:lang w:eastAsia="en-GB"/>
          <w14:ligatures w14:val="none"/>
        </w:rPr>
        <w:t xml:space="preserve"> aims to enhance accuracy, efficiency, and accountability within medication management processes.</w:t>
      </w:r>
    </w:p>
    <w:p w14:paraId="012B7AB7"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The primary users of </w:t>
      </w:r>
      <w:proofErr w:type="spellStart"/>
      <w:r w:rsidRPr="00D55AB5">
        <w:rPr>
          <w:rFonts w:ascii="Times New Roman" w:eastAsia="Times New Roman" w:hAnsi="Times New Roman" w:cs="Times New Roman"/>
          <w:kern w:val="0"/>
          <w:lang w:eastAsia="en-GB"/>
          <w14:ligatures w14:val="none"/>
        </w:rPr>
        <w:t>MediSafe</w:t>
      </w:r>
      <w:proofErr w:type="spellEnd"/>
      <w:r w:rsidRPr="00D55AB5">
        <w:rPr>
          <w:rFonts w:ascii="Times New Roman" w:eastAsia="Times New Roman" w:hAnsi="Times New Roman" w:cs="Times New Roman"/>
          <w:kern w:val="0"/>
          <w:lang w:eastAsia="en-GB"/>
          <w14:ligatures w14:val="none"/>
        </w:rPr>
        <w:t xml:space="preserve"> are healthcare professionals, including nurses, pharmacists, and doctors, who are directly responsible for prescribing and administering medication. However, the ultimate beneficiaries are patients, particularly vulnerable populations such as older adults and individuals experiencing polypharmacy. These groups are disproportionately affected by medication errors due to complex treatment regimens and age-related physiological changes (NICE, 2021). Addressing these disparities contributes to reducing health inequalities and promoting equitable healthcare outcomes, which is a key priority within UK health policy.</w:t>
      </w:r>
    </w:p>
    <w:p w14:paraId="7C0F6B6F"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The implementation of </w:t>
      </w:r>
      <w:proofErr w:type="spellStart"/>
      <w:r w:rsidRPr="00D55AB5">
        <w:rPr>
          <w:rFonts w:ascii="Times New Roman" w:eastAsia="Times New Roman" w:hAnsi="Times New Roman" w:cs="Times New Roman"/>
          <w:kern w:val="0"/>
          <w:lang w:eastAsia="en-GB"/>
          <w14:ligatures w14:val="none"/>
        </w:rPr>
        <w:t>MediSafe</w:t>
      </w:r>
      <w:proofErr w:type="spellEnd"/>
      <w:r w:rsidRPr="00D55AB5">
        <w:rPr>
          <w:rFonts w:ascii="Times New Roman" w:eastAsia="Times New Roman" w:hAnsi="Times New Roman" w:cs="Times New Roman"/>
          <w:kern w:val="0"/>
          <w:lang w:eastAsia="en-GB"/>
          <w14:ligatures w14:val="none"/>
        </w:rPr>
        <w:t xml:space="preserve"> would take place across NHS hospitals, care homes, and community healthcare settings. The system would integrate with existing electronic health record (EHR) systems to ensure interoperability and continuity of care. At the point of administration, healthcare professionals would use barcode scanning to verify both patient identity and medication details. This process ensures adherence to the “five rights” of medication administration: the right patient, the right drug, the right dose, the right route, and the right time. Evidence suggests that BCMA systems significantly reduce medication administration errors and improve patient safety (Poon et al., 2010).</w:t>
      </w:r>
    </w:p>
    <w:p w14:paraId="769980ED"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In addition to barcode scanning, the AI component of </w:t>
      </w:r>
      <w:proofErr w:type="spellStart"/>
      <w:r w:rsidRPr="00D55AB5">
        <w:rPr>
          <w:rFonts w:ascii="Times New Roman" w:eastAsia="Times New Roman" w:hAnsi="Times New Roman" w:cs="Times New Roman"/>
          <w:kern w:val="0"/>
          <w:lang w:eastAsia="en-GB"/>
          <w14:ligatures w14:val="none"/>
        </w:rPr>
        <w:t>MediSafe</w:t>
      </w:r>
      <w:proofErr w:type="spellEnd"/>
      <w:r w:rsidRPr="00D55AB5">
        <w:rPr>
          <w:rFonts w:ascii="Times New Roman" w:eastAsia="Times New Roman" w:hAnsi="Times New Roman" w:cs="Times New Roman"/>
          <w:kern w:val="0"/>
          <w:lang w:eastAsia="en-GB"/>
          <w14:ligatures w14:val="none"/>
        </w:rPr>
        <w:t xml:space="preserve"> would provide real-time clinical decision support by analysing prescription data. This includes identifying potential drug interactions, contraindications, and dosage errors. Such features are particularly valuable in high-pressure clinical environments where cognitive overload may increase the likelihood of mistakes. Electronic prescribing further enhances safety by eliminating issues associated with illegible handwriting and miscommunication, which are well-documented contributors to medication errors (Elliott et al., 2018).</w:t>
      </w:r>
    </w:p>
    <w:p w14:paraId="79F3F65C"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From a regulatory perspective, </w:t>
      </w:r>
      <w:proofErr w:type="spellStart"/>
      <w:r w:rsidRPr="00D55AB5">
        <w:rPr>
          <w:rFonts w:ascii="Times New Roman" w:eastAsia="Times New Roman" w:hAnsi="Times New Roman" w:cs="Times New Roman"/>
          <w:kern w:val="0"/>
          <w:lang w:eastAsia="en-GB"/>
          <w14:ligatures w14:val="none"/>
        </w:rPr>
        <w:t>MediSafe</w:t>
      </w:r>
      <w:proofErr w:type="spellEnd"/>
      <w:r w:rsidRPr="00D55AB5">
        <w:rPr>
          <w:rFonts w:ascii="Times New Roman" w:eastAsia="Times New Roman" w:hAnsi="Times New Roman" w:cs="Times New Roman"/>
          <w:kern w:val="0"/>
          <w:lang w:eastAsia="en-GB"/>
          <w14:ligatures w14:val="none"/>
        </w:rPr>
        <w:t xml:space="preserve"> aligns with several key frameworks governing health and social care practice in the UK. The NHS Patient Safety Strategy emphasises the </w:t>
      </w:r>
      <w:r w:rsidRPr="00D55AB5">
        <w:rPr>
          <w:rFonts w:ascii="Times New Roman" w:eastAsia="Times New Roman" w:hAnsi="Times New Roman" w:cs="Times New Roman"/>
          <w:kern w:val="0"/>
          <w:lang w:eastAsia="en-GB"/>
          <w14:ligatures w14:val="none"/>
        </w:rPr>
        <w:lastRenderedPageBreak/>
        <w:t>importance of digital innovation and learning systems to reduce harm (NHS England, 2019). Additionally, the system complies with the General Data Protection Regulation (GDPR), ensuring that patient data is handled securely and ethically (Information Commissioner’s Office, 2023). Compliance with the Medicines and Healthcare products Regulatory Agency (MHRA) ensures that the technology meets safety and quality standards, while adherence to NICE guidelines supports evidence-based clinical practice.</w:t>
      </w:r>
    </w:p>
    <w:p w14:paraId="1F3F27C7"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Furthermore, </w:t>
      </w:r>
      <w:proofErr w:type="spellStart"/>
      <w:r w:rsidRPr="00D55AB5">
        <w:rPr>
          <w:rFonts w:ascii="Times New Roman" w:eastAsia="Times New Roman" w:hAnsi="Times New Roman" w:cs="Times New Roman"/>
          <w:kern w:val="0"/>
          <w:lang w:eastAsia="en-GB"/>
          <w14:ligatures w14:val="none"/>
        </w:rPr>
        <w:t>MediSafe</w:t>
      </w:r>
      <w:proofErr w:type="spellEnd"/>
      <w:r w:rsidRPr="00D55AB5">
        <w:rPr>
          <w:rFonts w:ascii="Times New Roman" w:eastAsia="Times New Roman" w:hAnsi="Times New Roman" w:cs="Times New Roman"/>
          <w:kern w:val="0"/>
          <w:lang w:eastAsia="en-GB"/>
          <w14:ligatures w14:val="none"/>
        </w:rPr>
        <w:t xml:space="preserve"> supports the principles outlined in the Health and Social Care Act 2008, particularly in relation to quality of care and patient safety. The Care Quality Commission (CQC) also emphasises safe medication management as a key inspection criterion, reinforcing the relevance of this innovation within regulatory frameworks. By aligning with these policies, </w:t>
      </w:r>
      <w:proofErr w:type="spellStart"/>
      <w:r w:rsidRPr="00D55AB5">
        <w:rPr>
          <w:rFonts w:ascii="Times New Roman" w:eastAsia="Times New Roman" w:hAnsi="Times New Roman" w:cs="Times New Roman"/>
          <w:kern w:val="0"/>
          <w:lang w:eastAsia="en-GB"/>
          <w14:ligatures w14:val="none"/>
        </w:rPr>
        <w:t>MediSafe</w:t>
      </w:r>
      <w:proofErr w:type="spellEnd"/>
      <w:r w:rsidRPr="00D55AB5">
        <w:rPr>
          <w:rFonts w:ascii="Times New Roman" w:eastAsia="Times New Roman" w:hAnsi="Times New Roman" w:cs="Times New Roman"/>
          <w:kern w:val="0"/>
          <w:lang w:eastAsia="en-GB"/>
          <w14:ligatures w14:val="none"/>
        </w:rPr>
        <w:t xml:space="preserve"> demonstrates both feasibility and compliance within the UK healthcare system.</w:t>
      </w:r>
    </w:p>
    <w:p w14:paraId="54E5B69D"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Despite its potential benefits, several challenges and limitations must be considered. The initial cost of implementing such a system may be substantial, particularly in terms of technology infrastructure, staff training, and system integration. Financial constraints within the NHS may pose barriers to widespread adoption. Additionally, there may be resistance from healthcare professionals who are unfamiliar with new technologies or concerned about increased workload during the transition period. Addressing these challenges requires effective change management strategies, including staff training, stakeholder engagement, and phased implementation.</w:t>
      </w:r>
    </w:p>
    <w:p w14:paraId="0B9B7D28"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Another limitation is the potential for overreliance on technology. While AI and digital systems can significantly reduce human error, they are not infallible and may introduce new risks, such as system failures or incorrect algorithm outputs. Therefore, </w:t>
      </w:r>
      <w:proofErr w:type="spellStart"/>
      <w:r w:rsidRPr="00D55AB5">
        <w:rPr>
          <w:rFonts w:ascii="Times New Roman" w:eastAsia="Times New Roman" w:hAnsi="Times New Roman" w:cs="Times New Roman"/>
          <w:kern w:val="0"/>
          <w:lang w:eastAsia="en-GB"/>
          <w14:ligatures w14:val="none"/>
        </w:rPr>
        <w:t>MediSafe</w:t>
      </w:r>
      <w:proofErr w:type="spellEnd"/>
      <w:r w:rsidRPr="00D55AB5">
        <w:rPr>
          <w:rFonts w:ascii="Times New Roman" w:eastAsia="Times New Roman" w:hAnsi="Times New Roman" w:cs="Times New Roman"/>
          <w:kern w:val="0"/>
          <w:lang w:eastAsia="en-GB"/>
          <w14:ligatures w14:val="none"/>
        </w:rPr>
        <w:t xml:space="preserve"> must be used to support, rather than replace, professional judgement. Maintaining a balance between technological assistance and human oversight is critical to ensuring safe and effective care.</w:t>
      </w:r>
    </w:p>
    <w:p w14:paraId="671D0C05"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Dissemination and promotion are key to the successful adoption of </w:t>
      </w:r>
      <w:proofErr w:type="spellStart"/>
      <w:r w:rsidRPr="00D55AB5">
        <w:rPr>
          <w:rFonts w:ascii="Times New Roman" w:eastAsia="Times New Roman" w:hAnsi="Times New Roman" w:cs="Times New Roman"/>
          <w:kern w:val="0"/>
          <w:lang w:eastAsia="en-GB"/>
          <w14:ligatures w14:val="none"/>
        </w:rPr>
        <w:t>MediSafe</w:t>
      </w:r>
      <w:proofErr w:type="spellEnd"/>
      <w:r w:rsidRPr="00D55AB5">
        <w:rPr>
          <w:rFonts w:ascii="Times New Roman" w:eastAsia="Times New Roman" w:hAnsi="Times New Roman" w:cs="Times New Roman"/>
          <w:kern w:val="0"/>
          <w:lang w:eastAsia="en-GB"/>
          <w14:ligatures w14:val="none"/>
        </w:rPr>
        <w:t>. The innovation would be introduced through NHS training programmes, workshops, and continuous professional development initiatives. Academic publications and healthcare conferences would be used to present evidence of its effectiveness, while collaboration with professional bodies would enhance credibility. Public awareness campaigns could also play a role in promoting medication safety and encouraging patient engagement.</w:t>
      </w:r>
    </w:p>
    <w:p w14:paraId="60630743"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Patient involvement is a crucial aspect of this innovation. Encouraging individuals to actively participate in their care, such as by confirming their medications and asking questions, aligns with person-centred care principles. This approach not only improves safety outcomes but also fosters trust and transparency within healthcare relationships (WHO, 2017). Engaging patients as partners in safety represents a cultural shift that complements technological advancements.</w:t>
      </w:r>
    </w:p>
    <w:p w14:paraId="521A8150"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In conclusion, </w:t>
      </w:r>
      <w:proofErr w:type="spellStart"/>
      <w:r w:rsidRPr="00D55AB5">
        <w:rPr>
          <w:rFonts w:ascii="Times New Roman" w:eastAsia="Times New Roman" w:hAnsi="Times New Roman" w:cs="Times New Roman"/>
          <w:kern w:val="0"/>
          <w:lang w:eastAsia="en-GB"/>
          <w14:ligatures w14:val="none"/>
        </w:rPr>
        <w:t>MediSafe</w:t>
      </w:r>
      <w:proofErr w:type="spellEnd"/>
      <w:r w:rsidRPr="00D55AB5">
        <w:rPr>
          <w:rFonts w:ascii="Times New Roman" w:eastAsia="Times New Roman" w:hAnsi="Times New Roman" w:cs="Times New Roman"/>
          <w:kern w:val="0"/>
          <w:lang w:eastAsia="en-GB"/>
          <w14:ligatures w14:val="none"/>
        </w:rPr>
        <w:t xml:space="preserve"> offers a comprehensive and forward-thinking solution to the ongoing challenge of medication errors in health and social care. By integrating advanced technologies with existing healthcare systems, it addresses critical gaps in patient safety while supporting healthcare professionals in their roles. Although challenges related to cost, implementation, and technological reliance exist, these can be mitigated through careful planning and stakeholder engagement. Ultimately, </w:t>
      </w:r>
      <w:proofErr w:type="spellStart"/>
      <w:r w:rsidRPr="00D55AB5">
        <w:rPr>
          <w:rFonts w:ascii="Times New Roman" w:eastAsia="Times New Roman" w:hAnsi="Times New Roman" w:cs="Times New Roman"/>
          <w:kern w:val="0"/>
          <w:lang w:eastAsia="en-GB"/>
          <w14:ligatures w14:val="none"/>
        </w:rPr>
        <w:t>MediSafe</w:t>
      </w:r>
      <w:proofErr w:type="spellEnd"/>
      <w:r w:rsidRPr="00D55AB5">
        <w:rPr>
          <w:rFonts w:ascii="Times New Roman" w:eastAsia="Times New Roman" w:hAnsi="Times New Roman" w:cs="Times New Roman"/>
          <w:kern w:val="0"/>
          <w:lang w:eastAsia="en-GB"/>
          <w14:ligatures w14:val="none"/>
        </w:rPr>
        <w:t xml:space="preserve"> has the potential to significantly reduce avoidable harm, improve patient outcomes, and enhance the overall quality of </w:t>
      </w:r>
      <w:r w:rsidRPr="00D55AB5">
        <w:rPr>
          <w:rFonts w:ascii="Times New Roman" w:eastAsia="Times New Roman" w:hAnsi="Times New Roman" w:cs="Times New Roman"/>
          <w:kern w:val="0"/>
          <w:lang w:eastAsia="en-GB"/>
          <w14:ligatures w14:val="none"/>
        </w:rPr>
        <w:lastRenderedPageBreak/>
        <w:t>healthcare delivery. Its adoption represents an important step towards a safer and more efficient healthcare system.</w:t>
      </w:r>
    </w:p>
    <w:p w14:paraId="5DDFAA16" w14:textId="77777777" w:rsidR="008643A0" w:rsidRPr="00D55AB5" w:rsidRDefault="008643A0" w:rsidP="008643A0">
      <w:pPr>
        <w:spacing w:after="0" w:line="240" w:lineRule="auto"/>
        <w:rPr>
          <w:rFonts w:ascii="Times New Roman" w:eastAsia="Times New Roman" w:hAnsi="Times New Roman" w:cs="Times New Roman"/>
          <w:kern w:val="0"/>
          <w:lang w:eastAsia="en-GB"/>
          <w14:ligatures w14:val="none"/>
        </w:rPr>
      </w:pPr>
    </w:p>
    <w:p w14:paraId="688CE788" w14:textId="77777777" w:rsidR="008643A0" w:rsidRPr="00D55AB5" w:rsidRDefault="008643A0" w:rsidP="008643A0">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55AB5">
        <w:rPr>
          <w:rFonts w:ascii="Times New Roman" w:eastAsia="Times New Roman" w:hAnsi="Times New Roman" w:cs="Times New Roman"/>
          <w:b/>
          <w:bCs/>
          <w:kern w:val="36"/>
          <w:sz w:val="48"/>
          <w:szCs w:val="48"/>
          <w:lang w:eastAsia="en-GB"/>
          <w14:ligatures w14:val="none"/>
        </w:rPr>
        <w:t xml:space="preserve">REFERENCE </w:t>
      </w:r>
    </w:p>
    <w:p w14:paraId="009B2892"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Elliott, R.A. et al. (2018) </w:t>
      </w:r>
      <w:r w:rsidRPr="00D55AB5">
        <w:rPr>
          <w:rFonts w:ascii="Times New Roman" w:eastAsia="Times New Roman" w:hAnsi="Times New Roman" w:cs="Times New Roman"/>
          <w:i/>
          <w:iCs/>
          <w:kern w:val="0"/>
          <w:lang w:eastAsia="en-GB"/>
          <w14:ligatures w14:val="none"/>
        </w:rPr>
        <w:t>Prevalence and economic burden of medication errors in the NHS in England</w:t>
      </w:r>
      <w:r w:rsidRPr="00D55AB5">
        <w:rPr>
          <w:rFonts w:ascii="Times New Roman" w:eastAsia="Times New Roman" w:hAnsi="Times New Roman" w:cs="Times New Roman"/>
          <w:kern w:val="0"/>
          <w:lang w:eastAsia="en-GB"/>
          <w14:ligatures w14:val="none"/>
        </w:rPr>
        <w:t>. Sheffield: University of Sheffield.</w:t>
      </w:r>
    </w:p>
    <w:p w14:paraId="5B702C8C"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Information Commissioner’s Office (2023) </w:t>
      </w:r>
      <w:r w:rsidRPr="00D55AB5">
        <w:rPr>
          <w:rFonts w:ascii="Times New Roman" w:eastAsia="Times New Roman" w:hAnsi="Times New Roman" w:cs="Times New Roman"/>
          <w:i/>
          <w:iCs/>
          <w:kern w:val="0"/>
          <w:lang w:eastAsia="en-GB"/>
          <w14:ligatures w14:val="none"/>
        </w:rPr>
        <w:t>Guide to the General Data Protection Regulation (GDPR)</w:t>
      </w:r>
      <w:r w:rsidRPr="00D55AB5">
        <w:rPr>
          <w:rFonts w:ascii="Times New Roman" w:eastAsia="Times New Roman" w:hAnsi="Times New Roman" w:cs="Times New Roman"/>
          <w:kern w:val="0"/>
          <w:lang w:eastAsia="en-GB"/>
          <w14:ligatures w14:val="none"/>
        </w:rPr>
        <w:t xml:space="preserve">. Available at: </w:t>
      </w:r>
      <w:hyperlink r:id="rId5" w:tgtFrame="_new" w:history="1">
        <w:r w:rsidRPr="00D55AB5">
          <w:rPr>
            <w:rFonts w:ascii="Times New Roman" w:eastAsia="Times New Roman" w:hAnsi="Times New Roman" w:cs="Times New Roman"/>
            <w:color w:val="0000FF"/>
            <w:kern w:val="0"/>
            <w:u w:val="single"/>
            <w:lang w:eastAsia="en-GB"/>
            <w14:ligatures w14:val="none"/>
          </w:rPr>
          <w:t>https://ico.org.uk</w:t>
        </w:r>
      </w:hyperlink>
      <w:r w:rsidRPr="00D55AB5">
        <w:rPr>
          <w:rFonts w:ascii="Times New Roman" w:eastAsia="Times New Roman" w:hAnsi="Times New Roman" w:cs="Times New Roman"/>
          <w:kern w:val="0"/>
          <w:lang w:eastAsia="en-GB"/>
          <w14:ligatures w14:val="none"/>
        </w:rPr>
        <w:t xml:space="preserve"> (Accessed: 17 April 2026).</w:t>
      </w:r>
    </w:p>
    <w:p w14:paraId="7969E9F2"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NHS England (2019) </w:t>
      </w:r>
      <w:r w:rsidRPr="00D55AB5">
        <w:rPr>
          <w:rFonts w:ascii="Times New Roman" w:eastAsia="Times New Roman" w:hAnsi="Times New Roman" w:cs="Times New Roman"/>
          <w:i/>
          <w:iCs/>
          <w:kern w:val="0"/>
          <w:lang w:eastAsia="en-GB"/>
          <w14:ligatures w14:val="none"/>
        </w:rPr>
        <w:t>The NHS Patient Safety Strategy</w:t>
      </w:r>
      <w:r w:rsidRPr="00D55AB5">
        <w:rPr>
          <w:rFonts w:ascii="Times New Roman" w:eastAsia="Times New Roman" w:hAnsi="Times New Roman" w:cs="Times New Roman"/>
          <w:kern w:val="0"/>
          <w:lang w:eastAsia="en-GB"/>
          <w14:ligatures w14:val="none"/>
        </w:rPr>
        <w:t xml:space="preserve">. Available at: </w:t>
      </w:r>
      <w:hyperlink r:id="rId6" w:tgtFrame="_new" w:history="1">
        <w:r w:rsidRPr="00D55AB5">
          <w:rPr>
            <w:rFonts w:ascii="Times New Roman" w:eastAsia="Times New Roman" w:hAnsi="Times New Roman" w:cs="Times New Roman"/>
            <w:color w:val="0000FF"/>
            <w:kern w:val="0"/>
            <w:u w:val="single"/>
            <w:lang w:eastAsia="en-GB"/>
            <w14:ligatures w14:val="none"/>
          </w:rPr>
          <w:t>https://www.england.nhs.uk</w:t>
        </w:r>
      </w:hyperlink>
      <w:r w:rsidRPr="00D55AB5">
        <w:rPr>
          <w:rFonts w:ascii="Times New Roman" w:eastAsia="Times New Roman" w:hAnsi="Times New Roman" w:cs="Times New Roman"/>
          <w:kern w:val="0"/>
          <w:lang w:eastAsia="en-GB"/>
          <w14:ligatures w14:val="none"/>
        </w:rPr>
        <w:t xml:space="preserve"> (Accessed: 17 April 2026).</w:t>
      </w:r>
    </w:p>
    <w:p w14:paraId="6F40F494"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NICE (2021) </w:t>
      </w:r>
      <w:r w:rsidRPr="00D55AB5">
        <w:rPr>
          <w:rFonts w:ascii="Times New Roman" w:eastAsia="Times New Roman" w:hAnsi="Times New Roman" w:cs="Times New Roman"/>
          <w:i/>
          <w:iCs/>
          <w:kern w:val="0"/>
          <w:lang w:eastAsia="en-GB"/>
          <w14:ligatures w14:val="none"/>
        </w:rPr>
        <w:t>Medicines optimisation: the safe and effective use of medicines</w:t>
      </w:r>
      <w:r w:rsidRPr="00D55AB5">
        <w:rPr>
          <w:rFonts w:ascii="Times New Roman" w:eastAsia="Times New Roman" w:hAnsi="Times New Roman" w:cs="Times New Roman"/>
          <w:kern w:val="0"/>
          <w:lang w:eastAsia="en-GB"/>
          <w14:ligatures w14:val="none"/>
        </w:rPr>
        <w:t xml:space="preserve">. Available at: </w:t>
      </w:r>
      <w:hyperlink r:id="rId7" w:tgtFrame="_new" w:history="1">
        <w:r w:rsidRPr="00D55AB5">
          <w:rPr>
            <w:rFonts w:ascii="Times New Roman" w:eastAsia="Times New Roman" w:hAnsi="Times New Roman" w:cs="Times New Roman"/>
            <w:color w:val="0000FF"/>
            <w:kern w:val="0"/>
            <w:u w:val="single"/>
            <w:lang w:eastAsia="en-GB"/>
            <w14:ligatures w14:val="none"/>
          </w:rPr>
          <w:t>https://www.nice.org.uk</w:t>
        </w:r>
      </w:hyperlink>
      <w:r w:rsidRPr="00D55AB5">
        <w:rPr>
          <w:rFonts w:ascii="Times New Roman" w:eastAsia="Times New Roman" w:hAnsi="Times New Roman" w:cs="Times New Roman"/>
          <w:kern w:val="0"/>
          <w:lang w:eastAsia="en-GB"/>
          <w14:ligatures w14:val="none"/>
        </w:rPr>
        <w:t xml:space="preserve"> (Accessed: 17 April 2026).</w:t>
      </w:r>
    </w:p>
    <w:p w14:paraId="29F3C1C9"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Poon, E.G. et al. (2010) ‘Effect of barcode technology on medication administration safety’, </w:t>
      </w:r>
      <w:r w:rsidRPr="00D55AB5">
        <w:rPr>
          <w:rFonts w:ascii="Times New Roman" w:eastAsia="Times New Roman" w:hAnsi="Times New Roman" w:cs="Times New Roman"/>
          <w:i/>
          <w:iCs/>
          <w:kern w:val="0"/>
          <w:lang w:eastAsia="en-GB"/>
          <w14:ligatures w14:val="none"/>
        </w:rPr>
        <w:t>New England Journal of Medicine</w:t>
      </w:r>
      <w:r w:rsidRPr="00D55AB5">
        <w:rPr>
          <w:rFonts w:ascii="Times New Roman" w:eastAsia="Times New Roman" w:hAnsi="Times New Roman" w:cs="Times New Roman"/>
          <w:kern w:val="0"/>
          <w:lang w:eastAsia="en-GB"/>
          <w14:ligatures w14:val="none"/>
        </w:rPr>
        <w:t>, 362(18), pp. 1698–1707.</w:t>
      </w:r>
    </w:p>
    <w:p w14:paraId="075E04C7"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World Health Organization (2017) </w:t>
      </w:r>
      <w:r w:rsidRPr="00D55AB5">
        <w:rPr>
          <w:rFonts w:ascii="Times New Roman" w:eastAsia="Times New Roman" w:hAnsi="Times New Roman" w:cs="Times New Roman"/>
          <w:i/>
          <w:iCs/>
          <w:kern w:val="0"/>
          <w:lang w:eastAsia="en-GB"/>
          <w14:ligatures w14:val="none"/>
        </w:rPr>
        <w:t>Medication Without Harm</w:t>
      </w:r>
      <w:r w:rsidRPr="00D55AB5">
        <w:rPr>
          <w:rFonts w:ascii="Times New Roman" w:eastAsia="Times New Roman" w:hAnsi="Times New Roman" w:cs="Times New Roman"/>
          <w:kern w:val="0"/>
          <w:lang w:eastAsia="en-GB"/>
          <w14:ligatures w14:val="none"/>
        </w:rPr>
        <w:t>. Geneva: WHO.</w:t>
      </w:r>
    </w:p>
    <w:p w14:paraId="3CEA0815"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5AB5">
        <w:rPr>
          <w:rFonts w:ascii="Times New Roman" w:eastAsia="Times New Roman" w:hAnsi="Times New Roman" w:cs="Times New Roman"/>
          <w:kern w:val="0"/>
          <w:lang w:eastAsia="en-GB"/>
          <w14:ligatures w14:val="none"/>
        </w:rPr>
        <w:t xml:space="preserve">Care Quality Commission (2023) </w:t>
      </w:r>
      <w:r w:rsidRPr="00D55AB5">
        <w:rPr>
          <w:rFonts w:ascii="Times New Roman" w:eastAsia="Times New Roman" w:hAnsi="Times New Roman" w:cs="Times New Roman"/>
          <w:i/>
          <w:iCs/>
          <w:kern w:val="0"/>
          <w:lang w:eastAsia="en-GB"/>
          <w14:ligatures w14:val="none"/>
        </w:rPr>
        <w:t>Regulation and inspection framework</w:t>
      </w:r>
      <w:r w:rsidRPr="00D55AB5">
        <w:rPr>
          <w:rFonts w:ascii="Times New Roman" w:eastAsia="Times New Roman" w:hAnsi="Times New Roman" w:cs="Times New Roman"/>
          <w:kern w:val="0"/>
          <w:lang w:eastAsia="en-GB"/>
          <w14:ligatures w14:val="none"/>
        </w:rPr>
        <w:t xml:space="preserve">. Available at: </w:t>
      </w:r>
      <w:hyperlink r:id="rId8" w:tgtFrame="_new" w:history="1">
        <w:r w:rsidRPr="00D55AB5">
          <w:rPr>
            <w:rFonts w:ascii="Times New Roman" w:eastAsia="Times New Roman" w:hAnsi="Times New Roman" w:cs="Times New Roman"/>
            <w:color w:val="0000FF"/>
            <w:kern w:val="0"/>
            <w:u w:val="single"/>
            <w:lang w:eastAsia="en-GB"/>
            <w14:ligatures w14:val="none"/>
          </w:rPr>
          <w:t>https://www.cqc.org.uk</w:t>
        </w:r>
      </w:hyperlink>
      <w:r w:rsidRPr="00D55AB5">
        <w:rPr>
          <w:rFonts w:ascii="Times New Roman" w:eastAsia="Times New Roman" w:hAnsi="Times New Roman" w:cs="Times New Roman"/>
          <w:kern w:val="0"/>
          <w:lang w:eastAsia="en-GB"/>
          <w14:ligatures w14:val="none"/>
        </w:rPr>
        <w:t xml:space="preserve"> (Accessed: 17 April 2026).</w:t>
      </w:r>
    </w:p>
    <w:p w14:paraId="7944D389" w14:textId="77777777" w:rsidR="008643A0" w:rsidRDefault="008643A0" w:rsidP="008643A0">
      <w:pPr>
        <w:spacing w:before="100" w:beforeAutospacing="1" w:after="100" w:afterAutospacing="1" w:line="240" w:lineRule="auto"/>
        <w:outlineLvl w:val="1"/>
      </w:pPr>
    </w:p>
    <w:p w14:paraId="60741AAA" w14:textId="77777777" w:rsidR="008643A0" w:rsidRDefault="008643A0" w:rsidP="008643A0">
      <w:pPr>
        <w:rPr>
          <w:noProof/>
        </w:rPr>
      </w:pPr>
      <w:r w:rsidRPr="002624DB">
        <w:rPr>
          <w:noProof/>
        </w:rPr>
        <w:lastRenderedPageBreak/>
        <w:drawing>
          <wp:inline distT="0" distB="0" distL="0" distR="0" wp14:anchorId="05BB84B5" wp14:editId="05DED0D3">
            <wp:extent cx="6083300" cy="7715250"/>
            <wp:effectExtent l="0" t="0" r="0" b="0"/>
            <wp:docPr id="1631595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83300" cy="7715250"/>
                    </a:xfrm>
                    <a:prstGeom prst="rect">
                      <a:avLst/>
                    </a:prstGeom>
                    <a:noFill/>
                    <a:ln>
                      <a:noFill/>
                    </a:ln>
                  </pic:spPr>
                </pic:pic>
              </a:graphicData>
            </a:graphic>
          </wp:inline>
        </w:drawing>
      </w:r>
    </w:p>
    <w:p w14:paraId="612FDB2D" w14:textId="77777777" w:rsidR="008643A0" w:rsidRPr="00153A21" w:rsidRDefault="008643A0" w:rsidP="008643A0"/>
    <w:p w14:paraId="03F82B03" w14:textId="77777777" w:rsidR="008643A0" w:rsidRPr="00D55AB5" w:rsidRDefault="008643A0" w:rsidP="008643A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D55AB5">
        <w:rPr>
          <w:rFonts w:ascii="Times New Roman" w:eastAsia="Times New Roman" w:hAnsi="Times New Roman" w:cs="Times New Roman"/>
          <w:b/>
          <w:bCs/>
          <w:kern w:val="0"/>
          <w:sz w:val="36"/>
          <w:szCs w:val="36"/>
          <w:lang w:eastAsia="en-GB"/>
          <w14:ligatures w14:val="none"/>
        </w:rPr>
        <w:t>CONCLUSION</w:t>
      </w:r>
    </w:p>
    <w:p w14:paraId="6296C783" w14:textId="77777777" w:rsidR="008643A0" w:rsidRPr="00D55AB5" w:rsidRDefault="008643A0" w:rsidP="008643A0">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D55AB5">
        <w:rPr>
          <w:rFonts w:ascii="Times New Roman" w:eastAsia="Times New Roman" w:hAnsi="Times New Roman" w:cs="Times New Roman"/>
          <w:kern w:val="0"/>
          <w:lang w:eastAsia="en-GB"/>
          <w14:ligatures w14:val="none"/>
        </w:rPr>
        <w:lastRenderedPageBreak/>
        <w:t>MediSafe</w:t>
      </w:r>
      <w:proofErr w:type="spellEnd"/>
      <w:r w:rsidRPr="00D55AB5">
        <w:rPr>
          <w:rFonts w:ascii="Times New Roman" w:eastAsia="Times New Roman" w:hAnsi="Times New Roman" w:cs="Times New Roman"/>
          <w:kern w:val="0"/>
          <w:lang w:eastAsia="en-GB"/>
          <w14:ligatures w14:val="none"/>
        </w:rPr>
        <w:t xml:space="preserve"> provides a proactive, technology-driven solution to reduce medication errors, improve patient safety, and support a more efficient NHS.</w:t>
      </w:r>
    </w:p>
    <w:p w14:paraId="4D70D9FC" w14:textId="77777777" w:rsidR="008643A0" w:rsidRDefault="008643A0" w:rsidP="008643A0">
      <w:pPr>
        <w:rPr>
          <w:noProof/>
        </w:rPr>
      </w:pPr>
    </w:p>
    <w:p w14:paraId="7D6779E0" w14:textId="77777777" w:rsidR="008643A0" w:rsidRPr="00153A21" w:rsidRDefault="008643A0" w:rsidP="008643A0"/>
    <w:p w14:paraId="70BDE690" w14:textId="77777777" w:rsidR="00AA1DF5" w:rsidRPr="00AA1DF5" w:rsidRDefault="00AA1DF5" w:rsidP="00AA1DF5">
      <w:pPr>
        <w:tabs>
          <w:tab w:val="left" w:pos="2795"/>
        </w:tabs>
      </w:pPr>
    </w:p>
    <w:sectPr w:rsidR="00AA1DF5" w:rsidRPr="00AA1D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2F6"/>
    <w:rsid w:val="000726E2"/>
    <w:rsid w:val="00444502"/>
    <w:rsid w:val="00484E7B"/>
    <w:rsid w:val="00593B9F"/>
    <w:rsid w:val="005B12F6"/>
    <w:rsid w:val="006D64E7"/>
    <w:rsid w:val="006E2ED6"/>
    <w:rsid w:val="007D2713"/>
    <w:rsid w:val="008643A0"/>
    <w:rsid w:val="00963D8E"/>
    <w:rsid w:val="00A805BC"/>
    <w:rsid w:val="00AA1DF5"/>
    <w:rsid w:val="00AF078D"/>
    <w:rsid w:val="00DF2790"/>
    <w:rsid w:val="00E171F1"/>
    <w:rsid w:val="00EC3123"/>
    <w:rsid w:val="00F53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0A99E"/>
  <w15:chartTrackingRefBased/>
  <w15:docId w15:val="{666E0420-465F-4C98-8884-2410E7436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2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12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12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12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2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2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2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2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2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2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12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12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2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2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2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2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2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2F6"/>
    <w:rPr>
      <w:rFonts w:eastAsiaTheme="majorEastAsia" w:cstheme="majorBidi"/>
      <w:color w:val="272727" w:themeColor="text1" w:themeTint="D8"/>
    </w:rPr>
  </w:style>
  <w:style w:type="paragraph" w:styleId="Title">
    <w:name w:val="Title"/>
    <w:basedOn w:val="Normal"/>
    <w:next w:val="Normal"/>
    <w:link w:val="TitleChar"/>
    <w:uiPriority w:val="10"/>
    <w:qFormat/>
    <w:rsid w:val="005B12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2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2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2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2F6"/>
    <w:pPr>
      <w:spacing w:before="160"/>
      <w:jc w:val="center"/>
    </w:pPr>
    <w:rPr>
      <w:i/>
      <w:iCs/>
      <w:color w:val="404040" w:themeColor="text1" w:themeTint="BF"/>
    </w:rPr>
  </w:style>
  <w:style w:type="character" w:customStyle="1" w:styleId="QuoteChar">
    <w:name w:val="Quote Char"/>
    <w:basedOn w:val="DefaultParagraphFont"/>
    <w:link w:val="Quote"/>
    <w:uiPriority w:val="29"/>
    <w:rsid w:val="005B12F6"/>
    <w:rPr>
      <w:i/>
      <w:iCs/>
      <w:color w:val="404040" w:themeColor="text1" w:themeTint="BF"/>
    </w:rPr>
  </w:style>
  <w:style w:type="paragraph" w:styleId="ListParagraph">
    <w:name w:val="List Paragraph"/>
    <w:basedOn w:val="Normal"/>
    <w:uiPriority w:val="34"/>
    <w:qFormat/>
    <w:rsid w:val="005B12F6"/>
    <w:pPr>
      <w:ind w:left="720"/>
      <w:contextualSpacing/>
    </w:pPr>
  </w:style>
  <w:style w:type="character" w:styleId="IntenseEmphasis">
    <w:name w:val="Intense Emphasis"/>
    <w:basedOn w:val="DefaultParagraphFont"/>
    <w:uiPriority w:val="21"/>
    <w:qFormat/>
    <w:rsid w:val="005B12F6"/>
    <w:rPr>
      <w:i/>
      <w:iCs/>
      <w:color w:val="0F4761" w:themeColor="accent1" w:themeShade="BF"/>
    </w:rPr>
  </w:style>
  <w:style w:type="paragraph" w:styleId="IntenseQuote">
    <w:name w:val="Intense Quote"/>
    <w:basedOn w:val="Normal"/>
    <w:next w:val="Normal"/>
    <w:link w:val="IntenseQuoteChar"/>
    <w:uiPriority w:val="30"/>
    <w:qFormat/>
    <w:rsid w:val="005B12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2F6"/>
    <w:rPr>
      <w:i/>
      <w:iCs/>
      <w:color w:val="0F4761" w:themeColor="accent1" w:themeShade="BF"/>
    </w:rPr>
  </w:style>
  <w:style w:type="character" w:styleId="IntenseReference">
    <w:name w:val="Intense Reference"/>
    <w:basedOn w:val="DefaultParagraphFont"/>
    <w:uiPriority w:val="32"/>
    <w:qFormat/>
    <w:rsid w:val="005B12F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3" Type="http://schemas.openxmlformats.org/officeDocument/2006/relationships/webSettings" Target="webSettings.xml"/><Relationship Id="rId7" Type="http://schemas.openxmlformats.org/officeDocument/2006/relationships/hyperlink" Target="https://www.nice.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 TargetMode="External"/><Relationship Id="rId11" Type="http://schemas.openxmlformats.org/officeDocument/2006/relationships/theme" Target="theme/theme1.xml"/><Relationship Id="rId5" Type="http://schemas.openxmlformats.org/officeDocument/2006/relationships/hyperlink" Target="https://ico.org.uk" TargetMode="External"/><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1342</Words>
  <Characters>7651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Management 009345</dc:creator>
  <cp:keywords/>
  <dc:description/>
  <cp:lastModifiedBy>Management 009345</cp:lastModifiedBy>
  <cp:revision>2</cp:revision>
  <dcterms:created xsi:type="dcterms:W3CDTF">2026-04-25T11:34:00Z</dcterms:created>
  <dcterms:modified xsi:type="dcterms:W3CDTF">2026-04-25T11:34:00Z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cf4b7ae2-9f45-430e-8b14-dd95baff882d</vt:lpwstr>
  </property>
</Properties>
</file>