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1EB78" w14:textId="3C88519E" w:rsidR="00E104ED" w:rsidRDefault="008874A1">
      <w:pPr>
        <w:rPr>
          <w:b/>
          <w:bCs/>
          <w:u w:val="single"/>
        </w:rPr>
      </w:pPr>
      <w:r>
        <w:rPr>
          <w:b/>
          <w:bCs/>
          <w:u w:val="single"/>
        </w:rPr>
        <w:t>A farewell to Natural Theology</w:t>
      </w:r>
      <w:r w:rsidR="0063311E">
        <w:rPr>
          <w:b/>
          <w:bCs/>
          <w:u w:val="single"/>
        </w:rPr>
        <w:t>?</w:t>
      </w:r>
    </w:p>
    <w:p w14:paraId="727E44DE" w14:textId="77777777" w:rsidR="0028758E" w:rsidRDefault="0028758E">
      <w:pPr>
        <w:rPr>
          <w:b/>
          <w:bCs/>
          <w:u w:val="single"/>
        </w:rPr>
      </w:pPr>
    </w:p>
    <w:p w14:paraId="0982B706" w14:textId="24441BBC" w:rsidR="001C0A2B" w:rsidRDefault="003A58F9">
      <w:r>
        <w:t>As a working premise, theology may be defined as ‘the science of faith.’ The appeal of such a definition is that</w:t>
      </w:r>
      <w:r w:rsidR="00BE0EE3">
        <w:t xml:space="preserve"> </w:t>
      </w:r>
      <w:r w:rsidR="001C0A2B">
        <w:t xml:space="preserve">it </w:t>
      </w:r>
      <w:r w:rsidR="00BE0EE3">
        <w:t>crystalizes in three words</w:t>
      </w:r>
      <w:r w:rsidR="00E46B06">
        <w:t xml:space="preserve"> what may prove to be key points arising from the debate over natural theology. </w:t>
      </w:r>
      <w:r>
        <w:t xml:space="preserve"> </w:t>
      </w:r>
      <w:r w:rsidR="00E46B06">
        <w:t>First, it accords an intellectually authoritative status to the study of theology</w:t>
      </w:r>
      <w:r w:rsidR="007E522B">
        <w:t>,</w:t>
      </w:r>
      <w:r w:rsidR="00901DD9">
        <w:t xml:space="preserve"> </w:t>
      </w:r>
      <w:r w:rsidR="00E46B06">
        <w:t>without conceding a claimed or imagined higher status to other sciences</w:t>
      </w:r>
      <w:r w:rsidR="00901DD9">
        <w:t>. Secondly</w:t>
      </w:r>
      <w:r w:rsidR="00E46B06">
        <w:t xml:space="preserve">, it sets a clear boundary for what is permissible within its scope: </w:t>
      </w:r>
      <w:r w:rsidR="0020745B">
        <w:t>it</w:t>
      </w:r>
      <w:r w:rsidR="00E46B06">
        <w:t xml:space="preserve"> is a science – a field of </w:t>
      </w:r>
      <w:proofErr w:type="spellStart"/>
      <w:r w:rsidR="00E46B06">
        <w:t>ratiocinative</w:t>
      </w:r>
      <w:proofErr w:type="spellEnd"/>
      <w:r w:rsidR="00E46B06">
        <w:t xml:space="preserve"> activity – in which the </w:t>
      </w:r>
      <w:r w:rsidR="002B0601">
        <w:t>idiosyncratically</w:t>
      </w:r>
      <w:r w:rsidR="00E46B06">
        <w:t xml:space="preserve"> human activity of faith in God may be studied. </w:t>
      </w:r>
      <w:r w:rsidR="00991CB6">
        <w:t>From this, i</w:t>
      </w:r>
      <w:r w:rsidR="00552C94">
        <w:t>t follows that it</w:t>
      </w:r>
      <w:r w:rsidR="001C0A2B">
        <w:t xml:space="preserve"> </w:t>
      </w:r>
      <w:r w:rsidR="007E522B">
        <w:t>may be</w:t>
      </w:r>
      <w:r w:rsidR="001C0A2B">
        <w:t xml:space="preserve"> legitimate to exclude from its study those sciences which are not germane to that human activity. </w:t>
      </w:r>
      <w:r w:rsidR="00552C94">
        <w:t xml:space="preserve">It </w:t>
      </w:r>
      <w:r w:rsidR="00901DD9">
        <w:t>could thus be</w:t>
      </w:r>
      <w:r w:rsidR="003121DD">
        <w:t xml:space="preserve"> the case</w:t>
      </w:r>
      <w:r w:rsidR="00552C94">
        <w:t xml:space="preserve"> that </w:t>
      </w:r>
      <w:r w:rsidR="002B0601">
        <w:t xml:space="preserve">in </w:t>
      </w:r>
      <w:r w:rsidR="00552C94">
        <w:t>discussing</w:t>
      </w:r>
      <w:r w:rsidR="001C0A2B">
        <w:t xml:space="preserve"> </w:t>
      </w:r>
      <w:r w:rsidR="00552C94">
        <w:t xml:space="preserve">the idea </w:t>
      </w:r>
      <w:r w:rsidR="001C0A2B">
        <w:t xml:space="preserve">of natural theology </w:t>
      </w:r>
      <w:r w:rsidR="002B0601">
        <w:t xml:space="preserve">we come to a better understanding of what theology </w:t>
      </w:r>
      <w:r w:rsidR="008A58FE">
        <w:t xml:space="preserve">is </w:t>
      </w:r>
      <w:r w:rsidR="002B0601">
        <w:t>itself.</w:t>
      </w:r>
      <w:r w:rsidR="001C0A2B">
        <w:t xml:space="preserve"> </w:t>
      </w:r>
    </w:p>
    <w:p w14:paraId="77C26918" w14:textId="77777777" w:rsidR="001C0A2B" w:rsidRDefault="001C0A2B"/>
    <w:p w14:paraId="6833BA87" w14:textId="4EF2021B" w:rsidR="00655056" w:rsidRDefault="00D32837">
      <w:r>
        <w:t xml:space="preserve">In </w:t>
      </w:r>
      <w:r w:rsidR="001F45AB">
        <w:t>his series of Gifford</w:t>
      </w:r>
      <w:r w:rsidR="00B17219">
        <w:t xml:space="preserve"> Lectures</w:t>
      </w:r>
      <w:r>
        <w:t xml:space="preserve">, </w:t>
      </w:r>
      <w:r>
        <w:t xml:space="preserve">Rowan Williams </w:t>
      </w:r>
      <w:r w:rsidR="00B17219">
        <w:t>t</w:t>
      </w:r>
      <w:r w:rsidR="007E522B">
        <w:t>akes</w:t>
      </w:r>
      <w:r w:rsidR="00B17219">
        <w:t xml:space="preserve"> an approach that steer</w:t>
      </w:r>
      <w:r w:rsidR="007E522B">
        <w:t>s</w:t>
      </w:r>
      <w:r w:rsidR="00B17219">
        <w:t xml:space="preserve"> clear of the issues that crystallized so sharply in the spat between Emil Brunner and Karl Barth in 1934 – the conflict over whether there is a place for </w:t>
      </w:r>
      <w:r w:rsidR="002B0601">
        <w:t>n</w:t>
      </w:r>
      <w:r w:rsidR="00B17219">
        <w:t xml:space="preserve">atural </w:t>
      </w:r>
      <w:r w:rsidR="002B0601">
        <w:t>t</w:t>
      </w:r>
      <w:r w:rsidR="00B17219">
        <w:t xml:space="preserve">heology in the revelation of the Word of God in Jesus Christ. Barth had denied this, warning that </w:t>
      </w:r>
      <w:r w:rsidR="00B17219">
        <w:t xml:space="preserve">when practising ‘real theology’ </w:t>
      </w:r>
      <w:r w:rsidR="00B17219">
        <w:t xml:space="preserve">one should turn from </w:t>
      </w:r>
      <w:r w:rsidR="002B0601">
        <w:t>n</w:t>
      </w:r>
      <w:r w:rsidR="00B17219">
        <w:t xml:space="preserve">atural </w:t>
      </w:r>
      <w:r w:rsidR="002B0601">
        <w:t>t</w:t>
      </w:r>
      <w:r w:rsidR="00B17219">
        <w:t>heology as though from an ‘abyss’.</w:t>
      </w:r>
      <w:r w:rsidR="00B17219">
        <w:rPr>
          <w:rStyle w:val="FootnoteReference"/>
        </w:rPr>
        <w:footnoteReference w:id="1"/>
      </w:r>
      <w:r w:rsidR="00055BF6">
        <w:t xml:space="preserve"> Williams’ approach in </w:t>
      </w:r>
      <w:r w:rsidR="00055BF6">
        <w:rPr>
          <w:i/>
          <w:iCs/>
        </w:rPr>
        <w:t>The Edge of Words</w:t>
      </w:r>
      <w:r w:rsidR="00055BF6">
        <w:rPr>
          <w:rStyle w:val="FootnoteReference"/>
          <w:i/>
          <w:iCs/>
        </w:rPr>
        <w:footnoteReference w:id="2"/>
      </w:r>
      <w:r w:rsidR="00055BF6">
        <w:t xml:space="preserve"> is less polemical</w:t>
      </w:r>
      <w:r w:rsidR="007E522B">
        <w:t xml:space="preserve">: </w:t>
      </w:r>
      <w:r w:rsidR="00055BF6">
        <w:t xml:space="preserve">he recognizes that </w:t>
      </w:r>
      <w:r w:rsidR="002B0601">
        <w:t>n</w:t>
      </w:r>
      <w:r w:rsidR="00055BF6">
        <w:t xml:space="preserve">atural </w:t>
      </w:r>
      <w:r w:rsidR="002B0601">
        <w:t>t</w:t>
      </w:r>
      <w:r w:rsidR="00055BF6">
        <w:t xml:space="preserve">heology, in attempting ‘to reach conclusions about the existence and character of God’ </w:t>
      </w:r>
      <w:r w:rsidR="007E522B">
        <w:t>i</w:t>
      </w:r>
      <w:r w:rsidR="00055BF6">
        <w:t>s from both a philosophical and theological perspective something of an ‘eccentric enterprise’</w:t>
      </w:r>
      <w:r w:rsidR="00DB0D05">
        <w:rPr>
          <w:rStyle w:val="FootnoteReference"/>
        </w:rPr>
        <w:footnoteReference w:id="3"/>
      </w:r>
      <w:r w:rsidR="00DB0D05">
        <w:t>;</w:t>
      </w:r>
      <w:r w:rsidR="00055BF6">
        <w:t xml:space="preserve"> </w:t>
      </w:r>
      <w:r w:rsidR="002B0601">
        <w:t>instead he wishes to</w:t>
      </w:r>
      <w:r w:rsidR="00055BF6">
        <w:t xml:space="preserve"> ‘put some flesh on the notion of our intelligence being ordered or oriented to the unknown</w:t>
      </w:r>
      <w:r w:rsidR="00DB0D05">
        <w:t>.’</w:t>
      </w:r>
      <w:r w:rsidR="00DB0D05">
        <w:rPr>
          <w:rStyle w:val="FootnoteReference"/>
        </w:rPr>
        <w:footnoteReference w:id="4"/>
      </w:r>
      <w:r w:rsidR="00DB0D05">
        <w:t xml:space="preserve"> And this project is undertaken by reference to the way that language, through its </w:t>
      </w:r>
      <w:r w:rsidR="00634C1E">
        <w:t>‘</w:t>
      </w:r>
      <w:r w:rsidR="00DB0D05">
        <w:t>offer</w:t>
      </w:r>
      <w:r w:rsidR="00634C1E">
        <w:t xml:space="preserve">’ </w:t>
      </w:r>
      <w:r w:rsidR="00DB0D05">
        <w:t>of potential</w:t>
      </w:r>
      <w:r w:rsidR="00634C1E">
        <w:t xml:space="preserve"> growth</w:t>
      </w:r>
      <w:r w:rsidR="00DB0D05">
        <w:t xml:space="preserve">, can tell us something about the intelligibility of the world around us, and </w:t>
      </w:r>
      <w:r w:rsidR="0063311E">
        <w:t xml:space="preserve">in particular </w:t>
      </w:r>
      <w:r w:rsidR="00DB0D05">
        <w:t>what he calls the ‘hinterland’ of meaning, which is</w:t>
      </w:r>
      <w:r w:rsidR="002B0601">
        <w:t xml:space="preserve"> but</w:t>
      </w:r>
      <w:r w:rsidR="00DB0D05">
        <w:t xml:space="preserve"> ‘imperfectly accessible to finite speakers/thinkers.’</w:t>
      </w:r>
      <w:r w:rsidR="00DB0D05">
        <w:rPr>
          <w:rStyle w:val="FootnoteReference"/>
        </w:rPr>
        <w:footnoteReference w:id="5"/>
      </w:r>
      <w:r w:rsidR="00CB16DB">
        <w:t xml:space="preserve"> </w:t>
      </w:r>
    </w:p>
    <w:p w14:paraId="29BA7401" w14:textId="77777777" w:rsidR="00655056" w:rsidRDefault="00655056"/>
    <w:p w14:paraId="066FEE9C" w14:textId="6BE7A972" w:rsidR="00055BF6" w:rsidRDefault="00DB0D05">
      <w:r>
        <w:t xml:space="preserve">By modelling the debate in this way, </w:t>
      </w:r>
      <w:r w:rsidR="00655056">
        <w:t>Williams</w:t>
      </w:r>
      <w:r>
        <w:t xml:space="preserve"> seems </w:t>
      </w:r>
      <w:r w:rsidR="00901DD9">
        <w:t xml:space="preserve">to acknowledge </w:t>
      </w:r>
      <w:r>
        <w:t xml:space="preserve">that what the dispute between Brunner and Barth reveals is a kind of ‘high-water’ mark in the </w:t>
      </w:r>
      <w:r w:rsidR="00634C1E">
        <w:t>history</w:t>
      </w:r>
      <w:r>
        <w:t xml:space="preserve"> of Reformed Theology: on the one hand, Brunner seems to </w:t>
      </w:r>
      <w:r w:rsidR="00CB16DB">
        <w:t xml:space="preserve">suggest that the Protestant Church is doomed unless it can embrace a form of </w:t>
      </w:r>
      <w:r w:rsidR="00D32837">
        <w:t>n</w:t>
      </w:r>
      <w:r w:rsidR="00CB16DB">
        <w:t xml:space="preserve">atural </w:t>
      </w:r>
      <w:r w:rsidR="00D32837">
        <w:t>t</w:t>
      </w:r>
      <w:r w:rsidR="00CB16DB">
        <w:t>heology</w:t>
      </w:r>
      <w:r w:rsidR="0087696A">
        <w:t xml:space="preserve">: </w:t>
      </w:r>
      <w:r w:rsidR="0087696A" w:rsidRPr="00CB16DB">
        <w:t>‘A pastor might ... go to heaven on account of the What [of his preaching] but go to hell on account of the How.</w:t>
      </w:r>
      <w:r w:rsidR="0087696A">
        <w:t>’</w:t>
      </w:r>
      <w:r w:rsidR="0087696A">
        <w:rPr>
          <w:rStyle w:val="FootnoteReference"/>
        </w:rPr>
        <w:footnoteReference w:id="6"/>
      </w:r>
      <w:r w:rsidR="0087696A">
        <w:t xml:space="preserve"> (as quoted by </w:t>
      </w:r>
      <w:r w:rsidR="00CB16DB">
        <w:t>Andrew Moore</w:t>
      </w:r>
      <w:r w:rsidR="00CB16DB">
        <w:rPr>
          <w:rStyle w:val="FootnoteReference"/>
        </w:rPr>
        <w:footnoteReference w:id="7"/>
      </w:r>
      <w:r w:rsidR="0087696A">
        <w:t>).</w:t>
      </w:r>
      <w:r w:rsidR="00CB16DB">
        <w:t xml:space="preserve"> </w:t>
      </w:r>
      <w:r w:rsidR="00655056">
        <w:t xml:space="preserve">Barth, on the other hand, is if anything more </w:t>
      </w:r>
      <w:r w:rsidR="00655056">
        <w:lastRenderedPageBreak/>
        <w:t>intemperate, st</w:t>
      </w:r>
      <w:r w:rsidR="00D32837">
        <w:t>ubbornly</w:t>
      </w:r>
      <w:r w:rsidR="00655056">
        <w:t xml:space="preserve"> maintaining </w:t>
      </w:r>
      <w:r w:rsidR="002B0601">
        <w:t xml:space="preserve">the </w:t>
      </w:r>
      <w:r w:rsidR="00D32837">
        <w:t xml:space="preserve">exclusive </w:t>
      </w:r>
      <w:r w:rsidR="002B0601">
        <w:t xml:space="preserve">role of </w:t>
      </w:r>
      <w:r w:rsidR="00634C1E">
        <w:t>r</w:t>
      </w:r>
      <w:r w:rsidR="002B0601">
        <w:t>evelation in determining our relationship with God.</w:t>
      </w:r>
      <w:r w:rsidR="003A58F9">
        <w:t xml:space="preserve"> </w:t>
      </w:r>
    </w:p>
    <w:p w14:paraId="02DF4FF6" w14:textId="77777777" w:rsidR="007017E6" w:rsidRDefault="007017E6"/>
    <w:p w14:paraId="676D24AF" w14:textId="37C4EB14" w:rsidR="007017E6" w:rsidRDefault="007017E6">
      <w:r>
        <w:t xml:space="preserve">What follows is an attempt to </w:t>
      </w:r>
      <w:r w:rsidR="003A5DFE">
        <w:t xml:space="preserve">clarify the issues and </w:t>
      </w:r>
      <w:r w:rsidR="00002AC2">
        <w:t>resolve some of the conflicts that bedevil th</w:t>
      </w:r>
      <w:r w:rsidR="0063311E">
        <w:t>is</w:t>
      </w:r>
      <w:r w:rsidR="00002AC2">
        <w:t xml:space="preserve"> debate. In the process, the hope is to establish clear boundaries between </w:t>
      </w:r>
      <w:r w:rsidR="0087696A">
        <w:t>our knowledge of</w:t>
      </w:r>
      <w:r w:rsidR="00002AC2">
        <w:t xml:space="preserve"> God, and </w:t>
      </w:r>
      <w:r w:rsidR="0087696A">
        <w:t xml:space="preserve">of the world. </w:t>
      </w:r>
      <w:r w:rsidR="003A5DFE">
        <w:t>Further, o</w:t>
      </w:r>
      <w:r w:rsidR="003121DD">
        <w:t>ur</w:t>
      </w:r>
      <w:r w:rsidR="0087696A">
        <w:t xml:space="preserve"> relations with the world</w:t>
      </w:r>
      <w:r w:rsidR="00002AC2">
        <w:t xml:space="preserve"> </w:t>
      </w:r>
      <w:r w:rsidR="00B95B0E">
        <w:t>may</w:t>
      </w:r>
      <w:r w:rsidR="00002AC2">
        <w:t xml:space="preserve"> distort </w:t>
      </w:r>
      <w:r w:rsidR="003121DD">
        <w:t>our</w:t>
      </w:r>
      <w:r w:rsidR="00901DD9">
        <w:t xml:space="preserve"> </w:t>
      </w:r>
      <w:r w:rsidR="00002AC2">
        <w:t xml:space="preserve">relationship </w:t>
      </w:r>
      <w:r w:rsidR="0087696A">
        <w:t>with</w:t>
      </w:r>
      <w:r w:rsidR="00002AC2">
        <w:t xml:space="preserve"> God</w:t>
      </w:r>
      <w:r w:rsidR="0087696A">
        <w:t>,</w:t>
      </w:r>
      <w:r w:rsidR="00B95B0E">
        <w:t xml:space="preserve"> and</w:t>
      </w:r>
      <w:r w:rsidR="00002AC2">
        <w:t xml:space="preserve"> this in turn may reveal a personal and moral imperative </w:t>
      </w:r>
      <w:r w:rsidR="0087696A">
        <w:t>within</w:t>
      </w:r>
      <w:r w:rsidR="00002AC2">
        <w:t xml:space="preserve"> theology </w:t>
      </w:r>
      <w:r w:rsidR="0087696A">
        <w:t>as to its legitimate field of enquiry.</w:t>
      </w:r>
      <w:r w:rsidR="00002AC2">
        <w:t xml:space="preserve"> </w:t>
      </w:r>
    </w:p>
    <w:p w14:paraId="72F16D04" w14:textId="77777777" w:rsidR="000E6D17" w:rsidRDefault="000E6D17"/>
    <w:p w14:paraId="401CB383" w14:textId="59FF7FDF" w:rsidR="000E6D17" w:rsidRDefault="0087696A">
      <w:r>
        <w:t>In t</w:t>
      </w:r>
      <w:r w:rsidR="000E6D17">
        <w:t xml:space="preserve">he </w:t>
      </w:r>
      <w:r w:rsidR="005609B1">
        <w:t>first chapter of</w:t>
      </w:r>
      <w:r w:rsidR="000E6D17">
        <w:t xml:space="preserve"> </w:t>
      </w:r>
      <w:r w:rsidR="002B0601">
        <w:t xml:space="preserve">James </w:t>
      </w:r>
      <w:r w:rsidR="000E6D17">
        <w:t>Barr’s Gifford Lectures</w:t>
      </w:r>
      <w:r w:rsidR="000E6D17">
        <w:rPr>
          <w:rStyle w:val="FootnoteReference"/>
        </w:rPr>
        <w:footnoteReference w:id="8"/>
      </w:r>
      <w:r w:rsidR="000E6D17">
        <w:t xml:space="preserve"> </w:t>
      </w:r>
      <w:r>
        <w:t xml:space="preserve">we have a useful outline </w:t>
      </w:r>
      <w:r w:rsidR="00901DD9">
        <w:t xml:space="preserve">of </w:t>
      </w:r>
      <w:r w:rsidR="008F51B8">
        <w:t xml:space="preserve">possible forms of </w:t>
      </w:r>
      <w:r w:rsidR="002B0601">
        <w:t>n</w:t>
      </w:r>
      <w:r>
        <w:t xml:space="preserve">atural </w:t>
      </w:r>
      <w:r w:rsidR="002B0601">
        <w:t>t</w:t>
      </w:r>
      <w:r>
        <w:t>heology</w:t>
      </w:r>
      <w:r w:rsidR="000E6D17">
        <w:t xml:space="preserve">: a means of proving God’s existence; an intimation of people’s thinking about God; a support to faith in the form of reasoning from the world around us; </w:t>
      </w:r>
      <w:r w:rsidR="005609B1">
        <w:t xml:space="preserve">or a form of apologetics against unbelievers. As </w:t>
      </w:r>
      <w:r>
        <w:t>Barr</w:t>
      </w:r>
      <w:r w:rsidR="005609B1">
        <w:t xml:space="preserve"> observes, those who deny natural theology tend to place great significance on revelation,</w:t>
      </w:r>
      <w:r>
        <w:t xml:space="preserve"> and thus on the Bible </w:t>
      </w:r>
      <w:r w:rsidR="005609B1">
        <w:t>as one of the three main bulwarks of a revelatory account of faith (the other two being</w:t>
      </w:r>
      <w:r w:rsidR="006A759A">
        <w:t xml:space="preserve"> Jesus Christ as the living word, and the preaching of the Church.)</w:t>
      </w:r>
      <w:r w:rsidR="006A759A">
        <w:rPr>
          <w:rStyle w:val="FootnoteReference"/>
        </w:rPr>
        <w:footnoteReference w:id="9"/>
      </w:r>
      <w:r w:rsidR="006A759A">
        <w:t xml:space="preserve"> </w:t>
      </w:r>
      <w:r w:rsidR="0063311E">
        <w:t>But t</w:t>
      </w:r>
      <w:r w:rsidR="008F51B8">
        <w:t xml:space="preserve">here </w:t>
      </w:r>
      <w:r w:rsidR="00901DD9">
        <w:t xml:space="preserve">may be a </w:t>
      </w:r>
      <w:r w:rsidR="008F51B8">
        <w:t>danger in denying</w:t>
      </w:r>
      <w:r>
        <w:t xml:space="preserve"> </w:t>
      </w:r>
      <w:r w:rsidR="008F51B8" w:rsidRPr="0063311E">
        <w:rPr>
          <w:i/>
          <w:iCs/>
        </w:rPr>
        <w:t>all</w:t>
      </w:r>
      <w:r w:rsidR="008F51B8">
        <w:t xml:space="preserve"> access to </w:t>
      </w:r>
      <w:r w:rsidR="00A3099E">
        <w:t>n</w:t>
      </w:r>
      <w:r w:rsidR="008F51B8">
        <w:t xml:space="preserve">atural </w:t>
      </w:r>
      <w:r w:rsidR="00A3099E">
        <w:t>t</w:t>
      </w:r>
      <w:r w:rsidR="008F51B8">
        <w:t xml:space="preserve">heology, since so much of the growing corpus of scholarship raises questions about the </w:t>
      </w:r>
      <w:r w:rsidR="003121DD">
        <w:t>accuracy</w:t>
      </w:r>
      <w:r w:rsidR="008F51B8">
        <w:t xml:space="preserve"> of </w:t>
      </w:r>
      <w:r w:rsidR="003121DD">
        <w:t>the Bible as historical evidence.</w:t>
      </w:r>
    </w:p>
    <w:p w14:paraId="5792D6A0" w14:textId="77777777" w:rsidR="006A759A" w:rsidRDefault="006A759A"/>
    <w:p w14:paraId="6E2714F1" w14:textId="4087B8D9" w:rsidR="00EF438F" w:rsidRDefault="006A759A" w:rsidP="00611D49">
      <w:r>
        <w:t xml:space="preserve">Peter Harrison has recently suggested that the way we define </w:t>
      </w:r>
      <w:r w:rsidR="004F1C78">
        <w:t>n</w:t>
      </w:r>
      <w:r>
        <w:t xml:space="preserve">atural </w:t>
      </w:r>
      <w:r w:rsidR="004F1C78">
        <w:t>t</w:t>
      </w:r>
      <w:r>
        <w:t>heology has caused much of the furore around the question.</w:t>
      </w:r>
      <w:r>
        <w:rPr>
          <w:rStyle w:val="FootnoteReference"/>
        </w:rPr>
        <w:footnoteReference w:id="10"/>
      </w:r>
      <w:r>
        <w:t xml:space="preserve"> He argues persuasively that the ‘established conception’ is a construct born in the intellectual climate of scepticism in the 18</w:t>
      </w:r>
      <w:r w:rsidRPr="006A759A">
        <w:rPr>
          <w:vertAlign w:val="superscript"/>
        </w:rPr>
        <w:t>th</w:t>
      </w:r>
      <w:r>
        <w:t xml:space="preserve"> and 19</w:t>
      </w:r>
      <w:r w:rsidRPr="006A759A">
        <w:rPr>
          <w:vertAlign w:val="superscript"/>
        </w:rPr>
        <w:t>th</w:t>
      </w:r>
      <w:r>
        <w:t xml:space="preserve"> centuries, and that</w:t>
      </w:r>
      <w:r w:rsidR="00EF2D60">
        <w:t>, thanks to the influence of thinkers such as David Hume and Immanuel Kant,</w:t>
      </w:r>
      <w:r>
        <w:t xml:space="preserve"> it </w:t>
      </w:r>
      <w:r w:rsidR="00EF2D60">
        <w:t xml:space="preserve">became answerable </w:t>
      </w:r>
      <w:r>
        <w:t xml:space="preserve">to philosophical demands </w:t>
      </w:r>
      <w:r w:rsidR="00901DD9">
        <w:t>for</w:t>
      </w:r>
      <w:r>
        <w:t xml:space="preserve"> </w:t>
      </w:r>
      <w:r w:rsidR="008B1D80">
        <w:t xml:space="preserve">a type of reductionist </w:t>
      </w:r>
      <w:r>
        <w:t xml:space="preserve">rationality </w:t>
      </w:r>
      <w:r w:rsidR="00ED2C82">
        <w:t>such as</w:t>
      </w:r>
      <w:r>
        <w:t xml:space="preserve"> had not </w:t>
      </w:r>
      <w:r w:rsidR="00ED2C82">
        <w:t>existed before.</w:t>
      </w:r>
      <w:r>
        <w:t xml:space="preserve"> </w:t>
      </w:r>
      <w:r w:rsidR="00EF2D60">
        <w:t xml:space="preserve">Where in the past there had been no ‘danger’ to theology in considering Creation within the faith, the new </w:t>
      </w:r>
      <w:proofErr w:type="spellStart"/>
      <w:r w:rsidR="00EF2D60">
        <w:t>skepticism</w:t>
      </w:r>
      <w:proofErr w:type="spellEnd"/>
      <w:r w:rsidR="00EF2D60">
        <w:t xml:space="preserve"> </w:t>
      </w:r>
      <w:r w:rsidR="00ED2C82">
        <w:t>held</w:t>
      </w:r>
      <w:r w:rsidR="00EF2D60">
        <w:t xml:space="preserve"> much of the </w:t>
      </w:r>
      <w:r w:rsidR="00ED2C82">
        <w:t xml:space="preserve">faith </w:t>
      </w:r>
      <w:r w:rsidR="00EF2D60">
        <w:t>narrative to account in a way that undermine</w:t>
      </w:r>
      <w:r w:rsidR="00ED2C82">
        <w:t>d it.</w:t>
      </w:r>
      <w:r w:rsidR="00EF2D60">
        <w:t xml:space="preserve"> Thus,</w:t>
      </w:r>
      <w:r w:rsidR="00611D49">
        <w:t xml:space="preserve"> when Aquinas argues his </w:t>
      </w:r>
      <w:r w:rsidR="00611D49">
        <w:rPr>
          <w:i/>
          <w:iCs/>
        </w:rPr>
        <w:t>Summa contra gentiles</w:t>
      </w:r>
      <w:r w:rsidR="00611D49">
        <w:t>, he is not trying to ‘reach God from nonreligious premises’</w:t>
      </w:r>
      <w:r w:rsidR="00EF2D60">
        <w:rPr>
          <w:rStyle w:val="FootnoteReference"/>
        </w:rPr>
        <w:footnoteReference w:id="11"/>
      </w:r>
      <w:r w:rsidR="00EF2D60">
        <w:t xml:space="preserve">, but is extrapolating from within his faith perspective. Reformed thinking had already attacked the supremacy of the Church, and now the age of reason was holding faith itself to the fire, by insisting that reason was supreme, and that the priority of faith was </w:t>
      </w:r>
      <w:r w:rsidR="00ED2C82">
        <w:t xml:space="preserve">un-rational. Creation, with Darwin, was no more the work of God, but of </w:t>
      </w:r>
      <w:r w:rsidR="0063311E">
        <w:t>evolution by natural selection</w:t>
      </w:r>
      <w:r w:rsidR="00ED2C82">
        <w:t xml:space="preserve">. According to Harrison, it is this rationalist development, which leaves no room for the subjectivism of faith, nor any workable form of </w:t>
      </w:r>
      <w:r w:rsidR="004F1C78">
        <w:t>n</w:t>
      </w:r>
      <w:r w:rsidR="00ED2C82">
        <w:t xml:space="preserve">atural </w:t>
      </w:r>
      <w:r w:rsidR="004F1C78">
        <w:t>t</w:t>
      </w:r>
      <w:r w:rsidR="00ED2C82">
        <w:t>heology.</w:t>
      </w:r>
    </w:p>
    <w:p w14:paraId="3B417156" w14:textId="77777777" w:rsidR="00D32837" w:rsidRDefault="00D32837" w:rsidP="00EF438F"/>
    <w:p w14:paraId="3A30E157" w14:textId="69527227" w:rsidR="00EF438F" w:rsidRDefault="00D32837" w:rsidP="00EF438F">
      <w:r>
        <w:t>I</w:t>
      </w:r>
      <w:r w:rsidR="00ED2C82">
        <w:t>t is not for these reasons that</w:t>
      </w:r>
      <w:r w:rsidR="008F51B8">
        <w:t xml:space="preserve"> </w:t>
      </w:r>
      <w:r w:rsidR="0063311E">
        <w:t xml:space="preserve">Andrew </w:t>
      </w:r>
      <w:r w:rsidR="008F51B8">
        <w:t xml:space="preserve">Moore repudiates all </w:t>
      </w:r>
      <w:r w:rsidR="00EB2A2F">
        <w:t>n</w:t>
      </w:r>
      <w:r w:rsidR="008F51B8">
        <w:t xml:space="preserve">atural </w:t>
      </w:r>
      <w:r w:rsidR="004F1C78">
        <w:t>t</w:t>
      </w:r>
      <w:r w:rsidR="008F51B8">
        <w:t>heology</w:t>
      </w:r>
      <w:r w:rsidR="00611D49">
        <w:rPr>
          <w:rStyle w:val="FootnoteReference"/>
        </w:rPr>
        <w:footnoteReference w:id="12"/>
      </w:r>
      <w:r w:rsidR="00901DD9">
        <w:t xml:space="preserve">: </w:t>
      </w:r>
      <w:r w:rsidR="00ED2C82">
        <w:t xml:space="preserve">instead, </w:t>
      </w:r>
      <w:r w:rsidR="00901DD9">
        <w:t>he refers</w:t>
      </w:r>
      <w:r w:rsidR="008F51B8">
        <w:t xml:space="preserve"> to </w:t>
      </w:r>
      <w:r w:rsidR="00611D49">
        <w:t xml:space="preserve">Michael Sudduth’s useful distinction between antecedent and consequent </w:t>
      </w:r>
      <w:r w:rsidR="00611D49">
        <w:lastRenderedPageBreak/>
        <w:t>natural theologies</w:t>
      </w:r>
      <w:r w:rsidR="008F51B8">
        <w:t xml:space="preserve"> </w:t>
      </w:r>
      <w:r w:rsidR="00901DD9">
        <w:t xml:space="preserve">and </w:t>
      </w:r>
      <w:r w:rsidR="00E76769">
        <w:t>demolishes</w:t>
      </w:r>
      <w:r w:rsidR="008F51B8">
        <w:t xml:space="preserve"> </w:t>
      </w:r>
      <w:r w:rsidR="008A58FE">
        <w:t>the latter’s</w:t>
      </w:r>
      <w:r w:rsidR="008F51B8">
        <w:t xml:space="preserve"> core arguments in its favour.</w:t>
      </w:r>
      <w:r w:rsidR="00611D49">
        <w:rPr>
          <w:rStyle w:val="FootnoteReference"/>
        </w:rPr>
        <w:footnoteReference w:id="13"/>
      </w:r>
      <w:r w:rsidR="00611D49">
        <w:t xml:space="preserve"> </w:t>
      </w:r>
      <w:r w:rsidR="00EF438F">
        <w:t>He</w:t>
      </w:r>
      <w:r w:rsidR="00EF438F">
        <w:t xml:space="preserve"> presents at least two good</w:t>
      </w:r>
      <w:r w:rsidR="00E76769">
        <w:t xml:space="preserve"> reason</w:t>
      </w:r>
      <w:r w:rsidR="00EF438F">
        <w:t>s as to why Christians should avoid natural theology</w:t>
      </w:r>
      <w:r w:rsidR="00EF438F">
        <w:t>:</w:t>
      </w:r>
      <w:r w:rsidR="00EF438F">
        <w:t xml:space="preserve"> the first is that the activity is incapable of arriving at such Christian-specific features as the Incarnation and the concept of the Trinity.</w:t>
      </w:r>
      <w:r w:rsidR="00EF438F">
        <w:rPr>
          <w:rStyle w:val="FootnoteReference"/>
        </w:rPr>
        <w:footnoteReference w:id="14"/>
      </w:r>
      <w:r w:rsidR="00EF438F">
        <w:t xml:space="preserve"> In his second objection, Moore draws on the Pauline view that human minds cannot avoid the effects of sin: ‘human</w:t>
      </w:r>
      <w:r w:rsidR="00EF438F" w:rsidRPr="004E68BA">
        <w:t xml:space="preserve"> beings do not cease to be liable to suppress the truth and twist what they know to </w:t>
      </w:r>
      <w:r w:rsidR="00EF438F" w:rsidRPr="00DD4C51">
        <w:t>their own (idolatrous)</w:t>
      </w:r>
      <w:r w:rsidR="00EF438F" w:rsidRPr="004E68BA">
        <w:t xml:space="preserve"> ends after conversion</w:t>
      </w:r>
      <w:r w:rsidR="00EF438F">
        <w:t>.’</w:t>
      </w:r>
      <w:r w:rsidR="00EF438F">
        <w:rPr>
          <w:rStyle w:val="FootnoteReference"/>
        </w:rPr>
        <w:footnoteReference w:id="15"/>
      </w:r>
      <w:r w:rsidR="00EF438F">
        <w:t xml:space="preserve"> </w:t>
      </w:r>
    </w:p>
    <w:p w14:paraId="1042C636" w14:textId="77777777" w:rsidR="00EF438F" w:rsidRDefault="00EF438F" w:rsidP="00EF438F"/>
    <w:p w14:paraId="29A46134" w14:textId="43417BCF" w:rsidR="009A22F0" w:rsidRPr="00F94F28" w:rsidRDefault="00FA2FCF" w:rsidP="009A22F0">
      <w:r>
        <w:t>Richard Swinburne sums up the problem</w:t>
      </w:r>
      <w:r w:rsidR="00F94F28">
        <w:t xml:space="preserve"> </w:t>
      </w:r>
      <w:r w:rsidR="00D32837">
        <w:t>differently</w:t>
      </w:r>
      <w:r>
        <w:t xml:space="preserve">: </w:t>
      </w:r>
      <w:r w:rsidR="00D32837">
        <w:t>apparently,</w:t>
      </w:r>
      <w:r>
        <w:t xml:space="preserve"> ordinary people worry about whether the claim of the</w:t>
      </w:r>
      <w:r w:rsidR="00E019FF">
        <w:t>re</w:t>
      </w:r>
      <w:r>
        <w:t xml:space="preserve"> being a God is true or false</w:t>
      </w:r>
      <w:r>
        <w:rPr>
          <w:rStyle w:val="FootnoteReference"/>
        </w:rPr>
        <w:footnoteReference w:id="16"/>
      </w:r>
      <w:r w:rsidR="00D32837">
        <w:t>, and</w:t>
      </w:r>
      <w:r w:rsidR="0013037E">
        <w:t xml:space="preserve"> </w:t>
      </w:r>
      <w:r w:rsidR="00D32837">
        <w:t>n</w:t>
      </w:r>
      <w:r w:rsidR="00F94F28">
        <w:t xml:space="preserve">atural </w:t>
      </w:r>
      <w:r w:rsidR="004F1C78">
        <w:t>t</w:t>
      </w:r>
      <w:r w:rsidR="00F94F28">
        <w:t>heology is there to help such people</w:t>
      </w:r>
      <w:r w:rsidR="00D32837">
        <w:t xml:space="preserve"> over this</w:t>
      </w:r>
      <w:r w:rsidR="00F94F28">
        <w:t xml:space="preserve">. </w:t>
      </w:r>
      <w:r w:rsidR="009A22F0">
        <w:t>He</w:t>
      </w:r>
      <w:r w:rsidR="009A22F0">
        <w:t xml:space="preserve"> argues that</w:t>
      </w:r>
      <w:r w:rsidR="00ED2C82">
        <w:t xml:space="preserve">, </w:t>
      </w:r>
      <w:r w:rsidR="009A22F0">
        <w:t xml:space="preserve">when taken to mean rationalising about God from evidence in the natural world, </w:t>
      </w:r>
      <w:r w:rsidR="00D32837">
        <w:t>natural theology</w:t>
      </w:r>
      <w:r w:rsidR="00ED2C82">
        <w:t xml:space="preserve"> </w:t>
      </w:r>
      <w:r w:rsidR="009A22F0">
        <w:t>has belonged to the ‘Christian intellectual tradition for most of its life’.</w:t>
      </w:r>
      <w:r w:rsidR="009A22F0">
        <w:rPr>
          <w:rStyle w:val="FootnoteReference"/>
        </w:rPr>
        <w:footnoteReference w:id="17"/>
      </w:r>
      <w:r w:rsidR="009A22F0">
        <w:t xml:space="preserve"> </w:t>
      </w:r>
      <w:r w:rsidR="009A22F0">
        <w:t xml:space="preserve">He proposes </w:t>
      </w:r>
      <w:r w:rsidR="0063311E">
        <w:t>a</w:t>
      </w:r>
      <w:r w:rsidR="009A22F0">
        <w:t xml:space="preserve"> mathematical calculus of probability</w:t>
      </w:r>
      <w:r w:rsidR="009A22F0">
        <w:rPr>
          <w:rStyle w:val="FootnoteReference"/>
        </w:rPr>
        <w:footnoteReference w:id="18"/>
      </w:r>
      <w:r w:rsidR="009A22F0">
        <w:t xml:space="preserve">: </w:t>
      </w:r>
      <w:r w:rsidR="009A22F0">
        <w:t xml:space="preserve">when </w:t>
      </w:r>
      <w:r w:rsidR="00D807D7">
        <w:t>n</w:t>
      </w:r>
      <w:r w:rsidR="009A22F0">
        <w:t xml:space="preserve">atural </w:t>
      </w:r>
      <w:r w:rsidR="00D807D7">
        <w:t>t</w:t>
      </w:r>
      <w:r w:rsidR="009A22F0">
        <w:t>heology is seen as a probabilistic form of reasoning, this ‘breaks down the barrier between natural and revealed theology.’</w:t>
      </w:r>
      <w:r w:rsidR="009A22F0">
        <w:rPr>
          <w:rStyle w:val="FootnoteReference"/>
        </w:rPr>
        <w:footnoteReference w:id="19"/>
      </w:r>
      <w:r w:rsidR="009A22F0">
        <w:t xml:space="preserve"> The problem here is that, even if </w:t>
      </w:r>
      <w:r w:rsidR="00087579">
        <w:t>this is a workable hypothesis,</w:t>
      </w:r>
      <w:r w:rsidR="009A22F0">
        <w:t xml:space="preserve"> </w:t>
      </w:r>
      <w:r w:rsidR="00087579">
        <w:t>i</w:t>
      </w:r>
      <w:r w:rsidR="009A22F0">
        <w:t xml:space="preserve">t only goes so far. </w:t>
      </w:r>
      <w:r w:rsidR="00D32837">
        <w:t>A</w:t>
      </w:r>
      <w:r w:rsidR="009A22F0">
        <w:t xml:space="preserve"> central belief is that Christ died </w:t>
      </w:r>
      <w:r w:rsidR="00901DD9">
        <w:t xml:space="preserve">on the cross </w:t>
      </w:r>
      <w:r w:rsidR="009A22F0">
        <w:t xml:space="preserve">for our sins and then rose from the dead. If one </w:t>
      </w:r>
      <w:r w:rsidR="009A22F0">
        <w:t>doubts any of that,</w:t>
      </w:r>
      <w:r w:rsidR="009A22F0">
        <w:t xml:space="preserve"> is it credible that that doubt is assuaged because the event is more likely to have happened than not? Of the hundreds and thousands of Christian martyrs, who of them surrendered their lives over the </w:t>
      </w:r>
      <w:r w:rsidR="009A22F0" w:rsidRPr="00ED6496">
        <w:rPr>
          <w:i/>
          <w:iCs/>
        </w:rPr>
        <w:t>probability</w:t>
      </w:r>
      <w:r w:rsidR="009A22F0">
        <w:t xml:space="preserve"> that </w:t>
      </w:r>
      <w:r w:rsidR="004F1C78">
        <w:t>certain</w:t>
      </w:r>
      <w:r w:rsidR="009A22F0">
        <w:t xml:space="preserve"> events happened</w:t>
      </w:r>
      <w:r w:rsidR="004F1C78">
        <w:t xml:space="preserve"> or were even possible</w:t>
      </w:r>
      <w:r w:rsidR="00ED6496">
        <w:t>, rather than for their faith in the Risen Lord</w:t>
      </w:r>
      <w:r w:rsidR="009A22F0">
        <w:t>? Faith in this sense is not a game of dice</w:t>
      </w:r>
      <w:r w:rsidR="0063311E">
        <w:t>.</w:t>
      </w:r>
    </w:p>
    <w:p w14:paraId="4E56F1E4" w14:textId="77777777" w:rsidR="00811DD2" w:rsidRDefault="00811DD2" w:rsidP="00611D49"/>
    <w:p w14:paraId="78A3EC0A" w14:textId="4237813A" w:rsidR="00811DD2" w:rsidRDefault="004F1C78" w:rsidP="00611D49">
      <w:r>
        <w:t>W</w:t>
      </w:r>
      <w:r w:rsidR="00EF438F">
        <w:t xml:space="preserve">hat began as a heated if limited row between two old colleagues (Barth and Brunner) has morphed into a considerable quasi-philosophical debate. </w:t>
      </w:r>
      <w:r w:rsidR="001E75C0">
        <w:t xml:space="preserve">We </w:t>
      </w:r>
      <w:r w:rsidR="00EF438F">
        <w:t xml:space="preserve">may </w:t>
      </w:r>
      <w:r w:rsidR="00F9471B">
        <w:t>shape</w:t>
      </w:r>
      <w:r w:rsidR="00EF438F">
        <w:t xml:space="preserve"> the </w:t>
      </w:r>
      <w:r w:rsidR="001E75C0">
        <w:t>issue</w:t>
      </w:r>
      <w:r w:rsidR="00EF438F">
        <w:t xml:space="preserve"> </w:t>
      </w:r>
      <w:r w:rsidR="00F9471B">
        <w:t>thus</w:t>
      </w:r>
      <w:r w:rsidR="00EF438F">
        <w:t xml:space="preserve">: </w:t>
      </w:r>
      <w:r w:rsidR="001E75C0">
        <w:t>c</w:t>
      </w:r>
      <w:r w:rsidR="00F9471B">
        <w:t>an</w:t>
      </w:r>
      <w:r w:rsidR="001D2DD4">
        <w:t xml:space="preserve"> our knowledge of God’s world </w:t>
      </w:r>
      <w:r w:rsidR="00F9471B">
        <w:t xml:space="preserve">not </w:t>
      </w:r>
      <w:r w:rsidR="001D2DD4">
        <w:t>form some kind of reasoned support to faith, for those whose ‘doubts and fears’ (Da</w:t>
      </w:r>
      <w:r w:rsidR="009A22F0">
        <w:t>vi</w:t>
      </w:r>
      <w:r w:rsidR="001D2DD4">
        <w:t xml:space="preserve">d Hume’s expression) remain? </w:t>
      </w:r>
    </w:p>
    <w:p w14:paraId="667A8C07" w14:textId="77777777" w:rsidR="00D411DF" w:rsidRDefault="00D411DF" w:rsidP="00611D49"/>
    <w:p w14:paraId="1309025B" w14:textId="59BDB96C" w:rsidR="007B3FB2" w:rsidRDefault="00F9471B" w:rsidP="00991CB6">
      <w:r>
        <w:t xml:space="preserve">In </w:t>
      </w:r>
      <w:r w:rsidR="00F779AF">
        <w:t xml:space="preserve">Mark’s Gospel there is the famous encounter of Jesus with the father and his epileptic son. </w:t>
      </w:r>
      <w:r w:rsidR="001B770E" w:rsidRPr="00991CB6">
        <w:t xml:space="preserve">One recalls the </w:t>
      </w:r>
      <w:r w:rsidR="00F779AF">
        <w:t>father’s words, indicative of his paternal compassion and impatience</w:t>
      </w:r>
      <w:r w:rsidR="004F1C78">
        <w:t>, when Jesus tells him that everything is possible to one who believes</w:t>
      </w:r>
      <w:r w:rsidR="001B770E" w:rsidRPr="00991CB6">
        <w:t xml:space="preserve">: </w:t>
      </w:r>
      <w:r w:rsidR="001B770E" w:rsidRPr="00991CB6">
        <w:rPr>
          <w:rFonts w:cs="Segoe UI"/>
          <w:color w:val="000000"/>
          <w:shd w:val="clear" w:color="auto" w:fill="FFFFFF"/>
        </w:rPr>
        <w:t>‘</w:t>
      </w:r>
      <w:r w:rsidR="001B770E" w:rsidRPr="00991CB6">
        <w:rPr>
          <w:rFonts w:cs="Segoe UI"/>
          <w:color w:val="000000"/>
          <w:shd w:val="clear" w:color="auto" w:fill="FFFFFF"/>
        </w:rPr>
        <w:t>Immediately the boy’s father exclaimed, “I do believe; help me overcome my unbelief!”</w:t>
      </w:r>
      <w:r w:rsidR="001B770E" w:rsidRPr="00991CB6">
        <w:rPr>
          <w:rFonts w:cs="Segoe UI"/>
          <w:color w:val="000000"/>
          <w:shd w:val="clear" w:color="auto" w:fill="FFFFFF"/>
        </w:rPr>
        <w:t>’</w:t>
      </w:r>
      <w:r w:rsidR="001B770E" w:rsidRPr="00991CB6">
        <w:rPr>
          <w:rStyle w:val="FootnoteReference"/>
        </w:rPr>
        <w:t xml:space="preserve"> </w:t>
      </w:r>
      <w:r w:rsidR="001B770E" w:rsidRPr="00991CB6">
        <w:rPr>
          <w:rStyle w:val="FootnoteReference"/>
        </w:rPr>
        <w:footnoteReference w:id="20"/>
      </w:r>
      <w:r w:rsidR="0063311E">
        <w:t xml:space="preserve"> </w:t>
      </w:r>
      <w:r w:rsidR="007B3FB2">
        <w:t>T</w:t>
      </w:r>
      <w:r w:rsidR="001B770E" w:rsidRPr="00991CB6">
        <w:t xml:space="preserve">he difficulty of doubt demands a response, </w:t>
      </w:r>
      <w:r w:rsidR="00643A84">
        <w:t xml:space="preserve">but </w:t>
      </w:r>
      <w:r w:rsidR="001B770E" w:rsidRPr="00991CB6">
        <w:t xml:space="preserve">not </w:t>
      </w:r>
      <w:r w:rsidR="00D807D7">
        <w:t xml:space="preserve">in order </w:t>
      </w:r>
      <w:r w:rsidR="001B770E" w:rsidRPr="00991CB6">
        <w:t xml:space="preserve">to rebut </w:t>
      </w:r>
      <w:r w:rsidR="00901DD9">
        <w:t>some</w:t>
      </w:r>
      <w:r w:rsidR="001B770E" w:rsidRPr="00991CB6">
        <w:t xml:space="preserve"> immediate failure of the </w:t>
      </w:r>
      <w:r w:rsidR="00C07700">
        <w:t>intellect or understanding</w:t>
      </w:r>
      <w:r w:rsidR="00991CB6">
        <w:t>;</w:t>
      </w:r>
      <w:r w:rsidR="001B770E" w:rsidRPr="00991CB6">
        <w:t xml:space="preserve"> </w:t>
      </w:r>
      <w:r w:rsidR="007B3FB2">
        <w:t xml:space="preserve">here </w:t>
      </w:r>
      <w:r w:rsidR="001B770E" w:rsidRPr="00991CB6">
        <w:t xml:space="preserve">the faith that looks for understanding is looking to become </w:t>
      </w:r>
      <w:r w:rsidR="00C07700">
        <w:t xml:space="preserve">more </w:t>
      </w:r>
      <w:r w:rsidR="001B770E" w:rsidRPr="00991CB6">
        <w:t>deep</w:t>
      </w:r>
      <w:r w:rsidR="00C07700">
        <w:t>ly felt</w:t>
      </w:r>
      <w:r w:rsidR="009A22F0">
        <w:t xml:space="preserve">, </w:t>
      </w:r>
      <w:r w:rsidR="00D411DF" w:rsidRPr="00991CB6">
        <w:t xml:space="preserve">not simply to lay to rest an </w:t>
      </w:r>
      <w:r w:rsidR="00D411DF" w:rsidRPr="00991CB6">
        <w:lastRenderedPageBreak/>
        <w:t>unresolved question. It is as if the father</w:t>
      </w:r>
      <w:r w:rsidR="00D411DF">
        <w:t xml:space="preserve"> is saying to Jesus, ‘Of course I believe… it’s just that I don’t </w:t>
      </w:r>
      <w:r w:rsidR="00D411DF" w:rsidRPr="00D411DF">
        <w:rPr>
          <w:i/>
          <w:iCs/>
        </w:rPr>
        <w:t>get it</w:t>
      </w:r>
      <w:r w:rsidR="00D411DF">
        <w:t>.</w:t>
      </w:r>
      <w:r w:rsidR="00D411DF">
        <w:rPr>
          <w:i/>
          <w:iCs/>
        </w:rPr>
        <w:t>’</w:t>
      </w:r>
      <w:r w:rsidR="001B770E">
        <w:t xml:space="preserve">  </w:t>
      </w:r>
    </w:p>
    <w:p w14:paraId="73E07F7B" w14:textId="77777777" w:rsidR="007B3FB2" w:rsidRDefault="007B3FB2" w:rsidP="00991CB6"/>
    <w:p w14:paraId="030CF1DC" w14:textId="581B39C4" w:rsidR="00D411DF" w:rsidRDefault="007B3FB2" w:rsidP="00991CB6">
      <w:r>
        <w:t>Understood</w:t>
      </w:r>
      <w:r w:rsidR="00D411DF">
        <w:t xml:space="preserve"> in this way, the natural theology project seems to be but a blunt instrument </w:t>
      </w:r>
      <w:r>
        <w:t xml:space="preserve">to apply </w:t>
      </w:r>
      <w:r w:rsidR="00D411DF">
        <w:t xml:space="preserve">in </w:t>
      </w:r>
      <w:r w:rsidR="0063311E">
        <w:t>our so-called</w:t>
      </w:r>
      <w:r w:rsidR="00D411DF">
        <w:t xml:space="preserve"> science of faith.</w:t>
      </w:r>
      <w:r w:rsidR="001E75C0">
        <w:rPr>
          <w:rStyle w:val="FootnoteReference"/>
        </w:rPr>
        <w:footnoteReference w:id="21"/>
      </w:r>
      <w:r w:rsidR="00D411DF">
        <w:t xml:space="preserve"> </w:t>
      </w:r>
      <w:r w:rsidR="00607002">
        <w:t xml:space="preserve">There is, however, a more insidious danger: in this story, Jesus performs a miracle. The gospel accounts contain many such miracles, some truly </w:t>
      </w:r>
      <w:r w:rsidR="0063311E">
        <w:t>supernatural</w:t>
      </w:r>
      <w:r w:rsidR="00607002">
        <w:t xml:space="preserve">. In </w:t>
      </w:r>
      <w:r w:rsidR="001A2BAC">
        <w:t>applying</w:t>
      </w:r>
      <w:r w:rsidR="00607002">
        <w:t xml:space="preserve"> ‘</w:t>
      </w:r>
      <w:r w:rsidR="00F9471B">
        <w:t>historical</w:t>
      </w:r>
      <w:r w:rsidR="00607002">
        <w:t xml:space="preserve"> discipline’</w:t>
      </w:r>
      <w:r w:rsidR="00F9471B">
        <w:t xml:space="preserve"> (sharpened on the </w:t>
      </w:r>
      <w:r w:rsidR="00356AE9">
        <w:t>whetstone of scientism)</w:t>
      </w:r>
      <w:r w:rsidR="00607002">
        <w:t xml:space="preserve">, the miracles </w:t>
      </w:r>
      <w:proofErr w:type="gramStart"/>
      <w:r w:rsidR="001A2BAC">
        <w:t>have to</w:t>
      </w:r>
      <w:proofErr w:type="gramEnd"/>
      <w:r w:rsidR="001A2BAC">
        <w:t xml:space="preserve"> be</w:t>
      </w:r>
      <w:r w:rsidR="00356AE9">
        <w:t xml:space="preserve"> discarded</w:t>
      </w:r>
      <w:r w:rsidR="00607002">
        <w:t>; but it is then difficult to stem the ‘</w:t>
      </w:r>
      <w:proofErr w:type="spellStart"/>
      <w:r w:rsidR="00607002">
        <w:t>Occamist</w:t>
      </w:r>
      <w:proofErr w:type="spellEnd"/>
      <w:r w:rsidR="00607002">
        <w:t xml:space="preserve"> flood’ of scientific realism and not call into question </w:t>
      </w:r>
      <w:r w:rsidR="00356AE9">
        <w:t>so many more of</w:t>
      </w:r>
      <w:r w:rsidR="00607002">
        <w:t xml:space="preserve"> the events described in the New Testament. Faith ends up being </w:t>
      </w:r>
      <w:r w:rsidR="00607002">
        <w:rPr>
          <w:i/>
          <w:iCs/>
        </w:rPr>
        <w:t>un</w:t>
      </w:r>
      <w:r w:rsidR="00607002">
        <w:t>supported by the light of science and reason</w:t>
      </w:r>
      <w:r w:rsidR="001A2BAC">
        <w:t>;</w:t>
      </w:r>
      <w:r>
        <w:t xml:space="preserve"> it</w:t>
      </w:r>
      <w:r w:rsidR="00607002">
        <w:t xml:space="preserve"> falls further</w:t>
      </w:r>
      <w:r w:rsidR="00AF4964">
        <w:t>,</w:t>
      </w:r>
      <w:r w:rsidR="00607002">
        <w:t xml:space="preserve"> and more fatally</w:t>
      </w:r>
      <w:r w:rsidR="00AF4964">
        <w:t>,</w:t>
      </w:r>
      <w:r w:rsidR="00607002">
        <w:t xml:space="preserve"> into doubt</w:t>
      </w:r>
      <w:r w:rsidR="001A2BAC">
        <w:t xml:space="preserve">; </w:t>
      </w:r>
      <w:r w:rsidR="002753DC">
        <w:t>it</w:t>
      </w:r>
      <w:r w:rsidR="00AE153C">
        <w:t xml:space="preserve"> is fast becoming </w:t>
      </w:r>
      <w:proofErr w:type="spellStart"/>
      <w:r w:rsidR="00AE153C">
        <w:t>skepticism</w:t>
      </w:r>
      <w:proofErr w:type="spellEnd"/>
      <w:r w:rsidR="00356AE9">
        <w:t xml:space="preserve">, offering no comfort </w:t>
      </w:r>
      <w:r w:rsidR="00634C1E">
        <w:t xml:space="preserve">whatsoever </w:t>
      </w:r>
      <w:r w:rsidR="00356AE9">
        <w:t xml:space="preserve">to the doubter. One must </w:t>
      </w:r>
      <w:r w:rsidR="00634C1E">
        <w:t xml:space="preserve">begin to </w:t>
      </w:r>
      <w:r w:rsidR="00356AE9">
        <w:t xml:space="preserve">wonder if </w:t>
      </w:r>
      <w:r w:rsidR="0031001D">
        <w:t>we are</w:t>
      </w:r>
      <w:r>
        <w:t xml:space="preserve"> </w:t>
      </w:r>
      <w:r w:rsidR="00607002">
        <w:t>expecting our faith to do the wrong</w:t>
      </w:r>
      <w:r w:rsidR="00356AE9">
        <w:t xml:space="preserve"> sort of</w:t>
      </w:r>
      <w:r w:rsidR="00607002">
        <w:t xml:space="preserve"> </w:t>
      </w:r>
      <w:proofErr w:type="gramStart"/>
      <w:r w:rsidR="00607002">
        <w:t>job</w:t>
      </w:r>
      <w:r w:rsidR="00AE153C">
        <w:t>?</w:t>
      </w:r>
      <w:proofErr w:type="gramEnd"/>
      <w:r w:rsidR="00607002">
        <w:t xml:space="preserve"> </w:t>
      </w:r>
    </w:p>
    <w:p w14:paraId="03931996" w14:textId="77777777" w:rsidR="00D411DF" w:rsidRDefault="00D411DF" w:rsidP="00611D49"/>
    <w:p w14:paraId="478D0827" w14:textId="65653AAF" w:rsidR="00C24BF9" w:rsidRDefault="00607002" w:rsidP="00611D49">
      <w:r>
        <w:t>Thinking about God</w:t>
      </w:r>
      <w:r w:rsidR="00D411DF">
        <w:t xml:space="preserve"> </w:t>
      </w:r>
      <w:r>
        <w:t>will always be vulnerable to</w:t>
      </w:r>
      <w:r w:rsidR="00D411DF">
        <w:t xml:space="preserve"> the culture of the age. The impetus to accommodate a form of natural theology into our science is </w:t>
      </w:r>
      <w:r w:rsidR="00634C1E">
        <w:t xml:space="preserve">born </w:t>
      </w:r>
      <w:r w:rsidR="00D411DF">
        <w:t>of the intellectual zeitgeist: the power of reason</w:t>
      </w:r>
      <w:r w:rsidR="00991CB6">
        <w:t xml:space="preserve"> cannot be escaped, and </w:t>
      </w:r>
      <w:r w:rsidR="00C17456">
        <w:t xml:space="preserve">so </w:t>
      </w:r>
      <w:r w:rsidR="00991CB6">
        <w:t xml:space="preserve">understanding of talking about God must satisfy </w:t>
      </w:r>
      <w:r w:rsidR="00720592">
        <w:t>the associated</w:t>
      </w:r>
      <w:r w:rsidR="00991CB6">
        <w:t xml:space="preserve"> rigours.</w:t>
      </w:r>
      <w:r w:rsidR="00643A84">
        <w:t xml:space="preserve"> It is a vicious circle: if you view the history of the Christian intellectual tradition (S</w:t>
      </w:r>
      <w:r w:rsidR="00991CB6">
        <w:t>winburne</w:t>
      </w:r>
      <w:r w:rsidR="00FA0F47">
        <w:rPr>
          <w:rStyle w:val="FootnoteReference"/>
        </w:rPr>
        <w:footnoteReference w:id="22"/>
      </w:r>
      <w:r w:rsidR="00643A84">
        <w:t xml:space="preserve">) as seeking understanding of God from the natural world, then </w:t>
      </w:r>
      <w:r w:rsidR="00C17456">
        <w:t>the danger is a descent</w:t>
      </w:r>
      <w:r w:rsidR="00643A84">
        <w:t xml:space="preserve"> into </w:t>
      </w:r>
      <w:r w:rsidR="00E37F39">
        <w:t>theistic explanations of (</w:t>
      </w:r>
      <w:proofErr w:type="gramStart"/>
      <w:r w:rsidR="00E37F39">
        <w:t>as yet</w:t>
      </w:r>
      <w:proofErr w:type="gramEnd"/>
      <w:r w:rsidR="00E37F39">
        <w:t>) unexplained natural phenomena. But what if those ‘</w:t>
      </w:r>
      <w:proofErr w:type="spellStart"/>
      <w:r w:rsidR="00E37F39">
        <w:t>unexplaineds</w:t>
      </w:r>
      <w:proofErr w:type="spellEnd"/>
      <w:r w:rsidR="00E37F39">
        <w:t xml:space="preserve">’ are eventually explained? If your theology, for example, says that the world is flat, where will your God go when you find that the earth is </w:t>
      </w:r>
      <w:r w:rsidR="00C17456">
        <w:t>not</w:t>
      </w:r>
      <w:r w:rsidR="00E37F39">
        <w:t xml:space="preserve">? </w:t>
      </w:r>
      <w:r w:rsidR="00A42F01">
        <w:t>Thus,</w:t>
      </w:r>
      <w:r w:rsidR="00FA0C14">
        <w:t xml:space="preserve"> n</w:t>
      </w:r>
      <w:r w:rsidR="00E37F39" w:rsidRPr="00111BD4">
        <w:t>othing in the world of phenomena</w:t>
      </w:r>
      <w:r w:rsidR="00E37F39">
        <w:t xml:space="preserve"> endorses faith, </w:t>
      </w:r>
      <w:r w:rsidR="00FA0C14">
        <w:t xml:space="preserve">if only because it is </w:t>
      </w:r>
      <w:r w:rsidR="00E37F39">
        <w:t xml:space="preserve">a question of time before that line of defence </w:t>
      </w:r>
      <w:r w:rsidR="00C24BF9">
        <w:t>turns itself into</w:t>
      </w:r>
      <w:r w:rsidR="00E37F39">
        <w:t xml:space="preserve"> a weapon </w:t>
      </w:r>
      <w:r w:rsidR="00FA0C14">
        <w:t>against</w:t>
      </w:r>
      <w:r w:rsidR="00E37F39">
        <w:t xml:space="preserve"> faith. </w:t>
      </w:r>
    </w:p>
    <w:p w14:paraId="7BF56FC0" w14:textId="77777777" w:rsidR="00C24BF9" w:rsidRDefault="00C24BF9" w:rsidP="00611D49"/>
    <w:p w14:paraId="7C6BC239" w14:textId="5BBC6907" w:rsidR="00047F04" w:rsidRDefault="00C24BF9" w:rsidP="00611D49">
      <w:r>
        <w:t>Further</w:t>
      </w:r>
      <w:r w:rsidR="00E37F39">
        <w:t>, when natural theologians adduce the 19</w:t>
      </w:r>
      <w:r w:rsidR="00E37F39" w:rsidRPr="00E37F39">
        <w:rPr>
          <w:vertAlign w:val="superscript"/>
        </w:rPr>
        <w:t>th</w:t>
      </w:r>
      <w:r w:rsidR="00E37F39">
        <w:t xml:space="preserve"> </w:t>
      </w:r>
      <w:r w:rsidR="00634C1E">
        <w:t>P</w:t>
      </w:r>
      <w:r w:rsidR="00E37F39">
        <w:t xml:space="preserve">salm as a justification for their </w:t>
      </w:r>
      <w:r w:rsidR="00E37F39" w:rsidRPr="00E37F39">
        <w:t>reasoning – ‘</w:t>
      </w:r>
      <w:r w:rsidR="00E37F39" w:rsidRPr="00E37F39">
        <w:rPr>
          <w:rStyle w:val="text"/>
          <w:rFonts w:cs="Segoe UI"/>
          <w:color w:val="000000"/>
        </w:rPr>
        <w:t>The heavens</w:t>
      </w:r>
      <w:r w:rsidR="00E37F39" w:rsidRPr="00E37F39">
        <w:rPr>
          <w:rStyle w:val="apple-converted-space"/>
          <w:rFonts w:cs="Segoe UI"/>
          <w:color w:val="000000"/>
        </w:rPr>
        <w:t> </w:t>
      </w:r>
      <w:r w:rsidR="00E37F39" w:rsidRPr="00E37F39">
        <w:rPr>
          <w:rStyle w:val="text"/>
          <w:rFonts w:cs="Segoe UI"/>
          <w:color w:val="000000"/>
        </w:rPr>
        <w:t>declare</w:t>
      </w:r>
      <w:r w:rsidR="00E37F39" w:rsidRPr="00E37F39">
        <w:rPr>
          <w:rStyle w:val="apple-converted-space"/>
          <w:rFonts w:cs="Segoe UI"/>
          <w:color w:val="000000"/>
        </w:rPr>
        <w:t> </w:t>
      </w:r>
      <w:r w:rsidR="00E37F39" w:rsidRPr="00E37F39">
        <w:rPr>
          <w:rStyle w:val="text"/>
          <w:rFonts w:cs="Segoe UI"/>
          <w:color w:val="000000"/>
        </w:rPr>
        <w:t>the glory of God;</w:t>
      </w:r>
      <w:r w:rsidR="00E37F39">
        <w:rPr>
          <w:rFonts w:cs="Segoe UI"/>
          <w:color w:val="000000"/>
        </w:rPr>
        <w:t xml:space="preserve"> </w:t>
      </w:r>
      <w:r w:rsidR="00E37F39" w:rsidRPr="00E37F39">
        <w:rPr>
          <w:rStyle w:val="text"/>
          <w:rFonts w:cs="Segoe UI"/>
          <w:color w:val="000000"/>
        </w:rPr>
        <w:t>the skies</w:t>
      </w:r>
      <w:r w:rsidR="00E37F39" w:rsidRPr="00E37F39">
        <w:rPr>
          <w:rStyle w:val="apple-converted-space"/>
          <w:rFonts w:cs="Segoe UI"/>
          <w:color w:val="000000"/>
        </w:rPr>
        <w:t> </w:t>
      </w:r>
      <w:r w:rsidR="00E37F39" w:rsidRPr="00E37F39">
        <w:rPr>
          <w:rStyle w:val="text"/>
          <w:rFonts w:cs="Segoe UI"/>
          <w:color w:val="000000"/>
        </w:rPr>
        <w:t>proclaim the work of his hands.</w:t>
      </w:r>
      <w:r w:rsidR="00E37F39" w:rsidRPr="00E37F39">
        <w:rPr>
          <w:rStyle w:val="text"/>
          <w:rFonts w:cs="Segoe UI"/>
          <w:color w:val="000000"/>
        </w:rPr>
        <w:t>’</w:t>
      </w:r>
      <w:r w:rsidR="00E37F39" w:rsidRPr="00E37F39">
        <w:rPr>
          <w:rStyle w:val="FootnoteReference"/>
          <w:rFonts w:cs="Segoe UI"/>
          <w:color w:val="000000"/>
        </w:rPr>
        <w:footnoteReference w:id="23"/>
      </w:r>
      <w:r w:rsidR="00E37F39" w:rsidRPr="00E37F39">
        <w:t xml:space="preserve"> </w:t>
      </w:r>
      <w:r w:rsidR="00E37F39">
        <w:t xml:space="preserve">– </w:t>
      </w:r>
      <w:r w:rsidR="00C17456">
        <w:t>are they not</w:t>
      </w:r>
      <w:r w:rsidR="00E37F39">
        <w:t xml:space="preserve"> misreading the text</w:t>
      </w:r>
      <w:r w:rsidR="00C17456">
        <w:t>?</w:t>
      </w:r>
      <w:r w:rsidR="006F7A15">
        <w:t xml:space="preserve"> </w:t>
      </w:r>
      <w:r w:rsidR="00C17456">
        <w:t>T</w:t>
      </w:r>
      <w:r w:rsidR="00E37F39">
        <w:t>he Psalmist would be very surprised to discover that he is correctly a</w:t>
      </w:r>
      <w:r w:rsidR="000C1E81">
        <w:t>d</w:t>
      </w:r>
      <w:r w:rsidR="00E37F39">
        <w:t>verting</w:t>
      </w:r>
      <w:r w:rsidR="00FA0F47">
        <w:t>, for example,</w:t>
      </w:r>
      <w:r w:rsidR="00E37F39">
        <w:t xml:space="preserve"> to the Big Bang theory. I</w:t>
      </w:r>
      <w:r w:rsidR="004221CE">
        <w:t xml:space="preserve">n </w:t>
      </w:r>
      <w:r w:rsidR="00C17456">
        <w:t>short</w:t>
      </w:r>
      <w:r w:rsidR="004221CE">
        <w:t>, i</w:t>
      </w:r>
      <w:r w:rsidR="00E37F39">
        <w:t xml:space="preserve">t is </w:t>
      </w:r>
      <w:r w:rsidR="00634C1E">
        <w:t>illogical</w:t>
      </w:r>
      <w:r w:rsidR="00E37F39">
        <w:t xml:space="preserve"> to ascribe the modernist’s obsession with e.g. the Verification Principle of an A.J</w:t>
      </w:r>
      <w:r w:rsidR="006F7A15">
        <w:t>.</w:t>
      </w:r>
      <w:r w:rsidR="00E37F39">
        <w:t xml:space="preserve"> Ayer </w:t>
      </w:r>
      <w:r w:rsidR="00FA0F47">
        <w:t>to th</w:t>
      </w:r>
      <w:r>
        <w:t>e</w:t>
      </w:r>
      <w:r w:rsidR="00FA0F47">
        <w:t xml:space="preserve"> two-thousand-year-old vision</w:t>
      </w:r>
      <w:r>
        <w:t xml:space="preserve"> of a poet</w:t>
      </w:r>
      <w:r w:rsidR="00FA0F47">
        <w:t>.</w:t>
      </w:r>
      <w:r w:rsidR="004143D6">
        <w:t xml:space="preserve"> </w:t>
      </w:r>
      <w:r w:rsidR="00C17456">
        <w:t>As Moore notes, it is inappropriate for Christians ‘</w:t>
      </w:r>
      <w:r w:rsidR="00C17456" w:rsidRPr="004E68BA">
        <w:t>to accept that faith is epistemologically below par and that they are under an obligation to show that their beliefs are justified in the terms set by the dominant social context.</w:t>
      </w:r>
      <w:r w:rsidR="00C17456">
        <w:t>’</w:t>
      </w:r>
      <w:r w:rsidR="00C17456">
        <w:rPr>
          <w:rStyle w:val="FootnoteReference"/>
        </w:rPr>
        <w:footnoteReference w:id="24"/>
      </w:r>
      <w:r w:rsidR="00C17456">
        <w:t xml:space="preserve"> It </w:t>
      </w:r>
      <w:r w:rsidR="00FA0F47">
        <w:t>is possible that Barth sensed this (and that it fuelled his passionate, ‘</w:t>
      </w:r>
      <w:proofErr w:type="spellStart"/>
      <w:r w:rsidR="00FA0F47">
        <w:t>Nein</w:t>
      </w:r>
      <w:proofErr w:type="spellEnd"/>
      <w:r w:rsidR="00FA0F47">
        <w:t>!’)</w:t>
      </w:r>
      <w:r>
        <w:t xml:space="preserve"> </w:t>
      </w:r>
    </w:p>
    <w:p w14:paraId="309E31B4" w14:textId="77777777" w:rsidR="0013226B" w:rsidRDefault="0013226B"/>
    <w:p w14:paraId="6383942B" w14:textId="5BEC3154" w:rsidR="0013226B" w:rsidRDefault="00F94F28">
      <w:r>
        <w:t>Alister McGrath argues that a joining up of scientific and theological accounts is necessary for us to ‘</w:t>
      </w:r>
      <w:r w:rsidRPr="00377425">
        <w:t>deal with life’s “ultimate questions”.</w:t>
      </w:r>
      <w:r>
        <w:t>’</w:t>
      </w:r>
      <w:r>
        <w:rPr>
          <w:rStyle w:val="FootnoteReference"/>
        </w:rPr>
        <w:footnoteReference w:id="25"/>
      </w:r>
      <w:r>
        <w:t xml:space="preserve"> </w:t>
      </w:r>
      <w:r w:rsidR="000C1E81">
        <w:t>One</w:t>
      </w:r>
      <w:r w:rsidR="006F3923">
        <w:t xml:space="preserve"> can imagine </w:t>
      </w:r>
      <w:r w:rsidR="00DE6DDB">
        <w:t xml:space="preserve">he means </w:t>
      </w:r>
      <w:r w:rsidR="006F7A15">
        <w:lastRenderedPageBreak/>
        <w:t>questi</w:t>
      </w:r>
      <w:r w:rsidR="006F3923">
        <w:t>o</w:t>
      </w:r>
      <w:r w:rsidR="006F7A15">
        <w:t>n</w:t>
      </w:r>
      <w:r w:rsidR="006F3923">
        <w:t>s</w:t>
      </w:r>
      <w:r w:rsidR="006F7A15">
        <w:t xml:space="preserve"> </w:t>
      </w:r>
      <w:r w:rsidR="006F3923">
        <w:t xml:space="preserve">such as, </w:t>
      </w:r>
      <w:r w:rsidR="004F06DE">
        <w:t xml:space="preserve">‘Can we work out a plausible scientific explanation </w:t>
      </w:r>
      <w:r w:rsidR="00C17456">
        <w:t>for how</w:t>
      </w:r>
      <w:r w:rsidR="004F06DE">
        <w:t xml:space="preserve"> the world (or the universe) began?’ and, ‘If we can, is that still consistent with a meaningful </w:t>
      </w:r>
      <w:r w:rsidR="00C17456">
        <w:t>description of the universe as</w:t>
      </w:r>
      <w:r w:rsidR="004F06DE">
        <w:t xml:space="preserve"> the creation of God?’ </w:t>
      </w:r>
      <w:r w:rsidR="00D3392F">
        <w:t xml:space="preserve">Tackling </w:t>
      </w:r>
      <w:r w:rsidR="00DE6DDB">
        <w:t xml:space="preserve">such ultimate questions </w:t>
      </w:r>
      <w:r w:rsidR="00D3392F">
        <w:t>can only be done through an</w:t>
      </w:r>
      <w:r w:rsidR="00DB7887">
        <w:t xml:space="preserve"> </w:t>
      </w:r>
      <w:r w:rsidR="004F06DE">
        <w:t xml:space="preserve">‘interweaving of scientific and theological </w:t>
      </w:r>
      <w:r w:rsidR="002753DC">
        <w:t>narratives</w:t>
      </w:r>
      <w:r w:rsidR="004F06DE">
        <w:t>.</w:t>
      </w:r>
      <w:r w:rsidR="002753DC">
        <w:t>’</w:t>
      </w:r>
      <w:r w:rsidR="004F06DE">
        <w:t xml:space="preserve"> </w:t>
      </w:r>
      <w:r w:rsidR="00626C7A">
        <w:t>But what is this ‘weaving’</w:t>
      </w:r>
      <w:r w:rsidR="00C24BF9">
        <w:t xml:space="preserve"> (</w:t>
      </w:r>
      <w:r w:rsidR="00626C7A">
        <w:t>other than an appealing metaphor</w:t>
      </w:r>
      <w:r w:rsidR="00C24BF9">
        <w:t>)</w:t>
      </w:r>
      <w:r w:rsidR="00626C7A">
        <w:t>? It has no logical basis that would satisfy either scientific or theological forms of inquiry</w:t>
      </w:r>
      <w:r w:rsidR="00D3392F">
        <w:t xml:space="preserve">, even if it may </w:t>
      </w:r>
      <w:r w:rsidR="00626C7A" w:rsidRPr="00626C7A">
        <w:rPr>
          <w:i/>
          <w:iCs/>
        </w:rPr>
        <w:t>feel</w:t>
      </w:r>
      <w:r w:rsidR="00626C7A">
        <w:t xml:space="preserve"> collegial to rush into the labs with our bibles (rather than</w:t>
      </w:r>
      <w:r w:rsidR="005661FA">
        <w:t xml:space="preserve"> </w:t>
      </w:r>
      <w:r w:rsidR="00626C7A">
        <w:t>into the library</w:t>
      </w:r>
      <w:r w:rsidR="005661FA">
        <w:t>, to ad</w:t>
      </w:r>
      <w:r w:rsidR="00DB7887">
        <w:t>a</w:t>
      </w:r>
      <w:r w:rsidR="005661FA">
        <w:t>pt Louth’s mischievous aperçu</w:t>
      </w:r>
      <w:r w:rsidR="00626C7A">
        <w:t>)</w:t>
      </w:r>
      <w:r w:rsidR="00626C7A">
        <w:rPr>
          <w:rStyle w:val="FootnoteReference"/>
        </w:rPr>
        <w:footnoteReference w:id="26"/>
      </w:r>
      <w:r w:rsidR="00626C7A">
        <w:t xml:space="preserve">. </w:t>
      </w:r>
      <w:r w:rsidR="00F40A2F">
        <w:t>A</w:t>
      </w:r>
      <w:r w:rsidR="009546B4">
        <w:t xml:space="preserve"> serious theory of the intellectual basis for such a collaboration is </w:t>
      </w:r>
      <w:r w:rsidR="00D3392F">
        <w:t>absent here</w:t>
      </w:r>
      <w:r w:rsidR="009546B4">
        <w:t xml:space="preserve">. Besides, </w:t>
      </w:r>
      <w:r w:rsidR="005A4037">
        <w:t>this</w:t>
      </w:r>
      <w:r w:rsidR="009546B4">
        <w:t xml:space="preserve"> continues to obscure the distinction between </w:t>
      </w:r>
      <w:r w:rsidR="00C17456">
        <w:t>mental</w:t>
      </w:r>
      <w:r w:rsidR="009546B4">
        <w:t xml:space="preserve"> activities (in the fullest sense) of the human person: inductive and deductive reasoning do not exhaust the range of these interior processes but stand out for their respective utility</w:t>
      </w:r>
      <w:r w:rsidR="006F7A15">
        <w:t>; belief and trust, like love, fear or compassion, are no less real or distinct, but are less obviously useful</w:t>
      </w:r>
      <w:r w:rsidR="00C17456">
        <w:t xml:space="preserve">, or </w:t>
      </w:r>
      <w:proofErr w:type="gramStart"/>
      <w:r w:rsidR="00C17456">
        <w:t>end-oriented</w:t>
      </w:r>
      <w:proofErr w:type="gramEnd"/>
      <w:r w:rsidR="006F7A15">
        <w:t xml:space="preserve">. </w:t>
      </w:r>
      <w:r w:rsidR="005A4037">
        <w:t xml:space="preserve">McGrath’s </w:t>
      </w:r>
      <w:r w:rsidR="00D3392F">
        <w:t>claims</w:t>
      </w:r>
      <w:r w:rsidR="005A4037">
        <w:t xml:space="preserve"> </w:t>
      </w:r>
      <w:r w:rsidR="00C17456">
        <w:t xml:space="preserve">that </w:t>
      </w:r>
      <w:r w:rsidR="005A4037">
        <w:t xml:space="preserve">it was not possible </w:t>
      </w:r>
      <w:r w:rsidR="002728A6">
        <w:t xml:space="preserve">for him </w:t>
      </w:r>
      <w:r w:rsidR="005A4037">
        <w:t xml:space="preserve">to conceive of his </w:t>
      </w:r>
      <w:r w:rsidR="00C17456">
        <w:t>work as a scientist</w:t>
      </w:r>
      <w:r w:rsidR="005A4037">
        <w:t xml:space="preserve"> </w:t>
      </w:r>
      <w:r w:rsidR="002728A6">
        <w:t>‘compartmentalized’</w:t>
      </w:r>
      <w:r w:rsidR="005A4037">
        <w:t xml:space="preserve"> in some way </w:t>
      </w:r>
      <w:r w:rsidR="002728A6">
        <w:t xml:space="preserve">from </w:t>
      </w:r>
      <w:r w:rsidR="005A4037">
        <w:t>his Christian faith</w:t>
      </w:r>
      <w:r w:rsidR="005A4037">
        <w:rPr>
          <w:rStyle w:val="FootnoteReference"/>
        </w:rPr>
        <w:footnoteReference w:id="27"/>
      </w:r>
      <w:r w:rsidR="00D3392F">
        <w:t>, but i</w:t>
      </w:r>
      <w:r w:rsidR="005A4037">
        <w:t xml:space="preserve">t is precisely such </w:t>
      </w:r>
      <w:r w:rsidR="002728A6">
        <w:t>separation</w:t>
      </w:r>
      <w:r w:rsidR="005A4037">
        <w:t xml:space="preserve"> that the science of faith surely demands. </w:t>
      </w:r>
      <w:r w:rsidR="00D807D7">
        <w:t xml:space="preserve">As Augustine says: ‘Si </w:t>
      </w:r>
      <w:proofErr w:type="spellStart"/>
      <w:r w:rsidR="00D807D7">
        <w:t>enim</w:t>
      </w:r>
      <w:proofErr w:type="spellEnd"/>
      <w:r w:rsidR="00D807D7">
        <w:t xml:space="preserve"> </w:t>
      </w:r>
      <w:proofErr w:type="spellStart"/>
      <w:r w:rsidR="00D807D7">
        <w:t>comprehendis</w:t>
      </w:r>
      <w:proofErr w:type="spellEnd"/>
      <w:r w:rsidR="00D807D7">
        <w:t xml:space="preserve">, </w:t>
      </w:r>
      <w:proofErr w:type="spellStart"/>
      <w:r w:rsidR="00D807D7">
        <w:t>non est</w:t>
      </w:r>
      <w:proofErr w:type="spellEnd"/>
      <w:r w:rsidR="00D807D7">
        <w:t xml:space="preserve"> </w:t>
      </w:r>
      <w:proofErr w:type="spellStart"/>
      <w:r w:rsidR="00D807D7">
        <w:t>deus’</w:t>
      </w:r>
      <w:proofErr w:type="spellEnd"/>
      <w:r w:rsidR="00D807D7">
        <w:t xml:space="preserve"> which could bear a worse translation than, ‘If you can get your head round it, it isn’t God.’</w:t>
      </w:r>
      <w:r w:rsidR="00D807D7">
        <w:rPr>
          <w:rStyle w:val="FootnoteReference"/>
        </w:rPr>
        <w:footnoteReference w:id="28"/>
      </w:r>
    </w:p>
    <w:p w14:paraId="3F65D702" w14:textId="77777777" w:rsidR="005A4037" w:rsidRDefault="005A4037"/>
    <w:p w14:paraId="36AB8BB3" w14:textId="60744F97" w:rsidR="00924DEB" w:rsidRDefault="00D3392F">
      <w:r>
        <w:t>Is</w:t>
      </w:r>
      <w:r w:rsidR="005A4037">
        <w:t xml:space="preserve"> maintaining a firewall around faith so important</w:t>
      </w:r>
      <w:r>
        <w:t>, and if</w:t>
      </w:r>
      <w:r w:rsidR="00CF5830">
        <w:t>,</w:t>
      </w:r>
      <w:r>
        <w:t xml:space="preserve"> so why</w:t>
      </w:r>
      <w:r w:rsidR="005A4037">
        <w:t xml:space="preserve">? </w:t>
      </w:r>
    </w:p>
    <w:p w14:paraId="1F6F635D" w14:textId="77777777" w:rsidR="00924DEB" w:rsidRDefault="00924DEB"/>
    <w:p w14:paraId="73E78D96" w14:textId="4830459C" w:rsidR="008B1D80" w:rsidRDefault="007B33E7">
      <w:r>
        <w:t xml:space="preserve">We may dismiss </w:t>
      </w:r>
      <w:r w:rsidR="00CF5830">
        <w:t xml:space="preserve">Swinburne </w:t>
      </w:r>
      <w:r>
        <w:t xml:space="preserve">on the grounds that </w:t>
      </w:r>
      <w:r w:rsidR="00CF5830">
        <w:t>probability of fact is not an issue of faith</w:t>
      </w:r>
      <w:r w:rsidR="00AD49AE">
        <w:t>.</w:t>
      </w:r>
      <w:r w:rsidR="00CF5830">
        <w:t xml:space="preserve"> More than this, however, his reasoning betrays an epistemological confusion</w:t>
      </w:r>
      <w:r>
        <w:t xml:space="preserve">: he seems to equate knowledge of facts with knowledge of persons. </w:t>
      </w:r>
      <w:r w:rsidR="00AB04D2">
        <w:t>(</w:t>
      </w:r>
      <w:r>
        <w:t xml:space="preserve">It may be worth </w:t>
      </w:r>
      <w:r w:rsidR="00AB04D2">
        <w:t>noting how</w:t>
      </w:r>
      <w:r>
        <w:t xml:space="preserve"> the English language encourages this in a way that </w:t>
      </w:r>
      <w:r w:rsidR="00CF5830">
        <w:t xml:space="preserve">European languages </w:t>
      </w:r>
      <w:r>
        <w:t>do not</w:t>
      </w:r>
      <w:r w:rsidR="00CF5830">
        <w:t>.</w:t>
      </w:r>
      <w:r w:rsidR="00CF5830">
        <w:rPr>
          <w:rStyle w:val="FootnoteReference"/>
        </w:rPr>
        <w:footnoteReference w:id="29"/>
      </w:r>
      <w:r w:rsidR="00AB04D2">
        <w:t xml:space="preserve">) </w:t>
      </w:r>
      <w:r>
        <w:t>Thus, a</w:t>
      </w:r>
      <w:r w:rsidR="00CF5830">
        <w:t xml:space="preserve">ll </w:t>
      </w:r>
      <w:r w:rsidR="00924DEB">
        <w:t xml:space="preserve">that </w:t>
      </w:r>
      <w:r w:rsidR="00DD4C51">
        <w:t xml:space="preserve">Swinburne </w:t>
      </w:r>
      <w:r>
        <w:t>hopes</w:t>
      </w:r>
      <w:r w:rsidR="00DD4C51">
        <w:t xml:space="preserve"> to offer is a (probable) knowledge </w:t>
      </w:r>
      <w:r w:rsidR="00924DEB" w:rsidRPr="008B4DDD">
        <w:rPr>
          <w:i/>
          <w:iCs/>
        </w:rPr>
        <w:t xml:space="preserve">that </w:t>
      </w:r>
      <w:r w:rsidR="00924DEB" w:rsidRPr="003F31F3">
        <w:t>God exists</w:t>
      </w:r>
      <w:r w:rsidR="00924DEB">
        <w:t xml:space="preserve">. </w:t>
      </w:r>
      <w:r>
        <w:t>But this presents problems: f</w:t>
      </w:r>
      <w:r w:rsidR="00AD49AE">
        <w:t>irst, s</w:t>
      </w:r>
      <w:r w:rsidR="00924DEB">
        <w:t xml:space="preserve">uch </w:t>
      </w:r>
      <w:proofErr w:type="gramStart"/>
      <w:r w:rsidR="00924DEB">
        <w:t>a</w:t>
      </w:r>
      <w:proofErr w:type="gramEnd"/>
      <w:r w:rsidR="00924DEB">
        <w:t xml:space="preserve"> knowledge would rule out faith entirely</w:t>
      </w:r>
      <w:r w:rsidR="00CF5830">
        <w:t xml:space="preserve">, since facts </w:t>
      </w:r>
      <w:r>
        <w:t>are not objects of faith, but of knowledge: then, what’s to doubt?</w:t>
      </w:r>
      <w:r w:rsidR="00DD4C51">
        <w:t xml:space="preserve"> </w:t>
      </w:r>
      <w:r w:rsidR="00924DEB">
        <w:t xml:space="preserve">Further, to </w:t>
      </w:r>
      <w:r w:rsidR="00CF5830">
        <w:t>have</w:t>
      </w:r>
      <w:r w:rsidR="00924DEB">
        <w:t xml:space="preserve"> faith in God is not to </w:t>
      </w:r>
      <w:r w:rsidR="00CF5830">
        <w:t xml:space="preserve">have faith </w:t>
      </w:r>
      <w:r w:rsidR="00CF5830" w:rsidRPr="007B33E7">
        <w:rPr>
          <w:i/>
          <w:iCs/>
        </w:rPr>
        <w:t>that</w:t>
      </w:r>
      <w:r w:rsidR="00CF5830">
        <w:t xml:space="preserve"> he exists, but to </w:t>
      </w:r>
      <w:r>
        <w:t>stand in relation to</w:t>
      </w:r>
      <w:r w:rsidR="00CF5830">
        <w:t xml:space="preserve"> God</w:t>
      </w:r>
      <w:r w:rsidR="00924DEB">
        <w:t xml:space="preserve">, as </w:t>
      </w:r>
      <w:r w:rsidR="00AD49AE">
        <w:t>with</w:t>
      </w:r>
      <w:r w:rsidR="00924DEB">
        <w:t xml:space="preserve"> a friend</w:t>
      </w:r>
      <w:r w:rsidR="00AD49AE">
        <w:t xml:space="preserve"> </w:t>
      </w:r>
      <w:r>
        <w:t>(</w:t>
      </w:r>
      <w:r w:rsidR="00AD49AE">
        <w:t>in whom one has faith</w:t>
      </w:r>
      <w:r w:rsidR="00924DEB">
        <w:t>.</w:t>
      </w:r>
      <w:r>
        <w:t>)</w:t>
      </w:r>
      <w:r w:rsidR="00CF5830">
        <w:t xml:space="preserve"> </w:t>
      </w:r>
      <w:r w:rsidR="00A00B0F">
        <w:t xml:space="preserve">In short, </w:t>
      </w:r>
      <w:r>
        <w:t>our working definition of theology</w:t>
      </w:r>
      <w:r w:rsidR="00CF5830">
        <w:t xml:space="preserve"> </w:t>
      </w:r>
      <w:r>
        <w:t>is that it is a study of</w:t>
      </w:r>
      <w:r w:rsidR="00CF5830">
        <w:t xml:space="preserve"> our relationship with God. </w:t>
      </w:r>
      <w:r w:rsidR="00A00B0F">
        <w:t xml:space="preserve">Alexei </w:t>
      </w:r>
      <w:proofErr w:type="spellStart"/>
      <w:r w:rsidR="00A00B0F">
        <w:t>Nesteruk</w:t>
      </w:r>
      <w:proofErr w:type="spellEnd"/>
      <w:r w:rsidR="00A00B0F">
        <w:t xml:space="preserve"> quotes Christos </w:t>
      </w:r>
      <w:proofErr w:type="spellStart"/>
      <w:r w:rsidR="00A00B0F">
        <w:t>Yannaras</w:t>
      </w:r>
      <w:proofErr w:type="spellEnd"/>
      <w:r w:rsidR="00A00B0F">
        <w:t xml:space="preserve"> on this point: God ‘reveals himself by the light of a knowledge which is not a meaning or concept, but a name and a person, Jesus Christ.’</w:t>
      </w:r>
      <w:r w:rsidR="00A00B0F">
        <w:rPr>
          <w:rStyle w:val="FootnoteReference"/>
        </w:rPr>
        <w:footnoteReference w:id="30"/>
      </w:r>
    </w:p>
    <w:p w14:paraId="327BF583" w14:textId="77777777" w:rsidR="00CF5830" w:rsidRDefault="00CF5830"/>
    <w:p w14:paraId="39C5209E" w14:textId="25EB186B" w:rsidR="00CF5830" w:rsidRDefault="00AD49AE">
      <w:r>
        <w:t xml:space="preserve">We have mentioned the noetic effects of sin (see above, p. 3). One illustration of these is the hubris of the </w:t>
      </w:r>
      <w:proofErr w:type="gramStart"/>
      <w:r>
        <w:t>aforementioned Verification</w:t>
      </w:r>
      <w:proofErr w:type="gramEnd"/>
      <w:r>
        <w:t xml:space="preserve"> Principle: what logical positivists are unwilling to acknowledge, </w:t>
      </w:r>
      <w:r w:rsidR="003F31F3">
        <w:t>with their exclusionary</w:t>
      </w:r>
      <w:r>
        <w:t xml:space="preserve"> rationalist </w:t>
      </w:r>
      <w:r w:rsidR="007B33E7">
        <w:t>worldview</w:t>
      </w:r>
      <w:r>
        <w:t>, is th</w:t>
      </w:r>
      <w:r w:rsidR="001432E4">
        <w:t>e limitations of the</w:t>
      </w:r>
      <w:r w:rsidR="004458DB">
        <w:t>ir</w:t>
      </w:r>
      <w:r w:rsidR="001432E4">
        <w:t xml:space="preserve"> principle, not only in matters theological, but also in the science</w:t>
      </w:r>
      <w:r w:rsidR="004458DB">
        <w:t>s</w:t>
      </w:r>
      <w:r w:rsidR="001432E4">
        <w:t xml:space="preserve"> e.g. </w:t>
      </w:r>
      <w:proofErr w:type="spellStart"/>
      <w:r w:rsidR="004458DB">
        <w:t>in</w:t>
      </w:r>
      <w:proofErr w:type="spellEnd"/>
      <w:r w:rsidR="004458DB">
        <w:t xml:space="preserve"> </w:t>
      </w:r>
      <w:r w:rsidR="001432E4">
        <w:t xml:space="preserve">quantum theory. </w:t>
      </w:r>
      <w:r w:rsidR="003F31F3">
        <w:t>Such</w:t>
      </w:r>
      <w:r w:rsidR="001432E4">
        <w:t xml:space="preserve"> limitations </w:t>
      </w:r>
      <w:r w:rsidR="003F31F3">
        <w:t>may not interfere with</w:t>
      </w:r>
      <w:r w:rsidR="001432E4">
        <w:t xml:space="preserve"> technological advancement or progress but are very relevant to, for example, the psychological </w:t>
      </w:r>
      <w:r w:rsidR="001432E4">
        <w:lastRenderedPageBreak/>
        <w:t xml:space="preserve">effects on us as humans. As </w:t>
      </w:r>
      <w:proofErr w:type="spellStart"/>
      <w:r w:rsidR="001432E4">
        <w:t>Nesteruk</w:t>
      </w:r>
      <w:proofErr w:type="spellEnd"/>
      <w:r w:rsidR="001432E4">
        <w:t xml:space="preserve"> </w:t>
      </w:r>
      <w:r w:rsidR="00923753">
        <w:t>suggests</w:t>
      </w:r>
      <w:r w:rsidR="007B33E7">
        <w:t>,</w:t>
      </w:r>
      <w:r w:rsidR="00923753">
        <w:t xml:space="preserve"> ‘</w:t>
      </w:r>
      <w:r w:rsidR="00923753" w:rsidRPr="004E63AE">
        <w:t>secular standards of affirming truth are themselves based in certain myths and beliefs (for example in the existence of a universal human reason).</w:t>
      </w:r>
      <w:r w:rsidR="004458DB">
        <w:t xml:space="preserve"> This leads them to affirm objective values only precariously.</w:t>
      </w:r>
      <w:r w:rsidR="00923753">
        <w:t>’</w:t>
      </w:r>
      <w:r w:rsidR="004458DB">
        <w:rPr>
          <w:rStyle w:val="FootnoteReference"/>
        </w:rPr>
        <w:footnoteReference w:id="31"/>
      </w:r>
      <w:r>
        <w:t xml:space="preserve">   </w:t>
      </w:r>
      <w:r w:rsidR="00923753">
        <w:t xml:space="preserve">He goes on to point out that the current intellectual </w:t>
      </w:r>
      <w:r w:rsidR="003F31F3">
        <w:t>climate</w:t>
      </w:r>
      <w:r w:rsidR="00923753">
        <w:t xml:space="preserve"> is evidence of our </w:t>
      </w:r>
      <w:r w:rsidR="00AB04D2">
        <w:t>knowledge-directed</w:t>
      </w:r>
      <w:r w:rsidR="00923753">
        <w:t xml:space="preserve"> </w:t>
      </w:r>
      <w:r w:rsidR="000B6939">
        <w:t>acquisitiveness</w:t>
      </w:r>
      <w:r w:rsidR="00923753">
        <w:t xml:space="preserve">, and that that knowledge is attained for the sole purpose of exploiting the world around us. We learn about the world so that we can manipulate it, not because we </w:t>
      </w:r>
      <w:r w:rsidR="003F31F3">
        <w:t>appreciate</w:t>
      </w:r>
      <w:r w:rsidR="00923753">
        <w:t xml:space="preserve"> it.</w:t>
      </w:r>
      <w:r w:rsidR="007B33E7">
        <w:t xml:space="preserve"> </w:t>
      </w:r>
      <w:r w:rsidR="003F31F3">
        <w:t>We</w:t>
      </w:r>
      <w:r w:rsidR="004458DB">
        <w:t xml:space="preserve"> are effectively in an abusive relationship with God’s creation, and thus with God himself. Not inappropriately, the only way of resolving this is through a change of heart: ‘metanoia’.</w:t>
      </w:r>
      <w:r w:rsidR="004458DB">
        <w:rPr>
          <w:rStyle w:val="FootnoteReference"/>
        </w:rPr>
        <w:footnoteReference w:id="32"/>
      </w:r>
      <w:r w:rsidR="004458DB">
        <w:t xml:space="preserve"> </w:t>
      </w:r>
      <w:r w:rsidR="00AB04D2">
        <w:t>(</w:t>
      </w:r>
      <w:r w:rsidR="004458DB">
        <w:t>It is this that was referred to as the ‘moral’ and ‘personal’ component to the discussion earlier (p.2).</w:t>
      </w:r>
      <w:r w:rsidR="00AB04D2">
        <w:t>)</w:t>
      </w:r>
      <w:r w:rsidR="004458DB">
        <w:t xml:space="preserve"> Thus, for example, if the science of faith is to concern itself with natural theology, it will perforce open itself to the corrupting effect of the human </w:t>
      </w:r>
      <w:r w:rsidR="00463B8A">
        <w:t>‘</w:t>
      </w:r>
      <w:r w:rsidR="004458DB">
        <w:t>psychoses</w:t>
      </w:r>
      <w:r w:rsidR="00463B8A">
        <w:t xml:space="preserve">’ that inform the utility of science. </w:t>
      </w:r>
      <w:r w:rsidR="00117668">
        <w:t>It is interesting that Williams himself</w:t>
      </w:r>
      <w:r w:rsidR="00117668">
        <w:rPr>
          <w:rStyle w:val="FootnoteReference"/>
        </w:rPr>
        <w:footnoteReference w:id="33"/>
      </w:r>
      <w:r w:rsidR="00117668">
        <w:t xml:space="preserve"> has intimations of this version of noetic sin when he talks of the human tendency to filter engagement with the world to those things that ‘sit comfortably with a </w:t>
      </w:r>
      <w:proofErr w:type="spellStart"/>
      <w:r w:rsidR="00117668">
        <w:t>narrowish</w:t>
      </w:r>
      <w:proofErr w:type="spellEnd"/>
      <w:r w:rsidR="00117668">
        <w:t xml:space="preserve"> range of perception.’ This narrow range of perception is so often dominated by our sense of utility (in the case of technology) or personal </w:t>
      </w:r>
      <w:r w:rsidR="007B33E7">
        <w:t>interest/</w:t>
      </w:r>
      <w:r w:rsidR="00117668">
        <w:t>advantage.</w:t>
      </w:r>
      <w:r w:rsidR="003F31F3">
        <w:t xml:space="preserve"> </w:t>
      </w:r>
    </w:p>
    <w:p w14:paraId="0DE94698" w14:textId="77777777" w:rsidR="00463B8A" w:rsidRDefault="00463B8A"/>
    <w:p w14:paraId="12CEF918" w14:textId="6C3EE860" w:rsidR="003A5DFE" w:rsidRDefault="007B33E7">
      <w:r>
        <w:t>It is notable</w:t>
      </w:r>
      <w:r w:rsidR="00A00B0F">
        <w:t xml:space="preserve"> that much of natural theology centres on the evidence (or otherwise) of the natural world, as though the support for one’s faith can be drawn (like blood) from a stone. Is that in fact where the doubter goes for support? Or does the Western mind think of recourse there because it no longer has access, as its Eastern counterpart has, to the community of Saints, and </w:t>
      </w:r>
      <w:r w:rsidR="00A00B0F" w:rsidRPr="00AA1436">
        <w:rPr>
          <w:i/>
          <w:iCs/>
        </w:rPr>
        <w:t xml:space="preserve">their </w:t>
      </w:r>
      <w:r w:rsidR="00A00B0F">
        <w:t xml:space="preserve">testimony for the reality of God. </w:t>
      </w:r>
      <w:r w:rsidR="00AA1436">
        <w:t xml:space="preserve">Since Reformation Theology was at such pains to discredit the Church, and thus break with Rome, the continuity of succour to ‘doubts and fears’ </w:t>
      </w:r>
      <w:r w:rsidR="003F31F3">
        <w:t>as available from</w:t>
      </w:r>
      <w:r w:rsidR="00AA1436">
        <w:t xml:space="preserve"> the Church’s tradition was also broken. This is where Barth’s dependence on ‘revelation’ reveals its weakness: he denies the need for the sustenance of faith – except by the power of the Holy Spirit – leaving hesitant believers with nowhere to turn, except </w:t>
      </w:r>
      <w:r w:rsidR="000B6939">
        <w:t xml:space="preserve">rationalist </w:t>
      </w:r>
      <w:r w:rsidR="00AA1436">
        <w:t xml:space="preserve">denial. It may thus be wondered what he would have made of the father of the epileptic boy: </w:t>
      </w:r>
      <w:r w:rsidR="00C656FD">
        <w:t xml:space="preserve">precisely </w:t>
      </w:r>
      <w:r w:rsidR="00AA1436">
        <w:t>what help did the man need</w:t>
      </w:r>
      <w:r w:rsidR="00C656FD">
        <w:t xml:space="preserve"> over his ‘unbelief’</w:t>
      </w:r>
      <w:r w:rsidR="00AA1436">
        <w:t xml:space="preserve"> with Jesus, in person, standing before him</w:t>
      </w:r>
      <w:r w:rsidR="00C656FD">
        <w:t>?!</w:t>
      </w:r>
    </w:p>
    <w:p w14:paraId="37255173" w14:textId="77777777" w:rsidR="00AA1436" w:rsidRDefault="00AA1436"/>
    <w:p w14:paraId="18546C4C" w14:textId="1090F922" w:rsidR="00D66D65" w:rsidRDefault="00117668">
      <w:r>
        <w:t xml:space="preserve">What we have not considered is </w:t>
      </w:r>
      <w:r w:rsidRPr="003F31F3">
        <w:rPr>
          <w:i/>
          <w:iCs/>
        </w:rPr>
        <w:t>how</w:t>
      </w:r>
      <w:r>
        <w:t xml:space="preserve"> faith becomes vulnerable to uncertainty</w:t>
      </w:r>
      <w:r w:rsidR="000B6939">
        <w:t>. In closing, then, we may note</w:t>
      </w:r>
      <w:r>
        <w:t xml:space="preserve"> that the challenges to people’s faith may not at all be the worry about the truth or falsity of claims about God</w:t>
      </w:r>
      <w:r w:rsidR="000B6939">
        <w:t>: t</w:t>
      </w:r>
      <w:r>
        <w:t>his is, of course, the assumption of the natural theologian. But if we take seriously the idea that we are in a relationship with God, then</w:t>
      </w:r>
      <w:r w:rsidR="00C61156">
        <w:t xml:space="preserve"> what rocks our faith must be something </w:t>
      </w:r>
      <w:r w:rsidR="003F31F3">
        <w:t xml:space="preserve">more </w:t>
      </w:r>
      <w:r w:rsidR="000B6939">
        <w:t>(</w:t>
      </w:r>
      <w:r w:rsidR="003F31F3">
        <w:t xml:space="preserve">or </w:t>
      </w:r>
      <w:r w:rsidR="007173C8">
        <w:t>different</w:t>
      </w:r>
      <w:r w:rsidR="00C61156">
        <w:t>.</w:t>
      </w:r>
      <w:r w:rsidR="000B6939">
        <w:t>)</w:t>
      </w:r>
      <w:r w:rsidR="00C61156">
        <w:t xml:space="preserve"> As with a friend, the assault on faith will be a moral question, and not a matter of ascertainable fact. By confining the science of faith to its true epistemological setting, therefore, we can offer </w:t>
      </w:r>
      <w:r w:rsidR="000B6939">
        <w:t xml:space="preserve">the relevant </w:t>
      </w:r>
      <w:proofErr w:type="spellStart"/>
      <w:r w:rsidR="000B6939">
        <w:t>support</w:t>
      </w:r>
      <w:r w:rsidR="00C61156">
        <w:t xml:space="preserve"> to the do</w:t>
      </w:r>
      <w:proofErr w:type="spellEnd"/>
      <w:r w:rsidR="00C61156">
        <w:t>ubter, knowing that theirs will not be a</w:t>
      </w:r>
      <w:r w:rsidR="000B6939">
        <w:t xml:space="preserve"> matter of information or probability</w:t>
      </w:r>
      <w:r w:rsidR="00C61156">
        <w:t xml:space="preserve">, but, </w:t>
      </w:r>
      <w:r w:rsidR="000B6939">
        <w:t xml:space="preserve">perhaps </w:t>
      </w:r>
      <w:r w:rsidR="00C61156">
        <w:t>more troublingly, a sense of betrayal.</w:t>
      </w:r>
    </w:p>
    <w:p w14:paraId="7FC3CF36" w14:textId="2910F862" w:rsidR="00BA2C61" w:rsidRPr="00080D9A" w:rsidRDefault="000B6939" w:rsidP="00F478D2">
      <w:pPr>
        <w:jc w:val="right"/>
      </w:pPr>
      <w:r>
        <w:t>(338</w:t>
      </w:r>
      <w:r w:rsidR="000F0917">
        <w:t>1</w:t>
      </w:r>
      <w:r>
        <w:t xml:space="preserve"> words)</w:t>
      </w:r>
    </w:p>
    <w:sectPr w:rsidR="00BA2C61" w:rsidRPr="00080D9A">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5943C" w14:textId="77777777" w:rsidR="00B726CF" w:rsidRDefault="00B726CF" w:rsidP="00E741EA">
      <w:r>
        <w:separator/>
      </w:r>
    </w:p>
  </w:endnote>
  <w:endnote w:type="continuationSeparator" w:id="0">
    <w:p w14:paraId="30A0634D" w14:textId="77777777" w:rsidR="00B726CF" w:rsidRDefault="00B726CF" w:rsidP="00E74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dvPS6F0B">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89650034"/>
      <w:docPartObj>
        <w:docPartGallery w:val="Page Numbers (Bottom of Page)"/>
        <w:docPartUnique/>
      </w:docPartObj>
    </w:sdtPr>
    <w:sdtContent>
      <w:p w14:paraId="3269405C" w14:textId="6FDC5E64" w:rsidR="00D807D7" w:rsidRDefault="00D807D7" w:rsidP="00741C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44B1E4" w14:textId="77777777" w:rsidR="00D807D7" w:rsidRDefault="00D807D7" w:rsidP="00D807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58719544"/>
      <w:docPartObj>
        <w:docPartGallery w:val="Page Numbers (Bottom of Page)"/>
        <w:docPartUnique/>
      </w:docPartObj>
    </w:sdtPr>
    <w:sdtContent>
      <w:p w14:paraId="335DC941" w14:textId="7B136857" w:rsidR="00D807D7" w:rsidRDefault="00D807D7" w:rsidP="00741C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4FE1AFA" w14:textId="77777777" w:rsidR="00D807D7" w:rsidRDefault="00D807D7" w:rsidP="00D807D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62E12" w14:textId="77777777" w:rsidR="00B726CF" w:rsidRDefault="00B726CF" w:rsidP="00E741EA">
      <w:r>
        <w:separator/>
      </w:r>
    </w:p>
  </w:footnote>
  <w:footnote w:type="continuationSeparator" w:id="0">
    <w:p w14:paraId="2798B953" w14:textId="77777777" w:rsidR="00B726CF" w:rsidRDefault="00B726CF" w:rsidP="00E741EA">
      <w:r>
        <w:continuationSeparator/>
      </w:r>
    </w:p>
  </w:footnote>
  <w:footnote w:id="1">
    <w:p w14:paraId="224E068E" w14:textId="78F2BA63" w:rsidR="00B17219" w:rsidRDefault="00B17219">
      <w:pPr>
        <w:pStyle w:val="FootnoteText"/>
      </w:pPr>
      <w:r>
        <w:rPr>
          <w:rStyle w:val="FootnoteReference"/>
        </w:rPr>
        <w:footnoteRef/>
      </w:r>
      <w:r>
        <w:t xml:space="preserve"> </w:t>
      </w:r>
      <w:r w:rsidRPr="00B17219">
        <w:t xml:space="preserve">(1946 [1934]). </w:t>
      </w:r>
      <w:proofErr w:type="spellStart"/>
      <w:proofErr w:type="gramStart"/>
      <w:r w:rsidRPr="00B17219">
        <w:rPr>
          <w:rFonts w:ascii="Arial" w:hAnsi="Arial" w:cs="Arial"/>
        </w:rPr>
        <w:t>ʻ</w:t>
      </w:r>
      <w:r w:rsidRPr="00B17219">
        <w:t>No!</w:t>
      </w:r>
      <w:r w:rsidRPr="00B17219">
        <w:rPr>
          <w:rFonts w:ascii="Arial" w:hAnsi="Arial" w:cs="Arial"/>
        </w:rPr>
        <w:t>ʼ</w:t>
      </w:r>
      <w:proofErr w:type="spellEnd"/>
      <w:proofErr w:type="gramEnd"/>
      <w:r w:rsidRPr="00B17219">
        <w:t xml:space="preserve"> in </w:t>
      </w:r>
      <w:r w:rsidRPr="00B17219">
        <w:rPr>
          <w:i/>
          <w:iCs/>
        </w:rPr>
        <w:t>Natural Theology: Comprising “Nature and Grace” by Professor Dr Emil Brunner and the Reply “No!” by Dr Karl Barth</w:t>
      </w:r>
      <w:r w:rsidRPr="00B17219">
        <w:t xml:space="preserve">. Translated by Peter Frankel. Introduction by John Baillie. </w:t>
      </w:r>
      <w:r w:rsidR="00055BF6">
        <w:t>WIPF and STOCK Publishers, Oregon</w:t>
      </w:r>
    </w:p>
  </w:footnote>
  <w:footnote w:id="2">
    <w:p w14:paraId="0F1EBC72" w14:textId="77777777" w:rsidR="00055BF6" w:rsidRPr="00504D57" w:rsidRDefault="00055BF6" w:rsidP="00055BF6">
      <w:pPr>
        <w:pStyle w:val="FootnoteText"/>
      </w:pPr>
      <w:r>
        <w:rPr>
          <w:rStyle w:val="FootnoteReference"/>
        </w:rPr>
        <w:footnoteRef/>
      </w:r>
      <w:r>
        <w:t xml:space="preserve"> </w:t>
      </w:r>
      <w:r w:rsidRPr="00504D57">
        <w:t xml:space="preserve">Rowan Williams </w:t>
      </w:r>
      <w:r w:rsidRPr="00504D57">
        <w:rPr>
          <w:i/>
          <w:iCs/>
        </w:rPr>
        <w:t>The Edge of Words: God and the Habits of Language</w:t>
      </w:r>
      <w:r w:rsidRPr="00504D57">
        <w:t xml:space="preserve">. (London: Bloomsbury, 2014). Pp. </w:t>
      </w:r>
    </w:p>
    <w:p w14:paraId="4BB324FF" w14:textId="4066E28F" w:rsidR="00055BF6" w:rsidRDefault="00055BF6">
      <w:pPr>
        <w:pStyle w:val="FootnoteText"/>
      </w:pPr>
      <w:r w:rsidRPr="00055BF6">
        <w:t>xiii + 204.</w:t>
      </w:r>
    </w:p>
  </w:footnote>
  <w:footnote w:id="3">
    <w:p w14:paraId="1DFDA8D9" w14:textId="05B976E6" w:rsidR="00DB0D05" w:rsidRDefault="00DB0D05">
      <w:pPr>
        <w:pStyle w:val="FootnoteText"/>
      </w:pPr>
      <w:r>
        <w:rPr>
          <w:rStyle w:val="FootnoteReference"/>
        </w:rPr>
        <w:footnoteRef/>
      </w:r>
      <w:r>
        <w:t xml:space="preserve"> Ibid., p.17.</w:t>
      </w:r>
    </w:p>
  </w:footnote>
  <w:footnote w:id="4">
    <w:p w14:paraId="6EC0D769" w14:textId="4A450F7A" w:rsidR="00DB0D05" w:rsidRDefault="00DB0D05">
      <w:pPr>
        <w:pStyle w:val="FootnoteText"/>
      </w:pPr>
      <w:r>
        <w:rPr>
          <w:rStyle w:val="FootnoteReference"/>
        </w:rPr>
        <w:footnoteRef/>
      </w:r>
      <w:r>
        <w:t xml:space="preserve"> Ibid., p.185.</w:t>
      </w:r>
    </w:p>
  </w:footnote>
  <w:footnote w:id="5">
    <w:p w14:paraId="35BFC9AA" w14:textId="2DA30D86" w:rsidR="00DB0D05" w:rsidRDefault="00DB0D05">
      <w:pPr>
        <w:pStyle w:val="FootnoteText"/>
      </w:pPr>
      <w:r>
        <w:rPr>
          <w:rStyle w:val="FootnoteReference"/>
        </w:rPr>
        <w:footnoteRef/>
      </w:r>
      <w:r>
        <w:t xml:space="preserve"> Ibid., p. 173</w:t>
      </w:r>
      <w:r w:rsidR="00CB16DB">
        <w:t>.</w:t>
      </w:r>
    </w:p>
  </w:footnote>
  <w:footnote w:id="6">
    <w:p w14:paraId="394358D1" w14:textId="77777777" w:rsidR="0087696A" w:rsidRDefault="0087696A" w:rsidP="0087696A">
      <w:pPr>
        <w:pStyle w:val="FootnoteText"/>
      </w:pPr>
      <w:r>
        <w:rPr>
          <w:rStyle w:val="FootnoteReference"/>
        </w:rPr>
        <w:footnoteRef/>
      </w:r>
      <w:r>
        <w:t xml:space="preserve"> </w:t>
      </w:r>
      <w:r w:rsidRPr="00B17219">
        <w:t xml:space="preserve">(1946 [1934]). </w:t>
      </w:r>
      <w:proofErr w:type="spellStart"/>
      <w:proofErr w:type="gramStart"/>
      <w:r w:rsidRPr="00B17219">
        <w:rPr>
          <w:rFonts w:ascii="Arial" w:hAnsi="Arial" w:cs="Arial"/>
        </w:rPr>
        <w:t>ʻ</w:t>
      </w:r>
      <w:r w:rsidRPr="00B17219">
        <w:t>No!</w:t>
      </w:r>
      <w:r w:rsidRPr="00B17219">
        <w:rPr>
          <w:rFonts w:ascii="Arial" w:hAnsi="Arial" w:cs="Arial"/>
        </w:rPr>
        <w:t>ʼ</w:t>
      </w:r>
      <w:proofErr w:type="spellEnd"/>
      <w:proofErr w:type="gramEnd"/>
      <w:r w:rsidRPr="00B17219">
        <w:t xml:space="preserve"> in </w:t>
      </w:r>
      <w:r w:rsidRPr="00B17219">
        <w:rPr>
          <w:i/>
          <w:iCs/>
        </w:rPr>
        <w:t>Natural Theology: Comprising “Nature and Grace” by Professor Dr Emil Brunner and the Reply “No!” by Dr Karl Barth</w:t>
      </w:r>
      <w:r w:rsidRPr="00B17219">
        <w:t xml:space="preserve">. Translated by Peter Frankel. Introduction by John Baillie. </w:t>
      </w:r>
      <w:r>
        <w:t>WIPF and STOCK Publishers, Oregon, p.56. (Moore’s brackets)</w:t>
      </w:r>
    </w:p>
  </w:footnote>
  <w:footnote w:id="7">
    <w:p w14:paraId="610E09A8" w14:textId="44CB8472" w:rsidR="00CB16DB" w:rsidRDefault="00CB16DB">
      <w:pPr>
        <w:pStyle w:val="FootnoteText"/>
      </w:pPr>
      <w:r>
        <w:rPr>
          <w:rStyle w:val="FootnoteReference"/>
        </w:rPr>
        <w:footnoteRef/>
      </w:r>
      <w:r>
        <w:t xml:space="preserve"> </w:t>
      </w:r>
      <w:r w:rsidR="00655056" w:rsidRPr="00655056">
        <w:t>Moore, Andrew, 'Theological Critiques of Natural Theology', in John Hedley Brooke, Russell Re Manning, and Fraser Watts (eds), </w:t>
      </w:r>
      <w:r w:rsidR="00655056" w:rsidRPr="00655056">
        <w:rPr>
          <w:i/>
          <w:iCs/>
        </w:rPr>
        <w:t>The Oxford Handbook of Natural Theology</w:t>
      </w:r>
      <w:r w:rsidR="00655056" w:rsidRPr="00655056">
        <w:t> (2013)</w:t>
      </w:r>
      <w:r w:rsidR="00DD1242">
        <w:t>, p.233.</w:t>
      </w:r>
    </w:p>
  </w:footnote>
  <w:footnote w:id="8">
    <w:p w14:paraId="4E043F02" w14:textId="711A7E61" w:rsidR="000E6D17" w:rsidRDefault="000E6D17">
      <w:pPr>
        <w:pStyle w:val="FootnoteText"/>
      </w:pPr>
      <w:r>
        <w:rPr>
          <w:rStyle w:val="FootnoteReference"/>
        </w:rPr>
        <w:footnoteRef/>
      </w:r>
      <w:r>
        <w:t xml:space="preserve"> </w:t>
      </w:r>
      <w:r w:rsidR="002B0601" w:rsidRPr="00760FF5">
        <w:rPr>
          <w:rStyle w:val="contributors"/>
          <w:color w:val="2A2A2A"/>
          <w:bdr w:val="none" w:sz="0" w:space="0" w:color="auto" w:frame="1"/>
        </w:rPr>
        <w:t>Barr, James,</w:t>
      </w:r>
      <w:r w:rsidR="002B0601" w:rsidRPr="00760FF5">
        <w:rPr>
          <w:rStyle w:val="apple-converted-space"/>
          <w:color w:val="2A2A2A"/>
          <w:bdr w:val="none" w:sz="0" w:space="0" w:color="auto" w:frame="1"/>
        </w:rPr>
        <w:t> </w:t>
      </w:r>
      <w:r w:rsidR="002B0601" w:rsidRPr="00760FF5">
        <w:rPr>
          <w:rStyle w:val="Emphasis"/>
          <w:color w:val="2A2A2A"/>
          <w:bdr w:val="none" w:sz="0" w:space="0" w:color="auto" w:frame="1"/>
        </w:rPr>
        <w:t>Biblical Faith and Natural Theology: The Gifford Lectures for 1991: Delivered in the University of Edinburgh</w:t>
      </w:r>
      <w:r w:rsidR="002B0601" w:rsidRPr="00760FF5">
        <w:rPr>
          <w:rStyle w:val="apple-converted-space"/>
          <w:color w:val="2A2A2A"/>
          <w:shd w:val="clear" w:color="auto" w:fill="FFFFFF"/>
        </w:rPr>
        <w:t> </w:t>
      </w:r>
      <w:r w:rsidR="002B0601" w:rsidRPr="00760FF5">
        <w:rPr>
          <w:color w:val="2A2A2A"/>
          <w:shd w:val="clear" w:color="auto" w:fill="FFFFFF"/>
        </w:rPr>
        <w:t>(</w:t>
      </w:r>
      <w:r w:rsidR="002B0601" w:rsidRPr="00760FF5">
        <w:rPr>
          <w:rStyle w:val="publisher-location"/>
          <w:color w:val="2A2A2A"/>
          <w:bdr w:val="none" w:sz="0" w:space="0" w:color="auto" w:frame="1"/>
        </w:rPr>
        <w:t>Oxford,</w:t>
      </w:r>
      <w:r w:rsidR="002B0601" w:rsidRPr="00760FF5">
        <w:rPr>
          <w:rStyle w:val="apple-converted-space"/>
          <w:color w:val="2A2A2A"/>
          <w:bdr w:val="none" w:sz="0" w:space="0" w:color="auto" w:frame="1"/>
        </w:rPr>
        <w:t> </w:t>
      </w:r>
      <w:r w:rsidR="002B0601" w:rsidRPr="00760FF5">
        <w:rPr>
          <w:rStyle w:val="print-publication-date"/>
          <w:color w:val="2A2A2A"/>
          <w:bdr w:val="none" w:sz="0" w:space="0" w:color="auto" w:frame="1"/>
        </w:rPr>
        <w:t>1994</w:t>
      </w:r>
      <w:r w:rsidR="002B0601">
        <w:rPr>
          <w:rStyle w:val="print-publication-date"/>
          <w:color w:val="2A2A2A"/>
          <w:bdr w:val="none" w:sz="0" w:space="0" w:color="auto" w:frame="1"/>
        </w:rPr>
        <w:t xml:space="preserve">), </w:t>
      </w:r>
      <w:r w:rsidR="005609B1">
        <w:rPr>
          <w:rStyle w:val="apple-converted-space"/>
          <w:color w:val="2A2A2A"/>
          <w:shd w:val="clear" w:color="auto" w:fill="FFFFFF"/>
        </w:rPr>
        <w:t>pp.1-20</w:t>
      </w:r>
      <w:r w:rsidR="00252F13">
        <w:rPr>
          <w:rStyle w:val="apple-converted-space"/>
          <w:color w:val="2A2A2A"/>
          <w:shd w:val="clear" w:color="auto" w:fill="FFFFFF"/>
        </w:rPr>
        <w:t>.</w:t>
      </w:r>
    </w:p>
  </w:footnote>
  <w:footnote w:id="9">
    <w:p w14:paraId="01B18BFB" w14:textId="2597BEC0" w:rsidR="006A759A" w:rsidRDefault="006A759A">
      <w:pPr>
        <w:pStyle w:val="FootnoteText"/>
      </w:pPr>
      <w:r>
        <w:rPr>
          <w:rStyle w:val="FootnoteReference"/>
        </w:rPr>
        <w:footnoteRef/>
      </w:r>
      <w:r>
        <w:t xml:space="preserve"> Op. cit., p19.</w:t>
      </w:r>
    </w:p>
  </w:footnote>
  <w:footnote w:id="10">
    <w:p w14:paraId="6196E996" w14:textId="7D870102" w:rsidR="006A759A" w:rsidRDefault="006A759A">
      <w:pPr>
        <w:pStyle w:val="FootnoteText"/>
      </w:pPr>
      <w:r>
        <w:rPr>
          <w:rStyle w:val="FootnoteReference"/>
        </w:rPr>
        <w:footnoteRef/>
      </w:r>
      <w:r>
        <w:t xml:space="preserve"> </w:t>
      </w:r>
      <w:r w:rsidRPr="006A759A">
        <w:t xml:space="preserve">Peter Harrison, ‘What is Natural Theology? (And Should We Dispense with It?)’, </w:t>
      </w:r>
      <w:r w:rsidRPr="006A759A">
        <w:rPr>
          <w:i/>
          <w:iCs/>
        </w:rPr>
        <w:t>Zygon: Journal of Religion &amp; Science</w:t>
      </w:r>
      <w:r w:rsidRPr="006A759A">
        <w:t>, 57(1), 2022, pp 114–140.</w:t>
      </w:r>
    </w:p>
  </w:footnote>
  <w:footnote w:id="11">
    <w:p w14:paraId="24085899" w14:textId="77777777" w:rsidR="00EF2D60" w:rsidRDefault="00EF2D60" w:rsidP="00EF2D60">
      <w:pPr>
        <w:pStyle w:val="FootnoteText"/>
      </w:pPr>
      <w:r>
        <w:rPr>
          <w:rStyle w:val="FootnoteReference"/>
        </w:rPr>
        <w:footnoteRef/>
      </w:r>
      <w:r>
        <w:t xml:space="preserve"> Ibid., p.120.</w:t>
      </w:r>
    </w:p>
  </w:footnote>
  <w:footnote w:id="12">
    <w:p w14:paraId="786BF035" w14:textId="5D2D1BF6" w:rsidR="00611D49" w:rsidRDefault="00611D49">
      <w:pPr>
        <w:pStyle w:val="FootnoteText"/>
      </w:pPr>
      <w:r>
        <w:rPr>
          <w:rStyle w:val="FootnoteReference"/>
        </w:rPr>
        <w:footnoteRef/>
      </w:r>
      <w:r>
        <w:t xml:space="preserve"> </w:t>
      </w:r>
      <w:r w:rsidRPr="00611D49">
        <w:t>Moore A., ‘Should Christians do Natural Theology?’ </w:t>
      </w:r>
      <w:r w:rsidRPr="00611D49">
        <w:rPr>
          <w:i/>
          <w:iCs/>
        </w:rPr>
        <w:t xml:space="preserve">Scottish Journal of Theology, </w:t>
      </w:r>
      <w:r w:rsidRPr="00611D49">
        <w:t>63(2), 2010, pp 127- 145.</w:t>
      </w:r>
    </w:p>
  </w:footnote>
  <w:footnote w:id="13">
    <w:p w14:paraId="02141A1C" w14:textId="55A350EE" w:rsidR="00611D49" w:rsidRDefault="00611D49">
      <w:pPr>
        <w:pStyle w:val="FootnoteText"/>
      </w:pPr>
      <w:r>
        <w:rPr>
          <w:rStyle w:val="FootnoteReference"/>
        </w:rPr>
        <w:footnoteRef/>
      </w:r>
      <w:r>
        <w:t xml:space="preserve"> Ibid., pp.128-129, from </w:t>
      </w:r>
      <w:r w:rsidR="00FA2FCF" w:rsidRPr="00FA2FCF">
        <w:t xml:space="preserve">Michael </w:t>
      </w:r>
      <w:proofErr w:type="spellStart"/>
      <w:r w:rsidR="00FA2FCF" w:rsidRPr="00FA2FCF">
        <w:t>Czapkay</w:t>
      </w:r>
      <w:proofErr w:type="spellEnd"/>
      <w:r w:rsidR="00FA2FCF" w:rsidRPr="00FA2FCF">
        <w:t xml:space="preserve"> Sudduth, ‘The Prospects for “Mediate” Natural Theology in John Calvin’, </w:t>
      </w:r>
      <w:r w:rsidR="00FA2FCF" w:rsidRPr="00FA2FCF">
        <w:rPr>
          <w:i/>
          <w:iCs/>
        </w:rPr>
        <w:t xml:space="preserve">Religious Studies </w:t>
      </w:r>
      <w:r w:rsidR="00FA2FCF" w:rsidRPr="00FA2FCF">
        <w:t xml:space="preserve">31 (1995), pp. 53–68, esp. p. 64. </w:t>
      </w:r>
    </w:p>
    <w:p w14:paraId="6BFAA2EA" w14:textId="055334B4" w:rsidR="008F51B8" w:rsidRDefault="008F51B8">
      <w:pPr>
        <w:pStyle w:val="FootnoteText"/>
      </w:pPr>
      <w:r>
        <w:t>Antecedent supposes coming to know God rationally prior to revelation; consequent means following on from a prior (revealed) knowledge of God.</w:t>
      </w:r>
    </w:p>
  </w:footnote>
  <w:footnote w:id="14">
    <w:p w14:paraId="7189BD83" w14:textId="77777777" w:rsidR="00EF438F" w:rsidRDefault="00EF438F" w:rsidP="00EF438F">
      <w:pPr>
        <w:pStyle w:val="FootnoteText"/>
      </w:pPr>
      <w:r>
        <w:rPr>
          <w:rStyle w:val="FootnoteReference"/>
        </w:rPr>
        <w:footnoteRef/>
      </w:r>
      <w:r>
        <w:t xml:space="preserve"> Ibid., p.135. There have been attempts to meet this objection through so-called ‘ramified natural theology’, which allegedly seeks in the natural world for evidence of the core defining features of Christianity, such as the Trinity and the Incarnation.</w:t>
      </w:r>
    </w:p>
  </w:footnote>
  <w:footnote w:id="15">
    <w:p w14:paraId="4C384C4B" w14:textId="77777777" w:rsidR="00EF438F" w:rsidRDefault="00EF438F" w:rsidP="00EF438F">
      <w:pPr>
        <w:pStyle w:val="FootnoteText"/>
      </w:pPr>
      <w:r>
        <w:rPr>
          <w:rStyle w:val="FootnoteReference"/>
        </w:rPr>
        <w:footnoteRef/>
      </w:r>
      <w:r>
        <w:t xml:space="preserve"> Op. cit., p137.</w:t>
      </w:r>
    </w:p>
  </w:footnote>
  <w:footnote w:id="16">
    <w:p w14:paraId="74068BB2" w14:textId="1F0155A5" w:rsidR="00FA2FCF" w:rsidRDefault="00FA2FCF">
      <w:pPr>
        <w:pStyle w:val="FootnoteText"/>
      </w:pPr>
      <w:r>
        <w:rPr>
          <w:rStyle w:val="FootnoteReference"/>
        </w:rPr>
        <w:footnoteRef/>
      </w:r>
      <w:r>
        <w:t xml:space="preserve"> Ibid., p.128, from </w:t>
      </w:r>
      <w:r w:rsidR="00E019FF" w:rsidRPr="00E019FF">
        <w:t xml:space="preserve">Richard Swinburne, </w:t>
      </w:r>
      <w:r w:rsidR="00E019FF" w:rsidRPr="00E019FF">
        <w:rPr>
          <w:i/>
          <w:iCs/>
        </w:rPr>
        <w:t xml:space="preserve">The Existence of God </w:t>
      </w:r>
      <w:r w:rsidR="00E019FF" w:rsidRPr="00E019FF">
        <w:t xml:space="preserve">(Oxford: OUP, 2004, 2nd </w:t>
      </w:r>
      <w:proofErr w:type="spellStart"/>
      <w:r w:rsidR="00E019FF" w:rsidRPr="00E019FF">
        <w:t>edn</w:t>
      </w:r>
      <w:proofErr w:type="spellEnd"/>
      <w:r w:rsidR="00E019FF" w:rsidRPr="00E019FF">
        <w:t xml:space="preserve">), p. 1. </w:t>
      </w:r>
    </w:p>
  </w:footnote>
  <w:footnote w:id="17">
    <w:p w14:paraId="546DA9E8" w14:textId="77777777" w:rsidR="009A22F0" w:rsidRDefault="009A22F0" w:rsidP="009A22F0">
      <w:pPr>
        <w:pStyle w:val="FootnoteText"/>
      </w:pPr>
      <w:r>
        <w:rPr>
          <w:rStyle w:val="FootnoteReference"/>
        </w:rPr>
        <w:footnoteRef/>
      </w:r>
      <w:r>
        <w:t xml:space="preserve"> </w:t>
      </w:r>
      <w:r w:rsidRPr="00001226">
        <w:t>Swinburne, Richard, ‘The Revival of Natural Theology’, </w:t>
      </w:r>
      <w:proofErr w:type="spellStart"/>
      <w:r w:rsidRPr="00001226">
        <w:rPr>
          <w:i/>
          <w:iCs/>
        </w:rPr>
        <w:t>Archivio</w:t>
      </w:r>
      <w:proofErr w:type="spellEnd"/>
      <w:r w:rsidRPr="00001226">
        <w:rPr>
          <w:i/>
          <w:iCs/>
        </w:rPr>
        <w:t xml:space="preserve"> Di Filosofia</w:t>
      </w:r>
      <w:r w:rsidRPr="00001226">
        <w:t>, 75, 1:2, 2007, p.303</w:t>
      </w:r>
      <w:r>
        <w:t>.</w:t>
      </w:r>
    </w:p>
  </w:footnote>
  <w:footnote w:id="18">
    <w:p w14:paraId="6E2F1A4B" w14:textId="77777777" w:rsidR="009A22F0" w:rsidRDefault="009A22F0" w:rsidP="009A22F0">
      <w:pPr>
        <w:pStyle w:val="FootnoteText"/>
      </w:pPr>
      <w:r>
        <w:rPr>
          <w:rStyle w:val="FootnoteReference"/>
        </w:rPr>
        <w:footnoteRef/>
      </w:r>
      <w:r>
        <w:t xml:space="preserve"> Ibid., p.317.</w:t>
      </w:r>
    </w:p>
  </w:footnote>
  <w:footnote w:id="19">
    <w:p w14:paraId="2010A483" w14:textId="77777777" w:rsidR="009A22F0" w:rsidRDefault="009A22F0" w:rsidP="009A22F0">
      <w:pPr>
        <w:pStyle w:val="FootnoteText"/>
      </w:pPr>
      <w:r>
        <w:rPr>
          <w:rStyle w:val="FootnoteReference"/>
        </w:rPr>
        <w:footnoteRef/>
      </w:r>
      <w:r>
        <w:t xml:space="preserve"> Ibid., p.321.</w:t>
      </w:r>
    </w:p>
  </w:footnote>
  <w:footnote w:id="20">
    <w:p w14:paraId="41E40AE8" w14:textId="356B567C" w:rsidR="001B770E" w:rsidRDefault="001B770E" w:rsidP="001B770E">
      <w:pPr>
        <w:pStyle w:val="FootnoteText"/>
      </w:pPr>
      <w:r>
        <w:rPr>
          <w:rStyle w:val="FootnoteReference"/>
        </w:rPr>
        <w:footnoteRef/>
      </w:r>
      <w:r>
        <w:t xml:space="preserve"> Chap.9, v.24</w:t>
      </w:r>
      <w:r>
        <w:t>, NIV.</w:t>
      </w:r>
    </w:p>
  </w:footnote>
  <w:footnote w:id="21">
    <w:p w14:paraId="6C03FFA6" w14:textId="591A53F8" w:rsidR="001E75C0" w:rsidRDefault="001E75C0">
      <w:pPr>
        <w:pStyle w:val="FootnoteText"/>
      </w:pPr>
      <w:r>
        <w:rPr>
          <w:rStyle w:val="FootnoteReference"/>
        </w:rPr>
        <w:footnoteRef/>
      </w:r>
      <w:r>
        <w:t xml:space="preserve"> </w:t>
      </w:r>
      <w:r w:rsidR="009A22F0">
        <w:t>Is it</w:t>
      </w:r>
      <w:r>
        <w:t xml:space="preserve"> possible that Anselm’s formula of ‘</w:t>
      </w:r>
      <w:proofErr w:type="spellStart"/>
      <w:r>
        <w:t>fidens</w:t>
      </w:r>
      <w:proofErr w:type="spellEnd"/>
      <w:r>
        <w:t xml:space="preserve"> </w:t>
      </w:r>
      <w:proofErr w:type="spellStart"/>
      <w:r>
        <w:t>quaerens</w:t>
      </w:r>
      <w:proofErr w:type="spellEnd"/>
      <w:r>
        <w:t xml:space="preserve"> </w:t>
      </w:r>
      <w:proofErr w:type="spellStart"/>
      <w:r>
        <w:t>intellectum</w:t>
      </w:r>
      <w:proofErr w:type="spellEnd"/>
      <w:r>
        <w:t xml:space="preserve">’ has been </w:t>
      </w:r>
      <w:r w:rsidR="009A22F0">
        <w:t xml:space="preserve">simply </w:t>
      </w:r>
      <w:r>
        <w:t xml:space="preserve">misunderstood </w:t>
      </w:r>
      <w:proofErr w:type="gramStart"/>
      <w:r>
        <w:t>so as to</w:t>
      </w:r>
      <w:proofErr w:type="gramEnd"/>
      <w:r>
        <w:t xml:space="preserve"> represent the Natural Theology case</w:t>
      </w:r>
      <w:r w:rsidR="009A22F0">
        <w:t>?</w:t>
      </w:r>
    </w:p>
  </w:footnote>
  <w:footnote w:id="22">
    <w:p w14:paraId="00E0E1D4" w14:textId="6B4D0D8A" w:rsidR="00FA0F47" w:rsidRDefault="00FA0F47">
      <w:pPr>
        <w:pStyle w:val="FootnoteText"/>
      </w:pPr>
      <w:r>
        <w:rPr>
          <w:rStyle w:val="FootnoteReference"/>
        </w:rPr>
        <w:footnoteRef/>
      </w:r>
      <w:r>
        <w:t xml:space="preserve"> </w:t>
      </w:r>
      <w:r w:rsidR="00DE6DDB">
        <w:t xml:space="preserve">See </w:t>
      </w:r>
      <w:r>
        <w:t>above</w:t>
      </w:r>
      <w:r w:rsidR="00DE6DDB">
        <w:t xml:space="preserve"> (citation</w:t>
      </w:r>
      <w:r>
        <w:t xml:space="preserve"> </w:t>
      </w:r>
      <w:r w:rsidR="000C1E81">
        <w:t>18</w:t>
      </w:r>
      <w:r w:rsidR="00DE6DDB">
        <w:t>)</w:t>
      </w:r>
    </w:p>
  </w:footnote>
  <w:footnote w:id="23">
    <w:p w14:paraId="3205D551" w14:textId="4A4A6578" w:rsidR="00E37F39" w:rsidRDefault="00E37F39">
      <w:pPr>
        <w:pStyle w:val="FootnoteText"/>
      </w:pPr>
      <w:r>
        <w:rPr>
          <w:rStyle w:val="FootnoteReference"/>
        </w:rPr>
        <w:footnoteRef/>
      </w:r>
      <w:r>
        <w:t xml:space="preserve"> NIV, Psalm 19, v.1.</w:t>
      </w:r>
    </w:p>
  </w:footnote>
  <w:footnote w:id="24">
    <w:p w14:paraId="658EA2CF" w14:textId="77777777" w:rsidR="00C17456" w:rsidRDefault="00C17456" w:rsidP="00C17456">
      <w:pPr>
        <w:pStyle w:val="FootnoteText"/>
      </w:pPr>
      <w:r>
        <w:rPr>
          <w:rStyle w:val="FootnoteReference"/>
        </w:rPr>
        <w:footnoteRef/>
      </w:r>
      <w:r>
        <w:t xml:space="preserve"> </w:t>
      </w:r>
      <w:r w:rsidRPr="00611D49">
        <w:t>Moore A., ‘Should Christians do Natural Theology?’ </w:t>
      </w:r>
      <w:r w:rsidRPr="00611D49">
        <w:rPr>
          <w:i/>
          <w:iCs/>
        </w:rPr>
        <w:t xml:space="preserve">Scottish Journal of Theology, </w:t>
      </w:r>
      <w:r w:rsidRPr="00611D49">
        <w:t>63(2), 2010, pp 127- 14</w:t>
      </w:r>
      <w:r>
        <w:t>2.</w:t>
      </w:r>
    </w:p>
  </w:footnote>
  <w:footnote w:id="25">
    <w:p w14:paraId="3C0C0A3D" w14:textId="27FF3305" w:rsidR="00F94F28" w:rsidRDefault="00F94F28" w:rsidP="00F94F28">
      <w:pPr>
        <w:pStyle w:val="FootnoteText"/>
      </w:pPr>
      <w:r>
        <w:rPr>
          <w:rStyle w:val="FootnoteReference"/>
        </w:rPr>
        <w:footnoteRef/>
      </w:r>
      <w:r>
        <w:t xml:space="preserve"> </w:t>
      </w:r>
      <w:r w:rsidR="00F40A2F" w:rsidRPr="00F40A2F">
        <w:t xml:space="preserve">Alister E. McGrath (2019) Loving Science, Discovering God: An Autobiographical Reflection on Science and Theology, Theology and Science, 17:4, </w:t>
      </w:r>
      <w:r>
        <w:t>p440.</w:t>
      </w:r>
    </w:p>
  </w:footnote>
  <w:footnote w:id="26">
    <w:p w14:paraId="00358B1A" w14:textId="48F7D90E" w:rsidR="00626C7A" w:rsidRDefault="00626C7A">
      <w:pPr>
        <w:pStyle w:val="FootnoteText"/>
      </w:pPr>
      <w:r>
        <w:rPr>
          <w:rStyle w:val="FootnoteReference"/>
        </w:rPr>
        <w:footnoteRef/>
      </w:r>
      <w:r>
        <w:t xml:space="preserve"> </w:t>
      </w:r>
      <w:r w:rsidRPr="00626C7A">
        <w:t>L</w:t>
      </w:r>
      <w:r>
        <w:t>outh</w:t>
      </w:r>
      <w:r w:rsidRPr="00626C7A">
        <w:t>, A</w:t>
      </w:r>
      <w:r>
        <w:t>ndrew</w:t>
      </w:r>
      <w:r w:rsidRPr="00626C7A">
        <w:t>, 'Science and Mystery', </w:t>
      </w:r>
      <w:r w:rsidRPr="00626C7A">
        <w:rPr>
          <w:i/>
          <w:iCs/>
        </w:rPr>
        <w:t>Discerning the Mystery: An Essay on the Nature of Theology</w:t>
      </w:r>
      <w:r w:rsidRPr="00626C7A">
        <w:t>, Clarendon Paperbacks (Oxford, 1989</w:t>
      </w:r>
      <w:r>
        <w:t>, p.45</w:t>
      </w:r>
      <w:r w:rsidR="005A4037">
        <w:t>.</w:t>
      </w:r>
    </w:p>
  </w:footnote>
  <w:footnote w:id="27">
    <w:p w14:paraId="3250D893" w14:textId="7FD63E11" w:rsidR="005A4037" w:rsidRDefault="005A4037">
      <w:pPr>
        <w:pStyle w:val="FootnoteText"/>
      </w:pPr>
      <w:r>
        <w:rPr>
          <w:rStyle w:val="FootnoteReference"/>
        </w:rPr>
        <w:footnoteRef/>
      </w:r>
      <w:r>
        <w:t xml:space="preserve"> Op. cit., p.434.</w:t>
      </w:r>
    </w:p>
  </w:footnote>
  <w:footnote w:id="28">
    <w:p w14:paraId="4C81030B" w14:textId="49952255" w:rsidR="00D807D7" w:rsidRDefault="00D807D7">
      <w:pPr>
        <w:pStyle w:val="FootnoteText"/>
      </w:pPr>
      <w:r>
        <w:rPr>
          <w:rStyle w:val="FootnoteReference"/>
        </w:rPr>
        <w:footnoteRef/>
      </w:r>
      <w:r>
        <w:t xml:space="preserve"> Sermon 117, </w:t>
      </w:r>
      <w:proofErr w:type="spellStart"/>
      <w:r>
        <w:t>Patrologia</w:t>
      </w:r>
      <w:proofErr w:type="spellEnd"/>
      <w:r>
        <w:t xml:space="preserve"> Latina, Vol. 38, pp. 661-671.</w:t>
      </w:r>
    </w:p>
  </w:footnote>
  <w:footnote w:id="29">
    <w:p w14:paraId="09F5B17D" w14:textId="77777777" w:rsidR="00CF5830" w:rsidRDefault="00CF5830" w:rsidP="00CF5830">
      <w:pPr>
        <w:pStyle w:val="FootnoteText"/>
      </w:pPr>
      <w:r>
        <w:rPr>
          <w:rStyle w:val="FootnoteReference"/>
        </w:rPr>
        <w:footnoteRef/>
      </w:r>
      <w:r>
        <w:t xml:space="preserve"> The French thus distinguish ‘</w:t>
      </w:r>
      <w:proofErr w:type="spellStart"/>
      <w:r>
        <w:t>connaître</w:t>
      </w:r>
      <w:proofErr w:type="spellEnd"/>
      <w:r>
        <w:t>’ from ‘savoir’, as the Germans ‘</w:t>
      </w:r>
      <w:proofErr w:type="spellStart"/>
      <w:r>
        <w:t>kennen</w:t>
      </w:r>
      <w:proofErr w:type="spellEnd"/>
      <w:r>
        <w:t>’ from ‘</w:t>
      </w:r>
      <w:proofErr w:type="spellStart"/>
      <w:r>
        <w:t>wissen</w:t>
      </w:r>
      <w:proofErr w:type="spellEnd"/>
      <w:r>
        <w:t>’, as the Italians ‘</w:t>
      </w:r>
      <w:proofErr w:type="spellStart"/>
      <w:r>
        <w:t>sapere</w:t>
      </w:r>
      <w:proofErr w:type="spellEnd"/>
      <w:r>
        <w:t>’ from ‘</w:t>
      </w:r>
      <w:proofErr w:type="spellStart"/>
      <w:r>
        <w:t>conoscere</w:t>
      </w:r>
      <w:proofErr w:type="spellEnd"/>
      <w:r>
        <w:t>’ (and as the Welsh ‘</w:t>
      </w:r>
      <w:proofErr w:type="spellStart"/>
      <w:r>
        <w:t>nabod</w:t>
      </w:r>
      <w:proofErr w:type="spellEnd"/>
      <w:r>
        <w:t>’ from ‘</w:t>
      </w:r>
      <w:proofErr w:type="spellStart"/>
      <w:r>
        <w:t>gwybod</w:t>
      </w:r>
      <w:proofErr w:type="spellEnd"/>
      <w:r>
        <w:t>’!)</w:t>
      </w:r>
    </w:p>
  </w:footnote>
  <w:footnote w:id="30">
    <w:p w14:paraId="50C93410" w14:textId="7D3C5633" w:rsidR="00A00B0F" w:rsidRDefault="00A00B0F">
      <w:pPr>
        <w:pStyle w:val="FootnoteText"/>
      </w:pPr>
      <w:r>
        <w:rPr>
          <w:rStyle w:val="FootnoteReference"/>
        </w:rPr>
        <w:footnoteRef/>
      </w:r>
      <w:r>
        <w:t xml:space="preserve"> </w:t>
      </w:r>
      <w:proofErr w:type="spellStart"/>
      <w:r w:rsidRPr="00E332B0">
        <w:t>Nesteruk</w:t>
      </w:r>
      <w:proofErr w:type="spellEnd"/>
      <w:r w:rsidRPr="00E332B0">
        <w:t>, A. V., ‘The ecclesial dimension in the dialogue between theology and science’, </w:t>
      </w:r>
      <w:r w:rsidRPr="00E332B0">
        <w:rPr>
          <w:i/>
          <w:iCs/>
        </w:rPr>
        <w:t>International Journal for the Study of the Christian Church</w:t>
      </w:r>
      <w:r w:rsidRPr="00E332B0">
        <w:t>, </w:t>
      </w:r>
      <w:r w:rsidRPr="00E332B0">
        <w:rPr>
          <w:i/>
          <w:iCs/>
        </w:rPr>
        <w:t>13</w:t>
      </w:r>
      <w:r w:rsidRPr="00E332B0">
        <w:t>(3), 2013,</w:t>
      </w:r>
      <w:r>
        <w:t xml:space="preserve"> p183, quoting from:</w:t>
      </w:r>
    </w:p>
    <w:p w14:paraId="0AD85D61" w14:textId="6383B8FF" w:rsidR="00A00B0F" w:rsidRDefault="00A00B0F">
      <w:pPr>
        <w:pStyle w:val="FootnoteText"/>
      </w:pPr>
      <w:r>
        <w:t xml:space="preserve">Christos </w:t>
      </w:r>
      <w:proofErr w:type="spellStart"/>
      <w:r>
        <w:t>Yannaras</w:t>
      </w:r>
      <w:proofErr w:type="spellEnd"/>
      <w:r>
        <w:t>.</w:t>
      </w:r>
      <w:r w:rsidRPr="008236DA">
        <w:rPr>
          <w:rFonts w:ascii="AdvPS6F0B" w:eastAsia="Times New Roman" w:hAnsi="AdvPS6F0B" w:cs="Times New Roman"/>
          <w:sz w:val="18"/>
          <w:szCs w:val="18"/>
          <w:lang w:eastAsia="en-GB"/>
        </w:rPr>
        <w:t xml:space="preserve"> </w:t>
      </w:r>
      <w:r w:rsidRPr="008236DA">
        <w:t>Elements of Faith. Edinburgh: T &amp; T Clark, 1998.</w:t>
      </w:r>
      <w:r>
        <w:t>, p.41.</w:t>
      </w:r>
    </w:p>
  </w:footnote>
  <w:footnote w:id="31">
    <w:p w14:paraId="1C83DA3C" w14:textId="77777777" w:rsidR="004458DB" w:rsidRDefault="004458DB" w:rsidP="004458DB">
      <w:pPr>
        <w:pStyle w:val="FootnoteText"/>
      </w:pPr>
      <w:r>
        <w:rPr>
          <w:rStyle w:val="FootnoteReference"/>
        </w:rPr>
        <w:footnoteRef/>
      </w:r>
      <w:r>
        <w:t xml:space="preserve"> </w:t>
      </w:r>
      <w:proofErr w:type="spellStart"/>
      <w:r w:rsidRPr="00E332B0">
        <w:t>Nesteruk</w:t>
      </w:r>
      <w:proofErr w:type="spellEnd"/>
      <w:r w:rsidRPr="00E332B0">
        <w:t>, A. V., ‘The ecclesial dimension in the dialogue between theology and science’, </w:t>
      </w:r>
      <w:r w:rsidRPr="00E332B0">
        <w:rPr>
          <w:i/>
          <w:iCs/>
        </w:rPr>
        <w:t>International Journal for the Study of the Christian Church</w:t>
      </w:r>
      <w:r w:rsidRPr="00E332B0">
        <w:t>, </w:t>
      </w:r>
      <w:r w:rsidRPr="00E332B0">
        <w:rPr>
          <w:i/>
          <w:iCs/>
        </w:rPr>
        <w:t>13</w:t>
      </w:r>
      <w:r w:rsidRPr="00E332B0">
        <w:t>(3), 2013, pp 17</w:t>
      </w:r>
      <w:r>
        <w:t>9.</w:t>
      </w:r>
    </w:p>
  </w:footnote>
  <w:footnote w:id="32">
    <w:p w14:paraId="4E8C4909" w14:textId="77777777" w:rsidR="004458DB" w:rsidRDefault="004458DB" w:rsidP="004458DB">
      <w:pPr>
        <w:pStyle w:val="FootnoteText"/>
      </w:pPr>
      <w:r>
        <w:rPr>
          <w:rStyle w:val="FootnoteReference"/>
        </w:rPr>
        <w:footnoteRef/>
      </w:r>
      <w:r>
        <w:t xml:space="preserve"> Ibid., p.189.</w:t>
      </w:r>
    </w:p>
  </w:footnote>
  <w:footnote w:id="33">
    <w:p w14:paraId="35CF5BE6" w14:textId="3628D16E" w:rsidR="00117668" w:rsidRDefault="00117668">
      <w:pPr>
        <w:pStyle w:val="FootnoteText"/>
      </w:pPr>
      <w:r>
        <w:rPr>
          <w:rStyle w:val="FootnoteReference"/>
        </w:rPr>
        <w:footnoteRef/>
      </w:r>
      <w:r>
        <w:t xml:space="preserve"> Op. cit., p.135.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F1125"/>
    <w:multiLevelType w:val="multilevel"/>
    <w:tmpl w:val="EC0C34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0F69B7"/>
    <w:multiLevelType w:val="multilevel"/>
    <w:tmpl w:val="BFB888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6369CE"/>
    <w:multiLevelType w:val="multilevel"/>
    <w:tmpl w:val="7F5A15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A611A0"/>
    <w:multiLevelType w:val="multilevel"/>
    <w:tmpl w:val="CC32596C"/>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5D250B"/>
    <w:multiLevelType w:val="multilevel"/>
    <w:tmpl w:val="9A7270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15146F"/>
    <w:multiLevelType w:val="multilevel"/>
    <w:tmpl w:val="4B0EE832"/>
    <w:lvl w:ilvl="0">
      <w:start w:val="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D53BC7"/>
    <w:multiLevelType w:val="multilevel"/>
    <w:tmpl w:val="1B5630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E24E72"/>
    <w:multiLevelType w:val="multilevel"/>
    <w:tmpl w:val="435EDF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4726488">
    <w:abstractNumId w:val="0"/>
  </w:num>
  <w:num w:numId="2" w16cid:durableId="2146384524">
    <w:abstractNumId w:val="1"/>
  </w:num>
  <w:num w:numId="3" w16cid:durableId="378209296">
    <w:abstractNumId w:val="6"/>
  </w:num>
  <w:num w:numId="4" w16cid:durableId="1022318926">
    <w:abstractNumId w:val="7"/>
  </w:num>
  <w:num w:numId="5" w16cid:durableId="74939663">
    <w:abstractNumId w:val="3"/>
  </w:num>
  <w:num w:numId="6" w16cid:durableId="773980622">
    <w:abstractNumId w:val="5"/>
  </w:num>
  <w:num w:numId="7" w16cid:durableId="560754119">
    <w:abstractNumId w:val="4"/>
  </w:num>
  <w:num w:numId="8" w16cid:durableId="11201491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AC4"/>
    <w:rsid w:val="00001226"/>
    <w:rsid w:val="00002AC2"/>
    <w:rsid w:val="000328C8"/>
    <w:rsid w:val="00047F04"/>
    <w:rsid w:val="00055BF6"/>
    <w:rsid w:val="00080D9A"/>
    <w:rsid w:val="00081D2C"/>
    <w:rsid w:val="00087579"/>
    <w:rsid w:val="000A7F97"/>
    <w:rsid w:val="000B6939"/>
    <w:rsid w:val="000C1E81"/>
    <w:rsid w:val="000D2F8E"/>
    <w:rsid w:val="000D53B7"/>
    <w:rsid w:val="000E6D17"/>
    <w:rsid w:val="000F0917"/>
    <w:rsid w:val="000F34F1"/>
    <w:rsid w:val="00101277"/>
    <w:rsid w:val="00105024"/>
    <w:rsid w:val="00111BD4"/>
    <w:rsid w:val="001136C1"/>
    <w:rsid w:val="00117668"/>
    <w:rsid w:val="0013037E"/>
    <w:rsid w:val="00130DA0"/>
    <w:rsid w:val="0013226B"/>
    <w:rsid w:val="001432E4"/>
    <w:rsid w:val="001545F1"/>
    <w:rsid w:val="00180919"/>
    <w:rsid w:val="00180E2B"/>
    <w:rsid w:val="001A26D7"/>
    <w:rsid w:val="001A2BAC"/>
    <w:rsid w:val="001B2402"/>
    <w:rsid w:val="001B770E"/>
    <w:rsid w:val="001C0A2B"/>
    <w:rsid w:val="001D2DD4"/>
    <w:rsid w:val="001E75C0"/>
    <w:rsid w:val="001F45AB"/>
    <w:rsid w:val="001F676A"/>
    <w:rsid w:val="0020745B"/>
    <w:rsid w:val="0021024D"/>
    <w:rsid w:val="00220166"/>
    <w:rsid w:val="00252F13"/>
    <w:rsid w:val="002728A6"/>
    <w:rsid w:val="002753DC"/>
    <w:rsid w:val="00276244"/>
    <w:rsid w:val="0028758E"/>
    <w:rsid w:val="00290147"/>
    <w:rsid w:val="002B0601"/>
    <w:rsid w:val="002C2F1A"/>
    <w:rsid w:val="0031001D"/>
    <w:rsid w:val="003121DD"/>
    <w:rsid w:val="00344037"/>
    <w:rsid w:val="00356AE9"/>
    <w:rsid w:val="00370F60"/>
    <w:rsid w:val="003A58F9"/>
    <w:rsid w:val="003A5DFE"/>
    <w:rsid w:val="003B7999"/>
    <w:rsid w:val="003F31F3"/>
    <w:rsid w:val="003F4805"/>
    <w:rsid w:val="00402927"/>
    <w:rsid w:val="00405364"/>
    <w:rsid w:val="00406B61"/>
    <w:rsid w:val="004143D6"/>
    <w:rsid w:val="004221CE"/>
    <w:rsid w:val="00442E8E"/>
    <w:rsid w:val="004458DB"/>
    <w:rsid w:val="00461056"/>
    <w:rsid w:val="00463B8A"/>
    <w:rsid w:val="00477A1D"/>
    <w:rsid w:val="004F06DE"/>
    <w:rsid w:val="004F1C78"/>
    <w:rsid w:val="004F4A4B"/>
    <w:rsid w:val="00552C94"/>
    <w:rsid w:val="005609B1"/>
    <w:rsid w:val="005661FA"/>
    <w:rsid w:val="00577788"/>
    <w:rsid w:val="005A4037"/>
    <w:rsid w:val="005A5C59"/>
    <w:rsid w:val="005B3EBB"/>
    <w:rsid w:val="005D076A"/>
    <w:rsid w:val="005E3240"/>
    <w:rsid w:val="00607002"/>
    <w:rsid w:val="00611D49"/>
    <w:rsid w:val="00626C7A"/>
    <w:rsid w:val="0063311E"/>
    <w:rsid w:val="00634C1E"/>
    <w:rsid w:val="00643A84"/>
    <w:rsid w:val="00655056"/>
    <w:rsid w:val="0066282E"/>
    <w:rsid w:val="006A759A"/>
    <w:rsid w:val="006B3017"/>
    <w:rsid w:val="006D12CE"/>
    <w:rsid w:val="006E6392"/>
    <w:rsid w:val="006F3923"/>
    <w:rsid w:val="006F7A15"/>
    <w:rsid w:val="006F7DA3"/>
    <w:rsid w:val="007017E6"/>
    <w:rsid w:val="00703625"/>
    <w:rsid w:val="007055E6"/>
    <w:rsid w:val="00716437"/>
    <w:rsid w:val="007173C8"/>
    <w:rsid w:val="00717541"/>
    <w:rsid w:val="00720592"/>
    <w:rsid w:val="00730593"/>
    <w:rsid w:val="00741A2B"/>
    <w:rsid w:val="007B33E7"/>
    <w:rsid w:val="007B3FB2"/>
    <w:rsid w:val="007E522B"/>
    <w:rsid w:val="00811DD2"/>
    <w:rsid w:val="00835574"/>
    <w:rsid w:val="00844722"/>
    <w:rsid w:val="008522B7"/>
    <w:rsid w:val="00872873"/>
    <w:rsid w:val="0087696A"/>
    <w:rsid w:val="008853D3"/>
    <w:rsid w:val="008874A1"/>
    <w:rsid w:val="008A58FE"/>
    <w:rsid w:val="008B1D80"/>
    <w:rsid w:val="008B4DDD"/>
    <w:rsid w:val="008B73B7"/>
    <w:rsid w:val="008D485D"/>
    <w:rsid w:val="008E131B"/>
    <w:rsid w:val="008E4755"/>
    <w:rsid w:val="008F0EE7"/>
    <w:rsid w:val="008F1FDE"/>
    <w:rsid w:val="008F51B8"/>
    <w:rsid w:val="00901DD9"/>
    <w:rsid w:val="00923753"/>
    <w:rsid w:val="00924DEB"/>
    <w:rsid w:val="00930026"/>
    <w:rsid w:val="009546B4"/>
    <w:rsid w:val="00977DA8"/>
    <w:rsid w:val="00991CB6"/>
    <w:rsid w:val="009A22F0"/>
    <w:rsid w:val="009F000E"/>
    <w:rsid w:val="00A00B0F"/>
    <w:rsid w:val="00A03C87"/>
    <w:rsid w:val="00A3099E"/>
    <w:rsid w:val="00A42F01"/>
    <w:rsid w:val="00A5354C"/>
    <w:rsid w:val="00A82761"/>
    <w:rsid w:val="00A96DA2"/>
    <w:rsid w:val="00AA1436"/>
    <w:rsid w:val="00AB04D2"/>
    <w:rsid w:val="00AD49AE"/>
    <w:rsid w:val="00AE153C"/>
    <w:rsid w:val="00AF4964"/>
    <w:rsid w:val="00B17219"/>
    <w:rsid w:val="00B53397"/>
    <w:rsid w:val="00B726CF"/>
    <w:rsid w:val="00B95B0E"/>
    <w:rsid w:val="00BA2C61"/>
    <w:rsid w:val="00BB2129"/>
    <w:rsid w:val="00BE0EE3"/>
    <w:rsid w:val="00C07700"/>
    <w:rsid w:val="00C17456"/>
    <w:rsid w:val="00C23DD4"/>
    <w:rsid w:val="00C24BF9"/>
    <w:rsid w:val="00C26A47"/>
    <w:rsid w:val="00C372F4"/>
    <w:rsid w:val="00C52F53"/>
    <w:rsid w:val="00C53097"/>
    <w:rsid w:val="00C61156"/>
    <w:rsid w:val="00C656FD"/>
    <w:rsid w:val="00C960E0"/>
    <w:rsid w:val="00CB16DB"/>
    <w:rsid w:val="00CF5830"/>
    <w:rsid w:val="00D22AD3"/>
    <w:rsid w:val="00D32837"/>
    <w:rsid w:val="00D3392F"/>
    <w:rsid w:val="00D411DF"/>
    <w:rsid w:val="00D66D65"/>
    <w:rsid w:val="00D7746B"/>
    <w:rsid w:val="00D807D7"/>
    <w:rsid w:val="00DB0D05"/>
    <w:rsid w:val="00DB7887"/>
    <w:rsid w:val="00DC148D"/>
    <w:rsid w:val="00DC68A1"/>
    <w:rsid w:val="00DD1242"/>
    <w:rsid w:val="00DD4C51"/>
    <w:rsid w:val="00DE6DDB"/>
    <w:rsid w:val="00DF70CD"/>
    <w:rsid w:val="00E019FF"/>
    <w:rsid w:val="00E104ED"/>
    <w:rsid w:val="00E332B0"/>
    <w:rsid w:val="00E37F39"/>
    <w:rsid w:val="00E46497"/>
    <w:rsid w:val="00E46B06"/>
    <w:rsid w:val="00E51FB5"/>
    <w:rsid w:val="00E741EA"/>
    <w:rsid w:val="00E76769"/>
    <w:rsid w:val="00E81474"/>
    <w:rsid w:val="00EA7DB1"/>
    <w:rsid w:val="00EB2A2F"/>
    <w:rsid w:val="00ED2C82"/>
    <w:rsid w:val="00ED6496"/>
    <w:rsid w:val="00EE62C1"/>
    <w:rsid w:val="00EF2D60"/>
    <w:rsid w:val="00EF438F"/>
    <w:rsid w:val="00F36BBA"/>
    <w:rsid w:val="00F40A2F"/>
    <w:rsid w:val="00F478D2"/>
    <w:rsid w:val="00F53AC4"/>
    <w:rsid w:val="00F779AF"/>
    <w:rsid w:val="00F9471B"/>
    <w:rsid w:val="00F94F28"/>
    <w:rsid w:val="00FA0C14"/>
    <w:rsid w:val="00FA0F47"/>
    <w:rsid w:val="00FA2FCF"/>
    <w:rsid w:val="00FE2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DBD047"/>
  <w15:chartTrackingRefBased/>
  <w15:docId w15:val="{73986F4D-8695-3340-B270-A27F62FEA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3A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3A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3A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3A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3A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3AC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3AC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3AC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3AC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3A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3A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3A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3A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3A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3A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3A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3A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3AC4"/>
    <w:rPr>
      <w:rFonts w:eastAsiaTheme="majorEastAsia" w:cstheme="majorBidi"/>
      <w:color w:val="272727" w:themeColor="text1" w:themeTint="D8"/>
    </w:rPr>
  </w:style>
  <w:style w:type="paragraph" w:styleId="Title">
    <w:name w:val="Title"/>
    <w:basedOn w:val="Normal"/>
    <w:next w:val="Normal"/>
    <w:link w:val="TitleChar"/>
    <w:uiPriority w:val="10"/>
    <w:qFormat/>
    <w:rsid w:val="00F53AC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3A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3AC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3A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3A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53AC4"/>
    <w:rPr>
      <w:i/>
      <w:iCs/>
      <w:color w:val="404040" w:themeColor="text1" w:themeTint="BF"/>
    </w:rPr>
  </w:style>
  <w:style w:type="paragraph" w:styleId="ListParagraph">
    <w:name w:val="List Paragraph"/>
    <w:basedOn w:val="Normal"/>
    <w:uiPriority w:val="34"/>
    <w:qFormat/>
    <w:rsid w:val="00F53AC4"/>
    <w:pPr>
      <w:ind w:left="720"/>
      <w:contextualSpacing/>
    </w:pPr>
  </w:style>
  <w:style w:type="character" w:styleId="IntenseEmphasis">
    <w:name w:val="Intense Emphasis"/>
    <w:basedOn w:val="DefaultParagraphFont"/>
    <w:uiPriority w:val="21"/>
    <w:qFormat/>
    <w:rsid w:val="00F53AC4"/>
    <w:rPr>
      <w:i/>
      <w:iCs/>
      <w:color w:val="0F4761" w:themeColor="accent1" w:themeShade="BF"/>
    </w:rPr>
  </w:style>
  <w:style w:type="paragraph" w:styleId="IntenseQuote">
    <w:name w:val="Intense Quote"/>
    <w:basedOn w:val="Normal"/>
    <w:next w:val="Normal"/>
    <w:link w:val="IntenseQuoteChar"/>
    <w:uiPriority w:val="30"/>
    <w:qFormat/>
    <w:rsid w:val="00F53A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3AC4"/>
    <w:rPr>
      <w:i/>
      <w:iCs/>
      <w:color w:val="0F4761" w:themeColor="accent1" w:themeShade="BF"/>
    </w:rPr>
  </w:style>
  <w:style w:type="character" w:styleId="IntenseReference">
    <w:name w:val="Intense Reference"/>
    <w:basedOn w:val="DefaultParagraphFont"/>
    <w:uiPriority w:val="32"/>
    <w:qFormat/>
    <w:rsid w:val="00F53AC4"/>
    <w:rPr>
      <w:b/>
      <w:bCs/>
      <w:smallCaps/>
      <w:color w:val="0F4761" w:themeColor="accent1" w:themeShade="BF"/>
      <w:spacing w:val="5"/>
    </w:rPr>
  </w:style>
  <w:style w:type="paragraph" w:styleId="FootnoteText">
    <w:name w:val="footnote text"/>
    <w:basedOn w:val="Normal"/>
    <w:link w:val="FootnoteTextChar"/>
    <w:uiPriority w:val="99"/>
    <w:semiHidden/>
    <w:unhideWhenUsed/>
    <w:rsid w:val="00E741EA"/>
    <w:rPr>
      <w:sz w:val="20"/>
      <w:szCs w:val="20"/>
    </w:rPr>
  </w:style>
  <w:style w:type="character" w:customStyle="1" w:styleId="FootnoteTextChar">
    <w:name w:val="Footnote Text Char"/>
    <w:basedOn w:val="DefaultParagraphFont"/>
    <w:link w:val="FootnoteText"/>
    <w:uiPriority w:val="99"/>
    <w:semiHidden/>
    <w:rsid w:val="00E741EA"/>
    <w:rPr>
      <w:sz w:val="20"/>
      <w:szCs w:val="20"/>
    </w:rPr>
  </w:style>
  <w:style w:type="character" w:styleId="FootnoteReference">
    <w:name w:val="footnote reference"/>
    <w:basedOn w:val="DefaultParagraphFont"/>
    <w:uiPriority w:val="99"/>
    <w:semiHidden/>
    <w:unhideWhenUsed/>
    <w:rsid w:val="00E741EA"/>
    <w:rPr>
      <w:vertAlign w:val="superscript"/>
    </w:rPr>
  </w:style>
  <w:style w:type="paragraph" w:styleId="NormalWeb">
    <w:name w:val="Normal (Web)"/>
    <w:basedOn w:val="Normal"/>
    <w:uiPriority w:val="99"/>
    <w:semiHidden/>
    <w:unhideWhenUsed/>
    <w:rsid w:val="00B17219"/>
    <w:rPr>
      <w:rFonts w:ascii="Times New Roman" w:hAnsi="Times New Roman" w:cs="Times New Roman"/>
    </w:rPr>
  </w:style>
  <w:style w:type="character" w:customStyle="1" w:styleId="contributors">
    <w:name w:val="contributors"/>
    <w:basedOn w:val="DefaultParagraphFont"/>
    <w:rsid w:val="000E6D17"/>
  </w:style>
  <w:style w:type="character" w:customStyle="1" w:styleId="apple-converted-space">
    <w:name w:val="apple-converted-space"/>
    <w:basedOn w:val="DefaultParagraphFont"/>
    <w:rsid w:val="000E6D17"/>
  </w:style>
  <w:style w:type="character" w:styleId="Emphasis">
    <w:name w:val="Emphasis"/>
    <w:basedOn w:val="DefaultParagraphFont"/>
    <w:uiPriority w:val="20"/>
    <w:qFormat/>
    <w:rsid w:val="000E6D17"/>
    <w:rPr>
      <w:i/>
      <w:iCs/>
    </w:rPr>
  </w:style>
  <w:style w:type="character" w:customStyle="1" w:styleId="publisher-location">
    <w:name w:val="publisher-location"/>
    <w:basedOn w:val="DefaultParagraphFont"/>
    <w:rsid w:val="000E6D17"/>
  </w:style>
  <w:style w:type="character" w:customStyle="1" w:styleId="print-publication-date">
    <w:name w:val="print-publication-date"/>
    <w:basedOn w:val="DefaultParagraphFont"/>
    <w:rsid w:val="000E6D17"/>
  </w:style>
  <w:style w:type="character" w:customStyle="1" w:styleId="online-edition">
    <w:name w:val="online-edition"/>
    <w:basedOn w:val="DefaultParagraphFont"/>
    <w:rsid w:val="000E6D17"/>
  </w:style>
  <w:style w:type="character" w:customStyle="1" w:styleId="containing-site">
    <w:name w:val="containing-site"/>
    <w:basedOn w:val="DefaultParagraphFont"/>
    <w:rsid w:val="000E6D17"/>
  </w:style>
  <w:style w:type="character" w:customStyle="1" w:styleId="online-publication-date">
    <w:name w:val="online-publication-date"/>
    <w:basedOn w:val="DefaultParagraphFont"/>
    <w:rsid w:val="000E6D17"/>
  </w:style>
  <w:style w:type="character" w:customStyle="1" w:styleId="text">
    <w:name w:val="text"/>
    <w:basedOn w:val="DefaultParagraphFont"/>
    <w:rsid w:val="00E37F39"/>
  </w:style>
  <w:style w:type="character" w:customStyle="1" w:styleId="indent-1-breaks">
    <w:name w:val="indent-1-breaks"/>
    <w:basedOn w:val="DefaultParagraphFont"/>
    <w:rsid w:val="00E37F39"/>
  </w:style>
  <w:style w:type="paragraph" w:styleId="Footer">
    <w:name w:val="footer"/>
    <w:basedOn w:val="Normal"/>
    <w:link w:val="FooterChar"/>
    <w:uiPriority w:val="99"/>
    <w:unhideWhenUsed/>
    <w:rsid w:val="00D807D7"/>
    <w:pPr>
      <w:tabs>
        <w:tab w:val="center" w:pos="4513"/>
        <w:tab w:val="right" w:pos="9026"/>
      </w:tabs>
    </w:pPr>
  </w:style>
  <w:style w:type="character" w:customStyle="1" w:styleId="FooterChar">
    <w:name w:val="Footer Char"/>
    <w:basedOn w:val="DefaultParagraphFont"/>
    <w:link w:val="Footer"/>
    <w:uiPriority w:val="99"/>
    <w:rsid w:val="00D807D7"/>
  </w:style>
  <w:style w:type="character" w:styleId="PageNumber">
    <w:name w:val="page number"/>
    <w:basedOn w:val="DefaultParagraphFont"/>
    <w:uiPriority w:val="99"/>
    <w:semiHidden/>
    <w:unhideWhenUsed/>
    <w:rsid w:val="00D80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2704">
      <w:bodyDiv w:val="1"/>
      <w:marLeft w:val="0"/>
      <w:marRight w:val="0"/>
      <w:marTop w:val="0"/>
      <w:marBottom w:val="0"/>
      <w:divBdr>
        <w:top w:val="none" w:sz="0" w:space="0" w:color="auto"/>
        <w:left w:val="none" w:sz="0" w:space="0" w:color="auto"/>
        <w:bottom w:val="none" w:sz="0" w:space="0" w:color="auto"/>
        <w:right w:val="none" w:sz="0" w:space="0" w:color="auto"/>
      </w:divBdr>
      <w:divsChild>
        <w:div w:id="1203521948">
          <w:marLeft w:val="0"/>
          <w:marRight w:val="0"/>
          <w:marTop w:val="0"/>
          <w:marBottom w:val="0"/>
          <w:divBdr>
            <w:top w:val="none" w:sz="0" w:space="0" w:color="auto"/>
            <w:left w:val="none" w:sz="0" w:space="0" w:color="auto"/>
            <w:bottom w:val="none" w:sz="0" w:space="0" w:color="auto"/>
            <w:right w:val="none" w:sz="0" w:space="0" w:color="auto"/>
          </w:divBdr>
          <w:divsChild>
            <w:div w:id="1985887001">
              <w:marLeft w:val="0"/>
              <w:marRight w:val="0"/>
              <w:marTop w:val="0"/>
              <w:marBottom w:val="0"/>
              <w:divBdr>
                <w:top w:val="none" w:sz="0" w:space="0" w:color="auto"/>
                <w:left w:val="none" w:sz="0" w:space="0" w:color="auto"/>
                <w:bottom w:val="none" w:sz="0" w:space="0" w:color="auto"/>
                <w:right w:val="none" w:sz="0" w:space="0" w:color="auto"/>
              </w:divBdr>
              <w:divsChild>
                <w:div w:id="119730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90556">
      <w:bodyDiv w:val="1"/>
      <w:marLeft w:val="0"/>
      <w:marRight w:val="0"/>
      <w:marTop w:val="0"/>
      <w:marBottom w:val="0"/>
      <w:divBdr>
        <w:top w:val="none" w:sz="0" w:space="0" w:color="auto"/>
        <w:left w:val="none" w:sz="0" w:space="0" w:color="auto"/>
        <w:bottom w:val="none" w:sz="0" w:space="0" w:color="auto"/>
        <w:right w:val="none" w:sz="0" w:space="0" w:color="auto"/>
      </w:divBdr>
      <w:divsChild>
        <w:div w:id="2098552585">
          <w:marLeft w:val="0"/>
          <w:marRight w:val="0"/>
          <w:marTop w:val="0"/>
          <w:marBottom w:val="0"/>
          <w:divBdr>
            <w:top w:val="none" w:sz="0" w:space="0" w:color="auto"/>
            <w:left w:val="none" w:sz="0" w:space="0" w:color="auto"/>
            <w:bottom w:val="none" w:sz="0" w:space="0" w:color="auto"/>
            <w:right w:val="none" w:sz="0" w:space="0" w:color="auto"/>
          </w:divBdr>
          <w:divsChild>
            <w:div w:id="1934780510">
              <w:marLeft w:val="0"/>
              <w:marRight w:val="0"/>
              <w:marTop w:val="0"/>
              <w:marBottom w:val="0"/>
              <w:divBdr>
                <w:top w:val="none" w:sz="0" w:space="0" w:color="auto"/>
                <w:left w:val="none" w:sz="0" w:space="0" w:color="auto"/>
                <w:bottom w:val="none" w:sz="0" w:space="0" w:color="auto"/>
                <w:right w:val="none" w:sz="0" w:space="0" w:color="auto"/>
              </w:divBdr>
              <w:divsChild>
                <w:div w:id="9850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08030">
      <w:bodyDiv w:val="1"/>
      <w:marLeft w:val="0"/>
      <w:marRight w:val="0"/>
      <w:marTop w:val="0"/>
      <w:marBottom w:val="0"/>
      <w:divBdr>
        <w:top w:val="none" w:sz="0" w:space="0" w:color="auto"/>
        <w:left w:val="none" w:sz="0" w:space="0" w:color="auto"/>
        <w:bottom w:val="none" w:sz="0" w:space="0" w:color="auto"/>
        <w:right w:val="none" w:sz="0" w:space="0" w:color="auto"/>
      </w:divBdr>
      <w:divsChild>
        <w:div w:id="675307033">
          <w:marLeft w:val="0"/>
          <w:marRight w:val="0"/>
          <w:marTop w:val="0"/>
          <w:marBottom w:val="0"/>
          <w:divBdr>
            <w:top w:val="none" w:sz="0" w:space="0" w:color="auto"/>
            <w:left w:val="none" w:sz="0" w:space="0" w:color="auto"/>
            <w:bottom w:val="none" w:sz="0" w:space="0" w:color="auto"/>
            <w:right w:val="none" w:sz="0" w:space="0" w:color="auto"/>
          </w:divBdr>
          <w:divsChild>
            <w:div w:id="2077622967">
              <w:marLeft w:val="0"/>
              <w:marRight w:val="0"/>
              <w:marTop w:val="0"/>
              <w:marBottom w:val="0"/>
              <w:divBdr>
                <w:top w:val="none" w:sz="0" w:space="0" w:color="auto"/>
                <w:left w:val="none" w:sz="0" w:space="0" w:color="auto"/>
                <w:bottom w:val="none" w:sz="0" w:space="0" w:color="auto"/>
                <w:right w:val="none" w:sz="0" w:space="0" w:color="auto"/>
              </w:divBdr>
              <w:divsChild>
                <w:div w:id="208590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356685">
      <w:bodyDiv w:val="1"/>
      <w:marLeft w:val="0"/>
      <w:marRight w:val="0"/>
      <w:marTop w:val="0"/>
      <w:marBottom w:val="0"/>
      <w:divBdr>
        <w:top w:val="none" w:sz="0" w:space="0" w:color="auto"/>
        <w:left w:val="none" w:sz="0" w:space="0" w:color="auto"/>
        <w:bottom w:val="none" w:sz="0" w:space="0" w:color="auto"/>
        <w:right w:val="none" w:sz="0" w:space="0" w:color="auto"/>
      </w:divBdr>
      <w:divsChild>
        <w:div w:id="471336811">
          <w:marLeft w:val="0"/>
          <w:marRight w:val="0"/>
          <w:marTop w:val="0"/>
          <w:marBottom w:val="0"/>
          <w:divBdr>
            <w:top w:val="none" w:sz="0" w:space="0" w:color="auto"/>
            <w:left w:val="none" w:sz="0" w:space="0" w:color="auto"/>
            <w:bottom w:val="none" w:sz="0" w:space="0" w:color="auto"/>
            <w:right w:val="none" w:sz="0" w:space="0" w:color="auto"/>
          </w:divBdr>
          <w:divsChild>
            <w:div w:id="707264873">
              <w:marLeft w:val="0"/>
              <w:marRight w:val="0"/>
              <w:marTop w:val="0"/>
              <w:marBottom w:val="0"/>
              <w:divBdr>
                <w:top w:val="none" w:sz="0" w:space="0" w:color="auto"/>
                <w:left w:val="none" w:sz="0" w:space="0" w:color="auto"/>
                <w:bottom w:val="none" w:sz="0" w:space="0" w:color="auto"/>
                <w:right w:val="none" w:sz="0" w:space="0" w:color="auto"/>
              </w:divBdr>
              <w:divsChild>
                <w:div w:id="208818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616216">
      <w:bodyDiv w:val="1"/>
      <w:marLeft w:val="0"/>
      <w:marRight w:val="0"/>
      <w:marTop w:val="0"/>
      <w:marBottom w:val="0"/>
      <w:divBdr>
        <w:top w:val="none" w:sz="0" w:space="0" w:color="auto"/>
        <w:left w:val="none" w:sz="0" w:space="0" w:color="auto"/>
        <w:bottom w:val="none" w:sz="0" w:space="0" w:color="auto"/>
        <w:right w:val="none" w:sz="0" w:space="0" w:color="auto"/>
      </w:divBdr>
      <w:divsChild>
        <w:div w:id="1446266158">
          <w:marLeft w:val="0"/>
          <w:marRight w:val="0"/>
          <w:marTop w:val="0"/>
          <w:marBottom w:val="0"/>
          <w:divBdr>
            <w:top w:val="none" w:sz="0" w:space="0" w:color="auto"/>
            <w:left w:val="none" w:sz="0" w:space="0" w:color="auto"/>
            <w:bottom w:val="none" w:sz="0" w:space="0" w:color="auto"/>
            <w:right w:val="none" w:sz="0" w:space="0" w:color="auto"/>
          </w:divBdr>
          <w:divsChild>
            <w:div w:id="797069460">
              <w:marLeft w:val="0"/>
              <w:marRight w:val="0"/>
              <w:marTop w:val="0"/>
              <w:marBottom w:val="0"/>
              <w:divBdr>
                <w:top w:val="none" w:sz="0" w:space="0" w:color="auto"/>
                <w:left w:val="none" w:sz="0" w:space="0" w:color="auto"/>
                <w:bottom w:val="none" w:sz="0" w:space="0" w:color="auto"/>
                <w:right w:val="none" w:sz="0" w:space="0" w:color="auto"/>
              </w:divBdr>
              <w:divsChild>
                <w:div w:id="133915239">
                  <w:marLeft w:val="0"/>
                  <w:marRight w:val="0"/>
                  <w:marTop w:val="0"/>
                  <w:marBottom w:val="0"/>
                  <w:divBdr>
                    <w:top w:val="none" w:sz="0" w:space="0" w:color="auto"/>
                    <w:left w:val="none" w:sz="0" w:space="0" w:color="auto"/>
                    <w:bottom w:val="none" w:sz="0" w:space="0" w:color="auto"/>
                    <w:right w:val="none" w:sz="0" w:space="0" w:color="auto"/>
                  </w:divBdr>
                  <w:divsChild>
                    <w:div w:id="209932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496610">
      <w:bodyDiv w:val="1"/>
      <w:marLeft w:val="0"/>
      <w:marRight w:val="0"/>
      <w:marTop w:val="0"/>
      <w:marBottom w:val="0"/>
      <w:divBdr>
        <w:top w:val="none" w:sz="0" w:space="0" w:color="auto"/>
        <w:left w:val="none" w:sz="0" w:space="0" w:color="auto"/>
        <w:bottom w:val="none" w:sz="0" w:space="0" w:color="auto"/>
        <w:right w:val="none" w:sz="0" w:space="0" w:color="auto"/>
      </w:divBdr>
      <w:divsChild>
        <w:div w:id="1294140273">
          <w:marLeft w:val="0"/>
          <w:marRight w:val="0"/>
          <w:marTop w:val="0"/>
          <w:marBottom w:val="0"/>
          <w:divBdr>
            <w:top w:val="none" w:sz="0" w:space="0" w:color="auto"/>
            <w:left w:val="none" w:sz="0" w:space="0" w:color="auto"/>
            <w:bottom w:val="none" w:sz="0" w:space="0" w:color="auto"/>
            <w:right w:val="none" w:sz="0" w:space="0" w:color="auto"/>
          </w:divBdr>
          <w:divsChild>
            <w:div w:id="2029987321">
              <w:marLeft w:val="0"/>
              <w:marRight w:val="0"/>
              <w:marTop w:val="0"/>
              <w:marBottom w:val="0"/>
              <w:divBdr>
                <w:top w:val="none" w:sz="0" w:space="0" w:color="auto"/>
                <w:left w:val="none" w:sz="0" w:space="0" w:color="auto"/>
                <w:bottom w:val="none" w:sz="0" w:space="0" w:color="auto"/>
                <w:right w:val="none" w:sz="0" w:space="0" w:color="auto"/>
              </w:divBdr>
              <w:divsChild>
                <w:div w:id="11253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719905">
      <w:bodyDiv w:val="1"/>
      <w:marLeft w:val="0"/>
      <w:marRight w:val="0"/>
      <w:marTop w:val="0"/>
      <w:marBottom w:val="0"/>
      <w:divBdr>
        <w:top w:val="none" w:sz="0" w:space="0" w:color="auto"/>
        <w:left w:val="none" w:sz="0" w:space="0" w:color="auto"/>
        <w:bottom w:val="none" w:sz="0" w:space="0" w:color="auto"/>
        <w:right w:val="none" w:sz="0" w:space="0" w:color="auto"/>
      </w:divBdr>
      <w:divsChild>
        <w:div w:id="2080784456">
          <w:marLeft w:val="0"/>
          <w:marRight w:val="0"/>
          <w:marTop w:val="0"/>
          <w:marBottom w:val="0"/>
          <w:divBdr>
            <w:top w:val="none" w:sz="0" w:space="0" w:color="auto"/>
            <w:left w:val="none" w:sz="0" w:space="0" w:color="auto"/>
            <w:bottom w:val="none" w:sz="0" w:space="0" w:color="auto"/>
            <w:right w:val="none" w:sz="0" w:space="0" w:color="auto"/>
          </w:divBdr>
          <w:divsChild>
            <w:div w:id="1521428483">
              <w:marLeft w:val="0"/>
              <w:marRight w:val="0"/>
              <w:marTop w:val="0"/>
              <w:marBottom w:val="0"/>
              <w:divBdr>
                <w:top w:val="none" w:sz="0" w:space="0" w:color="auto"/>
                <w:left w:val="none" w:sz="0" w:space="0" w:color="auto"/>
                <w:bottom w:val="none" w:sz="0" w:space="0" w:color="auto"/>
                <w:right w:val="none" w:sz="0" w:space="0" w:color="auto"/>
              </w:divBdr>
              <w:divsChild>
                <w:div w:id="209138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869950">
      <w:bodyDiv w:val="1"/>
      <w:marLeft w:val="0"/>
      <w:marRight w:val="0"/>
      <w:marTop w:val="0"/>
      <w:marBottom w:val="0"/>
      <w:divBdr>
        <w:top w:val="none" w:sz="0" w:space="0" w:color="auto"/>
        <w:left w:val="none" w:sz="0" w:space="0" w:color="auto"/>
        <w:bottom w:val="none" w:sz="0" w:space="0" w:color="auto"/>
        <w:right w:val="none" w:sz="0" w:space="0" w:color="auto"/>
      </w:divBdr>
      <w:divsChild>
        <w:div w:id="1586108752">
          <w:marLeft w:val="0"/>
          <w:marRight w:val="0"/>
          <w:marTop w:val="0"/>
          <w:marBottom w:val="0"/>
          <w:divBdr>
            <w:top w:val="none" w:sz="0" w:space="0" w:color="auto"/>
            <w:left w:val="none" w:sz="0" w:space="0" w:color="auto"/>
            <w:bottom w:val="none" w:sz="0" w:space="0" w:color="auto"/>
            <w:right w:val="none" w:sz="0" w:space="0" w:color="auto"/>
          </w:divBdr>
          <w:divsChild>
            <w:div w:id="1730954711">
              <w:marLeft w:val="0"/>
              <w:marRight w:val="0"/>
              <w:marTop w:val="0"/>
              <w:marBottom w:val="0"/>
              <w:divBdr>
                <w:top w:val="none" w:sz="0" w:space="0" w:color="auto"/>
                <w:left w:val="none" w:sz="0" w:space="0" w:color="auto"/>
                <w:bottom w:val="none" w:sz="0" w:space="0" w:color="auto"/>
                <w:right w:val="none" w:sz="0" w:space="0" w:color="auto"/>
              </w:divBdr>
              <w:divsChild>
                <w:div w:id="43066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069345">
      <w:bodyDiv w:val="1"/>
      <w:marLeft w:val="0"/>
      <w:marRight w:val="0"/>
      <w:marTop w:val="0"/>
      <w:marBottom w:val="0"/>
      <w:divBdr>
        <w:top w:val="none" w:sz="0" w:space="0" w:color="auto"/>
        <w:left w:val="none" w:sz="0" w:space="0" w:color="auto"/>
        <w:bottom w:val="none" w:sz="0" w:space="0" w:color="auto"/>
        <w:right w:val="none" w:sz="0" w:space="0" w:color="auto"/>
      </w:divBdr>
      <w:divsChild>
        <w:div w:id="1902909072">
          <w:marLeft w:val="0"/>
          <w:marRight w:val="0"/>
          <w:marTop w:val="0"/>
          <w:marBottom w:val="0"/>
          <w:divBdr>
            <w:top w:val="none" w:sz="0" w:space="0" w:color="auto"/>
            <w:left w:val="none" w:sz="0" w:space="0" w:color="auto"/>
            <w:bottom w:val="none" w:sz="0" w:space="0" w:color="auto"/>
            <w:right w:val="none" w:sz="0" w:space="0" w:color="auto"/>
          </w:divBdr>
          <w:divsChild>
            <w:div w:id="1764261496">
              <w:marLeft w:val="0"/>
              <w:marRight w:val="0"/>
              <w:marTop w:val="0"/>
              <w:marBottom w:val="0"/>
              <w:divBdr>
                <w:top w:val="none" w:sz="0" w:space="0" w:color="auto"/>
                <w:left w:val="none" w:sz="0" w:space="0" w:color="auto"/>
                <w:bottom w:val="none" w:sz="0" w:space="0" w:color="auto"/>
                <w:right w:val="none" w:sz="0" w:space="0" w:color="auto"/>
              </w:divBdr>
              <w:divsChild>
                <w:div w:id="152543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848698">
      <w:bodyDiv w:val="1"/>
      <w:marLeft w:val="0"/>
      <w:marRight w:val="0"/>
      <w:marTop w:val="0"/>
      <w:marBottom w:val="0"/>
      <w:divBdr>
        <w:top w:val="none" w:sz="0" w:space="0" w:color="auto"/>
        <w:left w:val="none" w:sz="0" w:space="0" w:color="auto"/>
        <w:bottom w:val="none" w:sz="0" w:space="0" w:color="auto"/>
        <w:right w:val="none" w:sz="0" w:space="0" w:color="auto"/>
      </w:divBdr>
      <w:divsChild>
        <w:div w:id="1983271853">
          <w:marLeft w:val="0"/>
          <w:marRight w:val="0"/>
          <w:marTop w:val="0"/>
          <w:marBottom w:val="0"/>
          <w:divBdr>
            <w:top w:val="none" w:sz="0" w:space="0" w:color="auto"/>
            <w:left w:val="none" w:sz="0" w:space="0" w:color="auto"/>
            <w:bottom w:val="none" w:sz="0" w:space="0" w:color="auto"/>
            <w:right w:val="none" w:sz="0" w:space="0" w:color="auto"/>
          </w:divBdr>
          <w:divsChild>
            <w:div w:id="1945962409">
              <w:marLeft w:val="0"/>
              <w:marRight w:val="0"/>
              <w:marTop w:val="0"/>
              <w:marBottom w:val="0"/>
              <w:divBdr>
                <w:top w:val="none" w:sz="0" w:space="0" w:color="auto"/>
                <w:left w:val="none" w:sz="0" w:space="0" w:color="auto"/>
                <w:bottom w:val="none" w:sz="0" w:space="0" w:color="auto"/>
                <w:right w:val="none" w:sz="0" w:space="0" w:color="auto"/>
              </w:divBdr>
              <w:divsChild>
                <w:div w:id="199009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751203">
      <w:bodyDiv w:val="1"/>
      <w:marLeft w:val="0"/>
      <w:marRight w:val="0"/>
      <w:marTop w:val="0"/>
      <w:marBottom w:val="0"/>
      <w:divBdr>
        <w:top w:val="none" w:sz="0" w:space="0" w:color="auto"/>
        <w:left w:val="none" w:sz="0" w:space="0" w:color="auto"/>
        <w:bottom w:val="none" w:sz="0" w:space="0" w:color="auto"/>
        <w:right w:val="none" w:sz="0" w:space="0" w:color="auto"/>
      </w:divBdr>
      <w:divsChild>
        <w:div w:id="1097675718">
          <w:marLeft w:val="0"/>
          <w:marRight w:val="0"/>
          <w:marTop w:val="0"/>
          <w:marBottom w:val="0"/>
          <w:divBdr>
            <w:top w:val="none" w:sz="0" w:space="0" w:color="auto"/>
            <w:left w:val="none" w:sz="0" w:space="0" w:color="auto"/>
            <w:bottom w:val="none" w:sz="0" w:space="0" w:color="auto"/>
            <w:right w:val="none" w:sz="0" w:space="0" w:color="auto"/>
          </w:divBdr>
          <w:divsChild>
            <w:div w:id="1000163101">
              <w:marLeft w:val="0"/>
              <w:marRight w:val="0"/>
              <w:marTop w:val="0"/>
              <w:marBottom w:val="0"/>
              <w:divBdr>
                <w:top w:val="none" w:sz="0" w:space="0" w:color="auto"/>
                <w:left w:val="none" w:sz="0" w:space="0" w:color="auto"/>
                <w:bottom w:val="none" w:sz="0" w:space="0" w:color="auto"/>
                <w:right w:val="none" w:sz="0" w:space="0" w:color="auto"/>
              </w:divBdr>
              <w:divsChild>
                <w:div w:id="1609003344">
                  <w:marLeft w:val="0"/>
                  <w:marRight w:val="0"/>
                  <w:marTop w:val="0"/>
                  <w:marBottom w:val="0"/>
                  <w:divBdr>
                    <w:top w:val="none" w:sz="0" w:space="0" w:color="auto"/>
                    <w:left w:val="none" w:sz="0" w:space="0" w:color="auto"/>
                    <w:bottom w:val="none" w:sz="0" w:space="0" w:color="auto"/>
                    <w:right w:val="none" w:sz="0" w:space="0" w:color="auto"/>
                  </w:divBdr>
                  <w:divsChild>
                    <w:div w:id="94169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101338">
      <w:bodyDiv w:val="1"/>
      <w:marLeft w:val="0"/>
      <w:marRight w:val="0"/>
      <w:marTop w:val="0"/>
      <w:marBottom w:val="0"/>
      <w:divBdr>
        <w:top w:val="none" w:sz="0" w:space="0" w:color="auto"/>
        <w:left w:val="none" w:sz="0" w:space="0" w:color="auto"/>
        <w:bottom w:val="none" w:sz="0" w:space="0" w:color="auto"/>
        <w:right w:val="none" w:sz="0" w:space="0" w:color="auto"/>
      </w:divBdr>
      <w:divsChild>
        <w:div w:id="561528831">
          <w:marLeft w:val="0"/>
          <w:marRight w:val="0"/>
          <w:marTop w:val="0"/>
          <w:marBottom w:val="0"/>
          <w:divBdr>
            <w:top w:val="none" w:sz="0" w:space="0" w:color="auto"/>
            <w:left w:val="none" w:sz="0" w:space="0" w:color="auto"/>
            <w:bottom w:val="none" w:sz="0" w:space="0" w:color="auto"/>
            <w:right w:val="none" w:sz="0" w:space="0" w:color="auto"/>
          </w:divBdr>
          <w:divsChild>
            <w:div w:id="944002929">
              <w:marLeft w:val="0"/>
              <w:marRight w:val="0"/>
              <w:marTop w:val="0"/>
              <w:marBottom w:val="0"/>
              <w:divBdr>
                <w:top w:val="none" w:sz="0" w:space="0" w:color="auto"/>
                <w:left w:val="none" w:sz="0" w:space="0" w:color="auto"/>
                <w:bottom w:val="none" w:sz="0" w:space="0" w:color="auto"/>
                <w:right w:val="none" w:sz="0" w:space="0" w:color="auto"/>
              </w:divBdr>
              <w:divsChild>
                <w:div w:id="27460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619283">
      <w:bodyDiv w:val="1"/>
      <w:marLeft w:val="0"/>
      <w:marRight w:val="0"/>
      <w:marTop w:val="0"/>
      <w:marBottom w:val="0"/>
      <w:divBdr>
        <w:top w:val="none" w:sz="0" w:space="0" w:color="auto"/>
        <w:left w:val="none" w:sz="0" w:space="0" w:color="auto"/>
        <w:bottom w:val="none" w:sz="0" w:space="0" w:color="auto"/>
        <w:right w:val="none" w:sz="0" w:space="0" w:color="auto"/>
      </w:divBdr>
      <w:divsChild>
        <w:div w:id="82921862">
          <w:marLeft w:val="0"/>
          <w:marRight w:val="0"/>
          <w:marTop w:val="0"/>
          <w:marBottom w:val="0"/>
          <w:divBdr>
            <w:top w:val="none" w:sz="0" w:space="0" w:color="auto"/>
            <w:left w:val="none" w:sz="0" w:space="0" w:color="auto"/>
            <w:bottom w:val="none" w:sz="0" w:space="0" w:color="auto"/>
            <w:right w:val="none" w:sz="0" w:space="0" w:color="auto"/>
          </w:divBdr>
          <w:divsChild>
            <w:div w:id="1994067776">
              <w:marLeft w:val="0"/>
              <w:marRight w:val="0"/>
              <w:marTop w:val="0"/>
              <w:marBottom w:val="0"/>
              <w:divBdr>
                <w:top w:val="none" w:sz="0" w:space="0" w:color="auto"/>
                <w:left w:val="none" w:sz="0" w:space="0" w:color="auto"/>
                <w:bottom w:val="none" w:sz="0" w:space="0" w:color="auto"/>
                <w:right w:val="none" w:sz="0" w:space="0" w:color="auto"/>
              </w:divBdr>
              <w:divsChild>
                <w:div w:id="189407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561005">
      <w:bodyDiv w:val="1"/>
      <w:marLeft w:val="0"/>
      <w:marRight w:val="0"/>
      <w:marTop w:val="0"/>
      <w:marBottom w:val="0"/>
      <w:divBdr>
        <w:top w:val="none" w:sz="0" w:space="0" w:color="auto"/>
        <w:left w:val="none" w:sz="0" w:space="0" w:color="auto"/>
        <w:bottom w:val="none" w:sz="0" w:space="0" w:color="auto"/>
        <w:right w:val="none" w:sz="0" w:space="0" w:color="auto"/>
      </w:divBdr>
      <w:divsChild>
        <w:div w:id="699357969">
          <w:marLeft w:val="0"/>
          <w:marRight w:val="0"/>
          <w:marTop w:val="0"/>
          <w:marBottom w:val="0"/>
          <w:divBdr>
            <w:top w:val="none" w:sz="0" w:space="0" w:color="auto"/>
            <w:left w:val="none" w:sz="0" w:space="0" w:color="auto"/>
            <w:bottom w:val="none" w:sz="0" w:space="0" w:color="auto"/>
            <w:right w:val="none" w:sz="0" w:space="0" w:color="auto"/>
          </w:divBdr>
          <w:divsChild>
            <w:div w:id="1785226241">
              <w:marLeft w:val="0"/>
              <w:marRight w:val="0"/>
              <w:marTop w:val="0"/>
              <w:marBottom w:val="0"/>
              <w:divBdr>
                <w:top w:val="none" w:sz="0" w:space="0" w:color="auto"/>
                <w:left w:val="none" w:sz="0" w:space="0" w:color="auto"/>
                <w:bottom w:val="none" w:sz="0" w:space="0" w:color="auto"/>
                <w:right w:val="none" w:sz="0" w:space="0" w:color="auto"/>
              </w:divBdr>
              <w:divsChild>
                <w:div w:id="60584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301331">
      <w:bodyDiv w:val="1"/>
      <w:marLeft w:val="0"/>
      <w:marRight w:val="0"/>
      <w:marTop w:val="0"/>
      <w:marBottom w:val="0"/>
      <w:divBdr>
        <w:top w:val="none" w:sz="0" w:space="0" w:color="auto"/>
        <w:left w:val="none" w:sz="0" w:space="0" w:color="auto"/>
        <w:bottom w:val="none" w:sz="0" w:space="0" w:color="auto"/>
        <w:right w:val="none" w:sz="0" w:space="0" w:color="auto"/>
      </w:divBdr>
      <w:divsChild>
        <w:div w:id="604192451">
          <w:marLeft w:val="0"/>
          <w:marRight w:val="0"/>
          <w:marTop w:val="0"/>
          <w:marBottom w:val="0"/>
          <w:divBdr>
            <w:top w:val="none" w:sz="0" w:space="0" w:color="auto"/>
            <w:left w:val="none" w:sz="0" w:space="0" w:color="auto"/>
            <w:bottom w:val="none" w:sz="0" w:space="0" w:color="auto"/>
            <w:right w:val="none" w:sz="0" w:space="0" w:color="auto"/>
          </w:divBdr>
          <w:divsChild>
            <w:div w:id="1682321282">
              <w:marLeft w:val="0"/>
              <w:marRight w:val="0"/>
              <w:marTop w:val="0"/>
              <w:marBottom w:val="0"/>
              <w:divBdr>
                <w:top w:val="none" w:sz="0" w:space="0" w:color="auto"/>
                <w:left w:val="none" w:sz="0" w:space="0" w:color="auto"/>
                <w:bottom w:val="none" w:sz="0" w:space="0" w:color="auto"/>
                <w:right w:val="none" w:sz="0" w:space="0" w:color="auto"/>
              </w:divBdr>
              <w:divsChild>
                <w:div w:id="926187401">
                  <w:marLeft w:val="0"/>
                  <w:marRight w:val="0"/>
                  <w:marTop w:val="0"/>
                  <w:marBottom w:val="0"/>
                  <w:divBdr>
                    <w:top w:val="none" w:sz="0" w:space="0" w:color="auto"/>
                    <w:left w:val="none" w:sz="0" w:space="0" w:color="auto"/>
                    <w:bottom w:val="none" w:sz="0" w:space="0" w:color="auto"/>
                    <w:right w:val="none" w:sz="0" w:space="0" w:color="auto"/>
                  </w:divBdr>
                  <w:divsChild>
                    <w:div w:id="22363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966699">
      <w:bodyDiv w:val="1"/>
      <w:marLeft w:val="0"/>
      <w:marRight w:val="0"/>
      <w:marTop w:val="0"/>
      <w:marBottom w:val="0"/>
      <w:divBdr>
        <w:top w:val="none" w:sz="0" w:space="0" w:color="auto"/>
        <w:left w:val="none" w:sz="0" w:space="0" w:color="auto"/>
        <w:bottom w:val="none" w:sz="0" w:space="0" w:color="auto"/>
        <w:right w:val="none" w:sz="0" w:space="0" w:color="auto"/>
      </w:divBdr>
      <w:divsChild>
        <w:div w:id="1349020902">
          <w:marLeft w:val="0"/>
          <w:marRight w:val="0"/>
          <w:marTop w:val="0"/>
          <w:marBottom w:val="0"/>
          <w:divBdr>
            <w:top w:val="none" w:sz="0" w:space="0" w:color="auto"/>
            <w:left w:val="none" w:sz="0" w:space="0" w:color="auto"/>
            <w:bottom w:val="none" w:sz="0" w:space="0" w:color="auto"/>
            <w:right w:val="none" w:sz="0" w:space="0" w:color="auto"/>
          </w:divBdr>
          <w:divsChild>
            <w:div w:id="768768774">
              <w:marLeft w:val="0"/>
              <w:marRight w:val="0"/>
              <w:marTop w:val="0"/>
              <w:marBottom w:val="0"/>
              <w:divBdr>
                <w:top w:val="none" w:sz="0" w:space="0" w:color="auto"/>
                <w:left w:val="none" w:sz="0" w:space="0" w:color="auto"/>
                <w:bottom w:val="none" w:sz="0" w:space="0" w:color="auto"/>
                <w:right w:val="none" w:sz="0" w:space="0" w:color="auto"/>
              </w:divBdr>
              <w:divsChild>
                <w:div w:id="57535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968038">
      <w:bodyDiv w:val="1"/>
      <w:marLeft w:val="0"/>
      <w:marRight w:val="0"/>
      <w:marTop w:val="0"/>
      <w:marBottom w:val="0"/>
      <w:divBdr>
        <w:top w:val="none" w:sz="0" w:space="0" w:color="auto"/>
        <w:left w:val="none" w:sz="0" w:space="0" w:color="auto"/>
        <w:bottom w:val="none" w:sz="0" w:space="0" w:color="auto"/>
        <w:right w:val="none" w:sz="0" w:space="0" w:color="auto"/>
      </w:divBdr>
      <w:divsChild>
        <w:div w:id="764888028">
          <w:marLeft w:val="0"/>
          <w:marRight w:val="0"/>
          <w:marTop w:val="0"/>
          <w:marBottom w:val="0"/>
          <w:divBdr>
            <w:top w:val="none" w:sz="0" w:space="0" w:color="auto"/>
            <w:left w:val="none" w:sz="0" w:space="0" w:color="auto"/>
            <w:bottom w:val="none" w:sz="0" w:space="0" w:color="auto"/>
            <w:right w:val="none" w:sz="0" w:space="0" w:color="auto"/>
          </w:divBdr>
          <w:divsChild>
            <w:div w:id="1453598914">
              <w:marLeft w:val="0"/>
              <w:marRight w:val="0"/>
              <w:marTop w:val="0"/>
              <w:marBottom w:val="0"/>
              <w:divBdr>
                <w:top w:val="none" w:sz="0" w:space="0" w:color="auto"/>
                <w:left w:val="none" w:sz="0" w:space="0" w:color="auto"/>
                <w:bottom w:val="none" w:sz="0" w:space="0" w:color="auto"/>
                <w:right w:val="none" w:sz="0" w:space="0" w:color="auto"/>
              </w:divBdr>
              <w:divsChild>
                <w:div w:id="150951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170690">
      <w:bodyDiv w:val="1"/>
      <w:marLeft w:val="0"/>
      <w:marRight w:val="0"/>
      <w:marTop w:val="0"/>
      <w:marBottom w:val="0"/>
      <w:divBdr>
        <w:top w:val="none" w:sz="0" w:space="0" w:color="auto"/>
        <w:left w:val="none" w:sz="0" w:space="0" w:color="auto"/>
        <w:bottom w:val="none" w:sz="0" w:space="0" w:color="auto"/>
        <w:right w:val="none" w:sz="0" w:space="0" w:color="auto"/>
      </w:divBdr>
      <w:divsChild>
        <w:div w:id="511066950">
          <w:marLeft w:val="0"/>
          <w:marRight w:val="0"/>
          <w:marTop w:val="0"/>
          <w:marBottom w:val="0"/>
          <w:divBdr>
            <w:top w:val="none" w:sz="0" w:space="0" w:color="auto"/>
            <w:left w:val="none" w:sz="0" w:space="0" w:color="auto"/>
            <w:bottom w:val="none" w:sz="0" w:space="0" w:color="auto"/>
            <w:right w:val="none" w:sz="0" w:space="0" w:color="auto"/>
          </w:divBdr>
          <w:divsChild>
            <w:div w:id="1211575136">
              <w:marLeft w:val="0"/>
              <w:marRight w:val="0"/>
              <w:marTop w:val="0"/>
              <w:marBottom w:val="0"/>
              <w:divBdr>
                <w:top w:val="none" w:sz="0" w:space="0" w:color="auto"/>
                <w:left w:val="none" w:sz="0" w:space="0" w:color="auto"/>
                <w:bottom w:val="none" w:sz="0" w:space="0" w:color="auto"/>
                <w:right w:val="none" w:sz="0" w:space="0" w:color="auto"/>
              </w:divBdr>
              <w:divsChild>
                <w:div w:id="151611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915553">
      <w:bodyDiv w:val="1"/>
      <w:marLeft w:val="0"/>
      <w:marRight w:val="0"/>
      <w:marTop w:val="0"/>
      <w:marBottom w:val="0"/>
      <w:divBdr>
        <w:top w:val="none" w:sz="0" w:space="0" w:color="auto"/>
        <w:left w:val="none" w:sz="0" w:space="0" w:color="auto"/>
        <w:bottom w:val="none" w:sz="0" w:space="0" w:color="auto"/>
        <w:right w:val="none" w:sz="0" w:space="0" w:color="auto"/>
      </w:divBdr>
      <w:divsChild>
        <w:div w:id="1997566373">
          <w:marLeft w:val="0"/>
          <w:marRight w:val="0"/>
          <w:marTop w:val="0"/>
          <w:marBottom w:val="0"/>
          <w:divBdr>
            <w:top w:val="none" w:sz="0" w:space="0" w:color="auto"/>
            <w:left w:val="none" w:sz="0" w:space="0" w:color="auto"/>
            <w:bottom w:val="none" w:sz="0" w:space="0" w:color="auto"/>
            <w:right w:val="none" w:sz="0" w:space="0" w:color="auto"/>
          </w:divBdr>
          <w:divsChild>
            <w:div w:id="1629628121">
              <w:marLeft w:val="0"/>
              <w:marRight w:val="0"/>
              <w:marTop w:val="0"/>
              <w:marBottom w:val="0"/>
              <w:divBdr>
                <w:top w:val="none" w:sz="0" w:space="0" w:color="auto"/>
                <w:left w:val="none" w:sz="0" w:space="0" w:color="auto"/>
                <w:bottom w:val="none" w:sz="0" w:space="0" w:color="auto"/>
                <w:right w:val="none" w:sz="0" w:space="0" w:color="auto"/>
              </w:divBdr>
              <w:divsChild>
                <w:div w:id="53164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411695">
      <w:bodyDiv w:val="1"/>
      <w:marLeft w:val="0"/>
      <w:marRight w:val="0"/>
      <w:marTop w:val="0"/>
      <w:marBottom w:val="0"/>
      <w:divBdr>
        <w:top w:val="none" w:sz="0" w:space="0" w:color="auto"/>
        <w:left w:val="none" w:sz="0" w:space="0" w:color="auto"/>
        <w:bottom w:val="none" w:sz="0" w:space="0" w:color="auto"/>
        <w:right w:val="none" w:sz="0" w:space="0" w:color="auto"/>
      </w:divBdr>
      <w:divsChild>
        <w:div w:id="1177498934">
          <w:marLeft w:val="0"/>
          <w:marRight w:val="0"/>
          <w:marTop w:val="0"/>
          <w:marBottom w:val="0"/>
          <w:divBdr>
            <w:top w:val="none" w:sz="0" w:space="0" w:color="auto"/>
            <w:left w:val="none" w:sz="0" w:space="0" w:color="auto"/>
            <w:bottom w:val="none" w:sz="0" w:space="0" w:color="auto"/>
            <w:right w:val="none" w:sz="0" w:space="0" w:color="auto"/>
          </w:divBdr>
          <w:divsChild>
            <w:div w:id="241112801">
              <w:marLeft w:val="0"/>
              <w:marRight w:val="0"/>
              <w:marTop w:val="0"/>
              <w:marBottom w:val="0"/>
              <w:divBdr>
                <w:top w:val="none" w:sz="0" w:space="0" w:color="auto"/>
                <w:left w:val="none" w:sz="0" w:space="0" w:color="auto"/>
                <w:bottom w:val="none" w:sz="0" w:space="0" w:color="auto"/>
                <w:right w:val="none" w:sz="0" w:space="0" w:color="auto"/>
              </w:divBdr>
              <w:divsChild>
                <w:div w:id="159366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953304">
      <w:bodyDiv w:val="1"/>
      <w:marLeft w:val="0"/>
      <w:marRight w:val="0"/>
      <w:marTop w:val="0"/>
      <w:marBottom w:val="0"/>
      <w:divBdr>
        <w:top w:val="none" w:sz="0" w:space="0" w:color="auto"/>
        <w:left w:val="none" w:sz="0" w:space="0" w:color="auto"/>
        <w:bottom w:val="none" w:sz="0" w:space="0" w:color="auto"/>
        <w:right w:val="none" w:sz="0" w:space="0" w:color="auto"/>
      </w:divBdr>
      <w:divsChild>
        <w:div w:id="2095130993">
          <w:marLeft w:val="0"/>
          <w:marRight w:val="0"/>
          <w:marTop w:val="0"/>
          <w:marBottom w:val="0"/>
          <w:divBdr>
            <w:top w:val="none" w:sz="0" w:space="0" w:color="auto"/>
            <w:left w:val="none" w:sz="0" w:space="0" w:color="auto"/>
            <w:bottom w:val="none" w:sz="0" w:space="0" w:color="auto"/>
            <w:right w:val="none" w:sz="0" w:space="0" w:color="auto"/>
          </w:divBdr>
          <w:divsChild>
            <w:div w:id="497111482">
              <w:marLeft w:val="0"/>
              <w:marRight w:val="0"/>
              <w:marTop w:val="0"/>
              <w:marBottom w:val="0"/>
              <w:divBdr>
                <w:top w:val="none" w:sz="0" w:space="0" w:color="auto"/>
                <w:left w:val="none" w:sz="0" w:space="0" w:color="auto"/>
                <w:bottom w:val="none" w:sz="0" w:space="0" w:color="auto"/>
                <w:right w:val="none" w:sz="0" w:space="0" w:color="auto"/>
              </w:divBdr>
              <w:divsChild>
                <w:div w:id="13876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598457">
      <w:bodyDiv w:val="1"/>
      <w:marLeft w:val="0"/>
      <w:marRight w:val="0"/>
      <w:marTop w:val="0"/>
      <w:marBottom w:val="0"/>
      <w:divBdr>
        <w:top w:val="none" w:sz="0" w:space="0" w:color="auto"/>
        <w:left w:val="none" w:sz="0" w:space="0" w:color="auto"/>
        <w:bottom w:val="none" w:sz="0" w:space="0" w:color="auto"/>
        <w:right w:val="none" w:sz="0" w:space="0" w:color="auto"/>
      </w:divBdr>
      <w:divsChild>
        <w:div w:id="203297273">
          <w:marLeft w:val="0"/>
          <w:marRight w:val="0"/>
          <w:marTop w:val="0"/>
          <w:marBottom w:val="0"/>
          <w:divBdr>
            <w:top w:val="none" w:sz="0" w:space="0" w:color="auto"/>
            <w:left w:val="none" w:sz="0" w:space="0" w:color="auto"/>
            <w:bottom w:val="none" w:sz="0" w:space="0" w:color="auto"/>
            <w:right w:val="none" w:sz="0" w:space="0" w:color="auto"/>
          </w:divBdr>
          <w:divsChild>
            <w:div w:id="1970672248">
              <w:marLeft w:val="0"/>
              <w:marRight w:val="0"/>
              <w:marTop w:val="0"/>
              <w:marBottom w:val="0"/>
              <w:divBdr>
                <w:top w:val="none" w:sz="0" w:space="0" w:color="auto"/>
                <w:left w:val="none" w:sz="0" w:space="0" w:color="auto"/>
                <w:bottom w:val="none" w:sz="0" w:space="0" w:color="auto"/>
                <w:right w:val="none" w:sz="0" w:space="0" w:color="auto"/>
              </w:divBdr>
              <w:divsChild>
                <w:div w:id="123223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680151">
      <w:bodyDiv w:val="1"/>
      <w:marLeft w:val="0"/>
      <w:marRight w:val="0"/>
      <w:marTop w:val="0"/>
      <w:marBottom w:val="0"/>
      <w:divBdr>
        <w:top w:val="none" w:sz="0" w:space="0" w:color="auto"/>
        <w:left w:val="none" w:sz="0" w:space="0" w:color="auto"/>
        <w:bottom w:val="none" w:sz="0" w:space="0" w:color="auto"/>
        <w:right w:val="none" w:sz="0" w:space="0" w:color="auto"/>
      </w:divBdr>
      <w:divsChild>
        <w:div w:id="1934390647">
          <w:marLeft w:val="0"/>
          <w:marRight w:val="0"/>
          <w:marTop w:val="0"/>
          <w:marBottom w:val="0"/>
          <w:divBdr>
            <w:top w:val="none" w:sz="0" w:space="0" w:color="auto"/>
            <w:left w:val="none" w:sz="0" w:space="0" w:color="auto"/>
            <w:bottom w:val="none" w:sz="0" w:space="0" w:color="auto"/>
            <w:right w:val="none" w:sz="0" w:space="0" w:color="auto"/>
          </w:divBdr>
          <w:divsChild>
            <w:div w:id="1669940769">
              <w:marLeft w:val="0"/>
              <w:marRight w:val="0"/>
              <w:marTop w:val="0"/>
              <w:marBottom w:val="0"/>
              <w:divBdr>
                <w:top w:val="none" w:sz="0" w:space="0" w:color="auto"/>
                <w:left w:val="none" w:sz="0" w:space="0" w:color="auto"/>
                <w:bottom w:val="none" w:sz="0" w:space="0" w:color="auto"/>
                <w:right w:val="none" w:sz="0" w:space="0" w:color="auto"/>
              </w:divBdr>
              <w:divsChild>
                <w:div w:id="12747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849F7-F7E2-BF4A-BEA5-A50B602E5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2560</Words>
  <Characters>14592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Young</dc:creator>
  <cp:keywords/>
  <dc:description/>
  <cp:lastModifiedBy>Patrick Young</cp:lastModifiedBy>
  <cp:revision>2</cp:revision>
  <dcterms:created xsi:type="dcterms:W3CDTF">2025-01-14T17:57:00Z</dcterms:created>
  <dcterms:modified xsi:type="dcterms:W3CDTF">2025-01-14T17:57:00Z</dcterms:modified>
</cp:coreProperties>
</file>