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5EBDC" w14:textId="77777777" w:rsidR="00B37F89" w:rsidRPr="00F4799C" w:rsidRDefault="00B37F89" w:rsidP="00B37F89">
      <w:pPr>
        <w:jc w:val="center"/>
        <w:rPr>
          <w:rFonts w:asciiTheme="minorBidi" w:hAnsiTheme="minorBidi"/>
        </w:rPr>
      </w:pPr>
      <w:bookmarkStart w:id="0" w:name="_Toc225436134"/>
      <w:r w:rsidRPr="00F4799C">
        <w:rPr>
          <w:rFonts w:asciiTheme="minorBidi" w:hAnsiTheme="minorBidi"/>
          <w:noProof/>
        </w:rPr>
        <w:drawing>
          <wp:inline distT="0" distB="0" distL="0" distR="0" wp14:anchorId="6A40C004" wp14:editId="51133CF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D162141" w14:textId="77777777" w:rsidR="00B37F89" w:rsidRPr="00F4799C" w:rsidRDefault="00B37F89" w:rsidP="00B37F89">
      <w:pPr>
        <w:jc w:val="center"/>
        <w:rPr>
          <w:rFonts w:asciiTheme="minorBidi" w:hAnsiTheme="minorBidi"/>
        </w:rPr>
      </w:pPr>
    </w:p>
    <w:p w14:paraId="45067548" w14:textId="77777777" w:rsidR="00B37F89" w:rsidRPr="00F4799C" w:rsidRDefault="00B37F89" w:rsidP="00B37F89">
      <w:pPr>
        <w:rPr>
          <w:rFonts w:asciiTheme="minorBidi" w:hAnsiTheme="minorBidi"/>
        </w:rPr>
      </w:pPr>
    </w:p>
    <w:p w14:paraId="23CE2D9D" w14:textId="77777777" w:rsidR="00B37F89" w:rsidRPr="00F4799C" w:rsidRDefault="00B37F89" w:rsidP="00B37F89">
      <w:pPr>
        <w:jc w:val="center"/>
        <w:rPr>
          <w:rFonts w:asciiTheme="minorBidi" w:hAnsiTheme="minorBidi"/>
        </w:rPr>
      </w:pPr>
    </w:p>
    <w:p w14:paraId="37B8AD70"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Ronak Rameshbhai Sojitra</w:t>
      </w:r>
    </w:p>
    <w:p w14:paraId="42E26D84" w14:textId="77777777" w:rsidR="00B37F89" w:rsidRPr="00F4799C" w:rsidRDefault="00B37F89" w:rsidP="00B37F89">
      <w:pPr>
        <w:jc w:val="center"/>
        <w:rPr>
          <w:rFonts w:asciiTheme="minorBidi" w:hAnsiTheme="minorBidi"/>
          <w:b/>
          <w:bCs/>
          <w:sz w:val="28"/>
          <w:szCs w:val="28"/>
        </w:rPr>
      </w:pPr>
    </w:p>
    <w:p w14:paraId="039033E7"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2519657</w:t>
      </w:r>
    </w:p>
    <w:p w14:paraId="4E23DB51" w14:textId="77777777" w:rsidR="00B37F89" w:rsidRPr="00F4799C" w:rsidRDefault="00B37F89" w:rsidP="00B37F89">
      <w:pPr>
        <w:jc w:val="center"/>
        <w:rPr>
          <w:rFonts w:asciiTheme="minorBidi" w:hAnsiTheme="minorBidi"/>
          <w:sz w:val="28"/>
          <w:szCs w:val="28"/>
        </w:rPr>
      </w:pPr>
    </w:p>
    <w:p w14:paraId="50A18752" w14:textId="77777777" w:rsidR="00B37F89" w:rsidRPr="00F4799C" w:rsidRDefault="00B37F89" w:rsidP="00B37F89">
      <w:pPr>
        <w:jc w:val="center"/>
        <w:rPr>
          <w:rFonts w:asciiTheme="minorBidi" w:hAnsiTheme="minorBidi"/>
          <w:sz w:val="28"/>
          <w:szCs w:val="28"/>
        </w:rPr>
      </w:pPr>
    </w:p>
    <w:p w14:paraId="5FD126E9"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Module Name: Marketing Management</w:t>
      </w:r>
    </w:p>
    <w:p w14:paraId="75CE957A" w14:textId="77777777" w:rsidR="00B37F89" w:rsidRPr="00F4799C" w:rsidRDefault="00B37F89" w:rsidP="00B37F89">
      <w:pPr>
        <w:jc w:val="center"/>
        <w:rPr>
          <w:rFonts w:asciiTheme="minorBidi" w:hAnsiTheme="minorBidi"/>
          <w:b/>
          <w:bCs/>
          <w:sz w:val="28"/>
          <w:szCs w:val="28"/>
        </w:rPr>
      </w:pPr>
    </w:p>
    <w:p w14:paraId="11496B8D"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Module Code: LCMB7024</w:t>
      </w:r>
    </w:p>
    <w:p w14:paraId="48AFA802" w14:textId="77777777" w:rsidR="00B37F89" w:rsidRPr="00F4799C" w:rsidRDefault="00B37F89" w:rsidP="00B37F89">
      <w:pPr>
        <w:jc w:val="center"/>
        <w:rPr>
          <w:rFonts w:asciiTheme="minorBidi" w:hAnsiTheme="minorBidi"/>
          <w:b/>
          <w:bCs/>
          <w:sz w:val="28"/>
          <w:szCs w:val="28"/>
        </w:rPr>
      </w:pPr>
    </w:p>
    <w:p w14:paraId="15CD3FE0" w14:textId="77777777" w:rsidR="00B37F89" w:rsidRPr="00F4799C" w:rsidRDefault="00B37F89" w:rsidP="00B37F89">
      <w:pPr>
        <w:jc w:val="center"/>
        <w:rPr>
          <w:rFonts w:asciiTheme="minorBidi" w:hAnsiTheme="minorBidi"/>
          <w:b/>
          <w:bCs/>
          <w:sz w:val="28"/>
          <w:szCs w:val="28"/>
        </w:rPr>
      </w:pPr>
    </w:p>
    <w:p w14:paraId="7E184478" w14:textId="77777777" w:rsidR="00B37F89" w:rsidRPr="00F4799C" w:rsidRDefault="00B37F89" w:rsidP="00B37F89">
      <w:pPr>
        <w:jc w:val="center"/>
        <w:rPr>
          <w:rFonts w:asciiTheme="minorBidi" w:hAnsiTheme="minorBidi"/>
          <w:b/>
          <w:bCs/>
          <w:sz w:val="28"/>
          <w:szCs w:val="28"/>
        </w:rPr>
      </w:pPr>
    </w:p>
    <w:p w14:paraId="0407B678"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Lecturer’s Name:</w:t>
      </w:r>
      <w:r w:rsidRPr="0090794F">
        <w:rPr>
          <w:rFonts w:ascii="Segoe UI" w:hAnsi="Segoe UI" w:cs="Segoe UI"/>
          <w:color w:val="1D2125"/>
          <w:sz w:val="20"/>
          <w:szCs w:val="20"/>
          <w:shd w:val="clear" w:color="auto" w:fill="FFFFFF"/>
        </w:rPr>
        <w:t xml:space="preserve"> </w:t>
      </w:r>
      <w:r w:rsidRPr="0090794F">
        <w:rPr>
          <w:rFonts w:asciiTheme="minorBidi" w:hAnsiTheme="minorBidi"/>
          <w:b/>
          <w:bCs/>
          <w:sz w:val="28"/>
          <w:szCs w:val="28"/>
        </w:rPr>
        <w:t>Dr Muhammad Tariq</w:t>
      </w:r>
    </w:p>
    <w:p w14:paraId="36EFCB46" w14:textId="77777777" w:rsidR="00B37F89" w:rsidRPr="00F4799C" w:rsidRDefault="00B37F89" w:rsidP="00B37F89">
      <w:pPr>
        <w:jc w:val="center"/>
        <w:rPr>
          <w:rFonts w:asciiTheme="minorBidi" w:hAnsiTheme="minorBidi"/>
          <w:b/>
          <w:bCs/>
          <w:sz w:val="28"/>
          <w:szCs w:val="28"/>
        </w:rPr>
      </w:pPr>
    </w:p>
    <w:p w14:paraId="28560051" w14:textId="77777777" w:rsidR="00B37F89" w:rsidRPr="00F4799C" w:rsidRDefault="00B37F89" w:rsidP="00B37F89">
      <w:pPr>
        <w:jc w:val="center"/>
        <w:rPr>
          <w:rFonts w:asciiTheme="minorBidi" w:hAnsiTheme="minorBidi"/>
          <w:b/>
          <w:bCs/>
          <w:sz w:val="28"/>
          <w:szCs w:val="28"/>
        </w:rPr>
      </w:pPr>
    </w:p>
    <w:p w14:paraId="0656ECA2" w14:textId="77777777" w:rsidR="00B37F89" w:rsidRPr="00F4799C" w:rsidRDefault="00B37F89" w:rsidP="00B37F89">
      <w:pPr>
        <w:rPr>
          <w:rFonts w:asciiTheme="minorBidi" w:hAnsiTheme="minorBidi"/>
          <w:b/>
          <w:bCs/>
          <w:sz w:val="28"/>
          <w:szCs w:val="28"/>
        </w:rPr>
      </w:pPr>
    </w:p>
    <w:p w14:paraId="4FC0C816"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Work Count:</w:t>
      </w:r>
    </w:p>
    <w:p w14:paraId="31C8C78A" w14:textId="77777777" w:rsidR="00B37F89" w:rsidRDefault="00B37F89" w:rsidP="00B37F89">
      <w:pPr>
        <w:rPr>
          <w:rFonts w:asciiTheme="minorBidi" w:hAnsiTheme="minorBidi"/>
          <w:b/>
          <w:bCs/>
          <w:sz w:val="28"/>
          <w:szCs w:val="28"/>
        </w:rPr>
      </w:pPr>
    </w:p>
    <w:p w14:paraId="7E9BC0E9" w14:textId="77777777" w:rsidR="00B37F89" w:rsidRPr="00F4799C" w:rsidRDefault="00B37F89" w:rsidP="00B37F89">
      <w:pPr>
        <w:rPr>
          <w:rFonts w:asciiTheme="minorBidi" w:hAnsiTheme="minorBidi"/>
          <w:b/>
          <w:bCs/>
          <w:sz w:val="28"/>
          <w:szCs w:val="28"/>
        </w:rPr>
      </w:pPr>
    </w:p>
    <w:p w14:paraId="3844AB4C" w14:textId="77777777" w:rsidR="00B37F89" w:rsidRPr="00F4799C" w:rsidRDefault="00B37F89" w:rsidP="00B37F89">
      <w:pPr>
        <w:jc w:val="center"/>
        <w:rPr>
          <w:rFonts w:asciiTheme="minorBidi" w:hAnsiTheme="minorBidi"/>
          <w:b/>
          <w:bCs/>
          <w:sz w:val="28"/>
          <w:szCs w:val="28"/>
        </w:rPr>
      </w:pPr>
      <w:r w:rsidRPr="00F4799C">
        <w:rPr>
          <w:rFonts w:asciiTheme="minorBidi" w:hAnsiTheme="minorBidi"/>
          <w:b/>
          <w:bCs/>
          <w:sz w:val="28"/>
          <w:szCs w:val="28"/>
        </w:rPr>
        <w:t>Term 1</w:t>
      </w:r>
    </w:p>
    <w:p w14:paraId="3D6C57CE" w14:textId="77777777" w:rsidR="00B37F89" w:rsidRDefault="00B37F89" w:rsidP="00B37F89">
      <w:pPr>
        <w:spacing w:after="100"/>
        <w:jc w:val="center"/>
      </w:pPr>
    </w:p>
    <w:p w14:paraId="00714179" w14:textId="77777777" w:rsidR="00B37F89" w:rsidRDefault="00B37F89" w:rsidP="00B37F89">
      <w:pPr>
        <w:spacing w:after="60"/>
        <w:jc w:val="center"/>
        <w:rPr>
          <w:b/>
          <w:bCs/>
          <w:color w:val="1F3864"/>
          <w:sz w:val="34"/>
          <w:szCs w:val="34"/>
        </w:rPr>
      </w:pPr>
    </w:p>
    <w:p w14:paraId="13E964F3" w14:textId="77777777" w:rsidR="00B37F89" w:rsidRDefault="00B37F89" w:rsidP="00B37F89">
      <w:pPr>
        <w:spacing w:after="60"/>
        <w:jc w:val="center"/>
        <w:rPr>
          <w:b/>
          <w:bCs/>
          <w:color w:val="1F3864"/>
          <w:sz w:val="34"/>
          <w:szCs w:val="34"/>
        </w:rPr>
      </w:pPr>
    </w:p>
    <w:p w14:paraId="7BD27546" w14:textId="77777777" w:rsidR="00B37F89" w:rsidRDefault="00B37F89" w:rsidP="00B37F89">
      <w:pPr>
        <w:spacing w:after="60"/>
        <w:jc w:val="center"/>
        <w:rPr>
          <w:b/>
          <w:bCs/>
          <w:color w:val="1F3864"/>
          <w:sz w:val="34"/>
          <w:szCs w:val="34"/>
        </w:rPr>
      </w:pPr>
    </w:p>
    <w:p w14:paraId="53E9F035" w14:textId="77777777" w:rsidR="00B37F89" w:rsidRDefault="00B37F89" w:rsidP="00B37F89">
      <w:pPr>
        <w:spacing w:after="60"/>
        <w:jc w:val="center"/>
        <w:rPr>
          <w:b/>
          <w:bCs/>
          <w:color w:val="1F3864"/>
          <w:sz w:val="34"/>
          <w:szCs w:val="34"/>
        </w:rPr>
      </w:pPr>
    </w:p>
    <w:p w14:paraId="50B10788" w14:textId="77777777" w:rsidR="00B37F89" w:rsidRDefault="00B37F89" w:rsidP="00B37F89">
      <w:pPr>
        <w:spacing w:after="60"/>
        <w:jc w:val="center"/>
        <w:rPr>
          <w:b/>
          <w:bCs/>
          <w:color w:val="1F3864"/>
          <w:sz w:val="34"/>
          <w:szCs w:val="34"/>
        </w:rPr>
      </w:pPr>
    </w:p>
    <w:p w14:paraId="327AC3EC" w14:textId="77777777" w:rsidR="00B37F89" w:rsidRDefault="00B37F89" w:rsidP="00B37F89">
      <w:pPr>
        <w:spacing w:after="60"/>
        <w:jc w:val="center"/>
        <w:rPr>
          <w:b/>
          <w:bCs/>
          <w:color w:val="1F3864"/>
          <w:sz w:val="34"/>
          <w:szCs w:val="34"/>
        </w:rPr>
      </w:pPr>
    </w:p>
    <w:p w14:paraId="2ABB1492" w14:textId="77777777" w:rsidR="00B37F89" w:rsidRDefault="00B37F89" w:rsidP="00B37F89">
      <w:pPr>
        <w:spacing w:after="60"/>
        <w:jc w:val="center"/>
        <w:rPr>
          <w:b/>
          <w:bCs/>
          <w:color w:val="1F3864"/>
          <w:sz w:val="34"/>
          <w:szCs w:val="34"/>
        </w:rPr>
      </w:pPr>
    </w:p>
    <w:p w14:paraId="6610E4BA" w14:textId="77777777" w:rsidR="00B37F89" w:rsidRDefault="00B37F89" w:rsidP="00B37F89">
      <w:pPr>
        <w:spacing w:after="60"/>
        <w:jc w:val="center"/>
        <w:rPr>
          <w:b/>
          <w:bCs/>
          <w:color w:val="1F3864"/>
          <w:sz w:val="34"/>
          <w:szCs w:val="34"/>
        </w:rPr>
      </w:pPr>
    </w:p>
    <w:p w14:paraId="31239C8C" w14:textId="77777777" w:rsidR="00B37F89" w:rsidRDefault="00B37F89" w:rsidP="00B37F89">
      <w:pPr>
        <w:spacing w:after="60"/>
        <w:jc w:val="center"/>
        <w:rPr>
          <w:b/>
          <w:bCs/>
          <w:color w:val="1F3864"/>
          <w:sz w:val="34"/>
          <w:szCs w:val="34"/>
        </w:rPr>
      </w:pPr>
    </w:p>
    <w:p w14:paraId="3E396CB1" w14:textId="77777777" w:rsidR="00B37F89" w:rsidRDefault="00B37F89" w:rsidP="00B37F89">
      <w:pPr>
        <w:spacing w:after="60"/>
        <w:jc w:val="center"/>
        <w:rPr>
          <w:b/>
          <w:bCs/>
          <w:color w:val="1F3864"/>
          <w:sz w:val="34"/>
          <w:szCs w:val="34"/>
        </w:rPr>
      </w:pPr>
    </w:p>
    <w:p w14:paraId="3C0BA73B" w14:textId="77777777" w:rsidR="00B37F89" w:rsidRDefault="00B37F89" w:rsidP="00B37F89">
      <w:pPr>
        <w:spacing w:after="60"/>
        <w:jc w:val="center"/>
        <w:rPr>
          <w:b/>
          <w:bCs/>
          <w:color w:val="1F3864"/>
          <w:sz w:val="34"/>
          <w:szCs w:val="34"/>
        </w:rPr>
      </w:pPr>
    </w:p>
    <w:p w14:paraId="261B4F9D" w14:textId="77777777" w:rsidR="00B37F89" w:rsidRDefault="00B37F89" w:rsidP="00B37F89">
      <w:pPr>
        <w:spacing w:after="60"/>
        <w:jc w:val="center"/>
        <w:rPr>
          <w:b/>
          <w:bCs/>
          <w:color w:val="1F3864"/>
          <w:sz w:val="34"/>
          <w:szCs w:val="34"/>
        </w:rPr>
      </w:pPr>
    </w:p>
    <w:p w14:paraId="00C9F0F6" w14:textId="77777777" w:rsidR="00B37F89" w:rsidRDefault="00B37F89" w:rsidP="00B37F89">
      <w:pPr>
        <w:spacing w:after="60"/>
        <w:jc w:val="center"/>
        <w:rPr>
          <w:b/>
          <w:bCs/>
          <w:color w:val="1F3864"/>
          <w:sz w:val="34"/>
          <w:szCs w:val="34"/>
        </w:rPr>
      </w:pPr>
    </w:p>
    <w:p w14:paraId="5E2DC650" w14:textId="77777777" w:rsidR="00B37F89" w:rsidRDefault="00B37F89" w:rsidP="00B37F89">
      <w:pPr>
        <w:spacing w:after="60"/>
        <w:jc w:val="center"/>
        <w:rPr>
          <w:b/>
          <w:bCs/>
          <w:color w:val="1F3864"/>
          <w:sz w:val="34"/>
          <w:szCs w:val="34"/>
        </w:rPr>
      </w:pPr>
    </w:p>
    <w:p w14:paraId="1D1DC6B4" w14:textId="77777777" w:rsidR="00B37F89" w:rsidRDefault="00B37F89" w:rsidP="00B37F89">
      <w:pPr>
        <w:spacing w:after="60"/>
        <w:jc w:val="center"/>
        <w:rPr>
          <w:b/>
          <w:bCs/>
          <w:color w:val="1F3864"/>
          <w:sz w:val="34"/>
          <w:szCs w:val="34"/>
        </w:rPr>
      </w:pPr>
    </w:p>
    <w:p w14:paraId="1A5CABF4" w14:textId="77777777" w:rsidR="00B37F89" w:rsidRDefault="00B37F89" w:rsidP="00B37F89">
      <w:pPr>
        <w:spacing w:after="60"/>
        <w:jc w:val="center"/>
      </w:pPr>
      <w:r>
        <w:rPr>
          <w:b/>
          <w:bCs/>
          <w:color w:val="1F3864"/>
          <w:sz w:val="34"/>
          <w:szCs w:val="34"/>
        </w:rPr>
        <w:t>Marketing Environment Analysis:</w:t>
      </w:r>
    </w:p>
    <w:p w14:paraId="703D6AD5" w14:textId="77777777" w:rsidR="00B37F89" w:rsidRDefault="00B37F89" w:rsidP="00B37F89">
      <w:pPr>
        <w:spacing w:after="60"/>
        <w:jc w:val="center"/>
      </w:pPr>
      <w:r>
        <w:rPr>
          <w:b/>
          <w:bCs/>
          <w:color w:val="1F3864"/>
          <w:sz w:val="30"/>
          <w:szCs w:val="30"/>
        </w:rPr>
        <w:t>A Comparative Study of Tanishq and GIVA</w:t>
      </w:r>
    </w:p>
    <w:p w14:paraId="7F385A3F" w14:textId="77777777" w:rsidR="00B37F89" w:rsidRDefault="00B37F89" w:rsidP="00B37F89">
      <w:pPr>
        <w:spacing w:after="600"/>
        <w:jc w:val="center"/>
        <w:rPr>
          <w:b/>
          <w:bCs/>
          <w:color w:val="1F3864"/>
          <w:sz w:val="30"/>
          <w:szCs w:val="30"/>
        </w:rPr>
      </w:pPr>
      <w:r>
        <w:rPr>
          <w:b/>
          <w:bCs/>
          <w:color w:val="1F3864"/>
          <w:sz w:val="30"/>
          <w:szCs w:val="30"/>
        </w:rPr>
        <w:t>in the Indian Jewellery Industry</w:t>
      </w:r>
    </w:p>
    <w:p w14:paraId="7295901A" w14:textId="77777777" w:rsidR="00B37F89" w:rsidRDefault="00B37F89" w:rsidP="00B37F89">
      <w:pPr>
        <w:spacing w:after="600"/>
        <w:jc w:val="center"/>
        <w:rPr>
          <w:b/>
          <w:bCs/>
          <w:color w:val="1F3864"/>
          <w:sz w:val="30"/>
          <w:szCs w:val="30"/>
        </w:rPr>
      </w:pPr>
    </w:p>
    <w:p w14:paraId="42F9E184" w14:textId="77777777" w:rsidR="00B37F89" w:rsidRDefault="00B37F89" w:rsidP="00B37F89">
      <w:pPr>
        <w:spacing w:after="600"/>
        <w:jc w:val="center"/>
        <w:rPr>
          <w:b/>
          <w:bCs/>
          <w:color w:val="1F3864"/>
          <w:sz w:val="30"/>
          <w:szCs w:val="30"/>
        </w:rPr>
      </w:pPr>
    </w:p>
    <w:p w14:paraId="3FFACF3E" w14:textId="77777777" w:rsidR="00B37F89" w:rsidRDefault="00B37F89" w:rsidP="00B37F89">
      <w:pPr>
        <w:spacing w:after="600"/>
        <w:jc w:val="center"/>
        <w:rPr>
          <w:b/>
          <w:bCs/>
          <w:color w:val="1F3864"/>
          <w:sz w:val="30"/>
          <w:szCs w:val="30"/>
        </w:rPr>
      </w:pPr>
    </w:p>
    <w:p w14:paraId="14908D33" w14:textId="77777777" w:rsidR="00B37F89" w:rsidRDefault="00B37F89" w:rsidP="00B37F89">
      <w:pPr>
        <w:spacing w:after="600"/>
        <w:jc w:val="center"/>
        <w:rPr>
          <w:b/>
          <w:bCs/>
          <w:color w:val="1F3864"/>
          <w:sz w:val="30"/>
          <w:szCs w:val="30"/>
        </w:rPr>
      </w:pPr>
    </w:p>
    <w:p w14:paraId="7996F90F" w14:textId="77777777" w:rsidR="00B37F89" w:rsidRDefault="00B37F89" w:rsidP="00B37F89">
      <w:pPr>
        <w:spacing w:after="600"/>
        <w:jc w:val="center"/>
        <w:rPr>
          <w:b/>
          <w:bCs/>
          <w:color w:val="1F3864"/>
          <w:sz w:val="30"/>
          <w:szCs w:val="30"/>
        </w:rPr>
      </w:pPr>
    </w:p>
    <w:p w14:paraId="2FEB203E" w14:textId="77777777" w:rsidR="00B37F89" w:rsidRDefault="00B37F89" w:rsidP="00B37F89">
      <w:pPr>
        <w:spacing w:after="600"/>
        <w:jc w:val="center"/>
        <w:rPr>
          <w:b/>
          <w:bCs/>
          <w:color w:val="1F3864"/>
          <w:sz w:val="30"/>
          <w:szCs w:val="30"/>
        </w:rPr>
      </w:pPr>
    </w:p>
    <w:p w14:paraId="0AA34207" w14:textId="77777777" w:rsidR="00052D3A" w:rsidRDefault="00000000">
      <w:pPr>
        <w:pStyle w:val="Heading1"/>
        <w:spacing w:after="200"/>
      </w:pPr>
      <w:r>
        <w:lastRenderedPageBreak/>
        <w:t>Table of Contents</w:t>
      </w:r>
      <w:bookmarkEnd w:id="0"/>
    </w:p>
    <w:sdt>
      <w:sdtPr>
        <w:alias w:val="Table of Contents"/>
        <w:id w:val="-477233968"/>
      </w:sdtPr>
      <w:sdtContent>
        <w:p w14:paraId="3428CA34" w14:textId="77777777" w:rsidR="00BA49E4" w:rsidRDefault="00000000">
          <w:pPr>
            <w:pStyle w:val="TOC1"/>
            <w:tabs>
              <w:tab w:val="right" w:leader="dot" w:pos="9016"/>
            </w:tabs>
            <w:rPr>
              <w:noProof/>
            </w:rPr>
          </w:pPr>
          <w:r>
            <w:fldChar w:fldCharType="begin"/>
          </w:r>
          <w:r>
            <w:instrText>TOC \h \o "1-3"</w:instrText>
          </w:r>
          <w:r>
            <w:fldChar w:fldCharType="separate"/>
          </w:r>
          <w:hyperlink w:anchor="_Toc225436134" w:history="1">
            <w:r w:rsidR="00BA49E4" w:rsidRPr="00C64838">
              <w:rPr>
                <w:rStyle w:val="Hyperlink"/>
                <w:noProof/>
              </w:rPr>
              <w:t>Table of Contents</w:t>
            </w:r>
            <w:r w:rsidR="00BA49E4">
              <w:rPr>
                <w:noProof/>
              </w:rPr>
              <w:tab/>
            </w:r>
            <w:r w:rsidR="00BA49E4">
              <w:rPr>
                <w:noProof/>
              </w:rPr>
              <w:fldChar w:fldCharType="begin"/>
            </w:r>
            <w:r w:rsidR="00BA49E4">
              <w:rPr>
                <w:noProof/>
              </w:rPr>
              <w:instrText xml:space="preserve"> PAGEREF _Toc225436134 \h </w:instrText>
            </w:r>
            <w:r w:rsidR="00BA49E4">
              <w:rPr>
                <w:noProof/>
              </w:rPr>
            </w:r>
            <w:r w:rsidR="00BA49E4">
              <w:rPr>
                <w:noProof/>
              </w:rPr>
              <w:fldChar w:fldCharType="separate"/>
            </w:r>
            <w:r w:rsidR="00BA49E4">
              <w:rPr>
                <w:noProof/>
              </w:rPr>
              <w:t>1</w:t>
            </w:r>
            <w:r w:rsidR="00BA49E4">
              <w:rPr>
                <w:noProof/>
              </w:rPr>
              <w:fldChar w:fldCharType="end"/>
            </w:r>
          </w:hyperlink>
        </w:p>
        <w:p w14:paraId="1BE2078E" w14:textId="77777777" w:rsidR="00BA49E4" w:rsidRDefault="00BA49E4">
          <w:pPr>
            <w:pStyle w:val="TOC1"/>
            <w:tabs>
              <w:tab w:val="right" w:leader="dot" w:pos="9016"/>
            </w:tabs>
            <w:rPr>
              <w:noProof/>
            </w:rPr>
          </w:pPr>
          <w:hyperlink w:anchor="_Toc225436135" w:history="1">
            <w:r w:rsidRPr="00C64838">
              <w:rPr>
                <w:rStyle w:val="Hyperlink"/>
                <w:noProof/>
              </w:rPr>
              <w:t>1. Introduction</w:t>
            </w:r>
            <w:r>
              <w:rPr>
                <w:noProof/>
              </w:rPr>
              <w:tab/>
            </w:r>
            <w:r>
              <w:rPr>
                <w:noProof/>
              </w:rPr>
              <w:fldChar w:fldCharType="begin"/>
            </w:r>
            <w:r>
              <w:rPr>
                <w:noProof/>
              </w:rPr>
              <w:instrText xml:space="preserve"> PAGEREF _Toc225436135 \h </w:instrText>
            </w:r>
            <w:r>
              <w:rPr>
                <w:noProof/>
              </w:rPr>
            </w:r>
            <w:r>
              <w:rPr>
                <w:noProof/>
              </w:rPr>
              <w:fldChar w:fldCharType="separate"/>
            </w:r>
            <w:r>
              <w:rPr>
                <w:noProof/>
              </w:rPr>
              <w:t>1</w:t>
            </w:r>
            <w:r>
              <w:rPr>
                <w:noProof/>
              </w:rPr>
              <w:fldChar w:fldCharType="end"/>
            </w:r>
          </w:hyperlink>
        </w:p>
        <w:p w14:paraId="4948A42F" w14:textId="77777777" w:rsidR="00BA49E4" w:rsidRDefault="00BA49E4">
          <w:pPr>
            <w:pStyle w:val="TOC1"/>
            <w:tabs>
              <w:tab w:val="right" w:leader="dot" w:pos="9016"/>
            </w:tabs>
            <w:rPr>
              <w:noProof/>
            </w:rPr>
          </w:pPr>
          <w:hyperlink w:anchor="_Toc225436136" w:history="1">
            <w:r w:rsidRPr="00C64838">
              <w:rPr>
                <w:rStyle w:val="Hyperlink"/>
                <w:noProof/>
              </w:rPr>
              <w:t>2. Overview of Companies</w:t>
            </w:r>
            <w:r>
              <w:rPr>
                <w:noProof/>
              </w:rPr>
              <w:tab/>
            </w:r>
            <w:r>
              <w:rPr>
                <w:noProof/>
              </w:rPr>
              <w:fldChar w:fldCharType="begin"/>
            </w:r>
            <w:r>
              <w:rPr>
                <w:noProof/>
              </w:rPr>
              <w:instrText xml:space="preserve"> PAGEREF _Toc225436136 \h </w:instrText>
            </w:r>
            <w:r>
              <w:rPr>
                <w:noProof/>
              </w:rPr>
            </w:r>
            <w:r>
              <w:rPr>
                <w:noProof/>
              </w:rPr>
              <w:fldChar w:fldCharType="separate"/>
            </w:r>
            <w:r>
              <w:rPr>
                <w:noProof/>
              </w:rPr>
              <w:t>1</w:t>
            </w:r>
            <w:r>
              <w:rPr>
                <w:noProof/>
              </w:rPr>
              <w:fldChar w:fldCharType="end"/>
            </w:r>
          </w:hyperlink>
        </w:p>
        <w:p w14:paraId="02CF7180" w14:textId="77777777" w:rsidR="00BA49E4" w:rsidRDefault="00BA49E4">
          <w:pPr>
            <w:pStyle w:val="TOC2"/>
            <w:tabs>
              <w:tab w:val="right" w:leader="dot" w:pos="9016"/>
            </w:tabs>
            <w:rPr>
              <w:noProof/>
            </w:rPr>
          </w:pPr>
          <w:hyperlink w:anchor="_Toc225436137" w:history="1">
            <w:r w:rsidRPr="00C64838">
              <w:rPr>
                <w:rStyle w:val="Hyperlink"/>
                <w:noProof/>
              </w:rPr>
              <w:t>2.1 Tanishq: The Market Pioneer</w:t>
            </w:r>
            <w:r>
              <w:rPr>
                <w:noProof/>
              </w:rPr>
              <w:tab/>
            </w:r>
            <w:r>
              <w:rPr>
                <w:noProof/>
              </w:rPr>
              <w:fldChar w:fldCharType="begin"/>
            </w:r>
            <w:r>
              <w:rPr>
                <w:noProof/>
              </w:rPr>
              <w:instrText xml:space="preserve"> PAGEREF _Toc225436137 \h </w:instrText>
            </w:r>
            <w:r>
              <w:rPr>
                <w:noProof/>
              </w:rPr>
            </w:r>
            <w:r>
              <w:rPr>
                <w:noProof/>
              </w:rPr>
              <w:fldChar w:fldCharType="separate"/>
            </w:r>
            <w:r>
              <w:rPr>
                <w:noProof/>
              </w:rPr>
              <w:t>1</w:t>
            </w:r>
            <w:r>
              <w:rPr>
                <w:noProof/>
              </w:rPr>
              <w:fldChar w:fldCharType="end"/>
            </w:r>
          </w:hyperlink>
        </w:p>
        <w:p w14:paraId="6B41E77B" w14:textId="77777777" w:rsidR="00BA49E4" w:rsidRDefault="00BA49E4">
          <w:pPr>
            <w:pStyle w:val="TOC2"/>
            <w:tabs>
              <w:tab w:val="right" w:leader="dot" w:pos="9016"/>
            </w:tabs>
            <w:rPr>
              <w:noProof/>
            </w:rPr>
          </w:pPr>
          <w:hyperlink w:anchor="_Toc225436138" w:history="1">
            <w:r w:rsidRPr="00C64838">
              <w:rPr>
                <w:rStyle w:val="Hyperlink"/>
                <w:noProof/>
              </w:rPr>
              <w:t>2.2 GIVA: The Strategic Follower</w:t>
            </w:r>
            <w:r>
              <w:rPr>
                <w:noProof/>
              </w:rPr>
              <w:tab/>
            </w:r>
            <w:r>
              <w:rPr>
                <w:noProof/>
              </w:rPr>
              <w:fldChar w:fldCharType="begin"/>
            </w:r>
            <w:r>
              <w:rPr>
                <w:noProof/>
              </w:rPr>
              <w:instrText xml:space="preserve"> PAGEREF _Toc225436138 \h </w:instrText>
            </w:r>
            <w:r>
              <w:rPr>
                <w:noProof/>
              </w:rPr>
            </w:r>
            <w:r>
              <w:rPr>
                <w:noProof/>
              </w:rPr>
              <w:fldChar w:fldCharType="separate"/>
            </w:r>
            <w:r>
              <w:rPr>
                <w:noProof/>
              </w:rPr>
              <w:t>1</w:t>
            </w:r>
            <w:r>
              <w:rPr>
                <w:noProof/>
              </w:rPr>
              <w:fldChar w:fldCharType="end"/>
            </w:r>
          </w:hyperlink>
        </w:p>
        <w:p w14:paraId="5A5A4B6D" w14:textId="77777777" w:rsidR="00BA49E4" w:rsidRDefault="00BA49E4">
          <w:pPr>
            <w:pStyle w:val="TOC1"/>
            <w:tabs>
              <w:tab w:val="right" w:leader="dot" w:pos="9016"/>
            </w:tabs>
            <w:rPr>
              <w:noProof/>
            </w:rPr>
          </w:pPr>
          <w:hyperlink w:anchor="_Toc225436139" w:history="1">
            <w:r w:rsidRPr="00C64838">
              <w:rPr>
                <w:rStyle w:val="Hyperlink"/>
                <w:noProof/>
              </w:rPr>
              <w:t>3. Macro-Environmental Analysis</w:t>
            </w:r>
            <w:r>
              <w:rPr>
                <w:noProof/>
              </w:rPr>
              <w:tab/>
            </w:r>
            <w:r>
              <w:rPr>
                <w:noProof/>
              </w:rPr>
              <w:fldChar w:fldCharType="begin"/>
            </w:r>
            <w:r>
              <w:rPr>
                <w:noProof/>
              </w:rPr>
              <w:instrText xml:space="preserve"> PAGEREF _Toc225436139 \h </w:instrText>
            </w:r>
            <w:r>
              <w:rPr>
                <w:noProof/>
              </w:rPr>
            </w:r>
            <w:r>
              <w:rPr>
                <w:noProof/>
              </w:rPr>
              <w:fldChar w:fldCharType="separate"/>
            </w:r>
            <w:r>
              <w:rPr>
                <w:noProof/>
              </w:rPr>
              <w:t>1</w:t>
            </w:r>
            <w:r>
              <w:rPr>
                <w:noProof/>
              </w:rPr>
              <w:fldChar w:fldCharType="end"/>
            </w:r>
          </w:hyperlink>
        </w:p>
        <w:p w14:paraId="550C7B2C" w14:textId="77777777" w:rsidR="00BA49E4" w:rsidRDefault="00BA49E4">
          <w:pPr>
            <w:pStyle w:val="TOC2"/>
            <w:tabs>
              <w:tab w:val="right" w:leader="dot" w:pos="9016"/>
            </w:tabs>
            <w:rPr>
              <w:noProof/>
            </w:rPr>
          </w:pPr>
          <w:hyperlink w:anchor="_Toc225436140" w:history="1">
            <w:r w:rsidRPr="00C64838">
              <w:rPr>
                <w:rStyle w:val="Hyperlink"/>
                <w:noProof/>
              </w:rPr>
              <w:t>3.1 Technological Environment</w:t>
            </w:r>
            <w:r>
              <w:rPr>
                <w:noProof/>
              </w:rPr>
              <w:tab/>
            </w:r>
            <w:r>
              <w:rPr>
                <w:noProof/>
              </w:rPr>
              <w:fldChar w:fldCharType="begin"/>
            </w:r>
            <w:r>
              <w:rPr>
                <w:noProof/>
              </w:rPr>
              <w:instrText xml:space="preserve"> PAGEREF _Toc225436140 \h </w:instrText>
            </w:r>
            <w:r>
              <w:rPr>
                <w:noProof/>
              </w:rPr>
            </w:r>
            <w:r>
              <w:rPr>
                <w:noProof/>
              </w:rPr>
              <w:fldChar w:fldCharType="separate"/>
            </w:r>
            <w:r>
              <w:rPr>
                <w:noProof/>
              </w:rPr>
              <w:t>1</w:t>
            </w:r>
            <w:r>
              <w:rPr>
                <w:noProof/>
              </w:rPr>
              <w:fldChar w:fldCharType="end"/>
            </w:r>
          </w:hyperlink>
        </w:p>
        <w:p w14:paraId="5ADE3A5F" w14:textId="77777777" w:rsidR="00BA49E4" w:rsidRDefault="00BA49E4">
          <w:pPr>
            <w:pStyle w:val="TOC2"/>
            <w:tabs>
              <w:tab w:val="right" w:leader="dot" w:pos="9016"/>
            </w:tabs>
            <w:rPr>
              <w:noProof/>
            </w:rPr>
          </w:pPr>
          <w:hyperlink w:anchor="_Toc225436141" w:history="1">
            <w:r w:rsidRPr="00C64838">
              <w:rPr>
                <w:rStyle w:val="Hyperlink"/>
                <w:noProof/>
              </w:rPr>
              <w:t>3.2 Socio-Cultural Environment</w:t>
            </w:r>
            <w:r>
              <w:rPr>
                <w:noProof/>
              </w:rPr>
              <w:tab/>
            </w:r>
            <w:r>
              <w:rPr>
                <w:noProof/>
              </w:rPr>
              <w:fldChar w:fldCharType="begin"/>
            </w:r>
            <w:r>
              <w:rPr>
                <w:noProof/>
              </w:rPr>
              <w:instrText xml:space="preserve"> PAGEREF _Toc225436141 \h </w:instrText>
            </w:r>
            <w:r>
              <w:rPr>
                <w:noProof/>
              </w:rPr>
            </w:r>
            <w:r>
              <w:rPr>
                <w:noProof/>
              </w:rPr>
              <w:fldChar w:fldCharType="separate"/>
            </w:r>
            <w:r>
              <w:rPr>
                <w:noProof/>
              </w:rPr>
              <w:t>1</w:t>
            </w:r>
            <w:r>
              <w:rPr>
                <w:noProof/>
              </w:rPr>
              <w:fldChar w:fldCharType="end"/>
            </w:r>
          </w:hyperlink>
        </w:p>
        <w:p w14:paraId="1A72443A" w14:textId="77777777" w:rsidR="00BA49E4" w:rsidRDefault="00BA49E4">
          <w:pPr>
            <w:pStyle w:val="TOC1"/>
            <w:tabs>
              <w:tab w:val="right" w:leader="dot" w:pos="9016"/>
            </w:tabs>
            <w:rPr>
              <w:noProof/>
            </w:rPr>
          </w:pPr>
          <w:hyperlink w:anchor="_Toc225436142" w:history="1">
            <w:r w:rsidRPr="00C64838">
              <w:rPr>
                <w:rStyle w:val="Hyperlink"/>
                <w:noProof/>
              </w:rPr>
              <w:t>4. Strategic Response Analysis: Porter’s Generic Strategies</w:t>
            </w:r>
            <w:r>
              <w:rPr>
                <w:noProof/>
              </w:rPr>
              <w:tab/>
            </w:r>
            <w:r>
              <w:rPr>
                <w:noProof/>
              </w:rPr>
              <w:fldChar w:fldCharType="begin"/>
            </w:r>
            <w:r>
              <w:rPr>
                <w:noProof/>
              </w:rPr>
              <w:instrText xml:space="preserve"> PAGEREF _Toc225436142 \h </w:instrText>
            </w:r>
            <w:r>
              <w:rPr>
                <w:noProof/>
              </w:rPr>
            </w:r>
            <w:r>
              <w:rPr>
                <w:noProof/>
              </w:rPr>
              <w:fldChar w:fldCharType="separate"/>
            </w:r>
            <w:r>
              <w:rPr>
                <w:noProof/>
              </w:rPr>
              <w:t>1</w:t>
            </w:r>
            <w:r>
              <w:rPr>
                <w:noProof/>
              </w:rPr>
              <w:fldChar w:fldCharType="end"/>
            </w:r>
          </w:hyperlink>
        </w:p>
        <w:p w14:paraId="2CB02642" w14:textId="77777777" w:rsidR="00BA49E4" w:rsidRDefault="00BA49E4">
          <w:pPr>
            <w:pStyle w:val="TOC2"/>
            <w:tabs>
              <w:tab w:val="right" w:leader="dot" w:pos="9016"/>
            </w:tabs>
            <w:rPr>
              <w:noProof/>
            </w:rPr>
          </w:pPr>
          <w:hyperlink w:anchor="_Toc225436143" w:history="1">
            <w:r w:rsidRPr="00C64838">
              <w:rPr>
                <w:rStyle w:val="Hyperlink"/>
                <w:noProof/>
              </w:rPr>
              <w:t>4.1 Tanishq: Broad Differentiation Strategy</w:t>
            </w:r>
            <w:r>
              <w:rPr>
                <w:noProof/>
              </w:rPr>
              <w:tab/>
            </w:r>
            <w:r>
              <w:rPr>
                <w:noProof/>
              </w:rPr>
              <w:fldChar w:fldCharType="begin"/>
            </w:r>
            <w:r>
              <w:rPr>
                <w:noProof/>
              </w:rPr>
              <w:instrText xml:space="preserve"> PAGEREF _Toc225436143 \h </w:instrText>
            </w:r>
            <w:r>
              <w:rPr>
                <w:noProof/>
              </w:rPr>
            </w:r>
            <w:r>
              <w:rPr>
                <w:noProof/>
              </w:rPr>
              <w:fldChar w:fldCharType="separate"/>
            </w:r>
            <w:r>
              <w:rPr>
                <w:noProof/>
              </w:rPr>
              <w:t>1</w:t>
            </w:r>
            <w:r>
              <w:rPr>
                <w:noProof/>
              </w:rPr>
              <w:fldChar w:fldCharType="end"/>
            </w:r>
          </w:hyperlink>
        </w:p>
        <w:p w14:paraId="7CB88CDC" w14:textId="77777777" w:rsidR="00BA49E4" w:rsidRDefault="00BA49E4">
          <w:pPr>
            <w:pStyle w:val="TOC2"/>
            <w:tabs>
              <w:tab w:val="right" w:leader="dot" w:pos="9016"/>
            </w:tabs>
            <w:rPr>
              <w:noProof/>
            </w:rPr>
          </w:pPr>
          <w:hyperlink w:anchor="_Toc225436144" w:history="1">
            <w:r w:rsidRPr="00C64838">
              <w:rPr>
                <w:rStyle w:val="Hyperlink"/>
                <w:noProof/>
              </w:rPr>
              <w:t>4.2 GIVA: Focused Differentiation Strategy</w:t>
            </w:r>
            <w:r>
              <w:rPr>
                <w:noProof/>
              </w:rPr>
              <w:tab/>
            </w:r>
            <w:r>
              <w:rPr>
                <w:noProof/>
              </w:rPr>
              <w:fldChar w:fldCharType="begin"/>
            </w:r>
            <w:r>
              <w:rPr>
                <w:noProof/>
              </w:rPr>
              <w:instrText xml:space="preserve"> PAGEREF _Toc225436144 \h </w:instrText>
            </w:r>
            <w:r>
              <w:rPr>
                <w:noProof/>
              </w:rPr>
            </w:r>
            <w:r>
              <w:rPr>
                <w:noProof/>
              </w:rPr>
              <w:fldChar w:fldCharType="separate"/>
            </w:r>
            <w:r>
              <w:rPr>
                <w:noProof/>
              </w:rPr>
              <w:t>1</w:t>
            </w:r>
            <w:r>
              <w:rPr>
                <w:noProof/>
              </w:rPr>
              <w:fldChar w:fldCharType="end"/>
            </w:r>
          </w:hyperlink>
        </w:p>
        <w:p w14:paraId="4F00E0C9" w14:textId="77777777" w:rsidR="00BA49E4" w:rsidRDefault="00BA49E4">
          <w:pPr>
            <w:pStyle w:val="TOC2"/>
            <w:tabs>
              <w:tab w:val="right" w:leader="dot" w:pos="9016"/>
            </w:tabs>
            <w:rPr>
              <w:noProof/>
            </w:rPr>
          </w:pPr>
          <w:hyperlink w:anchor="_Toc225436145" w:history="1">
            <w:r w:rsidRPr="00C64838">
              <w:rPr>
                <w:rStyle w:val="Hyperlink"/>
                <w:noProof/>
              </w:rPr>
              <w:t>4.3 Comparative Effectiveness</w:t>
            </w:r>
            <w:r>
              <w:rPr>
                <w:noProof/>
              </w:rPr>
              <w:tab/>
            </w:r>
            <w:r>
              <w:rPr>
                <w:noProof/>
              </w:rPr>
              <w:fldChar w:fldCharType="begin"/>
            </w:r>
            <w:r>
              <w:rPr>
                <w:noProof/>
              </w:rPr>
              <w:instrText xml:space="preserve"> PAGEREF _Toc225436145 \h </w:instrText>
            </w:r>
            <w:r>
              <w:rPr>
                <w:noProof/>
              </w:rPr>
            </w:r>
            <w:r>
              <w:rPr>
                <w:noProof/>
              </w:rPr>
              <w:fldChar w:fldCharType="separate"/>
            </w:r>
            <w:r>
              <w:rPr>
                <w:noProof/>
              </w:rPr>
              <w:t>1</w:t>
            </w:r>
            <w:r>
              <w:rPr>
                <w:noProof/>
              </w:rPr>
              <w:fldChar w:fldCharType="end"/>
            </w:r>
          </w:hyperlink>
        </w:p>
        <w:p w14:paraId="6FBC6B70" w14:textId="77777777" w:rsidR="00BA49E4" w:rsidRDefault="00BA49E4">
          <w:pPr>
            <w:pStyle w:val="TOC1"/>
            <w:tabs>
              <w:tab w:val="right" w:leader="dot" w:pos="9016"/>
            </w:tabs>
            <w:rPr>
              <w:noProof/>
            </w:rPr>
          </w:pPr>
          <w:hyperlink w:anchor="_Toc225436146" w:history="1">
            <w:r w:rsidRPr="00C64838">
              <w:rPr>
                <w:rStyle w:val="Hyperlink"/>
                <w:noProof/>
              </w:rPr>
              <w:t>5. Critical Evaluation and Discussion</w:t>
            </w:r>
            <w:r>
              <w:rPr>
                <w:noProof/>
              </w:rPr>
              <w:tab/>
            </w:r>
            <w:r>
              <w:rPr>
                <w:noProof/>
              </w:rPr>
              <w:fldChar w:fldCharType="begin"/>
            </w:r>
            <w:r>
              <w:rPr>
                <w:noProof/>
              </w:rPr>
              <w:instrText xml:space="preserve"> PAGEREF _Toc225436146 \h </w:instrText>
            </w:r>
            <w:r>
              <w:rPr>
                <w:noProof/>
              </w:rPr>
            </w:r>
            <w:r>
              <w:rPr>
                <w:noProof/>
              </w:rPr>
              <w:fldChar w:fldCharType="separate"/>
            </w:r>
            <w:r>
              <w:rPr>
                <w:noProof/>
              </w:rPr>
              <w:t>1</w:t>
            </w:r>
            <w:r>
              <w:rPr>
                <w:noProof/>
              </w:rPr>
              <w:fldChar w:fldCharType="end"/>
            </w:r>
          </w:hyperlink>
        </w:p>
        <w:p w14:paraId="2A72A186" w14:textId="77777777" w:rsidR="00BA49E4" w:rsidRDefault="00BA49E4">
          <w:pPr>
            <w:pStyle w:val="TOC1"/>
            <w:tabs>
              <w:tab w:val="right" w:leader="dot" w:pos="9016"/>
            </w:tabs>
            <w:rPr>
              <w:noProof/>
            </w:rPr>
          </w:pPr>
          <w:hyperlink w:anchor="_Toc225436147" w:history="1">
            <w:r w:rsidRPr="00C64838">
              <w:rPr>
                <w:rStyle w:val="Hyperlink"/>
                <w:noProof/>
              </w:rPr>
              <w:t>6. Conclusion</w:t>
            </w:r>
            <w:r>
              <w:rPr>
                <w:noProof/>
              </w:rPr>
              <w:tab/>
            </w:r>
            <w:r>
              <w:rPr>
                <w:noProof/>
              </w:rPr>
              <w:fldChar w:fldCharType="begin"/>
            </w:r>
            <w:r>
              <w:rPr>
                <w:noProof/>
              </w:rPr>
              <w:instrText xml:space="preserve"> PAGEREF _Toc225436147 \h </w:instrText>
            </w:r>
            <w:r>
              <w:rPr>
                <w:noProof/>
              </w:rPr>
            </w:r>
            <w:r>
              <w:rPr>
                <w:noProof/>
              </w:rPr>
              <w:fldChar w:fldCharType="separate"/>
            </w:r>
            <w:r>
              <w:rPr>
                <w:noProof/>
              </w:rPr>
              <w:t>1</w:t>
            </w:r>
            <w:r>
              <w:rPr>
                <w:noProof/>
              </w:rPr>
              <w:fldChar w:fldCharType="end"/>
            </w:r>
          </w:hyperlink>
        </w:p>
        <w:p w14:paraId="0AAB52A5" w14:textId="77777777" w:rsidR="00BA49E4" w:rsidRDefault="00BA49E4">
          <w:pPr>
            <w:pStyle w:val="TOC1"/>
            <w:tabs>
              <w:tab w:val="right" w:leader="dot" w:pos="9016"/>
            </w:tabs>
            <w:rPr>
              <w:noProof/>
            </w:rPr>
          </w:pPr>
          <w:hyperlink w:anchor="_Toc225436148" w:history="1">
            <w:r w:rsidRPr="00C64838">
              <w:rPr>
                <w:rStyle w:val="Hyperlink"/>
                <w:noProof/>
              </w:rPr>
              <w:t>Reference List</w:t>
            </w:r>
            <w:r>
              <w:rPr>
                <w:noProof/>
              </w:rPr>
              <w:tab/>
            </w:r>
            <w:r>
              <w:rPr>
                <w:noProof/>
              </w:rPr>
              <w:fldChar w:fldCharType="begin"/>
            </w:r>
            <w:r>
              <w:rPr>
                <w:noProof/>
              </w:rPr>
              <w:instrText xml:space="preserve"> PAGEREF _Toc225436148 \h </w:instrText>
            </w:r>
            <w:r>
              <w:rPr>
                <w:noProof/>
              </w:rPr>
            </w:r>
            <w:r>
              <w:rPr>
                <w:noProof/>
              </w:rPr>
              <w:fldChar w:fldCharType="separate"/>
            </w:r>
            <w:r>
              <w:rPr>
                <w:noProof/>
              </w:rPr>
              <w:t>1</w:t>
            </w:r>
            <w:r>
              <w:rPr>
                <w:noProof/>
              </w:rPr>
              <w:fldChar w:fldCharType="end"/>
            </w:r>
          </w:hyperlink>
        </w:p>
        <w:p w14:paraId="698E49EC" w14:textId="77777777" w:rsidR="00052D3A" w:rsidRDefault="00000000">
          <w:r>
            <w:fldChar w:fldCharType="end"/>
          </w:r>
        </w:p>
      </w:sdtContent>
    </w:sdt>
    <w:p w14:paraId="12B6D59A" w14:textId="77777777" w:rsidR="00052D3A" w:rsidRDefault="00000000">
      <w:r>
        <w:br w:type="page"/>
      </w:r>
    </w:p>
    <w:p w14:paraId="0B2D39E2" w14:textId="77777777" w:rsidR="00052D3A" w:rsidRDefault="00000000">
      <w:pPr>
        <w:pStyle w:val="Heading1"/>
        <w:spacing w:after="200"/>
      </w:pPr>
      <w:bookmarkStart w:id="1" w:name="_Toc225436135"/>
      <w:r>
        <w:lastRenderedPageBreak/>
        <w:t>1. Introduction</w:t>
      </w:r>
      <w:bookmarkEnd w:id="1"/>
    </w:p>
    <w:p w14:paraId="61124AC6" w14:textId="79C54F75" w:rsidR="00052D3A" w:rsidRDefault="00BA49E4">
      <w:pPr>
        <w:spacing w:after="200" w:line="360" w:lineRule="auto"/>
        <w:jc w:val="both"/>
      </w:pPr>
      <w:r w:rsidRPr="00BA49E4">
        <w:t>The global jewellery market which is currently estimated at USD 365.9 billion in 2024 is expected to grow to USD 580.7 billion in 2033 at 5% CAGR (IMARC Group, 2025a). Asia Pacific has the highest revenue share of 37.8 which is the result of the culture that favors gold and diamond ornaments (MMR Statistics, 2026). The jewellery India is valued to be about USD 90.4 billion and bridal jewellery takes up close to one- half of yearly gold buying (IMARC Group, 2025b). Mirroring the trend toward branded retail all over the globe, the organised retail sector has grown its share in India to more than 36 per cent as compared to 22 per cent in 2019 (MarkNTel Advisors, 2025).</w:t>
      </w:r>
    </w:p>
    <w:p w14:paraId="15CB6633" w14:textId="72339368" w:rsidR="00052D3A" w:rsidRDefault="00BA49E4">
      <w:pPr>
        <w:spacing w:after="200" w:line="360" w:lineRule="auto"/>
        <w:jc w:val="both"/>
      </w:pPr>
      <w:r w:rsidRPr="00BA49E4">
        <w:t>The strategic game between the pioneers and the followers in the market deserves to be looked into. According to Lieberman and Montgomery (1988), pioneers are those who incur benefits of brand name recognition that follow in the footstep exploiting the learnings of the pioneer to mitigate the entry risk. As early as 1994, Tanishq, the jewellery flagship of the Titan Company (a subsidiary of Tata Group) that had been selling branded, hallmarked jewellery, was pioneering branded jewellery retailing in an organised market that it commands at a percentage of about 8 (Thebranddecoder, 2025). Founded in 2019, GIVA is a silver jewellery company that is digital first, growing into a formidable follower with INR 523 crore annual revenue by FY2025 (Tracxn, 2026). The macro-environmental factors analysed in this report are in the context of global and Indian environment, i.e. technological and socio-cultural, and then the strategic responses are judged in terms of the Generic Strategies by Porter.</w:t>
      </w:r>
    </w:p>
    <w:p w14:paraId="371C64F4" w14:textId="77777777" w:rsidR="00052D3A" w:rsidRDefault="00000000">
      <w:pPr>
        <w:pStyle w:val="Heading1"/>
        <w:spacing w:after="200"/>
      </w:pPr>
      <w:bookmarkStart w:id="2" w:name="_Toc225436136"/>
      <w:r>
        <w:t>2. Overview of Companies</w:t>
      </w:r>
      <w:bookmarkEnd w:id="2"/>
    </w:p>
    <w:p w14:paraId="5759C7D8" w14:textId="77777777" w:rsidR="00052D3A" w:rsidRDefault="00000000">
      <w:pPr>
        <w:pStyle w:val="Heading2"/>
        <w:spacing w:before="300"/>
      </w:pPr>
      <w:bookmarkStart w:id="3" w:name="_Toc225436137"/>
      <w:r>
        <w:t>2.1 Tanishq: The Market Pioneer</w:t>
      </w:r>
      <w:bookmarkEnd w:id="3"/>
    </w:p>
    <w:p w14:paraId="2A549631" w14:textId="68FE99F9" w:rsidR="00052D3A" w:rsidRDefault="00BA49E4">
      <w:pPr>
        <w:spacing w:after="200" w:line="360" w:lineRule="auto"/>
        <w:jc w:val="both"/>
      </w:pPr>
      <w:r w:rsidRPr="00BA49E4">
        <w:t xml:space="preserve">Tanishq has redefined the jewellery market in India by launching the Karatmeter to identify the purity of gold, open price, and universal retailing in an industry that was dominated by unregulated family jewellers (Latterly.org, 2024). Titan has a jewellery division operating in more than 475 stores in 260 cities with an equivalent of INR 42,300 crore (Statista, 2024). Tanishq is listed among the leading brands in the world, in grand view research (2025) with Cartier and Chow Tai Fook. It has maintained a trend setter position based on structural market innovations and not just due to the </w:t>
      </w:r>
      <w:r w:rsidRPr="00BA49E4">
        <w:lastRenderedPageBreak/>
        <w:t>timing early advantage, as demonstrated by its launch of a 5,000 sq ft flagship in the Dubai Gold Souk Extension in December 2024 (Grand View Research, 2025).</w:t>
      </w:r>
    </w:p>
    <w:p w14:paraId="0A129EC9" w14:textId="77777777" w:rsidR="00052D3A" w:rsidRDefault="00000000">
      <w:pPr>
        <w:pStyle w:val="Heading2"/>
        <w:spacing w:before="300"/>
      </w:pPr>
      <w:bookmarkStart w:id="4" w:name="_Toc225436138"/>
      <w:r>
        <w:t>2.2 GIVA: The Strategic Follower</w:t>
      </w:r>
      <w:bookmarkEnd w:id="4"/>
    </w:p>
    <w:p w14:paraId="0762355A" w14:textId="254DF5BD" w:rsidR="00052D3A" w:rsidRDefault="00BA49E4">
      <w:pPr>
        <w:spacing w:after="200" w:line="360" w:lineRule="auto"/>
        <w:jc w:val="both"/>
      </w:pPr>
      <w:r w:rsidRPr="00BA49E4">
        <w:t>GIVA was a digital-first, direct-to-consumer, co-founded by Ishendra Agarwal in 2019, to cover the less served market of the affordable silver jewellery segment (Inc42, 2025). The firm established itself in the USD 4 billion Indian silver jewellery business, in which organised penetration is lower than 7 (Entrepreneur India, 2023), compared to the trend of the worldwide affordable jewellery at 6.8% CAGR (GM Insights, 2025). With a fundraise of more than USD 133 million, and a INR 530 crore Series C round at a USD 374 million valuation, GIVA has entered the world of gold and lab-grown diamond, and grown to more than 240 stores (Angelone, 2025). The follower approach by GIVA capitalizes on market loopholes in form of technology nimbleness and affordable pricing that was never considered by the incumbents.</w:t>
      </w:r>
    </w:p>
    <w:p w14:paraId="5DA5773D" w14:textId="77777777" w:rsidR="00052D3A" w:rsidRDefault="00000000">
      <w:pPr>
        <w:pStyle w:val="Heading1"/>
        <w:spacing w:after="200"/>
      </w:pPr>
      <w:bookmarkStart w:id="5" w:name="_Toc225436139"/>
      <w:r>
        <w:t>3. Macro-Environmental Analysis</w:t>
      </w:r>
      <w:bookmarkEnd w:id="5"/>
    </w:p>
    <w:p w14:paraId="2FDC4C2F" w14:textId="251BE8E7" w:rsidR="00052D3A" w:rsidRDefault="00BA49E4">
      <w:pPr>
        <w:spacing w:after="200" w:line="360" w:lineRule="auto"/>
        <w:jc w:val="both"/>
      </w:pPr>
      <w:r w:rsidRPr="00BA49E4">
        <w:t>PESTEL framework allows conducting a systematic analysis of the external forces that determine the industry dynamics at the global and national scales (Johnson, Whittington and Scholes, 2020). The major aspects are summarised in Table 1, and then the technological aspect, as well as the socio-cultural one get closer scrutiny.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2484"/>
        <w:gridCol w:w="2500"/>
        <w:gridCol w:w="2497"/>
      </w:tblGrid>
      <w:tr w:rsidR="00052D3A" w14:paraId="0A5BA20F" w14:textId="77777777">
        <w:tc>
          <w:tcPr>
            <w:tcW w:w="1500"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31636591" w14:textId="77777777" w:rsidR="00052D3A" w:rsidRDefault="00000000">
            <w:pPr>
              <w:jc w:val="center"/>
            </w:pPr>
            <w:r>
              <w:rPr>
                <w:b/>
                <w:bCs/>
                <w:color w:val="FFFFFF"/>
                <w:sz w:val="20"/>
                <w:szCs w:val="20"/>
              </w:rPr>
              <w:t>PESTEL Factor</w:t>
            </w:r>
          </w:p>
        </w:tc>
        <w:tc>
          <w:tcPr>
            <w:tcW w:w="2500"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4D3C31E2" w14:textId="77777777" w:rsidR="00052D3A" w:rsidRDefault="00000000">
            <w:pPr>
              <w:jc w:val="center"/>
            </w:pPr>
            <w:r>
              <w:rPr>
                <w:b/>
                <w:bCs/>
                <w:color w:val="FFFFFF"/>
                <w:sz w:val="20"/>
                <w:szCs w:val="20"/>
              </w:rPr>
              <w:t>Global and Indian Trend</w:t>
            </w:r>
          </w:p>
        </w:tc>
        <w:tc>
          <w:tcPr>
            <w:tcW w:w="2513"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19528C83" w14:textId="77777777" w:rsidR="00052D3A" w:rsidRDefault="00000000">
            <w:pPr>
              <w:jc w:val="center"/>
            </w:pPr>
            <w:r>
              <w:rPr>
                <w:b/>
                <w:bCs/>
                <w:color w:val="FFFFFF"/>
                <w:sz w:val="20"/>
                <w:szCs w:val="20"/>
              </w:rPr>
              <w:t>Impact on Tanishq</w:t>
            </w:r>
          </w:p>
        </w:tc>
        <w:tc>
          <w:tcPr>
            <w:tcW w:w="2513"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0EE5362A" w14:textId="77777777" w:rsidR="00052D3A" w:rsidRDefault="00000000">
            <w:pPr>
              <w:jc w:val="center"/>
            </w:pPr>
            <w:r>
              <w:rPr>
                <w:b/>
                <w:bCs/>
                <w:color w:val="FFFFFF"/>
                <w:sz w:val="20"/>
                <w:szCs w:val="20"/>
              </w:rPr>
              <w:t>Impact on GIVA</w:t>
            </w:r>
          </w:p>
        </w:tc>
      </w:tr>
      <w:tr w:rsidR="00052D3A" w14:paraId="136AAD69" w14:textId="77777777">
        <w:tc>
          <w:tcPr>
            <w:tcW w:w="15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7864C0C9" w14:textId="77777777" w:rsidR="00052D3A" w:rsidRDefault="00000000">
            <w:pPr>
              <w:spacing w:after="40"/>
            </w:pPr>
            <w:r>
              <w:rPr>
                <w:b/>
                <w:bCs/>
                <w:sz w:val="20"/>
                <w:szCs w:val="20"/>
              </w:rPr>
              <w:t>Technological</w:t>
            </w:r>
          </w:p>
        </w:tc>
        <w:tc>
          <w:tcPr>
            <w:tcW w:w="25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4C44C6B8" w14:textId="77777777" w:rsidR="00052D3A" w:rsidRDefault="00000000">
            <w:pPr>
              <w:spacing w:after="40"/>
            </w:pPr>
            <w:r>
              <w:rPr>
                <w:sz w:val="20"/>
                <w:szCs w:val="20"/>
              </w:rPr>
              <w:t>Global e-commerce jewellery growth; AR/VR try-ons; omnichannel integration; quick commerce in India</w:t>
            </w:r>
          </w:p>
        </w:tc>
        <w:tc>
          <w:tcPr>
            <w:tcW w:w="25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058869AC" w14:textId="77777777" w:rsidR="00052D3A" w:rsidRDefault="00000000">
            <w:pPr>
              <w:spacing w:after="40"/>
            </w:pPr>
            <w:r>
              <w:rPr>
                <w:sz w:val="20"/>
                <w:szCs w:val="20"/>
              </w:rPr>
              <w:t>Opportunity: phygital enhancement globally; Threat: digital-native disruptors</w:t>
            </w:r>
          </w:p>
        </w:tc>
        <w:tc>
          <w:tcPr>
            <w:tcW w:w="25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5D4AA361" w14:textId="77777777" w:rsidR="00052D3A" w:rsidRDefault="00000000">
            <w:pPr>
              <w:spacing w:after="40"/>
            </w:pPr>
            <w:r>
              <w:rPr>
                <w:sz w:val="20"/>
                <w:szCs w:val="20"/>
              </w:rPr>
              <w:t>Core strategic advantage; enables rapid D2C scaling and data-driven product decisions</w:t>
            </w:r>
          </w:p>
        </w:tc>
      </w:tr>
      <w:tr w:rsidR="00052D3A" w14:paraId="53212146" w14:textId="77777777">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8B6191" w14:textId="77777777" w:rsidR="00052D3A" w:rsidRDefault="00000000">
            <w:pPr>
              <w:spacing w:after="40"/>
            </w:pPr>
            <w:r>
              <w:rPr>
                <w:b/>
                <w:bCs/>
                <w:sz w:val="20"/>
                <w:szCs w:val="20"/>
              </w:rPr>
              <w:t>Socio-cultural</w:t>
            </w:r>
          </w:p>
        </w:tc>
        <w:tc>
          <w:tcPr>
            <w:tcW w:w="2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2B025E" w14:textId="77777777" w:rsidR="00052D3A" w:rsidRDefault="00000000">
            <w:pPr>
              <w:spacing w:after="40"/>
            </w:pPr>
            <w:r>
              <w:rPr>
                <w:sz w:val="20"/>
                <w:szCs w:val="20"/>
              </w:rPr>
              <w:t>Global Gen Z shift to sustainable, personalised jewellery; Indian preference for lightweight, everyday designs; 72% Gen Z prefer lab-grown diamonds globally</w:t>
            </w:r>
          </w:p>
        </w:tc>
        <w:tc>
          <w:tcPr>
            <w:tcW w:w="25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06B261" w14:textId="77777777" w:rsidR="00052D3A" w:rsidRDefault="00000000">
            <w:pPr>
              <w:spacing w:after="40"/>
            </w:pPr>
            <w:r>
              <w:rPr>
                <w:sz w:val="20"/>
                <w:szCs w:val="20"/>
              </w:rPr>
              <w:t>Threat to wedding-centric model; opportunity via sub-brands (Mia, beYon) aligning with global trends</w:t>
            </w:r>
          </w:p>
        </w:tc>
        <w:tc>
          <w:tcPr>
            <w:tcW w:w="25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F61219" w14:textId="77777777" w:rsidR="00052D3A" w:rsidRDefault="00000000">
            <w:pPr>
              <w:spacing w:after="40"/>
            </w:pPr>
            <w:r>
              <w:rPr>
                <w:sz w:val="20"/>
                <w:szCs w:val="20"/>
              </w:rPr>
              <w:t>Strong global and domestic demographic alignment; silver and lab-grown diamonds match values-driven buying</w:t>
            </w:r>
          </w:p>
        </w:tc>
      </w:tr>
      <w:tr w:rsidR="00052D3A" w14:paraId="184CD98D" w14:textId="77777777">
        <w:tc>
          <w:tcPr>
            <w:tcW w:w="15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39064C41" w14:textId="77777777" w:rsidR="00052D3A" w:rsidRDefault="00000000">
            <w:pPr>
              <w:spacing w:after="40"/>
            </w:pPr>
            <w:r>
              <w:rPr>
                <w:b/>
                <w:bCs/>
                <w:sz w:val="20"/>
                <w:szCs w:val="20"/>
              </w:rPr>
              <w:t>Economic</w:t>
            </w:r>
          </w:p>
        </w:tc>
        <w:tc>
          <w:tcPr>
            <w:tcW w:w="25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41A81A94" w14:textId="77777777" w:rsidR="00052D3A" w:rsidRDefault="00000000">
            <w:pPr>
              <w:spacing w:after="40"/>
            </w:pPr>
            <w:r>
              <w:rPr>
                <w:sz w:val="20"/>
                <w:szCs w:val="20"/>
              </w:rPr>
              <w:t>Rising global middle class; gold price volatility (25.5% rise in 2024); India’s organised retail expansion to 36%</w:t>
            </w:r>
          </w:p>
        </w:tc>
        <w:tc>
          <w:tcPr>
            <w:tcW w:w="25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691065BF" w14:textId="77777777" w:rsidR="00052D3A" w:rsidRDefault="00000000">
            <w:pPr>
              <w:spacing w:after="40"/>
            </w:pPr>
            <w:r>
              <w:rPr>
                <w:sz w:val="20"/>
                <w:szCs w:val="20"/>
              </w:rPr>
              <w:t>Benefits from premiumisation globally; gold price sensitivity affects Indian consumer volumes</w:t>
            </w:r>
          </w:p>
        </w:tc>
        <w:tc>
          <w:tcPr>
            <w:tcW w:w="25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351C4341" w14:textId="77777777" w:rsidR="00052D3A" w:rsidRDefault="00000000">
            <w:pPr>
              <w:spacing w:after="40"/>
            </w:pPr>
            <w:r>
              <w:rPr>
                <w:sz w:val="20"/>
                <w:szCs w:val="20"/>
              </w:rPr>
              <w:t>Lower price points insulate from global gold volatility; accessible luxury resonates across markets</w:t>
            </w:r>
          </w:p>
        </w:tc>
      </w:tr>
      <w:tr w:rsidR="00052D3A" w14:paraId="7B16FB7F" w14:textId="77777777">
        <w:tc>
          <w:tcPr>
            <w:tcW w:w="1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42ADE5" w14:textId="77777777" w:rsidR="00052D3A" w:rsidRDefault="00000000">
            <w:pPr>
              <w:spacing w:after="40"/>
            </w:pPr>
            <w:r>
              <w:rPr>
                <w:b/>
                <w:bCs/>
                <w:sz w:val="20"/>
                <w:szCs w:val="20"/>
              </w:rPr>
              <w:lastRenderedPageBreak/>
              <w:t>Political/Legal</w:t>
            </w:r>
          </w:p>
        </w:tc>
        <w:tc>
          <w:tcPr>
            <w:tcW w:w="25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4160275" w14:textId="77777777" w:rsidR="00052D3A" w:rsidRDefault="00000000">
            <w:pPr>
              <w:spacing w:after="40"/>
            </w:pPr>
            <w:r>
              <w:rPr>
                <w:sz w:val="20"/>
                <w:szCs w:val="20"/>
              </w:rPr>
              <w:t>India’s mandatory hallmarking; global ethical sourcing regulations; conflict-free certification requirements</w:t>
            </w:r>
          </w:p>
        </w:tc>
        <w:tc>
          <w:tcPr>
            <w:tcW w:w="25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B691B4B" w14:textId="77777777" w:rsidR="00052D3A" w:rsidRDefault="00000000">
            <w:pPr>
              <w:spacing w:after="40"/>
            </w:pPr>
            <w:r>
              <w:rPr>
                <w:sz w:val="20"/>
                <w:szCs w:val="20"/>
              </w:rPr>
              <w:t>Reinforces trust advantage domestically; global compliance strengthens international credibility</w:t>
            </w:r>
          </w:p>
        </w:tc>
        <w:tc>
          <w:tcPr>
            <w:tcW w:w="25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48EF74" w14:textId="77777777" w:rsidR="00052D3A" w:rsidRDefault="00000000">
            <w:pPr>
              <w:spacing w:after="40"/>
            </w:pPr>
            <w:r>
              <w:rPr>
                <w:sz w:val="20"/>
                <w:szCs w:val="20"/>
              </w:rPr>
              <w:t>Compliance costs increase burden; lab-grown diamond focus bypasses sourcing concerns</w:t>
            </w:r>
          </w:p>
        </w:tc>
      </w:tr>
    </w:tbl>
    <w:p w14:paraId="3BBB267B" w14:textId="77777777" w:rsidR="00052D3A" w:rsidRDefault="00000000">
      <w:pPr>
        <w:spacing w:before="100" w:after="300"/>
        <w:jc w:val="center"/>
      </w:pPr>
      <w:r>
        <w:rPr>
          <w:b/>
          <w:bCs/>
          <w:i/>
          <w:iCs/>
          <w:sz w:val="20"/>
          <w:szCs w:val="20"/>
        </w:rPr>
        <w:t>Table 1: PESTEL Analysis Summary – Global and Indian Jewellery Industry</w:t>
      </w:r>
    </w:p>
    <w:p w14:paraId="15C01387" w14:textId="77777777" w:rsidR="00052D3A" w:rsidRDefault="00000000">
      <w:pPr>
        <w:pStyle w:val="Heading2"/>
        <w:spacing w:before="300"/>
      </w:pPr>
      <w:bookmarkStart w:id="6" w:name="_Toc225436140"/>
      <w:r>
        <w:t>3.1 Technological Environment</w:t>
      </w:r>
      <w:bookmarkEnd w:id="6"/>
    </w:p>
    <w:p w14:paraId="04B9E987" w14:textId="75DAE50F" w:rsidR="00052D3A" w:rsidRDefault="00BA49E4">
      <w:pPr>
        <w:spacing w:after="200" w:line="360" w:lineRule="auto"/>
        <w:jc w:val="both"/>
      </w:pPr>
      <w:r w:rsidRPr="00BA49E4">
        <w:t>Online platforms are replacing physical shops as the primary methods of making sales in the luxury jewellery industry, as well as half of all brands providing online try-on technology (Global Growth Insights, 2025). It is pertinent to note that 70% of D2C jewellery companies have a position both online and offline, but the proportion of offline is 20 times higher in terms of conversion rates (Grand View Research, 2025). In India, by 2026 it is predicted that online buyer penetration will have hit 50% (Mywisdomlane, 2024), speeding up the digital migration in an industry traditionally hostile to it.</w:t>
      </w:r>
    </w:p>
    <w:p w14:paraId="6B409E75" w14:textId="5853583D" w:rsidR="00052D3A" w:rsidRDefault="00BA49E4">
      <w:pPr>
        <w:spacing w:after="200" w:line="360" w:lineRule="auto"/>
        <w:jc w:val="both"/>
      </w:pPr>
      <w:r w:rsidRPr="00BA49E4">
        <w:t>In the case of Tanishq this is an opportunity as well as a threat. The brand implemented virtual try-on features, Endless Aisle kiosks in 200 stores, and AI-powered interaction with MoEngage, which improved the app retention by 25 percent, and festive conversion rates by 107 per cent (MoEngage, 2024). Nevertheless, Tanishq is naturally transitioning to digital in an incremental way: prioritizing technological use over the trust-based in-store experience limits the pace of innovation when compared to the rest of the born-digital companies in the world.</w:t>
      </w:r>
    </w:p>
    <w:p w14:paraId="290BD41C" w14:textId="4AC00E4C" w:rsidR="00052D3A" w:rsidRDefault="00BA49E4">
      <w:pPr>
        <w:spacing w:after="200" w:line="360" w:lineRule="auto"/>
        <w:jc w:val="both"/>
      </w:pPr>
      <w:r w:rsidRPr="00BA49E4">
        <w:t>In the case of GIVA, technology is the business architecture of the global D2C disruptor like Mejuri. The availability of its products in quick-commerce (Blinkit, Swiggy Instamart) and its own-owned delivery service (GIVA Go), which is for Grams, Hours, Venues, and Areas): (Indian Retailer, 2025) allows the collection of granular consumer data informing the product decisions in near-real-time. Where Tanishq transforms technology to optimize an existing platform, GIVA requires technological infrastructure in its structure, more nimble but more susceptible to platform dependency, to which the digital-first brands worldwide are equally liable.</w:t>
      </w:r>
    </w:p>
    <w:p w14:paraId="45D4F556" w14:textId="77777777" w:rsidR="00052D3A" w:rsidRDefault="00000000">
      <w:pPr>
        <w:pStyle w:val="Heading2"/>
        <w:spacing w:before="300"/>
      </w:pPr>
      <w:bookmarkStart w:id="7" w:name="_Toc225436141"/>
      <w:r>
        <w:t>3.2 Socio-Cultural Environment</w:t>
      </w:r>
      <w:bookmarkEnd w:id="7"/>
    </w:p>
    <w:p w14:paraId="15D4C2CE" w14:textId="08FB98B2" w:rsidR="00052D3A" w:rsidRDefault="00BA49E4">
      <w:pPr>
        <w:spacing w:after="200" w:line="360" w:lineRule="auto"/>
        <w:jc w:val="both"/>
      </w:pPr>
      <w:r w:rsidRPr="00BA49E4">
        <w:t xml:space="preserve">Over 70% of luxury worldwide sales are now made by the millennials and Gen Z, with 48% of Gen Z consumers giving more precedence to expressing themselves than to </w:t>
      </w:r>
      <w:r w:rsidRPr="00BA49E4">
        <w:lastRenderedPageBreak/>
        <w:t>brand name (Kaleya Studio, 2025). The majority of Gen Zs (72% globally) choose jewellery produced in laboratories, and 41% of millennials focus more on the ethical jewellery (CaratX, 2024; Global Growth Insights, 2025). Gen Z in India also favours jewellery at 51 percent silver and 49 percent light weight minimalist and purchases not based on ceremonies now outpacing traditional wedding jewellery sets among the millennials (National Herald India, 2026).</w:t>
      </w:r>
    </w:p>
    <w:p w14:paraId="1E421528" w14:textId="164D678E" w:rsidR="00052D3A" w:rsidRDefault="00BA49E4">
      <w:pPr>
        <w:spacing w:after="200" w:line="360" w:lineRule="auto"/>
        <w:jc w:val="both"/>
      </w:pPr>
      <w:r w:rsidRPr="00BA49E4">
        <w:t>Such changes pose strategic tension to Tanishq. The strength brand in the high end wedding niche, which forms about 50 percent of the income is gradually wearing off as the younger Indian clientele, following global generation traits, shift their focus to every day jewellery. Sub-brands like the Mia of the beyond by Titan respond to the change, but will otherwise risk its premium position result in diluting a brand in an ever-increasing globalised competitive landscape.</w:t>
      </w:r>
    </w:p>
    <w:p w14:paraId="68325B79" w14:textId="5C9561D2" w:rsidR="00052D3A" w:rsidRDefault="00BA49E4">
      <w:pPr>
        <w:spacing w:after="200" w:line="360" w:lineRule="auto"/>
        <w:jc w:val="both"/>
      </w:pPr>
      <w:r w:rsidRPr="00BA49E4">
        <w:t>On the other hand, the brand name of GIVA is inherently consistent with the trends in the global and Indian socio-cultural context and is designed specifically to suit younger consumer with values-driven buying habits who consider jewellery as expressions of themselves. Its policy to upgrade its silver customers to gold and lab-grown diamonds, has been an aspirational but practical purchasing behaviour that is witnessed in Gen Z around the world. Its partnership with Bollywood star Anushka Sharma makes it even more domestic (Changestarted, 2025). However, GIVA will stand a risk of customers growing up and graduating to mainstream brands as a customer behaviour, which is evident in the transition of customers to heritage luxury across the world.</w:t>
      </w:r>
    </w:p>
    <w:p w14:paraId="6EEC16C8" w14:textId="77777777" w:rsidR="00052D3A" w:rsidRDefault="00000000">
      <w:pPr>
        <w:pStyle w:val="Heading1"/>
        <w:spacing w:after="200"/>
      </w:pPr>
      <w:bookmarkStart w:id="8" w:name="_Toc225436142"/>
      <w:r>
        <w:t>4. Strategic Response Analysis: Porter’s Generic Strategies</w:t>
      </w:r>
      <w:bookmarkEnd w:id="8"/>
    </w:p>
    <w:p w14:paraId="7232F116" w14:textId="5F13EC9E" w:rsidR="00052D3A" w:rsidRDefault="00BA49E4">
      <w:pPr>
        <w:spacing w:after="200" w:line="360" w:lineRule="auto"/>
        <w:jc w:val="both"/>
      </w:pPr>
      <w:r w:rsidRPr="00BA49E4">
        <w:t xml:space="preserve">Porter (1985) also says that sustainable competitive advantage is based on cost leadership, differentiation or focus. Companies that do not invest in a specific strategy risk being in the middle. Tanishq and GIVA in both the global and Indian jewellery environment are in differentiated mode by different processes and risk portfolios (see Table 2).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413"/>
        <w:gridCol w:w="3413"/>
      </w:tblGrid>
      <w:tr w:rsidR="00052D3A" w14:paraId="3D409F57" w14:textId="77777777">
        <w:tc>
          <w:tcPr>
            <w:tcW w:w="2200"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2757D1B4" w14:textId="77777777" w:rsidR="00052D3A" w:rsidRDefault="00000000">
            <w:pPr>
              <w:jc w:val="center"/>
            </w:pPr>
            <w:r>
              <w:rPr>
                <w:b/>
                <w:bCs/>
                <w:color w:val="FFFFFF"/>
                <w:sz w:val="20"/>
                <w:szCs w:val="20"/>
              </w:rPr>
              <w:t>Strategic Dimension</w:t>
            </w:r>
          </w:p>
        </w:tc>
        <w:tc>
          <w:tcPr>
            <w:tcW w:w="3413"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6F14B1D7" w14:textId="77777777" w:rsidR="00052D3A" w:rsidRDefault="00000000">
            <w:pPr>
              <w:jc w:val="center"/>
            </w:pPr>
            <w:r>
              <w:rPr>
                <w:b/>
                <w:bCs/>
                <w:color w:val="FFFFFF"/>
                <w:sz w:val="20"/>
                <w:szCs w:val="20"/>
              </w:rPr>
              <w:t>Tanishq</w:t>
            </w:r>
          </w:p>
        </w:tc>
        <w:tc>
          <w:tcPr>
            <w:tcW w:w="3413" w:type="dxa"/>
            <w:tcBorders>
              <w:top w:val="single" w:sz="1" w:space="0" w:color="999999"/>
              <w:left w:val="single" w:sz="1" w:space="0" w:color="999999"/>
              <w:bottom w:val="single" w:sz="1" w:space="0" w:color="999999"/>
              <w:right w:val="single" w:sz="1" w:space="0" w:color="999999"/>
            </w:tcBorders>
            <w:shd w:val="clear" w:color="auto" w:fill="1F3864"/>
            <w:tcMar>
              <w:top w:w="60" w:type="dxa"/>
              <w:left w:w="100" w:type="dxa"/>
              <w:bottom w:w="60" w:type="dxa"/>
              <w:right w:w="100" w:type="dxa"/>
            </w:tcMar>
            <w:vAlign w:val="center"/>
          </w:tcPr>
          <w:p w14:paraId="07F781F1" w14:textId="77777777" w:rsidR="00052D3A" w:rsidRDefault="00000000">
            <w:pPr>
              <w:jc w:val="center"/>
            </w:pPr>
            <w:r>
              <w:rPr>
                <w:b/>
                <w:bCs/>
                <w:color w:val="FFFFFF"/>
                <w:sz w:val="20"/>
                <w:szCs w:val="20"/>
              </w:rPr>
              <w:t>GIVA</w:t>
            </w:r>
          </w:p>
        </w:tc>
      </w:tr>
      <w:tr w:rsidR="00052D3A" w14:paraId="01652EF7" w14:textId="77777777">
        <w:tc>
          <w:tcPr>
            <w:tcW w:w="22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732DAD8F" w14:textId="77777777" w:rsidR="00052D3A" w:rsidRDefault="00000000">
            <w:pPr>
              <w:spacing w:after="40"/>
            </w:pPr>
            <w:r>
              <w:rPr>
                <w:b/>
                <w:bCs/>
                <w:sz w:val="20"/>
                <w:szCs w:val="20"/>
              </w:rPr>
              <w:t>Generic Strategy</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3A6848CD" w14:textId="77777777" w:rsidR="00052D3A" w:rsidRDefault="00000000">
            <w:pPr>
              <w:spacing w:after="40"/>
            </w:pPr>
            <w:r>
              <w:rPr>
                <w:sz w:val="20"/>
                <w:szCs w:val="20"/>
              </w:rPr>
              <w:t>Broad Differentiation</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4DBDB212" w14:textId="77777777" w:rsidR="00052D3A" w:rsidRDefault="00000000">
            <w:pPr>
              <w:spacing w:after="40"/>
            </w:pPr>
            <w:r>
              <w:rPr>
                <w:sz w:val="20"/>
                <w:szCs w:val="20"/>
              </w:rPr>
              <w:t>Focused Differentiation (broadening scope)</w:t>
            </w:r>
          </w:p>
        </w:tc>
      </w:tr>
      <w:tr w:rsidR="00052D3A" w14:paraId="02FCADA0" w14:textId="77777777">
        <w:tc>
          <w:tcPr>
            <w:tcW w:w="22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1C765B7" w14:textId="77777777" w:rsidR="00052D3A" w:rsidRDefault="00000000">
            <w:pPr>
              <w:spacing w:after="40"/>
            </w:pPr>
            <w:r>
              <w:rPr>
                <w:b/>
                <w:bCs/>
                <w:sz w:val="20"/>
                <w:szCs w:val="20"/>
              </w:rPr>
              <w:lastRenderedPageBreak/>
              <w:t>Competitive Advantage Source</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995E8DB" w14:textId="77777777" w:rsidR="00052D3A" w:rsidRDefault="00000000">
            <w:pPr>
              <w:spacing w:after="40"/>
            </w:pPr>
            <w:r>
              <w:rPr>
                <w:sz w:val="20"/>
                <w:szCs w:val="20"/>
              </w:rPr>
              <w:t>Brand trust, purity assurance, Tata Group backing, global heritage positioning, 475+ store network</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131AED" w14:textId="77777777" w:rsidR="00052D3A" w:rsidRDefault="00000000">
            <w:pPr>
              <w:spacing w:after="40"/>
            </w:pPr>
            <w:r>
              <w:rPr>
                <w:sz w:val="20"/>
                <w:szCs w:val="20"/>
              </w:rPr>
              <w:t>Digital agility, accessible pricing, contemporary design, speed-to-market, D2C data infrastructure</w:t>
            </w:r>
          </w:p>
        </w:tc>
      </w:tr>
      <w:tr w:rsidR="00052D3A" w14:paraId="6614CAEE" w14:textId="77777777">
        <w:tc>
          <w:tcPr>
            <w:tcW w:w="22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329D7717" w14:textId="77777777" w:rsidR="00052D3A" w:rsidRDefault="00000000">
            <w:pPr>
              <w:spacing w:after="40"/>
            </w:pPr>
            <w:r>
              <w:rPr>
                <w:b/>
                <w:bCs/>
                <w:sz w:val="20"/>
                <w:szCs w:val="20"/>
              </w:rPr>
              <w:t>Target Scope</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5DEE8E63" w14:textId="77777777" w:rsidR="00052D3A" w:rsidRDefault="00000000">
            <w:pPr>
              <w:spacing w:after="40"/>
            </w:pPr>
            <w:r>
              <w:rPr>
                <w:sz w:val="20"/>
                <w:szCs w:val="20"/>
              </w:rPr>
              <w:t>Broad: domestic and international markets; weddings, festive, and daily wear across demographics</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23D9656D" w14:textId="77777777" w:rsidR="00052D3A" w:rsidRDefault="00000000">
            <w:pPr>
              <w:spacing w:after="40"/>
            </w:pPr>
            <w:r>
              <w:rPr>
                <w:sz w:val="20"/>
                <w:szCs w:val="20"/>
              </w:rPr>
              <w:t>Initially narrow (Gen Z/millennials, silver segment); now expanding into gold, lab-grown diamonds, and Tier 2 cities</w:t>
            </w:r>
          </w:p>
        </w:tc>
      </w:tr>
      <w:tr w:rsidR="00052D3A" w14:paraId="355B273C" w14:textId="77777777">
        <w:tc>
          <w:tcPr>
            <w:tcW w:w="22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B9FF7A" w14:textId="77777777" w:rsidR="00052D3A" w:rsidRDefault="00000000">
            <w:pPr>
              <w:spacing w:after="40"/>
            </w:pPr>
            <w:r>
              <w:rPr>
                <w:b/>
                <w:bCs/>
                <w:sz w:val="20"/>
                <w:szCs w:val="20"/>
              </w:rPr>
              <w:t>Value Proposition</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8ABE30" w14:textId="77777777" w:rsidR="00052D3A" w:rsidRDefault="00000000">
            <w:pPr>
              <w:spacing w:after="40"/>
            </w:pPr>
            <w:r>
              <w:rPr>
                <w:sz w:val="20"/>
                <w:szCs w:val="20"/>
              </w:rPr>
              <w:t>Trust, purity guarantee, emotional brand storytelling, premium craftsmanship</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AF3398" w14:textId="77777777" w:rsidR="00052D3A" w:rsidRDefault="00000000">
            <w:pPr>
              <w:spacing w:after="40"/>
            </w:pPr>
            <w:r>
              <w:rPr>
                <w:sz w:val="20"/>
                <w:szCs w:val="20"/>
              </w:rPr>
              <w:t>Affordable luxury, sustainability, personalisation, convenience via digital channels</w:t>
            </w:r>
          </w:p>
        </w:tc>
      </w:tr>
      <w:tr w:rsidR="00052D3A" w14:paraId="0554CAF7" w14:textId="77777777">
        <w:tc>
          <w:tcPr>
            <w:tcW w:w="2200"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04FCFA8C" w14:textId="77777777" w:rsidR="00052D3A" w:rsidRDefault="00000000">
            <w:pPr>
              <w:spacing w:after="40"/>
            </w:pPr>
            <w:r>
              <w:rPr>
                <w:b/>
                <w:bCs/>
                <w:sz w:val="20"/>
                <w:szCs w:val="20"/>
              </w:rPr>
              <w:t>Price Positioning</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782486DA" w14:textId="77777777" w:rsidR="00052D3A" w:rsidRDefault="00000000">
            <w:pPr>
              <w:spacing w:after="40"/>
            </w:pPr>
            <w:r>
              <w:rPr>
                <w:sz w:val="20"/>
                <w:szCs w:val="20"/>
              </w:rPr>
              <w:t>Premium pricing justified by institutional trust, quality assurance, and heritage brand equity</w:t>
            </w:r>
          </w:p>
        </w:tc>
        <w:tc>
          <w:tcPr>
            <w:tcW w:w="3413" w:type="dxa"/>
            <w:tcBorders>
              <w:top w:val="single" w:sz="1" w:space="0" w:color="999999"/>
              <w:left w:val="single" w:sz="1" w:space="0" w:color="999999"/>
              <w:bottom w:val="single" w:sz="1" w:space="0" w:color="999999"/>
              <w:right w:val="single" w:sz="1" w:space="0" w:color="999999"/>
            </w:tcBorders>
            <w:shd w:val="clear" w:color="auto" w:fill="E8EEF7"/>
            <w:tcMar>
              <w:top w:w="60" w:type="dxa"/>
              <w:left w:w="100" w:type="dxa"/>
              <w:bottom w:w="60" w:type="dxa"/>
              <w:right w:w="100" w:type="dxa"/>
            </w:tcMar>
            <w:vAlign w:val="center"/>
          </w:tcPr>
          <w:p w14:paraId="2C5649AA" w14:textId="77777777" w:rsidR="00052D3A" w:rsidRDefault="00000000">
            <w:pPr>
              <w:spacing w:after="40"/>
            </w:pPr>
            <w:r>
              <w:rPr>
                <w:sz w:val="20"/>
                <w:szCs w:val="20"/>
              </w:rPr>
              <w:t>Accessible luxury; 0% making charges on gold/diamond jewellery to drive trial and adoption</w:t>
            </w:r>
          </w:p>
        </w:tc>
      </w:tr>
      <w:tr w:rsidR="00052D3A" w14:paraId="1F059574" w14:textId="77777777">
        <w:tc>
          <w:tcPr>
            <w:tcW w:w="22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FB0ECB" w14:textId="77777777" w:rsidR="00052D3A" w:rsidRDefault="00000000">
            <w:pPr>
              <w:spacing w:after="40"/>
            </w:pPr>
            <w:r>
              <w:rPr>
                <w:b/>
                <w:bCs/>
                <w:sz w:val="20"/>
                <w:szCs w:val="20"/>
              </w:rPr>
              <w:t>Key Strategic Risk</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A7349E7" w14:textId="77777777" w:rsidR="00052D3A" w:rsidRDefault="00000000">
            <w:pPr>
              <w:spacing w:after="40"/>
            </w:pPr>
            <w:r>
              <w:rPr>
                <w:sz w:val="20"/>
                <w:szCs w:val="20"/>
              </w:rPr>
              <w:t>Alienation of price-sensitive younger consumers globally; over-reliance on wedding segment</w:t>
            </w:r>
          </w:p>
        </w:tc>
        <w:tc>
          <w:tcPr>
            <w:tcW w:w="34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E6F9B0" w14:textId="77777777" w:rsidR="00052D3A" w:rsidRDefault="00000000">
            <w:pPr>
              <w:spacing w:after="40"/>
            </w:pPr>
            <w:r>
              <w:rPr>
                <w:sz w:val="20"/>
                <w:szCs w:val="20"/>
              </w:rPr>
              <w:t>Margin compression; risk of being ‘stuck in the middle’ as scope broadens beyond original niche</w:t>
            </w:r>
          </w:p>
        </w:tc>
      </w:tr>
    </w:tbl>
    <w:p w14:paraId="344345AE" w14:textId="77777777" w:rsidR="00052D3A" w:rsidRDefault="00000000">
      <w:pPr>
        <w:spacing w:before="100" w:after="300"/>
        <w:jc w:val="center"/>
      </w:pPr>
      <w:r>
        <w:rPr>
          <w:b/>
          <w:bCs/>
          <w:i/>
          <w:iCs/>
          <w:sz w:val="20"/>
          <w:szCs w:val="20"/>
        </w:rPr>
        <w:t>Table 2: Porter’s Generic Strategies Comparison – Tanishq vs GIVA</w:t>
      </w:r>
    </w:p>
    <w:p w14:paraId="13D4E314" w14:textId="77777777" w:rsidR="00052D3A" w:rsidRDefault="00000000">
      <w:pPr>
        <w:pStyle w:val="Heading2"/>
        <w:spacing w:before="300"/>
      </w:pPr>
      <w:bookmarkStart w:id="9" w:name="_Toc225436143"/>
      <w:r>
        <w:t>4.1 Tanishq: Broad Differentiation Strategy</w:t>
      </w:r>
      <w:bookmarkEnd w:id="9"/>
    </w:p>
    <w:p w14:paraId="691838F3" w14:textId="1846587F" w:rsidR="00052D3A" w:rsidRDefault="00BA49E4">
      <w:pPr>
        <w:spacing w:after="200" w:line="360" w:lineRule="auto"/>
        <w:jc w:val="both"/>
      </w:pPr>
      <w:r w:rsidRPr="00BA49E4">
        <w:t>Broad differentiation at Tanishq is based on institutional trust and heritage brand equity. Reputation of the Tata Group, along with the Karatmeter innovation to ensure purity of the gold, entailed a differentiation moat that would be difficult to imitate by the competitors. As a brand with a share of the organised Indian market of about 40 (Latterly.org, 2024) and expanding abroad with its own flagship in Dubai, Tanishq enjoys the benefit of global heritage brands like Chow Tai Fook, which equally rely on brand name and scale.</w:t>
      </w:r>
    </w:p>
    <w:p w14:paraId="614DB571" w14:textId="5E560C3D" w:rsidR="00052D3A" w:rsidRDefault="00BA49E4">
      <w:pPr>
        <w:spacing w:after="200" w:line="360" w:lineRule="auto"/>
        <w:jc w:val="both"/>
      </w:pPr>
      <w:r w:rsidRPr="00BA49E4">
        <w:t xml:space="preserve">This strategy proved to be rather efficient as Titan has achieved its jewellery revenue of INR 42,300 crore in FY2024 (Statista, 2024) and showed that Indian consumers will not be reluctant to pay high prices when they feel that there is trust and quality assurance. The strategy however suffers a serious constraint in the macro-environmental environment discussed above, in that the premium pricing is progressively expanding a schism that exists between Tanishq and the aspirational younger customer who as global trends indicate is pursuing design-based, affordable luxury and not an investment grade jewellery. Tanishq tries to fill this gap with its sub-brands Mia and beYon, but they are also working with the same broad differentiation umbrella and therefore are not able to compete with aggressive pricing without compromising on the premium positioning of the parent brand. This is a strain that Porter (1985) was implicitly admitting: mass differentiation strategies are found </w:t>
      </w:r>
      <w:r w:rsidRPr="00BA49E4">
        <w:lastRenderedPageBreak/>
        <w:t>wanting, as the markets segments grow more and more differentiated when it comes to willingness to pay.</w:t>
      </w:r>
    </w:p>
    <w:p w14:paraId="7D3690DB" w14:textId="77777777" w:rsidR="00052D3A" w:rsidRDefault="00000000">
      <w:pPr>
        <w:pStyle w:val="Heading2"/>
        <w:spacing w:before="300"/>
      </w:pPr>
      <w:bookmarkStart w:id="10" w:name="_Toc225436144"/>
      <w:r>
        <w:t>4.2 GIVA: Focused Differentiation Strategy</w:t>
      </w:r>
      <w:bookmarkEnd w:id="10"/>
    </w:p>
    <w:p w14:paraId="31601579" w14:textId="2DF95394" w:rsidR="00052D3A" w:rsidRDefault="00BA49E4">
      <w:pPr>
        <w:spacing w:after="200" w:line="360" w:lineRule="auto"/>
        <w:jc w:val="both"/>
      </w:pPr>
      <w:r w:rsidRPr="00BA49E4">
        <w:t>The first strategy of GIVA signifies a textbook implementation of focused differentiation by Porter that aims to appeal to a particular underserved market by a differentiated product. With such a strategy, GIVA created a niche in design-aware Gen Z and millennial buyers of 925 sterling silver that established competitors considered too tiny to enter. This is a replica of the universal structure upheld by Mejuri and Pandora that equally varied on the basis of design accessibility instead of material exclusivity.</w:t>
      </w:r>
    </w:p>
    <w:p w14:paraId="4E249CCC" w14:textId="514EE10F" w:rsidR="00052D3A" w:rsidRDefault="00BA49E4">
      <w:pPr>
        <w:spacing w:after="200" w:line="360" w:lineRule="auto"/>
        <w:jc w:val="both"/>
      </w:pPr>
      <w:r w:rsidRPr="00BA49E4">
        <w:t>The potential risk of strategy, though, is in the fact that GIVA is on the way of the current expansion of the field of work. With the company entering 14K/18K gold and lab-grown diamonds, the company is actually shifting its differentiation, with focused to broad differentiation- it is entering the territory where Tanishq and other competitors already have deeply rooted trust advantages. According to Porter (1985), the risk of the transition is that one can end up being in the middle, that is, trying to attract the value-seeking silver consumers and the high-end gold buyers can water down the focused brand image that propelled GIVA first to grow. The net losses remained at GIVA, INR 42 crore in FY2025, down by INR 59 crore in FY2024 (Changestarted, 2025) can be discussed as the pressure on the margin of this expansion. Moreover, it is also true that the Indian jewellery market is also primarily considered a type of a high-trust category, with 84 percent of all sales all over the globe still being held offline (Grand View Research, 2025), which implies that the digital-first benefit will wear out as the value of the transaction and category of the product upgrades.</w:t>
      </w:r>
    </w:p>
    <w:p w14:paraId="6DA00FC7" w14:textId="77777777" w:rsidR="00052D3A" w:rsidRDefault="00000000">
      <w:pPr>
        <w:pStyle w:val="Heading2"/>
        <w:spacing w:before="300"/>
      </w:pPr>
      <w:bookmarkStart w:id="11" w:name="_Toc225436145"/>
      <w:r>
        <w:t>4.3 Comparative Effectiveness</w:t>
      </w:r>
      <w:bookmarkEnd w:id="11"/>
    </w:p>
    <w:p w14:paraId="308A450C" w14:textId="4399AD8E" w:rsidR="00052D3A" w:rsidRDefault="00BA49E4">
      <w:pPr>
        <w:spacing w:after="200" w:line="360" w:lineRule="auto"/>
        <w:jc w:val="both"/>
      </w:pPr>
      <w:r w:rsidRPr="00BA49E4">
        <w:t xml:space="preserve">When comparing the two strategies critically, one can determine that there is a basic asymmetry. Tanishq enjoys the advantages of breadth differentiation in that it cannot be imitated because the companies are unable to accumulate decades of trust-building and retail infrastructure (Barney 1991, p. 45). It is self-reinforcing in its differentiation sources, as more stores earn trust, leading to increased revenue that allows the investing in the further growth of the brand. Focused differentiation at GIVA is based on the benefits, such as digital agility, modern design, affordable price, which </w:t>
      </w:r>
      <w:r w:rsidRPr="00BA49E4">
        <w:lastRenderedPageBreak/>
        <w:t>are easier to copy. This weakness can also be seen with the entrance of Tata own CaratLane into the field of low-priced online jewellery where incumbencies could also base their model with more resources. Whereas the strategy of GIVA is operational in line with the current trends, Tanishq has a more durable structural framework with the market conditions bound to change.</w:t>
      </w:r>
    </w:p>
    <w:p w14:paraId="4387ABA9" w14:textId="77777777" w:rsidR="00052D3A" w:rsidRDefault="00000000">
      <w:pPr>
        <w:pStyle w:val="Heading1"/>
        <w:spacing w:after="200"/>
      </w:pPr>
      <w:bookmarkStart w:id="12" w:name="_Toc225436146"/>
      <w:r>
        <w:t>5. Critical Evaluation and Discussion</w:t>
      </w:r>
      <w:bookmarkEnd w:id="12"/>
    </w:p>
    <w:p w14:paraId="46D1451E" w14:textId="02BE54F3" w:rsidR="00052D3A" w:rsidRDefault="00BA49E4">
      <w:pPr>
        <w:spacing w:after="200" w:line="360" w:lineRule="auto"/>
        <w:jc w:val="both"/>
      </w:pPr>
      <w:r w:rsidRPr="00BA49E4">
        <w:t>The review of strategic sustainability also displays strengths and weaknesses. The competitive strength of Tanishq is so structural that three decades of brand equity, trust in the Tata Group, four hundred and seventy-five stores, is a barrier that fits the view of Barney (1991) resources-based view. The fact that its revenue stands at INR 42,300 crore and it covers international expansion puts it among competitors across the world. Nevertheless, its wedding-focused model and high cost puts it at risk of the trend of fewer ceremonial buyers within underage demographics and its phygital redesign is cumulative to its brick-and-mortar approach, which hinders the pace of digital innovation.</w:t>
      </w:r>
    </w:p>
    <w:p w14:paraId="655557C1" w14:textId="724DB275" w:rsidR="00052D3A" w:rsidRDefault="00BA49E4">
      <w:pPr>
        <w:spacing w:after="200" w:line="360" w:lineRule="auto"/>
        <w:jc w:val="both"/>
      </w:pPr>
      <w:r w:rsidRPr="00BA49E4">
        <w:t>GIVA is a comparatively flexible but can only define its position as being on-trend but limited by profitability issues. Its existing losses and reliance on funds bring up the long-term viability question in particular - a concern that D2C brands, which are funded by the venture and have some of the world, possess. Its upgrading of silver to gold makes it in open competition with its lack of brand trust score counted as a tangible disadvantage, as jewellery is much more of a category of high trust, physical retail-based category.</w:t>
      </w:r>
    </w:p>
    <w:p w14:paraId="16146860" w14:textId="33627E22" w:rsidR="00052D3A" w:rsidRDefault="00BA49E4">
      <w:pPr>
        <w:spacing w:after="200" w:line="360" w:lineRule="auto"/>
        <w:jc w:val="both"/>
      </w:pPr>
      <w:r w:rsidRPr="00BA49E4">
        <w:t>All things considered, Tanishq stands in a better position of a long-term competitive advantage as it has structural moats, internationalization and financial sustainability, and GIVA is one of strong strategic followership that has effectively exploited both global and domestic market niches. The defining question on GIVA is whether it will be able to make profit before the investor runs out of patience whereas Tanishq has to struggle on how to attract younger consumers without compromising on the building of its premium brand architecture.</w:t>
      </w:r>
    </w:p>
    <w:p w14:paraId="27F4D583" w14:textId="77777777" w:rsidR="00052D3A" w:rsidRDefault="00000000">
      <w:pPr>
        <w:pStyle w:val="Heading1"/>
        <w:spacing w:after="200"/>
      </w:pPr>
      <w:bookmarkStart w:id="13" w:name="_Toc225436147"/>
      <w:r>
        <w:t>6. Conclusion</w:t>
      </w:r>
      <w:bookmarkEnd w:id="13"/>
    </w:p>
    <w:p w14:paraId="76AFC3A0" w14:textId="7CA354B2" w:rsidR="00052D3A" w:rsidRDefault="00BA49E4">
      <w:pPr>
        <w:spacing w:after="200" w:line="360" w:lineRule="auto"/>
        <w:jc w:val="both"/>
      </w:pPr>
      <w:r w:rsidRPr="00BA49E4">
        <w:lastRenderedPageBreak/>
        <w:t>The report has shown that macro-environmental forces are in place both at the global and Indian levels and are posing differentiated opportunities and threats to the market pioneers and followers due to technological and socio-cultural factors. The global movement towards the digital commerce has allowed GIVA to reach the grounded competitive level, and forces Tanishq to transform into phygital innovation and globalization. The application of the Generic Strategies offered by Porter makes it clear that Tanishq has a more structurally sound business base with its broad differentiation as the cornerstone based on the presence of institutional trust, global coverage, and the size of the financial basis as compared to the narrowly concentrated but profitability-restricting strategy of GIVA. Nonetheless, the fact that GIVA is better aligned with the new socio-cultural tendencies places it in the best position to start its growth in the nearest future. Finally, the sustainability of competitive advantage relies on the richness of organisational resource base and strategic implementation consistency in a more global jewellery market place.</w:t>
      </w:r>
    </w:p>
    <w:p w14:paraId="4FF0C470" w14:textId="77777777" w:rsidR="00052D3A" w:rsidRDefault="00000000">
      <w:r>
        <w:br w:type="page"/>
      </w:r>
    </w:p>
    <w:p w14:paraId="62ACEB81" w14:textId="77777777" w:rsidR="00052D3A" w:rsidRDefault="00000000">
      <w:pPr>
        <w:pStyle w:val="Heading1"/>
        <w:spacing w:after="200"/>
      </w:pPr>
      <w:bookmarkStart w:id="14" w:name="_Toc225436148"/>
      <w:r>
        <w:lastRenderedPageBreak/>
        <w:t>Reference List</w:t>
      </w:r>
      <w:bookmarkEnd w:id="14"/>
    </w:p>
    <w:p w14:paraId="1ED3A682" w14:textId="091FDA1D" w:rsidR="00052D3A" w:rsidRDefault="00000000">
      <w:pPr>
        <w:spacing w:after="200" w:line="360" w:lineRule="auto"/>
        <w:ind w:left="720" w:hanging="720"/>
      </w:pPr>
      <w:r>
        <w:t xml:space="preserve">Angelone (2025) Jewellery Startup GIVA Secures ₹530 Crore in Series C Funding Led by Creaegis. Available at: </w:t>
      </w:r>
      <w:hyperlink r:id="rId8" w:history="1">
        <w:r w:rsidR="00BA49E4" w:rsidRPr="00972FB7">
          <w:rPr>
            <w:rStyle w:val="Hyperlink"/>
          </w:rPr>
          <w:t>https://www.angelone.in/news/market-updates/jewellery-startup-giva-secures-rs-530-crore-in-series-c-funding-led-by-creaegis</w:t>
        </w:r>
      </w:hyperlink>
      <w:r w:rsidR="00BA49E4">
        <w:t xml:space="preserve"> </w:t>
      </w:r>
      <w:r>
        <w:t xml:space="preserve"> (Accessed: 20 March 2026).</w:t>
      </w:r>
    </w:p>
    <w:p w14:paraId="38A77942" w14:textId="4D54A6D4" w:rsidR="00052D3A" w:rsidRDefault="00000000">
      <w:pPr>
        <w:spacing w:after="200" w:line="360" w:lineRule="auto"/>
        <w:ind w:left="720" w:hanging="720"/>
      </w:pPr>
      <w:r>
        <w:t>Barney, J.B. (1991) ‘Firm Resources and Sustained Competitive Advantage’, Journal of Management, 17(1), pp. 99–120.</w:t>
      </w:r>
      <w:r w:rsidR="00BA49E4">
        <w:t xml:space="preserve"> </w:t>
      </w:r>
      <w:hyperlink r:id="rId9" w:history="1">
        <w:r w:rsidR="00BA49E4" w:rsidRPr="008D2C66">
          <w:rPr>
            <w:rStyle w:val="Hyperlink"/>
          </w:rPr>
          <w:t>http://diglib.globalcollege.edu.et:8080/xmlui/bitstream/handle/123456789/704/00483.pdf?sequence=1&amp;isAllowed=y</w:t>
        </w:r>
      </w:hyperlink>
      <w:r w:rsidR="00BA49E4">
        <w:t xml:space="preserve"> (Accessed: 20 March 2026).</w:t>
      </w:r>
    </w:p>
    <w:p w14:paraId="0BE39D04" w14:textId="0F17CEE3" w:rsidR="00052D3A" w:rsidRDefault="00000000">
      <w:pPr>
        <w:spacing w:after="200" w:line="360" w:lineRule="auto"/>
        <w:ind w:left="720" w:hanging="720"/>
      </w:pPr>
      <w:r>
        <w:t xml:space="preserve">CaratX (2024) 2024–2025 Diamond and Gemstone Preferences: Insights from Gen Z, Millennials, and Beyond. Available at: </w:t>
      </w:r>
      <w:hyperlink r:id="rId10" w:history="1">
        <w:r w:rsidR="00BA49E4" w:rsidRPr="00972FB7">
          <w:rPr>
            <w:rStyle w:val="Hyperlink"/>
          </w:rPr>
          <w:t>https://caratx.com/blog-post/market-surveys-2024-2025-what-gen-z-millennials-beyond-really-want-in-diamonds-gemstones</w:t>
        </w:r>
      </w:hyperlink>
      <w:r w:rsidR="00BA49E4">
        <w:t xml:space="preserve"> </w:t>
      </w:r>
      <w:r>
        <w:t xml:space="preserve"> (Accessed: 20 March 2026).</w:t>
      </w:r>
    </w:p>
    <w:p w14:paraId="360B533B" w14:textId="7871F9FB" w:rsidR="00052D3A" w:rsidRDefault="00000000">
      <w:pPr>
        <w:spacing w:after="200" w:line="360" w:lineRule="auto"/>
        <w:ind w:left="720" w:hanging="720"/>
      </w:pPr>
      <w:r>
        <w:t xml:space="preserve">Changestarted (2025) Giva to Expand into Lab-Grown Diamonds with its Latest Funding. Available at: </w:t>
      </w:r>
      <w:hyperlink r:id="rId11" w:history="1">
        <w:r w:rsidR="00BA49E4" w:rsidRPr="00972FB7">
          <w:rPr>
            <w:rStyle w:val="Hyperlink"/>
          </w:rPr>
          <w:t>https://changestarted.com/giva-to-expand-into-lab-grown-diamonds-with-its-latest-funding/</w:t>
        </w:r>
      </w:hyperlink>
      <w:r w:rsidR="00BA49E4">
        <w:t xml:space="preserve"> </w:t>
      </w:r>
      <w:r>
        <w:t xml:space="preserve"> (Accessed: 20 March 2026).</w:t>
      </w:r>
    </w:p>
    <w:p w14:paraId="6B84E1C9" w14:textId="6B5B17D3" w:rsidR="00052D3A" w:rsidRDefault="00000000">
      <w:pPr>
        <w:spacing w:after="200" w:line="360" w:lineRule="auto"/>
        <w:ind w:left="720" w:hanging="720"/>
      </w:pPr>
      <w:r>
        <w:t xml:space="preserve">Entrepreneur India (2023) Silver Jewellery Brand GIVA Raises INR 200 Crore in Series B Funding. Available at: </w:t>
      </w:r>
      <w:hyperlink r:id="rId12" w:history="1">
        <w:r w:rsidR="00BA49E4" w:rsidRPr="00972FB7">
          <w:rPr>
            <w:rStyle w:val="Hyperlink"/>
          </w:rPr>
          <w:t>https://www.entrepreneur.com/en-in/news-and-trends/silver-jewellery-brand-giva-raises-inr-200-crore-in-series/455288</w:t>
        </w:r>
      </w:hyperlink>
      <w:r w:rsidR="00BA49E4">
        <w:t xml:space="preserve"> </w:t>
      </w:r>
      <w:r>
        <w:t xml:space="preserve"> (Accessed: 20 March 2026).</w:t>
      </w:r>
    </w:p>
    <w:p w14:paraId="63D6D6AD" w14:textId="265EE9C0" w:rsidR="00052D3A" w:rsidRDefault="00000000">
      <w:pPr>
        <w:spacing w:after="200" w:line="360" w:lineRule="auto"/>
        <w:ind w:left="720" w:hanging="720"/>
      </w:pPr>
      <w:r>
        <w:t xml:space="preserve">GM Insights (2025) Imitation Jewelry Market Size, Growth Outlook 2025–2034. Available at: </w:t>
      </w:r>
      <w:hyperlink r:id="rId13" w:history="1">
        <w:r w:rsidR="00BA49E4" w:rsidRPr="00972FB7">
          <w:rPr>
            <w:rStyle w:val="Hyperlink"/>
          </w:rPr>
          <w:t>https://www.gminsights.com/industry-analysis/imitation-jewelry-market</w:t>
        </w:r>
      </w:hyperlink>
      <w:r w:rsidR="00BA49E4">
        <w:t xml:space="preserve"> </w:t>
      </w:r>
      <w:r>
        <w:t xml:space="preserve"> (Accessed: 22 March 2026).</w:t>
      </w:r>
    </w:p>
    <w:p w14:paraId="43F69206" w14:textId="24DA3E89" w:rsidR="00052D3A" w:rsidRDefault="00000000">
      <w:pPr>
        <w:spacing w:after="200" w:line="360" w:lineRule="auto"/>
        <w:ind w:left="720" w:hanging="720"/>
      </w:pPr>
      <w:r>
        <w:t xml:space="preserve">Global Growth Insights (2025) Luxury Jewellery Market Size and Share 2025–2033. Available at: </w:t>
      </w:r>
      <w:hyperlink r:id="rId14" w:history="1">
        <w:r w:rsidR="00BA49E4" w:rsidRPr="00972FB7">
          <w:rPr>
            <w:rStyle w:val="Hyperlink"/>
          </w:rPr>
          <w:t>https://www.globalgrowthinsights.com/market-reports/luxury-jewellery-market-114247</w:t>
        </w:r>
      </w:hyperlink>
      <w:r w:rsidR="00BA49E4">
        <w:t xml:space="preserve"> </w:t>
      </w:r>
      <w:r>
        <w:t xml:space="preserve"> (Accessed: 22 March 2026).</w:t>
      </w:r>
    </w:p>
    <w:p w14:paraId="654CCE96" w14:textId="7729C391" w:rsidR="00052D3A" w:rsidRDefault="00000000">
      <w:pPr>
        <w:spacing w:after="200" w:line="360" w:lineRule="auto"/>
        <w:ind w:left="720" w:hanging="720"/>
      </w:pPr>
      <w:r>
        <w:t xml:space="preserve">Grand View Research (2025) Jewelry Market Size, Share and Industry Report, 2033. Available at: </w:t>
      </w:r>
      <w:hyperlink r:id="rId15" w:history="1">
        <w:r w:rsidR="00BA49E4" w:rsidRPr="00972FB7">
          <w:rPr>
            <w:rStyle w:val="Hyperlink"/>
          </w:rPr>
          <w:t>https://www.grandviewresearch.com/industry-analysis/jewelry-market</w:t>
        </w:r>
      </w:hyperlink>
      <w:r w:rsidR="00BA49E4">
        <w:t xml:space="preserve"> </w:t>
      </w:r>
      <w:r>
        <w:t xml:space="preserve"> (Accessed: 22 March 2026).</w:t>
      </w:r>
    </w:p>
    <w:p w14:paraId="4E9E4B99" w14:textId="62881973" w:rsidR="00052D3A" w:rsidRDefault="00000000">
      <w:pPr>
        <w:spacing w:after="200" w:line="360" w:lineRule="auto"/>
        <w:ind w:left="720" w:hanging="720"/>
      </w:pPr>
      <w:r>
        <w:lastRenderedPageBreak/>
        <w:t xml:space="preserve">IMARC Group (2025a) Jewelry Market Size, Trends, Growth and Share Report 2033. Available at: </w:t>
      </w:r>
      <w:hyperlink r:id="rId16" w:history="1">
        <w:r w:rsidR="00BA49E4" w:rsidRPr="00972FB7">
          <w:rPr>
            <w:rStyle w:val="Hyperlink"/>
          </w:rPr>
          <w:t>https://www.imarcgroup.com/jewellery-market</w:t>
        </w:r>
      </w:hyperlink>
      <w:r w:rsidR="00BA49E4">
        <w:t xml:space="preserve"> </w:t>
      </w:r>
      <w:r>
        <w:t xml:space="preserve"> (Accessed: 22 March 2026).</w:t>
      </w:r>
    </w:p>
    <w:p w14:paraId="29C71722" w14:textId="68DAB069" w:rsidR="00052D3A" w:rsidRDefault="00000000">
      <w:pPr>
        <w:spacing w:after="200" w:line="360" w:lineRule="auto"/>
        <w:ind w:left="720" w:hanging="720"/>
      </w:pPr>
      <w:r>
        <w:t xml:space="preserve">IMARC Group (2025b) India Jewellery Market Size, Share, Growth and Report 2034. Available at: </w:t>
      </w:r>
      <w:hyperlink r:id="rId17" w:history="1">
        <w:r w:rsidR="00BA49E4" w:rsidRPr="00972FB7">
          <w:rPr>
            <w:rStyle w:val="Hyperlink"/>
          </w:rPr>
          <w:t>https://www.imarcgroup.com/india-jewellery-market</w:t>
        </w:r>
      </w:hyperlink>
      <w:r w:rsidR="00BA49E4">
        <w:t xml:space="preserve"> </w:t>
      </w:r>
      <w:r>
        <w:t xml:space="preserve"> (Accessed: 20 March 2026).</w:t>
      </w:r>
    </w:p>
    <w:p w14:paraId="55CF3211" w14:textId="3E902AD8" w:rsidR="00052D3A" w:rsidRDefault="00000000">
      <w:pPr>
        <w:spacing w:after="200" w:line="360" w:lineRule="auto"/>
        <w:ind w:left="720" w:hanging="720"/>
      </w:pPr>
      <w:r>
        <w:t xml:space="preserve">Inc42 (2025) D2C Jewellery Startup GIVA Nets INR 530 Cr from Creaegis, Others. Available at: </w:t>
      </w:r>
      <w:hyperlink r:id="rId18" w:history="1">
        <w:r w:rsidR="00BA49E4" w:rsidRPr="00972FB7">
          <w:rPr>
            <w:rStyle w:val="Hyperlink"/>
          </w:rPr>
          <w:t>https://inc42.com/buzz/update-d2c-jewellery-startup-giva-nets-inr-530-cr-from-creaegis-others/</w:t>
        </w:r>
      </w:hyperlink>
      <w:r w:rsidR="00BA49E4">
        <w:t xml:space="preserve"> </w:t>
      </w:r>
      <w:r>
        <w:t xml:space="preserve"> (Accessed: 20 March 2026).</w:t>
      </w:r>
    </w:p>
    <w:p w14:paraId="08C0914B" w14:textId="57312B49" w:rsidR="00052D3A" w:rsidRDefault="00000000" w:rsidP="00BA49E4">
      <w:pPr>
        <w:spacing w:after="200" w:line="360" w:lineRule="auto"/>
        <w:ind w:left="720" w:hanging="720"/>
      </w:pPr>
      <w:r>
        <w:t>Johnson, G., Whittington, R. and Scholes, K. (2020) Exploring Strategy: Text and Cases. 12th edn. Harlow: Pearson Education.</w:t>
      </w:r>
      <w:r w:rsidR="00BA49E4">
        <w:t xml:space="preserve"> </w:t>
      </w:r>
      <w:hyperlink r:id="rId19" w:anchor="v=onepage&amp;q&amp;f=false" w:history="1">
        <w:r w:rsidR="00BA49E4" w:rsidRPr="008D2C66">
          <w:rPr>
            <w:rStyle w:val="Hyperlink"/>
          </w:rPr>
          <w:t>https://books.google.co.in/books?id=GeksEAAAQBAJ&amp;printsec=frontcover&amp;source=gbs_ge_summary_r&amp;cad=0#v=onepage&amp;q&amp;f=false</w:t>
        </w:r>
      </w:hyperlink>
      <w:r w:rsidR="00BA49E4">
        <w:t xml:space="preserve"> (Accessed: 20 March 2026).</w:t>
      </w:r>
    </w:p>
    <w:p w14:paraId="5E9298ED" w14:textId="598D161D" w:rsidR="00052D3A" w:rsidRDefault="00000000">
      <w:pPr>
        <w:spacing w:after="200" w:line="360" w:lineRule="auto"/>
        <w:ind w:left="720" w:hanging="720"/>
      </w:pPr>
      <w:r>
        <w:t xml:space="preserve">Kaleya Studio (2025) 5 Jewellery Trends Gen Z is Actually Buying. Available at: </w:t>
      </w:r>
      <w:hyperlink r:id="rId20" w:history="1">
        <w:r w:rsidR="00BA49E4" w:rsidRPr="00972FB7">
          <w:rPr>
            <w:rStyle w:val="Hyperlink"/>
          </w:rPr>
          <w:t>https://kaleyastudio.com/blogs/news/5-jewellery-trends-gen-z-is-actually-buying</w:t>
        </w:r>
      </w:hyperlink>
      <w:r w:rsidR="00BA49E4">
        <w:t xml:space="preserve"> </w:t>
      </w:r>
      <w:r>
        <w:t xml:space="preserve"> (Accessed: 22 March 2026).</w:t>
      </w:r>
    </w:p>
    <w:p w14:paraId="39019C28" w14:textId="574FD340" w:rsidR="00052D3A" w:rsidRDefault="00000000">
      <w:pPr>
        <w:spacing w:after="200" w:line="360" w:lineRule="auto"/>
        <w:ind w:left="720" w:hanging="720"/>
      </w:pPr>
      <w:r>
        <w:t xml:space="preserve">Latterly.org (2024) Tanishq Marketing Strategy 2024: A Case Study. Available at: </w:t>
      </w:r>
      <w:hyperlink r:id="rId21" w:history="1">
        <w:r w:rsidR="00BA49E4" w:rsidRPr="00972FB7">
          <w:rPr>
            <w:rStyle w:val="Hyperlink"/>
          </w:rPr>
          <w:t>https://www.latterly.org/tanishq-marketing-strategy/</w:t>
        </w:r>
      </w:hyperlink>
      <w:r w:rsidR="00BA49E4">
        <w:t xml:space="preserve"> </w:t>
      </w:r>
      <w:r>
        <w:t xml:space="preserve"> (Accessed: 20 March 2026).</w:t>
      </w:r>
    </w:p>
    <w:p w14:paraId="0DD07F21" w14:textId="49EBAB4C" w:rsidR="00052D3A" w:rsidRDefault="00000000" w:rsidP="00BA49E4">
      <w:pPr>
        <w:spacing w:after="200" w:line="360" w:lineRule="auto"/>
        <w:ind w:left="720" w:hanging="720"/>
      </w:pPr>
      <w:r>
        <w:t>Lieberman, M.B. and Montgomery, D.B. (1988) ‘First-Mover Advantages’, Strategic Management Journal, 9(S1), pp. 41–58.</w:t>
      </w:r>
      <w:r w:rsidR="00BA49E4">
        <w:t xml:space="preserve"> </w:t>
      </w:r>
      <w:hyperlink r:id="rId22" w:history="1">
        <w:r w:rsidR="00BA49E4" w:rsidRPr="008D2C66">
          <w:rPr>
            <w:rStyle w:val="Hyperlink"/>
          </w:rPr>
          <w:t>https://sms.onlinelibrary.wiley.com/doi/epdf/10.1002/smj.4250090706</w:t>
        </w:r>
      </w:hyperlink>
      <w:r w:rsidR="00BA49E4">
        <w:t xml:space="preserve"> </w:t>
      </w:r>
      <w:r w:rsidR="00BA49E4" w:rsidRPr="006871F2">
        <w:t>(Accessed: 20 March 2026).</w:t>
      </w:r>
    </w:p>
    <w:p w14:paraId="12A9CB3D" w14:textId="6D5491CD" w:rsidR="00052D3A" w:rsidRDefault="00000000">
      <w:pPr>
        <w:spacing w:after="200" w:line="360" w:lineRule="auto"/>
        <w:ind w:left="720" w:hanging="720"/>
      </w:pPr>
      <w:r>
        <w:t xml:space="preserve">MarkNTel Advisors (2025) India Diamond Jewellery Market Forecast, Size and Trends 2025–30. Available at: </w:t>
      </w:r>
      <w:hyperlink r:id="rId23" w:history="1">
        <w:r w:rsidR="00BA49E4" w:rsidRPr="00972FB7">
          <w:rPr>
            <w:rStyle w:val="Hyperlink"/>
          </w:rPr>
          <w:t>https://www.marknteladvisors.com/research-library/diamond-jewelry-market-india.html</w:t>
        </w:r>
      </w:hyperlink>
      <w:r w:rsidR="00BA49E4">
        <w:t xml:space="preserve"> </w:t>
      </w:r>
      <w:r>
        <w:t xml:space="preserve"> (Accessed: 20 March 2026).</w:t>
      </w:r>
    </w:p>
    <w:p w14:paraId="16E6AA1F" w14:textId="41FAF156" w:rsidR="00052D3A" w:rsidRDefault="00000000">
      <w:pPr>
        <w:spacing w:after="200" w:line="360" w:lineRule="auto"/>
        <w:ind w:left="720" w:hanging="720"/>
      </w:pPr>
      <w:r>
        <w:t xml:space="preserve">MMR Statistics (2026) Jewelry Market 2025–2032: Advancing Global Luxury Trends. Available at: </w:t>
      </w:r>
      <w:hyperlink r:id="rId24" w:history="1">
        <w:r w:rsidR="00BA49E4" w:rsidRPr="00972FB7">
          <w:rPr>
            <w:rStyle w:val="Hyperlink"/>
          </w:rPr>
          <w:t>https://www.mmrstatistics.com/reports/104211/jewelry-market</w:t>
        </w:r>
      </w:hyperlink>
      <w:r w:rsidR="00BA49E4">
        <w:t xml:space="preserve"> </w:t>
      </w:r>
      <w:r>
        <w:t>(Accessed: 22 March 2026).</w:t>
      </w:r>
    </w:p>
    <w:p w14:paraId="2A191B43" w14:textId="4077FC9D" w:rsidR="00052D3A" w:rsidRDefault="00000000">
      <w:pPr>
        <w:spacing w:after="200" w:line="360" w:lineRule="auto"/>
        <w:ind w:left="720" w:hanging="720"/>
      </w:pPr>
      <w:r>
        <w:lastRenderedPageBreak/>
        <w:t xml:space="preserve">MoEngage (2024) Tanishq Boosts App Retention Rates by 25% Using MoEngage. Available at: </w:t>
      </w:r>
      <w:hyperlink r:id="rId25" w:history="1">
        <w:r w:rsidR="00BA49E4" w:rsidRPr="00972FB7">
          <w:rPr>
            <w:rStyle w:val="Hyperlink"/>
          </w:rPr>
          <w:t>https://www.moengage.com/blog/tanishq-imitates-its-in-store-success-and-boosts-app-retention-rates-with-moengage/</w:t>
        </w:r>
      </w:hyperlink>
      <w:r w:rsidR="00BA49E4">
        <w:t xml:space="preserve"> </w:t>
      </w:r>
      <w:r>
        <w:t xml:space="preserve"> (Accessed: 20 March 2026).</w:t>
      </w:r>
    </w:p>
    <w:p w14:paraId="2037B56E" w14:textId="26894119" w:rsidR="00052D3A" w:rsidRDefault="00000000">
      <w:pPr>
        <w:spacing w:after="200" w:line="360" w:lineRule="auto"/>
        <w:ind w:left="720" w:hanging="720"/>
      </w:pPr>
      <w:r>
        <w:t xml:space="preserve">Mywisdomlane (2024) How Big is the Online Jewellery Market in India? Available at: </w:t>
      </w:r>
      <w:hyperlink r:id="rId26" w:history="1">
        <w:r w:rsidR="00BA49E4" w:rsidRPr="00972FB7">
          <w:rPr>
            <w:rStyle w:val="Hyperlink"/>
          </w:rPr>
          <w:t>https://www.mywisdomlane.com/how-big-is-the-online-jewellery-market-in-india/</w:t>
        </w:r>
      </w:hyperlink>
      <w:r w:rsidR="00BA49E4">
        <w:t xml:space="preserve"> </w:t>
      </w:r>
      <w:r>
        <w:t xml:space="preserve"> (Accessed: 20 March 2026).</w:t>
      </w:r>
    </w:p>
    <w:p w14:paraId="1437F982" w14:textId="516C1CC9" w:rsidR="00052D3A" w:rsidRDefault="00000000">
      <w:pPr>
        <w:spacing w:after="200" w:line="360" w:lineRule="auto"/>
        <w:ind w:left="720" w:hanging="720"/>
      </w:pPr>
      <w:r>
        <w:t xml:space="preserve">National Herald India (2026) Gen Z Reshapes Jewellery Buying, but Asset Appeal Remains Strong. Available at: </w:t>
      </w:r>
      <w:hyperlink r:id="rId27" w:history="1">
        <w:r w:rsidR="00BA49E4" w:rsidRPr="00972FB7">
          <w:rPr>
            <w:rStyle w:val="Hyperlink"/>
          </w:rPr>
          <w:t>https://www.nationalheraldindia.com/business/gen-z-reshapes-jewellery-buying-but-asset-appeal-remains-strong-says-new-report</w:t>
        </w:r>
      </w:hyperlink>
      <w:r w:rsidR="00BA49E4">
        <w:t xml:space="preserve"> </w:t>
      </w:r>
      <w:r>
        <w:t xml:space="preserve"> (Accessed: 20 March 2026).</w:t>
      </w:r>
    </w:p>
    <w:p w14:paraId="426B9AB6" w14:textId="44CD45BA" w:rsidR="00052D3A" w:rsidRDefault="00000000" w:rsidP="00BA49E4">
      <w:pPr>
        <w:spacing w:after="200" w:line="360" w:lineRule="auto"/>
        <w:ind w:left="720" w:hanging="720"/>
      </w:pPr>
      <w:r>
        <w:t>Porter, M.E. (1985) Competitive Advantage: Creating and Sustaining Superior Performance. New York: Free Press.</w:t>
      </w:r>
      <w:r w:rsidR="00BA49E4">
        <w:t xml:space="preserve"> </w:t>
      </w:r>
      <w:hyperlink r:id="rId28" w:history="1">
        <w:r w:rsidR="00BA49E4" w:rsidRPr="008D2C66">
          <w:rPr>
            <w:rStyle w:val="Hyperlink"/>
          </w:rPr>
          <w:t>https://d1wqtxts1xzle7.cloudfront.net/43857184/Competitive_Advantage-_creative_and_sustaining-libre.pdf</w:t>
        </w:r>
      </w:hyperlink>
      <w:r w:rsidR="00BA49E4">
        <w:t xml:space="preserve"> (Accessed: 20 March 2026).</w:t>
      </w:r>
    </w:p>
    <w:p w14:paraId="351B1195" w14:textId="28681BD3" w:rsidR="00052D3A" w:rsidRDefault="00000000">
      <w:pPr>
        <w:spacing w:after="200" w:line="360" w:lineRule="auto"/>
        <w:ind w:left="720" w:hanging="720"/>
      </w:pPr>
      <w:r>
        <w:t xml:space="preserve">Statista (2024) Titan Company: Income from Jewelry 2024. Available at: </w:t>
      </w:r>
      <w:hyperlink r:id="rId29" w:history="1">
        <w:r w:rsidR="00BA49E4" w:rsidRPr="00972FB7">
          <w:rPr>
            <w:rStyle w:val="Hyperlink"/>
          </w:rPr>
          <w:t>https://www.statista.com/statistics/1010361/india-titan-company-income-from-jewelry/</w:t>
        </w:r>
      </w:hyperlink>
      <w:r w:rsidR="00BA49E4">
        <w:t xml:space="preserve"> </w:t>
      </w:r>
      <w:r>
        <w:t xml:space="preserve"> (Accessed: 20 March 2026).</w:t>
      </w:r>
    </w:p>
    <w:p w14:paraId="6A7E5652" w14:textId="1A42B553" w:rsidR="00052D3A" w:rsidRDefault="00000000">
      <w:pPr>
        <w:spacing w:after="200" w:line="360" w:lineRule="auto"/>
        <w:ind w:left="720" w:hanging="720"/>
      </w:pPr>
      <w:r>
        <w:t xml:space="preserve">Thebranddecoder (2025) Tanishq Marketing Playbook: Selling Gold with Grit. Available at: </w:t>
      </w:r>
      <w:hyperlink r:id="rId30" w:history="1">
        <w:r w:rsidR="00BA49E4" w:rsidRPr="00972FB7">
          <w:rPr>
            <w:rStyle w:val="Hyperlink"/>
          </w:rPr>
          <w:t>https://thebranddecoder.com/tanishq-marketing-playbook/</w:t>
        </w:r>
      </w:hyperlink>
      <w:r w:rsidR="00BA49E4">
        <w:t xml:space="preserve"> </w:t>
      </w:r>
      <w:r>
        <w:t>(Accessed: 20 March 2026).</w:t>
      </w:r>
    </w:p>
    <w:p w14:paraId="0BC275CA" w14:textId="4089D757" w:rsidR="00052D3A" w:rsidRDefault="00000000">
      <w:pPr>
        <w:spacing w:after="200" w:line="360" w:lineRule="auto"/>
        <w:ind w:left="720" w:hanging="720"/>
      </w:pPr>
      <w:r>
        <w:t xml:space="preserve">Tracxn (2026) GIVA – 2026 Company Profile. Available at: </w:t>
      </w:r>
      <w:hyperlink r:id="rId31" w:history="1">
        <w:r w:rsidR="00BA49E4" w:rsidRPr="00972FB7">
          <w:rPr>
            <w:rStyle w:val="Hyperlink"/>
          </w:rPr>
          <w:t>https://tracxn.com/d/companies/giva/__zGN7Tg9Sx15QehlSjP7neHbQZKSJFd3MdivBjGRv5C0</w:t>
        </w:r>
      </w:hyperlink>
      <w:r w:rsidR="00BA49E4">
        <w:t xml:space="preserve"> </w:t>
      </w:r>
      <w:r>
        <w:t xml:space="preserve"> (Accessed: 20 March 2026).</w:t>
      </w:r>
    </w:p>
    <w:sectPr w:rsidR="00052D3A">
      <w:headerReference w:type="default" r:id="rId32"/>
      <w:footerReference w:type="default" r:id="rId3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C7F54" w14:textId="77777777" w:rsidR="00DB4C61" w:rsidRDefault="00DB4C61">
      <w:r>
        <w:separator/>
      </w:r>
    </w:p>
  </w:endnote>
  <w:endnote w:type="continuationSeparator" w:id="0">
    <w:p w14:paraId="10919A62" w14:textId="77777777" w:rsidR="00DB4C61" w:rsidRDefault="00DB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panose1 w:val="020B0502040204020203"/>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7F91E" w14:textId="77777777" w:rsidR="00052D3A" w:rsidRDefault="00000000">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BA49E4">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2F8A2" w14:textId="77777777" w:rsidR="00DB4C61" w:rsidRDefault="00DB4C61">
      <w:r>
        <w:separator/>
      </w:r>
    </w:p>
  </w:footnote>
  <w:footnote w:type="continuationSeparator" w:id="0">
    <w:p w14:paraId="698938F4" w14:textId="77777777" w:rsidR="00DB4C61" w:rsidRDefault="00DB4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E9DED" w14:textId="77777777" w:rsidR="00052D3A" w:rsidRDefault="00000000">
    <w:pPr>
      <w:jc w:val="right"/>
    </w:pPr>
    <w:r>
      <w:rPr>
        <w:i/>
        <w:iCs/>
        <w:color w:val="888888"/>
        <w:sz w:val="18"/>
        <w:szCs w:val="18"/>
      </w:rPr>
      <w:t>LCMB7024 – Marketing Management – 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61718"/>
    <w:multiLevelType w:val="hybridMultilevel"/>
    <w:tmpl w:val="12DAB5A8"/>
    <w:lvl w:ilvl="0" w:tplc="A6929766">
      <w:start w:val="1"/>
      <w:numFmt w:val="bullet"/>
      <w:lvlText w:val="●"/>
      <w:lvlJc w:val="left"/>
      <w:pPr>
        <w:ind w:left="720" w:hanging="360"/>
      </w:pPr>
    </w:lvl>
    <w:lvl w:ilvl="1" w:tplc="9E62BEC8">
      <w:start w:val="1"/>
      <w:numFmt w:val="bullet"/>
      <w:lvlText w:val="○"/>
      <w:lvlJc w:val="left"/>
      <w:pPr>
        <w:ind w:left="1440" w:hanging="360"/>
      </w:pPr>
    </w:lvl>
    <w:lvl w:ilvl="2" w:tplc="971A4274">
      <w:start w:val="1"/>
      <w:numFmt w:val="bullet"/>
      <w:lvlText w:val="■"/>
      <w:lvlJc w:val="left"/>
      <w:pPr>
        <w:ind w:left="2160" w:hanging="360"/>
      </w:pPr>
    </w:lvl>
    <w:lvl w:ilvl="3" w:tplc="EE64F6A0">
      <w:start w:val="1"/>
      <w:numFmt w:val="bullet"/>
      <w:lvlText w:val="●"/>
      <w:lvlJc w:val="left"/>
      <w:pPr>
        <w:ind w:left="2880" w:hanging="360"/>
      </w:pPr>
    </w:lvl>
    <w:lvl w:ilvl="4" w:tplc="0A0CBE96">
      <w:start w:val="1"/>
      <w:numFmt w:val="bullet"/>
      <w:lvlText w:val="○"/>
      <w:lvlJc w:val="left"/>
      <w:pPr>
        <w:ind w:left="3600" w:hanging="360"/>
      </w:pPr>
    </w:lvl>
    <w:lvl w:ilvl="5" w:tplc="149E6286">
      <w:start w:val="1"/>
      <w:numFmt w:val="bullet"/>
      <w:lvlText w:val="■"/>
      <w:lvlJc w:val="left"/>
      <w:pPr>
        <w:ind w:left="4320" w:hanging="360"/>
      </w:pPr>
    </w:lvl>
    <w:lvl w:ilvl="6" w:tplc="0F78CBA8">
      <w:start w:val="1"/>
      <w:numFmt w:val="bullet"/>
      <w:lvlText w:val="●"/>
      <w:lvlJc w:val="left"/>
      <w:pPr>
        <w:ind w:left="5040" w:hanging="360"/>
      </w:pPr>
    </w:lvl>
    <w:lvl w:ilvl="7" w:tplc="83C82F6E">
      <w:start w:val="1"/>
      <w:numFmt w:val="bullet"/>
      <w:lvlText w:val="●"/>
      <w:lvlJc w:val="left"/>
      <w:pPr>
        <w:ind w:left="5760" w:hanging="360"/>
      </w:pPr>
    </w:lvl>
    <w:lvl w:ilvl="8" w:tplc="1CEAC57E">
      <w:start w:val="1"/>
      <w:numFmt w:val="bullet"/>
      <w:lvlText w:val="●"/>
      <w:lvlJc w:val="left"/>
      <w:pPr>
        <w:ind w:left="6480" w:hanging="360"/>
      </w:pPr>
    </w:lvl>
  </w:abstractNum>
  <w:num w:numId="1" w16cid:durableId="19968824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D3A"/>
    <w:rsid w:val="00052D3A"/>
    <w:rsid w:val="002156B8"/>
    <w:rsid w:val="00303593"/>
    <w:rsid w:val="00747AD9"/>
    <w:rsid w:val="00846B38"/>
    <w:rsid w:val="00B37F89"/>
    <w:rsid w:val="00BA49E4"/>
    <w:rsid w:val="00DB4C6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5D6B"/>
  <w15:docId w15:val="{0DBCA1B8-4F65-4C45-9E63-ED26541D2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240"/>
      <w:outlineLvl w:val="0"/>
    </w:pPr>
    <w:rPr>
      <w:b/>
      <w:bCs/>
      <w:color w:val="1F3864"/>
      <w:sz w:val="32"/>
      <w:szCs w:val="32"/>
    </w:rPr>
  </w:style>
  <w:style w:type="paragraph" w:styleId="Heading2">
    <w:name w:val="heading 2"/>
    <w:uiPriority w:val="9"/>
    <w:unhideWhenUsed/>
    <w:qFormat/>
    <w:pPr>
      <w:spacing w:before="240" w:after="200"/>
      <w:outlineLvl w:val="1"/>
    </w:pPr>
    <w:rPr>
      <w:b/>
      <w:bCs/>
      <w:color w:val="2E75B6"/>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BA49E4"/>
    <w:pPr>
      <w:spacing w:after="100"/>
    </w:pPr>
  </w:style>
  <w:style w:type="paragraph" w:styleId="TOC2">
    <w:name w:val="toc 2"/>
    <w:basedOn w:val="Normal"/>
    <w:next w:val="Normal"/>
    <w:autoRedefine/>
    <w:uiPriority w:val="39"/>
    <w:unhideWhenUsed/>
    <w:rsid w:val="00BA49E4"/>
    <w:pPr>
      <w:spacing w:after="100"/>
      <w:ind w:left="240"/>
    </w:pPr>
  </w:style>
  <w:style w:type="character" w:styleId="UnresolvedMention">
    <w:name w:val="Unresolved Mention"/>
    <w:basedOn w:val="DefaultParagraphFont"/>
    <w:uiPriority w:val="99"/>
    <w:semiHidden/>
    <w:unhideWhenUsed/>
    <w:rsid w:val="00BA4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minsights.com/industry-analysis/imitation-jewelry-market" TargetMode="External"/><Relationship Id="rId18" Type="http://schemas.openxmlformats.org/officeDocument/2006/relationships/hyperlink" Target="https://inc42.com/buzz/update-d2c-jewellery-startup-giva-nets-inr-530-cr-from-creaegis-others/" TargetMode="External"/><Relationship Id="rId26" Type="http://schemas.openxmlformats.org/officeDocument/2006/relationships/hyperlink" Target="https://www.mywisdomlane.com/how-big-is-the-online-jewellery-market-in-india/" TargetMode="External"/><Relationship Id="rId3" Type="http://schemas.openxmlformats.org/officeDocument/2006/relationships/settings" Target="settings.xml"/><Relationship Id="rId21" Type="http://schemas.openxmlformats.org/officeDocument/2006/relationships/hyperlink" Target="https://www.latterly.org/tanishq-marketing-strategy/"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ntrepreneur.com/en-in/news-and-trends/silver-jewellery-brand-giva-raises-inr-200-crore-in-series/455288" TargetMode="External"/><Relationship Id="rId17" Type="http://schemas.openxmlformats.org/officeDocument/2006/relationships/hyperlink" Target="https://www.imarcgroup.com/india-jewellery-market" TargetMode="External"/><Relationship Id="rId25" Type="http://schemas.openxmlformats.org/officeDocument/2006/relationships/hyperlink" Target="https://www.moengage.com/blog/tanishq-imitates-its-in-store-success-and-boosts-app-retention-rates-with-moengage/"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marcgroup.com/jewellery-market" TargetMode="External"/><Relationship Id="rId20" Type="http://schemas.openxmlformats.org/officeDocument/2006/relationships/hyperlink" Target="https://kaleyastudio.com/blogs/news/5-jewellery-trends-gen-z-is-actually-buying" TargetMode="External"/><Relationship Id="rId29" Type="http://schemas.openxmlformats.org/officeDocument/2006/relationships/hyperlink" Target="https://www.statista.com/statistics/1010361/india-titan-company-income-from-jewel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ngestarted.com/giva-to-expand-into-lab-grown-diamonds-with-its-latest-funding/" TargetMode="External"/><Relationship Id="rId24" Type="http://schemas.openxmlformats.org/officeDocument/2006/relationships/hyperlink" Target="https://www.mmrstatistics.com/reports/104211/jewelry-market"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randviewresearch.com/industry-analysis/jewelry-market" TargetMode="External"/><Relationship Id="rId23" Type="http://schemas.openxmlformats.org/officeDocument/2006/relationships/hyperlink" Target="https://www.marknteladvisors.com/research-library/diamond-jewelry-market-india.html" TargetMode="External"/><Relationship Id="rId28" Type="http://schemas.openxmlformats.org/officeDocument/2006/relationships/hyperlink" Target="https://d1wqtxts1xzle7.cloudfront.net/43857184/Competitive_Advantage-_creative_and_sustaining-libre.pdf" TargetMode="External"/><Relationship Id="rId10" Type="http://schemas.openxmlformats.org/officeDocument/2006/relationships/hyperlink" Target="https://caratx.com/blog-post/market-surveys-2024-2025-what-gen-z-millennials-beyond-really-want-in-diamonds-gemstones" TargetMode="External"/><Relationship Id="rId19" Type="http://schemas.openxmlformats.org/officeDocument/2006/relationships/hyperlink" Target="https://books.google.co.in/books?id=GeksEAAAQBAJ&amp;printsec=frontcover&amp;source=gbs_ge_summary_r&amp;cad=0" TargetMode="External"/><Relationship Id="rId31" Type="http://schemas.openxmlformats.org/officeDocument/2006/relationships/hyperlink" Target="https://tracxn.com/d/companies/giva/__zGN7Tg9Sx15QehlSjP7neHbQZKSJFd3MdivBjGRv5C0" TargetMode="External"/><Relationship Id="rId4" Type="http://schemas.openxmlformats.org/officeDocument/2006/relationships/webSettings" Target="webSettings.xml"/><Relationship Id="rId9" Type="http://schemas.openxmlformats.org/officeDocument/2006/relationships/hyperlink" Target="http://diglib.globalcollege.edu.et:8080/xmlui/bitstream/handle/123456789/704/00483.pdf?sequence=1&amp;isAllowed=y" TargetMode="External"/><Relationship Id="rId14" Type="http://schemas.openxmlformats.org/officeDocument/2006/relationships/hyperlink" Target="https://www.globalgrowthinsights.com/market-reports/luxury-jewellery-market-114247" TargetMode="External"/><Relationship Id="rId22" Type="http://schemas.openxmlformats.org/officeDocument/2006/relationships/hyperlink" Target="https://sms.onlinelibrary.wiley.com/doi/epdf/10.1002/smj.4250090706" TargetMode="External"/><Relationship Id="rId27" Type="http://schemas.openxmlformats.org/officeDocument/2006/relationships/hyperlink" Target="https://www.nationalheraldindia.com/business/gen-z-reshapes-jewellery-buying-but-asset-appeal-remains-strong-says-new-report" TargetMode="External"/><Relationship Id="rId30" Type="http://schemas.openxmlformats.org/officeDocument/2006/relationships/hyperlink" Target="https://thebranddecoder.com/tanishq-marketing-playbook/" TargetMode="External"/><Relationship Id="rId35" Type="http://schemas.openxmlformats.org/officeDocument/2006/relationships/theme" Target="theme/theme1.xml"/><Relationship Id="rId8" Type="http://schemas.openxmlformats.org/officeDocument/2006/relationships/hyperlink" Target="https://www.angelone.in/news/market-updates/jewellery-startup-giva-secures-rs-530-crore-in-series-c-funding-led-by-creaeg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4060</Words>
  <Characters>23147</Characters>
  <Application>Microsoft Office Word</Application>
  <DocSecurity>0</DocSecurity>
  <Lines>192</Lines>
  <Paragraphs>54</Paragraphs>
  <ScaleCrop>false</ScaleCrop>
  <Company/>
  <LinksUpToDate>false</LinksUpToDate>
  <CharactersWithSpaces>27153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ronak devani</cp:lastModifiedBy>
  <cp:revision>9</cp:revision>
  <dcterms:created xsi:type="dcterms:W3CDTF">2026-03-26T10:49:00Z</dcterms:created>
  <dcterms:modified xsi:type="dcterms:W3CDTF">2026-03-26T22:47:00Z</dcterms:modified>
</cp:coreProperties>
</file>