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33FC4" w14:textId="77777777" w:rsidR="00804AD9" w:rsidRPr="00C555A7" w:rsidRDefault="00804AD9" w:rsidP="00804AD9">
      <w:pPr>
        <w:jc w:val="center"/>
        <w:rPr>
          <w:b/>
          <w:sz w:val="32"/>
          <w:szCs w:val="28"/>
          <w:lang w:val="en-GB"/>
        </w:rPr>
      </w:pPr>
    </w:p>
    <w:p w14:paraId="60C21140" w14:textId="71ABCFC2" w:rsidR="00804AD9" w:rsidRPr="00C555A7" w:rsidRDefault="00804AD9" w:rsidP="00804AD9">
      <w:pPr>
        <w:jc w:val="center"/>
        <w:rPr>
          <w:b/>
          <w:sz w:val="32"/>
          <w:szCs w:val="28"/>
          <w:lang w:val="en-GB"/>
        </w:rPr>
      </w:pPr>
      <w:r>
        <w:rPr>
          <w:noProof/>
        </w:rPr>
        <w:drawing>
          <wp:inline distT="0" distB="0" distL="0" distR="0" wp14:anchorId="674E44A1" wp14:editId="40ABB7C5">
            <wp:extent cx="3609340" cy="1450975"/>
            <wp:effectExtent l="0" t="0" r="0" b="0"/>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9340" cy="1450975"/>
                    </a:xfrm>
                    <a:prstGeom prst="rect">
                      <a:avLst/>
                    </a:prstGeom>
                    <a:noFill/>
                  </pic:spPr>
                </pic:pic>
              </a:graphicData>
            </a:graphic>
          </wp:inline>
        </w:drawing>
      </w:r>
    </w:p>
    <w:p w14:paraId="158AB5EE" w14:textId="77777777" w:rsidR="00804AD9" w:rsidRDefault="00804AD9" w:rsidP="00804AD9">
      <w:pPr>
        <w:jc w:val="center"/>
        <w:rPr>
          <w:b/>
          <w:sz w:val="32"/>
          <w:szCs w:val="28"/>
          <w:lang w:val="en-GB"/>
        </w:rPr>
      </w:pPr>
    </w:p>
    <w:p w14:paraId="0813981A" w14:textId="77777777" w:rsidR="00804AD9" w:rsidRDefault="00804AD9" w:rsidP="00804AD9">
      <w:pPr>
        <w:jc w:val="center"/>
        <w:rPr>
          <w:b/>
          <w:sz w:val="32"/>
          <w:szCs w:val="28"/>
          <w:lang w:val="en-GB"/>
        </w:rPr>
      </w:pPr>
    </w:p>
    <w:p w14:paraId="101CB64B" w14:textId="05722C21" w:rsidR="00804AD9" w:rsidRPr="00C555A7" w:rsidRDefault="00804AD9" w:rsidP="00804AD9">
      <w:pPr>
        <w:jc w:val="center"/>
        <w:rPr>
          <w:b/>
          <w:sz w:val="32"/>
          <w:szCs w:val="28"/>
          <w:lang w:val="en-GB"/>
        </w:rPr>
      </w:pPr>
      <w:r w:rsidRPr="00C555A7">
        <w:rPr>
          <w:b/>
          <w:sz w:val="32"/>
          <w:szCs w:val="28"/>
          <w:lang w:val="en-GB"/>
        </w:rPr>
        <w:t>TITLE OF THE ASSIGNMENT- ENVIRONMENT ANALYSIS OF CAR MANUFACTURING INDUSTRY</w:t>
      </w:r>
    </w:p>
    <w:p w14:paraId="388A2041" w14:textId="77777777" w:rsidR="00804AD9" w:rsidRPr="00C555A7" w:rsidRDefault="00804AD9" w:rsidP="00804AD9">
      <w:pPr>
        <w:jc w:val="center"/>
        <w:rPr>
          <w:b/>
          <w:sz w:val="32"/>
          <w:szCs w:val="28"/>
          <w:lang w:val="en-GB"/>
        </w:rPr>
      </w:pPr>
      <w:r w:rsidRPr="00C555A7">
        <w:rPr>
          <w:b/>
          <w:sz w:val="32"/>
          <w:szCs w:val="28"/>
          <w:lang w:val="en-GB"/>
        </w:rPr>
        <w:t>TITLE OF THE MODULE- THE GLOBAL BUSINESS ENVIRONMENT</w:t>
      </w:r>
    </w:p>
    <w:p w14:paraId="2604429E" w14:textId="77777777" w:rsidR="00804AD9" w:rsidRPr="00C555A7" w:rsidRDefault="00804AD9" w:rsidP="00804AD9">
      <w:pPr>
        <w:jc w:val="center"/>
        <w:rPr>
          <w:b/>
          <w:sz w:val="32"/>
          <w:szCs w:val="28"/>
          <w:lang w:val="en-GB"/>
        </w:rPr>
      </w:pPr>
      <w:r w:rsidRPr="00C555A7">
        <w:rPr>
          <w:b/>
          <w:sz w:val="32"/>
          <w:szCs w:val="28"/>
          <w:lang w:val="en-GB"/>
        </w:rPr>
        <w:t>ASSESSMENT 1</w:t>
      </w:r>
    </w:p>
    <w:p w14:paraId="0C7C7B8C" w14:textId="5CB47FD1" w:rsidR="00804AD9" w:rsidRPr="00C555A7" w:rsidRDefault="00804AD9" w:rsidP="00804AD9">
      <w:pPr>
        <w:jc w:val="center"/>
        <w:rPr>
          <w:b/>
          <w:sz w:val="32"/>
          <w:szCs w:val="28"/>
          <w:lang w:val="en-GB"/>
        </w:rPr>
      </w:pPr>
      <w:r w:rsidRPr="00C555A7">
        <w:rPr>
          <w:b/>
          <w:sz w:val="32"/>
          <w:szCs w:val="28"/>
          <w:lang w:val="en-GB"/>
        </w:rPr>
        <w:t>STUDENT NAME-</w:t>
      </w:r>
      <w:r>
        <w:rPr>
          <w:b/>
          <w:sz w:val="32"/>
          <w:szCs w:val="28"/>
          <w:lang w:val="en-GB"/>
        </w:rPr>
        <w:t xml:space="preserve"> Iulia Teodora BOBOs</w:t>
      </w:r>
    </w:p>
    <w:p w14:paraId="1E9C5CAA" w14:textId="64809B17" w:rsidR="00804AD9" w:rsidRPr="00C555A7" w:rsidRDefault="00804AD9" w:rsidP="00804AD9">
      <w:pPr>
        <w:jc w:val="center"/>
        <w:rPr>
          <w:b/>
          <w:sz w:val="32"/>
          <w:szCs w:val="28"/>
          <w:lang w:val="en-GB"/>
        </w:rPr>
      </w:pPr>
      <w:r w:rsidRPr="00C555A7">
        <w:rPr>
          <w:b/>
          <w:sz w:val="32"/>
          <w:szCs w:val="28"/>
          <w:lang w:val="en-GB"/>
        </w:rPr>
        <w:t>STUDENT ID-</w:t>
      </w:r>
      <w:r>
        <w:rPr>
          <w:b/>
          <w:sz w:val="32"/>
          <w:szCs w:val="28"/>
          <w:lang w:val="en-GB"/>
        </w:rPr>
        <w:t>1921543</w:t>
      </w:r>
    </w:p>
    <w:p w14:paraId="6F9B9F13" w14:textId="1E48CFBA" w:rsidR="00804AD9" w:rsidRPr="00C555A7" w:rsidRDefault="00804AD9" w:rsidP="00804AD9">
      <w:pPr>
        <w:jc w:val="center"/>
        <w:rPr>
          <w:b/>
          <w:sz w:val="32"/>
          <w:szCs w:val="28"/>
          <w:lang w:val="en-GB"/>
        </w:rPr>
      </w:pPr>
      <w:r w:rsidRPr="00C555A7">
        <w:rPr>
          <w:b/>
          <w:sz w:val="32"/>
          <w:szCs w:val="28"/>
          <w:lang w:val="en-GB"/>
        </w:rPr>
        <w:t xml:space="preserve">MODULE LECTURER’S NAME- </w:t>
      </w:r>
      <w:proofErr w:type="spellStart"/>
      <w:r>
        <w:rPr>
          <w:b/>
          <w:sz w:val="32"/>
          <w:szCs w:val="28"/>
          <w:lang w:val="en-GB"/>
        </w:rPr>
        <w:t>Rexon</w:t>
      </w:r>
      <w:proofErr w:type="spellEnd"/>
      <w:r>
        <w:rPr>
          <w:b/>
          <w:sz w:val="32"/>
          <w:szCs w:val="28"/>
          <w:lang w:val="en-GB"/>
        </w:rPr>
        <w:t xml:space="preserve"> </w:t>
      </w:r>
      <w:proofErr w:type="spellStart"/>
      <w:r>
        <w:rPr>
          <w:b/>
          <w:sz w:val="32"/>
          <w:szCs w:val="28"/>
          <w:lang w:val="en-GB"/>
        </w:rPr>
        <w:t>Nting</w:t>
      </w:r>
      <w:proofErr w:type="spellEnd"/>
    </w:p>
    <w:p w14:paraId="40329A62" w14:textId="77777777" w:rsidR="00804AD9" w:rsidRPr="00C555A7" w:rsidRDefault="00804AD9" w:rsidP="00804AD9">
      <w:pPr>
        <w:spacing w:line="276" w:lineRule="auto"/>
        <w:jc w:val="center"/>
        <w:rPr>
          <w:b/>
          <w:lang w:val="en-GB"/>
        </w:rPr>
      </w:pPr>
      <w:r w:rsidRPr="00C555A7">
        <w:rPr>
          <w:b/>
          <w:lang w:val="en-GB"/>
        </w:rPr>
        <w:br w:type="page"/>
      </w:r>
    </w:p>
    <w:p w14:paraId="70596C74" w14:textId="77777777" w:rsidR="00804AD9" w:rsidRPr="00C555A7" w:rsidRDefault="00804AD9" w:rsidP="00804AD9">
      <w:pPr>
        <w:spacing w:line="276" w:lineRule="auto"/>
        <w:jc w:val="left"/>
        <w:rPr>
          <w:b/>
          <w:bCs/>
          <w:lang w:val="en-GB"/>
        </w:rPr>
      </w:pPr>
      <w:r w:rsidRPr="00C555A7">
        <w:rPr>
          <w:b/>
          <w:bCs/>
          <w:lang w:val="en-GB"/>
        </w:rPr>
        <w:lastRenderedPageBreak/>
        <w:t>Introduction</w:t>
      </w:r>
    </w:p>
    <w:p w14:paraId="31A28997" w14:textId="77777777" w:rsidR="00804AD9" w:rsidRPr="00C555A7" w:rsidRDefault="00804AD9" w:rsidP="00804AD9">
      <w:pPr>
        <w:rPr>
          <w:lang w:val="en-GB"/>
        </w:rPr>
      </w:pPr>
      <w:r w:rsidRPr="00C555A7">
        <w:rPr>
          <w:lang w:val="en-GB"/>
        </w:rPr>
        <w:t>The significant macro and micro-environmental elements influence the global car manufacturing industry. The internal and external environment of the industry helps in shaping the prospect of the industry that depends on substantial factors like the price of the raw materials, government laws and policies, competition in the market, availability of human resources, demand for the commodities like luxury or value variants, and the demand and supply of the commodities. The recent years in the car manufacturing industry has witnessed efficacious leadership of various levels introducing higher strata of research and development, the introduction of advanced technology in production and innovation in their respective companies.</w:t>
      </w:r>
    </w:p>
    <w:p w14:paraId="43852B9D" w14:textId="77777777" w:rsidR="00804AD9" w:rsidRPr="00C555A7" w:rsidRDefault="00804AD9" w:rsidP="00804AD9">
      <w:pPr>
        <w:rPr>
          <w:lang w:val="en-GB"/>
        </w:rPr>
      </w:pPr>
      <w:r w:rsidRPr="00C555A7">
        <w:rPr>
          <w:lang w:val="en-GB"/>
        </w:rPr>
        <w:t xml:space="preserve">The aim of the essay highlights the global business environment persistent for the last few years in the car manufacturing industry. It brings out the opportunities and challenges of the industry facing while growing globally. The internal and external forces are depicted through the evaluation tools like PESTLE, SWOT, and Porter’s Five Forces model. The tools like Product Life Cycle and positioning of the companies are critically evaluated to decipher the competitive advantage of the companies gained while they exist in the same industry. </w:t>
      </w:r>
    </w:p>
    <w:p w14:paraId="66E703FE" w14:textId="77777777" w:rsidR="00804AD9" w:rsidRPr="00C555A7" w:rsidRDefault="00804AD9" w:rsidP="00804AD9">
      <w:pPr>
        <w:pStyle w:val="Heading1"/>
        <w:rPr>
          <w:lang w:val="en-GB"/>
        </w:rPr>
      </w:pPr>
      <w:r w:rsidRPr="00C555A7">
        <w:rPr>
          <w:lang w:val="en-GB"/>
        </w:rPr>
        <w:t>Analysis of the major forces determining the business environment and the changes witnessed in the car manufacturing industry</w:t>
      </w:r>
    </w:p>
    <w:p w14:paraId="47911EEF" w14:textId="77777777" w:rsidR="00804AD9" w:rsidRPr="00C555A7" w:rsidRDefault="00804AD9" w:rsidP="00804AD9">
      <w:pPr>
        <w:rPr>
          <w:lang w:val="en-GB"/>
        </w:rPr>
      </w:pPr>
      <w:r w:rsidRPr="00C555A7">
        <w:rPr>
          <w:lang w:val="en-GB"/>
        </w:rPr>
        <w:t>The significant forces are categorised as macro and micro-environmental forces which helps in shaping the future course of action undertaken by the respective industries. The car manufacturing industry has to consider the price of raw materials like steel and aluminium, fibre, and other parts that are installed in vehicles. The recent economic fluctuations due to the BREXIT issue in the European countries, COVID-19 led lockdown. It severed ties with China has a strong influence on the demand and supply for cars (</w:t>
      </w:r>
      <w:proofErr w:type="spellStart"/>
      <w:r w:rsidRPr="00C555A7">
        <w:rPr>
          <w:lang w:val="en-GB"/>
        </w:rPr>
        <w:t>Grinsteins</w:t>
      </w:r>
      <w:proofErr w:type="spellEnd"/>
      <w:r w:rsidRPr="00C555A7">
        <w:rPr>
          <w:lang w:val="en-GB"/>
        </w:rPr>
        <w:t>, 2018). The unemployment rates, uncertainty in business operations and falling economy may not support the increased level of car manufacturing as the power of purchasing by the customers will automatically reduce. The government laws and policies of different nations have varied influence on the growth of the firms in the industry. The import duties, tariffs, entry of foreign automakers, adaptation of advanced technology and the infrastructure required is highly influenced by the supportive measures taken by the government of the nation (Abdi et al. 2018). The adverse policies, on the other hand, maybe fatal for the growth of the firms investing in car manufacturing with varied models and price.</w:t>
      </w:r>
    </w:p>
    <w:p w14:paraId="255C93BD" w14:textId="77777777" w:rsidR="00804AD9" w:rsidRPr="00C555A7" w:rsidRDefault="00804AD9" w:rsidP="00804AD9">
      <w:pPr>
        <w:jc w:val="center"/>
        <w:rPr>
          <w:lang w:val="en-GB"/>
        </w:rPr>
      </w:pPr>
      <w:r w:rsidRPr="00C555A7">
        <w:rPr>
          <w:noProof/>
          <w:lang w:val="en-GB"/>
        </w:rPr>
        <w:lastRenderedPageBreak/>
        <w:drawing>
          <wp:inline distT="0" distB="0" distL="0" distR="0" wp14:anchorId="1FC9761E" wp14:editId="0EC527AE">
            <wp:extent cx="3552825" cy="3628360"/>
            <wp:effectExtent l="19050" t="19050" r="28575" b="10190"/>
            <wp:docPr id="1" name="Picture 1" descr="The diagram is a circle, with a core that is labeled, and sections surrounding the core that are labeled. Outside of the circle is the external environment, which affects the contents of the circle. The core is labeled as, Internal Environment; entrepreneurs, managers, workers, and customers. The sections surrounding the core are as follows; technological, and economic, and political slash legal, and demographic, and social, and competitive, and global. All these sections have arrows pointing inward to the core internal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63320" name="Picture 1" descr="The diagram is a circle, with a core that is labeled, and sections surrounding the core that are labeled. Outside of the circle is the external environment, which affects the contents of the circle. The core is labeled as, Internal Environment; entrepreneurs, managers, workers, and customers. The sections surrounding the core are as follows; technological, and economic, and political slash legal, and demographic, and social, and competitive, and global. All these sections have arrows pointing inward to the core internal environment."/>
                    <pic:cNvPicPr>
                      <a:picLocks noChangeAspect="1" noChangeArrowheads="1"/>
                    </pic:cNvPicPr>
                  </pic:nvPicPr>
                  <pic:blipFill>
                    <a:blip r:embed="rId6"/>
                    <a:stretch>
                      <a:fillRect/>
                    </a:stretch>
                  </pic:blipFill>
                  <pic:spPr bwMode="auto">
                    <a:xfrm>
                      <a:off x="0" y="0"/>
                      <a:ext cx="3554312" cy="3629878"/>
                    </a:xfrm>
                    <a:prstGeom prst="rect">
                      <a:avLst/>
                    </a:prstGeom>
                    <a:noFill/>
                    <a:ln w="19050">
                      <a:solidFill>
                        <a:schemeClr val="tx1"/>
                      </a:solidFill>
                      <a:miter lim="800000"/>
                      <a:headEnd/>
                      <a:tailEnd/>
                    </a:ln>
                  </pic:spPr>
                </pic:pic>
              </a:graphicData>
            </a:graphic>
          </wp:inline>
        </w:drawing>
      </w:r>
    </w:p>
    <w:p w14:paraId="6B9C7620" w14:textId="77777777" w:rsidR="00804AD9" w:rsidRPr="00C555A7" w:rsidRDefault="00804AD9" w:rsidP="00804AD9">
      <w:pPr>
        <w:spacing w:line="240" w:lineRule="auto"/>
        <w:jc w:val="center"/>
        <w:rPr>
          <w:b/>
          <w:i/>
          <w:lang w:val="en-GB"/>
        </w:rPr>
      </w:pPr>
      <w:r w:rsidRPr="00C555A7">
        <w:rPr>
          <w:b/>
          <w:i/>
          <w:lang w:val="en-GB"/>
        </w:rPr>
        <w:t>Figure 1: The internal and external environment of the car manufacturing industry influencing the growth.</w:t>
      </w:r>
    </w:p>
    <w:p w14:paraId="6C6C99DD" w14:textId="77777777" w:rsidR="00804AD9" w:rsidRPr="00C555A7" w:rsidRDefault="00804AD9" w:rsidP="00804AD9">
      <w:pPr>
        <w:spacing w:line="240" w:lineRule="auto"/>
        <w:jc w:val="center"/>
        <w:rPr>
          <w:b/>
          <w:i/>
          <w:lang w:val="en-GB"/>
        </w:rPr>
      </w:pPr>
      <w:r w:rsidRPr="00C555A7">
        <w:rPr>
          <w:b/>
          <w:i/>
          <w:lang w:val="en-GB"/>
        </w:rPr>
        <w:t>(Source: Abdi et al. 2018)</w:t>
      </w:r>
    </w:p>
    <w:p w14:paraId="1D57B763" w14:textId="77777777" w:rsidR="00804AD9" w:rsidRPr="00C555A7" w:rsidRDefault="00804AD9" w:rsidP="00804AD9">
      <w:pPr>
        <w:pStyle w:val="Heading1"/>
        <w:rPr>
          <w:lang w:val="en-GB"/>
        </w:rPr>
      </w:pPr>
      <w:r w:rsidRPr="00C555A7">
        <w:rPr>
          <w:lang w:val="en-GB"/>
        </w:rPr>
        <w:t>Analysis of the macro-environmental factors affecting the work culture of the car manufacturing industry</w:t>
      </w:r>
    </w:p>
    <w:p w14:paraId="49230D6F" w14:textId="77777777" w:rsidR="00804AD9" w:rsidRPr="00C555A7" w:rsidRDefault="00804AD9" w:rsidP="00804AD9">
      <w:pPr>
        <w:rPr>
          <w:lang w:val="en-GB"/>
        </w:rPr>
      </w:pPr>
      <w:r w:rsidRPr="00C555A7">
        <w:rPr>
          <w:lang w:val="en-GB"/>
        </w:rPr>
        <w:t>The car manufacturing industry is one of the highest revenues earning industry in the global arena. The tool for evaluating the business environment and its impact on the companies can be measured through PESTLE Analysis which is attempted in the following points:</w:t>
      </w:r>
    </w:p>
    <w:p w14:paraId="60C72534" w14:textId="77777777" w:rsidR="00804AD9" w:rsidRPr="00C555A7" w:rsidRDefault="00804AD9" w:rsidP="00804AD9">
      <w:pPr>
        <w:pStyle w:val="Heading2"/>
        <w:rPr>
          <w:lang w:val="en-GB"/>
        </w:rPr>
      </w:pPr>
      <w:r w:rsidRPr="00C555A7">
        <w:rPr>
          <w:lang w:val="en-GB"/>
        </w:rPr>
        <w:t>PESTLE Analysis</w:t>
      </w:r>
    </w:p>
    <w:p w14:paraId="52EB197A" w14:textId="77777777" w:rsidR="00804AD9" w:rsidRPr="00C555A7" w:rsidRDefault="00804AD9" w:rsidP="00804AD9">
      <w:pPr>
        <w:rPr>
          <w:b/>
          <w:i/>
          <w:lang w:val="en-GB"/>
        </w:rPr>
      </w:pPr>
      <w:r w:rsidRPr="00C555A7">
        <w:rPr>
          <w:b/>
          <w:i/>
          <w:lang w:val="en-GB"/>
        </w:rPr>
        <w:t>Political Factors</w:t>
      </w:r>
    </w:p>
    <w:p w14:paraId="203D3224" w14:textId="77777777" w:rsidR="00804AD9" w:rsidRPr="00C555A7" w:rsidRDefault="00804AD9" w:rsidP="00804AD9">
      <w:pPr>
        <w:rPr>
          <w:lang w:val="en-GB"/>
        </w:rPr>
      </w:pPr>
      <w:r w:rsidRPr="00C555A7">
        <w:rPr>
          <w:lang w:val="en-GB"/>
        </w:rPr>
        <w:t>The policies and laws formulated by the government of several nations and the profit-earning motive of the car manufacturing industry have a direct role in the augmentation of this industry. Most of the countries in significant summits agree on low carbon emission vehicles (</w:t>
      </w:r>
      <w:proofErr w:type="spellStart"/>
      <w:r w:rsidRPr="00C555A7">
        <w:rPr>
          <w:lang w:val="en-GB"/>
        </w:rPr>
        <w:t>Kotabe</w:t>
      </w:r>
      <w:proofErr w:type="spellEnd"/>
      <w:r w:rsidRPr="00C555A7">
        <w:rPr>
          <w:lang w:val="en-GB"/>
        </w:rPr>
        <w:t xml:space="preserve"> and </w:t>
      </w:r>
      <w:proofErr w:type="spellStart"/>
      <w:r w:rsidRPr="00C555A7">
        <w:rPr>
          <w:lang w:val="en-GB"/>
        </w:rPr>
        <w:t>Helsen</w:t>
      </w:r>
      <w:proofErr w:type="spellEnd"/>
      <w:r w:rsidRPr="00C555A7">
        <w:rPr>
          <w:lang w:val="en-GB"/>
        </w:rPr>
        <w:t xml:space="preserve">, 2020). The policies support the leniency in labour wages and better working conditions for the labour. Moreover, the taxation is reasonably fixed by the government, which may not make a hole in the pockets of the buyers. The international presence of brands is also favoured through FDI in the countries.  </w:t>
      </w:r>
    </w:p>
    <w:p w14:paraId="66B95A3B" w14:textId="77777777" w:rsidR="00804AD9" w:rsidRPr="00C555A7" w:rsidRDefault="00804AD9" w:rsidP="00804AD9">
      <w:pPr>
        <w:rPr>
          <w:b/>
          <w:i/>
          <w:lang w:val="en-GB"/>
        </w:rPr>
      </w:pPr>
      <w:r w:rsidRPr="00C555A7">
        <w:rPr>
          <w:b/>
          <w:i/>
          <w:lang w:val="en-GB"/>
        </w:rPr>
        <w:lastRenderedPageBreak/>
        <w:t>Economic Factors</w:t>
      </w:r>
    </w:p>
    <w:p w14:paraId="6FC76A63" w14:textId="77777777" w:rsidR="00804AD9" w:rsidRPr="00C555A7" w:rsidRDefault="00804AD9" w:rsidP="00804AD9">
      <w:pPr>
        <w:rPr>
          <w:lang w:val="en-GB"/>
        </w:rPr>
      </w:pPr>
      <w:r w:rsidRPr="00C555A7">
        <w:rPr>
          <w:lang w:val="en-GB"/>
        </w:rPr>
        <w:t xml:space="preserve">The recent years have witnessed a fall in the economic conditions in several third world countries which has an adverse impact on the sales of cars. However, the power train technology used in the global manufacturing of cars has witnessed the improved efficiency of the vehicles that have increased the sales of cars by 60%. This, in return, has engaged employment with trained and skilled labours from various countries (Coe and Yeung, 2019). The purchasing power of the customers' believed to be low due to the COVID 19 situation while losing the jobs. The companies hence focused on energy and cost-efficient manufacturing while producing low-cost cars to attract the buyers on a large scale.  </w:t>
      </w:r>
    </w:p>
    <w:p w14:paraId="504959D1" w14:textId="77777777" w:rsidR="00804AD9" w:rsidRPr="00C555A7" w:rsidRDefault="00804AD9" w:rsidP="00804AD9">
      <w:pPr>
        <w:rPr>
          <w:b/>
          <w:i/>
          <w:lang w:val="en-GB"/>
        </w:rPr>
      </w:pPr>
      <w:r w:rsidRPr="00C555A7">
        <w:rPr>
          <w:b/>
          <w:i/>
          <w:lang w:val="en-GB"/>
        </w:rPr>
        <w:t>Socio-cultural Factors</w:t>
      </w:r>
    </w:p>
    <w:p w14:paraId="29077886" w14:textId="77777777" w:rsidR="00804AD9" w:rsidRPr="00C555A7" w:rsidRDefault="00804AD9" w:rsidP="00804AD9">
      <w:pPr>
        <w:rPr>
          <w:lang w:val="en-GB"/>
        </w:rPr>
      </w:pPr>
      <w:r w:rsidRPr="00C555A7">
        <w:rPr>
          <w:lang w:val="en-GB"/>
        </w:rPr>
        <w:t>Socio-culture forces play a vital role in determining the sales of cars. The demography, location, age factors and preference of the customers vary to a large extent (Parra et al. 2018) The youth relies on sports utility vehicle while the aged people or big family relies on multi-utility vehicles accommodating everyone. Newer models are always on the trend while the old ones go out of fashion quickly.</w:t>
      </w:r>
    </w:p>
    <w:p w14:paraId="1EA77F1A" w14:textId="77777777" w:rsidR="00804AD9" w:rsidRPr="00C555A7" w:rsidRDefault="00804AD9" w:rsidP="00804AD9">
      <w:pPr>
        <w:rPr>
          <w:b/>
          <w:i/>
          <w:lang w:val="en-GB"/>
        </w:rPr>
      </w:pPr>
      <w:r w:rsidRPr="00C555A7">
        <w:rPr>
          <w:b/>
          <w:i/>
          <w:lang w:val="en-GB"/>
        </w:rPr>
        <w:t>Technological Factors</w:t>
      </w:r>
    </w:p>
    <w:p w14:paraId="1AC3DACB" w14:textId="77777777" w:rsidR="00804AD9" w:rsidRPr="00C555A7" w:rsidRDefault="00804AD9" w:rsidP="00804AD9">
      <w:pPr>
        <w:rPr>
          <w:lang w:val="en-GB"/>
        </w:rPr>
      </w:pPr>
      <w:r w:rsidRPr="00C555A7">
        <w:rPr>
          <w:lang w:val="en-GB"/>
        </w:rPr>
        <w:t>The recent power train technology adopted has reflected turbo-boosted gasoline engines with higher speed and low on emission. The light vehicles are preferred in the market with fuel efficiency, added technical advantage, and implementation of better software in the models for assistance. The figure given below shows the surge of low carbon transmission power train engines inducted in the lightweight vehicles produced in recent years.</w:t>
      </w:r>
    </w:p>
    <w:p w14:paraId="66AD691F" w14:textId="77777777" w:rsidR="00804AD9" w:rsidRPr="00C555A7" w:rsidRDefault="00804AD9" w:rsidP="00804AD9">
      <w:pPr>
        <w:rPr>
          <w:b/>
          <w:i/>
          <w:lang w:val="en-GB"/>
        </w:rPr>
      </w:pPr>
      <w:r w:rsidRPr="00C555A7">
        <w:rPr>
          <w:b/>
          <w:i/>
          <w:noProof/>
          <w:lang w:val="en-GB"/>
        </w:rPr>
        <w:lastRenderedPageBreak/>
        <w:drawing>
          <wp:inline distT="0" distB="0" distL="0" distR="0" wp14:anchorId="3C8FFC54" wp14:editId="7ACFEC3E">
            <wp:extent cx="5943600" cy="3211393"/>
            <wp:effectExtent l="19050" t="19050" r="19050" b="27107"/>
            <wp:docPr id="2"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 close up of a map&#10;&#10;Description automatically generated"/>
                    <pic:cNvPicPr>
                      <a:picLocks noChangeAspect="1" noChangeArrowheads="1"/>
                    </pic:cNvPicPr>
                  </pic:nvPicPr>
                  <pic:blipFill>
                    <a:blip r:embed="rId7"/>
                    <a:stretch>
                      <a:fillRect/>
                    </a:stretch>
                  </pic:blipFill>
                  <pic:spPr bwMode="auto">
                    <a:xfrm>
                      <a:off x="0" y="0"/>
                      <a:ext cx="5943600" cy="3211393"/>
                    </a:xfrm>
                    <a:prstGeom prst="rect">
                      <a:avLst/>
                    </a:prstGeom>
                    <a:noFill/>
                    <a:ln w="15875">
                      <a:solidFill>
                        <a:schemeClr val="tx1"/>
                      </a:solidFill>
                      <a:miter lim="800000"/>
                      <a:headEnd/>
                      <a:tailEnd/>
                    </a:ln>
                  </pic:spPr>
                </pic:pic>
              </a:graphicData>
            </a:graphic>
          </wp:inline>
        </w:drawing>
      </w:r>
    </w:p>
    <w:p w14:paraId="25A6C020" w14:textId="77777777" w:rsidR="00804AD9" w:rsidRPr="00C555A7" w:rsidRDefault="00804AD9" w:rsidP="00804AD9">
      <w:pPr>
        <w:spacing w:line="240" w:lineRule="auto"/>
        <w:jc w:val="center"/>
        <w:rPr>
          <w:b/>
          <w:i/>
          <w:lang w:val="en-GB"/>
        </w:rPr>
      </w:pPr>
      <w:r w:rsidRPr="00C555A7">
        <w:rPr>
          <w:b/>
          <w:i/>
          <w:lang w:val="en-GB"/>
        </w:rPr>
        <w:t>Figure 2: The latest power train technology used in the car manufacturing industry</w:t>
      </w:r>
    </w:p>
    <w:p w14:paraId="09255AC1" w14:textId="77777777" w:rsidR="00804AD9" w:rsidRPr="00C555A7" w:rsidRDefault="00804AD9" w:rsidP="00804AD9">
      <w:pPr>
        <w:spacing w:line="240" w:lineRule="auto"/>
        <w:jc w:val="center"/>
        <w:rPr>
          <w:b/>
          <w:i/>
          <w:lang w:val="en-GB"/>
        </w:rPr>
      </w:pPr>
      <w:r w:rsidRPr="00C555A7">
        <w:rPr>
          <w:b/>
          <w:i/>
          <w:lang w:val="en-GB"/>
        </w:rPr>
        <w:t xml:space="preserve">(Source: </w:t>
      </w:r>
      <w:proofErr w:type="spellStart"/>
      <w:r w:rsidRPr="00C555A7">
        <w:rPr>
          <w:b/>
          <w:i/>
          <w:lang w:val="en-GB"/>
        </w:rPr>
        <w:t>Fulthorpe</w:t>
      </w:r>
      <w:proofErr w:type="spellEnd"/>
      <w:r w:rsidRPr="00C555A7">
        <w:rPr>
          <w:b/>
          <w:i/>
          <w:lang w:val="en-GB"/>
        </w:rPr>
        <w:t>, 2019)</w:t>
      </w:r>
    </w:p>
    <w:p w14:paraId="79174A65" w14:textId="77777777" w:rsidR="00804AD9" w:rsidRPr="00C555A7" w:rsidRDefault="00804AD9" w:rsidP="00804AD9">
      <w:pPr>
        <w:rPr>
          <w:b/>
          <w:i/>
          <w:lang w:val="en-GB"/>
        </w:rPr>
      </w:pPr>
      <w:r w:rsidRPr="00C555A7">
        <w:rPr>
          <w:b/>
          <w:i/>
          <w:lang w:val="en-GB"/>
        </w:rPr>
        <w:t>Legal Factors</w:t>
      </w:r>
    </w:p>
    <w:p w14:paraId="0D8DEBF2" w14:textId="77777777" w:rsidR="00804AD9" w:rsidRPr="00C555A7" w:rsidRDefault="00804AD9" w:rsidP="00804AD9">
      <w:pPr>
        <w:rPr>
          <w:lang w:val="en-GB"/>
        </w:rPr>
      </w:pPr>
      <w:r w:rsidRPr="00C555A7">
        <w:rPr>
          <w:lang w:val="en-GB"/>
        </w:rPr>
        <w:t>The legal compliances determine the vital factor associated with manufacturing and selling of cars in the international market. The laws of every country are strict on controlling pollution and safety features installed with the models. Toyota, one of the reputed car manufacturing companies, has to recall its model due to faulty airbags installed prone to accidents (</w:t>
      </w:r>
      <w:proofErr w:type="spellStart"/>
      <w:r w:rsidRPr="00C555A7">
        <w:rPr>
          <w:lang w:val="en-GB"/>
        </w:rPr>
        <w:t>Chodakowska</w:t>
      </w:r>
      <w:proofErr w:type="spellEnd"/>
      <w:r w:rsidRPr="00C555A7">
        <w:rPr>
          <w:lang w:val="en-GB"/>
        </w:rPr>
        <w:t xml:space="preserve">, 2018). Similarly, the laws and policies on taxation, environmental compliance and other laws have to be followed by the companies engaged in international manufacturing and trading.   </w:t>
      </w:r>
    </w:p>
    <w:p w14:paraId="18A16215" w14:textId="77777777" w:rsidR="00804AD9" w:rsidRPr="00C555A7" w:rsidRDefault="00804AD9" w:rsidP="00804AD9">
      <w:pPr>
        <w:rPr>
          <w:b/>
          <w:i/>
          <w:lang w:val="en-GB"/>
        </w:rPr>
      </w:pPr>
      <w:r w:rsidRPr="00C555A7">
        <w:rPr>
          <w:b/>
          <w:i/>
          <w:lang w:val="en-GB"/>
        </w:rPr>
        <w:t>Environmental Factors</w:t>
      </w:r>
    </w:p>
    <w:p w14:paraId="023C77D4" w14:textId="77777777" w:rsidR="00804AD9" w:rsidRPr="00C555A7" w:rsidRDefault="00804AD9" w:rsidP="00804AD9">
      <w:pPr>
        <w:rPr>
          <w:lang w:val="en-GB"/>
        </w:rPr>
      </w:pPr>
      <w:r w:rsidRPr="00C555A7">
        <w:rPr>
          <w:lang w:val="en-GB"/>
        </w:rPr>
        <w:t>The recent change witnessed in the global climate has urged the nations to adopt stricter environment policies favouring the manufacturing and selling of the cars.  The primary focus of the car manufacturing companies is always on fuel efficiency technology and following low carbon emission. U.K. and U.S. favour both the fuel-efficient and low emitting carbon cars for which they provide tax subsidies (</w:t>
      </w:r>
      <w:proofErr w:type="spellStart"/>
      <w:r w:rsidRPr="00C555A7">
        <w:rPr>
          <w:lang w:val="en-GB"/>
        </w:rPr>
        <w:t>Andriantsiferana</w:t>
      </w:r>
      <w:proofErr w:type="spellEnd"/>
      <w:r w:rsidRPr="00C555A7">
        <w:rPr>
          <w:lang w:val="en-GB"/>
        </w:rPr>
        <w:t xml:space="preserve">, 2019). Testing the efficiencies are the major focuses of most of the nation’s promoting eco—friendly and pollution-controlled cars. </w:t>
      </w:r>
    </w:p>
    <w:p w14:paraId="64CDBC55" w14:textId="77777777" w:rsidR="00804AD9" w:rsidRPr="00C555A7" w:rsidRDefault="00804AD9" w:rsidP="00804AD9">
      <w:pPr>
        <w:pStyle w:val="Heading1"/>
        <w:rPr>
          <w:lang w:val="en-GB"/>
        </w:rPr>
      </w:pPr>
      <w:r w:rsidRPr="00C555A7">
        <w:rPr>
          <w:lang w:val="en-GB"/>
        </w:rPr>
        <w:lastRenderedPageBreak/>
        <w:t>Analysis of the micro-environmental factor affecting the work culture of the car manufacturing industry</w:t>
      </w:r>
    </w:p>
    <w:p w14:paraId="43BEEB30" w14:textId="77777777" w:rsidR="00804AD9" w:rsidRPr="00C555A7" w:rsidRDefault="00804AD9" w:rsidP="00804AD9">
      <w:pPr>
        <w:rPr>
          <w:lang w:val="en-GB"/>
        </w:rPr>
      </w:pPr>
      <w:r w:rsidRPr="00C555A7">
        <w:rPr>
          <w:lang w:val="en-GB"/>
        </w:rPr>
        <w:t>The operational areas that come in immediate focus for the companies involving their decision-making capabilities which create an impact on the functioning of the manufacturing industry comprise the micro-environmental factors. The tools for evaluating those factors are presented below:</w:t>
      </w:r>
    </w:p>
    <w:p w14:paraId="0E5166E8" w14:textId="77777777" w:rsidR="00804AD9" w:rsidRPr="00C555A7" w:rsidRDefault="00804AD9" w:rsidP="00804AD9">
      <w:pPr>
        <w:pStyle w:val="Heading2"/>
        <w:rPr>
          <w:lang w:val="en-GB"/>
        </w:rPr>
      </w:pPr>
      <w:r w:rsidRPr="00C555A7">
        <w:rPr>
          <w:lang w:val="en-GB"/>
        </w:rPr>
        <w:t xml:space="preserve">SWOT Analysis </w:t>
      </w:r>
    </w:p>
    <w:tbl>
      <w:tblPr>
        <w:tblStyle w:val="TableGrid"/>
        <w:tblW w:w="0" w:type="auto"/>
        <w:tblLook w:val="04A0" w:firstRow="1" w:lastRow="0" w:firstColumn="1" w:lastColumn="0" w:noHBand="0" w:noVBand="1"/>
      </w:tblPr>
      <w:tblGrid>
        <w:gridCol w:w="4490"/>
        <w:gridCol w:w="4526"/>
      </w:tblGrid>
      <w:tr w:rsidR="00804AD9" w:rsidRPr="00C555A7" w14:paraId="7A7A78B5" w14:textId="77777777" w:rsidTr="00E54BC3">
        <w:tc>
          <w:tcPr>
            <w:tcW w:w="4788" w:type="dxa"/>
          </w:tcPr>
          <w:p w14:paraId="63E59D48" w14:textId="77777777" w:rsidR="00804AD9" w:rsidRPr="00C555A7" w:rsidRDefault="00804AD9" w:rsidP="00E54BC3">
            <w:pPr>
              <w:jc w:val="center"/>
              <w:rPr>
                <w:b/>
                <w:sz w:val="24"/>
                <w:szCs w:val="24"/>
                <w:lang w:val="en-GB"/>
              </w:rPr>
            </w:pPr>
            <w:r w:rsidRPr="00C555A7">
              <w:rPr>
                <w:b/>
                <w:sz w:val="24"/>
                <w:szCs w:val="24"/>
                <w:lang w:val="en-GB"/>
              </w:rPr>
              <w:t>Strength</w:t>
            </w:r>
          </w:p>
          <w:p w14:paraId="7ACFCC89" w14:textId="77777777" w:rsidR="00804AD9" w:rsidRPr="00C555A7" w:rsidRDefault="00804AD9" w:rsidP="00E54BC3">
            <w:pPr>
              <w:pStyle w:val="ListParagraph"/>
              <w:numPr>
                <w:ilvl w:val="0"/>
                <w:numId w:val="1"/>
              </w:numPr>
              <w:spacing w:after="0"/>
              <w:rPr>
                <w:sz w:val="24"/>
                <w:szCs w:val="24"/>
                <w:lang w:val="en-GB"/>
              </w:rPr>
            </w:pPr>
            <w:r w:rsidRPr="00C555A7">
              <w:rPr>
                <w:sz w:val="24"/>
                <w:szCs w:val="24"/>
                <w:lang w:val="en-GB"/>
              </w:rPr>
              <w:t>Innovation and research and development is the constant source of growth for the industry.</w:t>
            </w:r>
          </w:p>
          <w:p w14:paraId="10E6ADDE" w14:textId="77777777" w:rsidR="00804AD9" w:rsidRPr="00C555A7" w:rsidRDefault="00804AD9" w:rsidP="00E54BC3">
            <w:pPr>
              <w:pStyle w:val="ListParagraph"/>
              <w:numPr>
                <w:ilvl w:val="0"/>
                <w:numId w:val="1"/>
              </w:numPr>
              <w:spacing w:after="0"/>
              <w:rPr>
                <w:sz w:val="24"/>
                <w:szCs w:val="24"/>
                <w:lang w:val="en-GB"/>
              </w:rPr>
            </w:pPr>
            <w:r w:rsidRPr="00C555A7">
              <w:rPr>
                <w:sz w:val="24"/>
                <w:szCs w:val="24"/>
                <w:lang w:val="en-GB"/>
              </w:rPr>
              <w:t>The growth shifting towards American and Asian market is the primary focus of the industry where notable disposable income and a higher level of lifestyle changes has been witnessed.</w:t>
            </w:r>
          </w:p>
        </w:tc>
        <w:tc>
          <w:tcPr>
            <w:tcW w:w="4788" w:type="dxa"/>
          </w:tcPr>
          <w:p w14:paraId="7CA8C821" w14:textId="77777777" w:rsidR="00804AD9" w:rsidRPr="00C555A7" w:rsidRDefault="00804AD9" w:rsidP="00E54BC3">
            <w:pPr>
              <w:jc w:val="center"/>
              <w:rPr>
                <w:b/>
                <w:sz w:val="24"/>
                <w:szCs w:val="24"/>
                <w:lang w:val="en-GB"/>
              </w:rPr>
            </w:pPr>
            <w:r w:rsidRPr="00C555A7">
              <w:rPr>
                <w:b/>
                <w:sz w:val="24"/>
                <w:szCs w:val="24"/>
                <w:lang w:val="en-GB"/>
              </w:rPr>
              <w:t>Weaknesses</w:t>
            </w:r>
          </w:p>
          <w:p w14:paraId="721299D0" w14:textId="77777777" w:rsidR="00804AD9" w:rsidRPr="00C555A7" w:rsidRDefault="00804AD9" w:rsidP="00E54BC3">
            <w:pPr>
              <w:pStyle w:val="ListParagraph"/>
              <w:numPr>
                <w:ilvl w:val="0"/>
                <w:numId w:val="2"/>
              </w:numPr>
              <w:spacing w:after="0"/>
              <w:rPr>
                <w:b/>
                <w:sz w:val="24"/>
                <w:szCs w:val="24"/>
                <w:lang w:val="en-GB"/>
              </w:rPr>
            </w:pPr>
            <w:r w:rsidRPr="00C555A7">
              <w:rPr>
                <w:sz w:val="24"/>
                <w:szCs w:val="24"/>
                <w:lang w:val="en-GB"/>
              </w:rPr>
              <w:t>The companies are liable to recall the models which are giving mass dysfunctional or technical issues in operations</w:t>
            </w:r>
          </w:p>
          <w:p w14:paraId="4EA3BC45" w14:textId="77777777" w:rsidR="00804AD9" w:rsidRPr="00C555A7" w:rsidRDefault="00804AD9" w:rsidP="00E54BC3">
            <w:pPr>
              <w:pStyle w:val="ListParagraph"/>
              <w:numPr>
                <w:ilvl w:val="0"/>
                <w:numId w:val="2"/>
              </w:numPr>
              <w:spacing w:after="0"/>
              <w:rPr>
                <w:b/>
                <w:sz w:val="24"/>
                <w:szCs w:val="24"/>
                <w:lang w:val="en-GB"/>
              </w:rPr>
            </w:pPr>
            <w:r w:rsidRPr="00C555A7">
              <w:rPr>
                <w:sz w:val="24"/>
                <w:szCs w:val="24"/>
                <w:lang w:val="en-GB"/>
              </w:rPr>
              <w:t>Many companies manufacturing cars have reported on low gross margins due to low working capital, increased rate of interest on credit and citing the possibilities of bankruptcy.</w:t>
            </w:r>
          </w:p>
        </w:tc>
      </w:tr>
      <w:tr w:rsidR="00804AD9" w:rsidRPr="00C555A7" w14:paraId="73E6B68E" w14:textId="77777777" w:rsidTr="00E54BC3">
        <w:tc>
          <w:tcPr>
            <w:tcW w:w="4788" w:type="dxa"/>
          </w:tcPr>
          <w:p w14:paraId="4775A932" w14:textId="77777777" w:rsidR="00804AD9" w:rsidRPr="00C555A7" w:rsidRDefault="00804AD9" w:rsidP="00E54BC3">
            <w:pPr>
              <w:jc w:val="center"/>
              <w:rPr>
                <w:b/>
                <w:sz w:val="24"/>
                <w:szCs w:val="24"/>
                <w:lang w:val="en-GB"/>
              </w:rPr>
            </w:pPr>
            <w:r w:rsidRPr="00C555A7">
              <w:rPr>
                <w:b/>
                <w:sz w:val="24"/>
                <w:szCs w:val="24"/>
                <w:lang w:val="en-GB"/>
              </w:rPr>
              <w:t>Opportunities</w:t>
            </w:r>
          </w:p>
          <w:p w14:paraId="07E8BD4E" w14:textId="77777777" w:rsidR="00804AD9" w:rsidRPr="00C555A7" w:rsidRDefault="00804AD9" w:rsidP="00E54BC3">
            <w:pPr>
              <w:pStyle w:val="ListParagraph"/>
              <w:numPr>
                <w:ilvl w:val="0"/>
                <w:numId w:val="3"/>
              </w:numPr>
              <w:spacing w:after="0"/>
              <w:rPr>
                <w:sz w:val="24"/>
                <w:szCs w:val="24"/>
                <w:lang w:val="en-GB"/>
              </w:rPr>
            </w:pPr>
            <w:r w:rsidRPr="00C555A7">
              <w:rPr>
                <w:sz w:val="24"/>
                <w:szCs w:val="24"/>
                <w:lang w:val="en-GB"/>
              </w:rPr>
              <w:t>Innovating new technology on fuel efficiency and low carbon emission</w:t>
            </w:r>
          </w:p>
          <w:p w14:paraId="06B32086" w14:textId="77777777" w:rsidR="00804AD9" w:rsidRPr="00C555A7" w:rsidRDefault="00804AD9" w:rsidP="00E54BC3">
            <w:pPr>
              <w:pStyle w:val="ListParagraph"/>
              <w:numPr>
                <w:ilvl w:val="0"/>
                <w:numId w:val="3"/>
              </w:numPr>
              <w:spacing w:after="0"/>
              <w:rPr>
                <w:sz w:val="24"/>
                <w:szCs w:val="24"/>
                <w:lang w:val="en-GB"/>
              </w:rPr>
            </w:pPr>
            <w:r w:rsidRPr="00C555A7">
              <w:rPr>
                <w:sz w:val="24"/>
                <w:szCs w:val="24"/>
                <w:lang w:val="en-GB"/>
              </w:rPr>
              <w:t>Expansion of the market in BRIC and Asian nations with a shift in the customers' group preferring value-added cars</w:t>
            </w:r>
          </w:p>
        </w:tc>
        <w:tc>
          <w:tcPr>
            <w:tcW w:w="4788" w:type="dxa"/>
          </w:tcPr>
          <w:p w14:paraId="20F35739" w14:textId="77777777" w:rsidR="00804AD9" w:rsidRPr="00C555A7" w:rsidRDefault="00804AD9" w:rsidP="00E54BC3">
            <w:pPr>
              <w:jc w:val="center"/>
              <w:rPr>
                <w:b/>
                <w:sz w:val="24"/>
                <w:szCs w:val="24"/>
                <w:lang w:val="en-GB"/>
              </w:rPr>
            </w:pPr>
            <w:r w:rsidRPr="00C555A7">
              <w:rPr>
                <w:b/>
                <w:sz w:val="24"/>
                <w:szCs w:val="24"/>
                <w:lang w:val="en-GB"/>
              </w:rPr>
              <w:t>Threats</w:t>
            </w:r>
          </w:p>
          <w:p w14:paraId="3265F56F" w14:textId="77777777" w:rsidR="00804AD9" w:rsidRPr="00C555A7" w:rsidRDefault="00804AD9" w:rsidP="00E54BC3">
            <w:pPr>
              <w:pStyle w:val="ListParagraph"/>
              <w:numPr>
                <w:ilvl w:val="0"/>
                <w:numId w:val="4"/>
              </w:numPr>
              <w:spacing w:after="0"/>
              <w:rPr>
                <w:b/>
                <w:sz w:val="24"/>
                <w:szCs w:val="24"/>
                <w:lang w:val="en-GB"/>
              </w:rPr>
            </w:pPr>
            <w:r w:rsidRPr="00C555A7">
              <w:rPr>
                <w:sz w:val="24"/>
                <w:szCs w:val="24"/>
                <w:lang w:val="en-GB"/>
              </w:rPr>
              <w:t>The price of the fuel remains volatile while the use of C.N.G. is limited to models and restricted by government rules.</w:t>
            </w:r>
          </w:p>
          <w:p w14:paraId="0C8560FE" w14:textId="77777777" w:rsidR="00804AD9" w:rsidRPr="00C555A7" w:rsidRDefault="00804AD9" w:rsidP="00E54BC3">
            <w:pPr>
              <w:pStyle w:val="ListParagraph"/>
              <w:numPr>
                <w:ilvl w:val="0"/>
                <w:numId w:val="4"/>
              </w:numPr>
              <w:spacing w:after="0"/>
              <w:rPr>
                <w:b/>
                <w:sz w:val="24"/>
                <w:szCs w:val="24"/>
                <w:lang w:val="en-GB"/>
              </w:rPr>
            </w:pPr>
            <w:r w:rsidRPr="00C555A7">
              <w:rPr>
                <w:sz w:val="24"/>
                <w:szCs w:val="24"/>
                <w:lang w:val="en-GB"/>
              </w:rPr>
              <w:t xml:space="preserve"> Unemployment, natural calamities like COVID 19, sluggish economic growth are other high threats for the progress of the car manufacturing industry.</w:t>
            </w:r>
          </w:p>
        </w:tc>
      </w:tr>
    </w:tbl>
    <w:p w14:paraId="74F64DF5" w14:textId="77777777" w:rsidR="00804AD9" w:rsidRPr="00C555A7" w:rsidRDefault="00804AD9" w:rsidP="00804AD9">
      <w:pPr>
        <w:jc w:val="center"/>
        <w:rPr>
          <w:b/>
          <w:lang w:val="en-GB"/>
        </w:rPr>
      </w:pPr>
    </w:p>
    <w:p w14:paraId="2819B142" w14:textId="77777777" w:rsidR="00804AD9" w:rsidRPr="00C555A7" w:rsidRDefault="00804AD9" w:rsidP="00804AD9">
      <w:pPr>
        <w:pStyle w:val="Heading1"/>
        <w:rPr>
          <w:lang w:val="en-GB"/>
        </w:rPr>
      </w:pPr>
      <w:r w:rsidRPr="00C555A7">
        <w:rPr>
          <w:lang w:val="en-GB"/>
        </w:rPr>
        <w:lastRenderedPageBreak/>
        <w:t>Critical analysis of the opportunities and challenges of the forces in shaping the business environment of the industry</w:t>
      </w:r>
    </w:p>
    <w:p w14:paraId="7CB1F130" w14:textId="77777777" w:rsidR="00804AD9" w:rsidRPr="00C555A7" w:rsidRDefault="00804AD9" w:rsidP="00804AD9">
      <w:pPr>
        <w:rPr>
          <w:lang w:val="en-GB"/>
        </w:rPr>
      </w:pPr>
      <w:r w:rsidRPr="00C555A7">
        <w:rPr>
          <w:lang w:val="en-GB"/>
        </w:rPr>
        <w:t xml:space="preserve">The opportunities of the industry involved in manufacturing cars are multifarious. The green marketing concept has been adopted in the industry. As illustrated by </w:t>
      </w:r>
      <w:proofErr w:type="spellStart"/>
      <w:r w:rsidRPr="00C555A7">
        <w:rPr>
          <w:lang w:val="en-GB"/>
        </w:rPr>
        <w:t>Laju</w:t>
      </w:r>
      <w:proofErr w:type="spellEnd"/>
      <w:r w:rsidRPr="00C555A7">
        <w:rPr>
          <w:lang w:val="en-GB"/>
        </w:rPr>
        <w:t xml:space="preserve">, (2019), the Hyundai Company from Korea has adopted zero waste in the discharge system of water used for manufacturing. The environment management system comprises of the plan for reducing greenhouse gas emission, and other discharge of pollutants. Bajaj Auto emerged with the </w:t>
      </w:r>
      <w:proofErr w:type="spellStart"/>
      <w:r w:rsidRPr="00C555A7">
        <w:rPr>
          <w:lang w:val="en-GB"/>
        </w:rPr>
        <w:t>DTSi</w:t>
      </w:r>
      <w:proofErr w:type="spellEnd"/>
      <w:r w:rsidRPr="00C555A7">
        <w:rPr>
          <w:lang w:val="en-GB"/>
        </w:rPr>
        <w:t xml:space="preserve"> (Digital Twin Spark Emission) technology that provides high efficacy in the consumption of fuel. The expansion of markets in Asia and America is considered one of the lucrative opportunities for the manufacturers of car companies.</w:t>
      </w:r>
    </w:p>
    <w:p w14:paraId="517EB1D4" w14:textId="77777777" w:rsidR="00804AD9" w:rsidRPr="00C555A7" w:rsidRDefault="00804AD9" w:rsidP="00804AD9">
      <w:pPr>
        <w:rPr>
          <w:lang w:val="en-GB"/>
        </w:rPr>
      </w:pPr>
      <w:r w:rsidRPr="00C555A7">
        <w:rPr>
          <w:lang w:val="en-GB"/>
        </w:rPr>
        <w:t xml:space="preserve">The challenges recognised for the upsurge of this industry emerges as obstacles like overcapacity of the companies investing more materials and payroll, the sustainability of the models produced by the companies, spare parts production, and engaging skilled talents to innovate better models with constant changes in the taste and preferences of the consumers (Covarrubias and Perez, 2019). The trade unions, geographical challenges and policies of the government become obstacles in the flourishing of the car companies at various international locations. </w:t>
      </w:r>
    </w:p>
    <w:p w14:paraId="0478E15E" w14:textId="77777777" w:rsidR="00804AD9" w:rsidRPr="00C555A7" w:rsidRDefault="00804AD9" w:rsidP="00804AD9">
      <w:pPr>
        <w:pStyle w:val="Heading2"/>
        <w:rPr>
          <w:lang w:val="en-GB"/>
        </w:rPr>
      </w:pPr>
      <w:r w:rsidRPr="00C555A7">
        <w:rPr>
          <w:lang w:val="en-GB"/>
        </w:rPr>
        <w:t>Porter’s Five Forces Model</w:t>
      </w:r>
    </w:p>
    <w:p w14:paraId="2C6A9456" w14:textId="77777777" w:rsidR="00804AD9" w:rsidRPr="00C555A7" w:rsidRDefault="00804AD9" w:rsidP="00804AD9">
      <w:pPr>
        <w:rPr>
          <w:lang w:val="en-GB"/>
        </w:rPr>
      </w:pPr>
      <w:r w:rsidRPr="00C555A7">
        <w:rPr>
          <w:lang w:val="en-GB"/>
        </w:rPr>
        <w:t>The analytical tool proposed by Michael Porter helps in evaluating the competitive advantage of the companies through five forces.</w:t>
      </w:r>
    </w:p>
    <w:p w14:paraId="0FC98222" w14:textId="77777777" w:rsidR="00804AD9" w:rsidRPr="00C555A7" w:rsidRDefault="00804AD9" w:rsidP="00804AD9">
      <w:pPr>
        <w:rPr>
          <w:b/>
          <w:i/>
          <w:lang w:val="en-GB"/>
        </w:rPr>
      </w:pPr>
      <w:r w:rsidRPr="00C555A7">
        <w:rPr>
          <w:b/>
          <w:i/>
          <w:lang w:val="en-GB"/>
        </w:rPr>
        <w:t>The threat of new entrants in the market</w:t>
      </w:r>
    </w:p>
    <w:p w14:paraId="4092127E" w14:textId="77777777" w:rsidR="00804AD9" w:rsidRPr="00C555A7" w:rsidRDefault="00804AD9" w:rsidP="00804AD9">
      <w:pPr>
        <w:rPr>
          <w:lang w:val="en-GB"/>
        </w:rPr>
      </w:pPr>
      <w:r w:rsidRPr="00C555A7">
        <w:rPr>
          <w:lang w:val="en-GB"/>
        </w:rPr>
        <w:t xml:space="preserve">The new brands in car manufacturing face obstacles in the entry. Hence, the assumed threat from the entrants is low in this industry (Bhatia, 2016). The product engineering and delivering the best model in the competitive market needs substantial financial and human resource investment which becomes difficult for the start-up companies.  </w:t>
      </w:r>
    </w:p>
    <w:p w14:paraId="3EDC31D5" w14:textId="77777777" w:rsidR="00804AD9" w:rsidRPr="00C555A7" w:rsidRDefault="00804AD9" w:rsidP="00804AD9">
      <w:pPr>
        <w:rPr>
          <w:b/>
          <w:i/>
          <w:lang w:val="en-GB"/>
        </w:rPr>
      </w:pPr>
      <w:r w:rsidRPr="00C555A7">
        <w:rPr>
          <w:b/>
          <w:i/>
          <w:lang w:val="en-GB"/>
        </w:rPr>
        <w:t>Bargaining power of the buyers</w:t>
      </w:r>
    </w:p>
    <w:p w14:paraId="20708BDA" w14:textId="77777777" w:rsidR="00804AD9" w:rsidRPr="00C555A7" w:rsidRDefault="00804AD9" w:rsidP="00804AD9">
      <w:pPr>
        <w:rPr>
          <w:lang w:val="en-GB"/>
        </w:rPr>
      </w:pPr>
      <w:r w:rsidRPr="00C555A7">
        <w:rPr>
          <w:lang w:val="en-GB"/>
        </w:rPr>
        <w:t xml:space="preserve">The bargaining power of the buyers is considered sufficiently strong to influence the companies. The options of switching brand or changing totally towards the new mode of transportation are quite common. The customers prefer lower end prices with best quality model offered by the companies. </w:t>
      </w:r>
    </w:p>
    <w:p w14:paraId="18B1EB03" w14:textId="77777777" w:rsidR="00804AD9" w:rsidRPr="00C555A7" w:rsidRDefault="00804AD9" w:rsidP="00804AD9">
      <w:pPr>
        <w:jc w:val="center"/>
        <w:rPr>
          <w:lang w:val="en-GB"/>
        </w:rPr>
      </w:pPr>
      <w:r w:rsidRPr="00C555A7">
        <w:rPr>
          <w:noProof/>
          <w:lang w:val="en-GB"/>
        </w:rPr>
        <w:lastRenderedPageBreak/>
        <w:drawing>
          <wp:inline distT="0" distB="0" distL="0" distR="0" wp14:anchorId="15A6FC8A" wp14:editId="4232F0E8">
            <wp:extent cx="3990975" cy="3990975"/>
            <wp:effectExtent l="19050" t="19050" r="28575" b="28575"/>
            <wp:docPr id="3" name="Picture 1" descr="Auto Industry | Five Forces Analysis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24718" name="Picture 1" descr="Auto Industry | Five Forces Analysis Template"/>
                    <pic:cNvPicPr>
                      <a:picLocks noChangeAspect="1" noChangeArrowheads="1"/>
                    </pic:cNvPicPr>
                  </pic:nvPicPr>
                  <pic:blipFill>
                    <a:blip r:embed="rId8"/>
                    <a:stretch>
                      <a:fillRect/>
                    </a:stretch>
                  </pic:blipFill>
                  <pic:spPr bwMode="auto">
                    <a:xfrm>
                      <a:off x="0" y="0"/>
                      <a:ext cx="3990975" cy="3990975"/>
                    </a:xfrm>
                    <a:prstGeom prst="rect">
                      <a:avLst/>
                    </a:prstGeom>
                    <a:noFill/>
                    <a:ln w="19050">
                      <a:solidFill>
                        <a:schemeClr val="tx1"/>
                      </a:solidFill>
                      <a:miter lim="800000"/>
                      <a:headEnd/>
                      <a:tailEnd/>
                    </a:ln>
                  </pic:spPr>
                </pic:pic>
              </a:graphicData>
            </a:graphic>
          </wp:inline>
        </w:drawing>
      </w:r>
    </w:p>
    <w:p w14:paraId="7C918A22" w14:textId="77777777" w:rsidR="00804AD9" w:rsidRPr="00C555A7" w:rsidRDefault="00804AD9" w:rsidP="00804AD9">
      <w:pPr>
        <w:spacing w:line="240" w:lineRule="auto"/>
        <w:jc w:val="center"/>
        <w:rPr>
          <w:b/>
          <w:i/>
          <w:lang w:val="en-GB"/>
        </w:rPr>
      </w:pPr>
      <w:r w:rsidRPr="00C555A7">
        <w:rPr>
          <w:b/>
          <w:i/>
          <w:lang w:val="en-GB"/>
        </w:rPr>
        <w:t>Figure 3: The depiction of Porter's Five Forces Model in the car manufacturing company.</w:t>
      </w:r>
    </w:p>
    <w:p w14:paraId="766D3575" w14:textId="77777777" w:rsidR="00804AD9" w:rsidRPr="00C555A7" w:rsidRDefault="00804AD9" w:rsidP="00804AD9">
      <w:pPr>
        <w:spacing w:line="240" w:lineRule="auto"/>
        <w:jc w:val="center"/>
        <w:rPr>
          <w:b/>
          <w:i/>
          <w:lang w:val="en-GB"/>
        </w:rPr>
      </w:pPr>
      <w:r w:rsidRPr="00C555A7">
        <w:rPr>
          <w:b/>
          <w:i/>
          <w:lang w:val="en-GB"/>
        </w:rPr>
        <w:t xml:space="preserve">(Source: </w:t>
      </w:r>
      <w:proofErr w:type="spellStart"/>
      <w:r w:rsidRPr="00C555A7">
        <w:rPr>
          <w:b/>
          <w:i/>
          <w:lang w:val="en-GB"/>
        </w:rPr>
        <w:t>Ariffin</w:t>
      </w:r>
      <w:proofErr w:type="spellEnd"/>
      <w:r w:rsidRPr="00C555A7">
        <w:rPr>
          <w:b/>
          <w:i/>
          <w:lang w:val="en-GB"/>
        </w:rPr>
        <w:t xml:space="preserve"> and </w:t>
      </w:r>
      <w:proofErr w:type="spellStart"/>
      <w:r w:rsidRPr="00C555A7">
        <w:rPr>
          <w:b/>
          <w:i/>
          <w:lang w:val="en-GB"/>
        </w:rPr>
        <w:t>Sahid</w:t>
      </w:r>
      <w:proofErr w:type="spellEnd"/>
      <w:r w:rsidRPr="00C555A7">
        <w:rPr>
          <w:b/>
          <w:i/>
          <w:lang w:val="en-GB"/>
        </w:rPr>
        <w:t>, 2018)</w:t>
      </w:r>
    </w:p>
    <w:p w14:paraId="56A8B420" w14:textId="77777777" w:rsidR="00804AD9" w:rsidRPr="00C555A7" w:rsidRDefault="00804AD9" w:rsidP="00804AD9">
      <w:pPr>
        <w:rPr>
          <w:b/>
          <w:i/>
          <w:lang w:val="en-GB"/>
        </w:rPr>
      </w:pPr>
      <w:r w:rsidRPr="00C555A7">
        <w:rPr>
          <w:b/>
          <w:i/>
          <w:lang w:val="en-GB"/>
        </w:rPr>
        <w:t>Bargaining power of the suppliers</w:t>
      </w:r>
    </w:p>
    <w:p w14:paraId="21131BC0" w14:textId="77777777" w:rsidR="00804AD9" w:rsidRPr="00C555A7" w:rsidRDefault="00804AD9" w:rsidP="00804AD9">
      <w:pPr>
        <w:rPr>
          <w:lang w:val="en-GB"/>
        </w:rPr>
      </w:pPr>
      <w:r w:rsidRPr="00C555A7">
        <w:rPr>
          <w:lang w:val="en-GB"/>
        </w:rPr>
        <w:t xml:space="preserve">The bargaining power of the suppliers is considered adequately low in contrast to that of the buyers. The suppliers cannot pose a threat of forwarding integration as the availability of the raw materials is plenty while the size of the suppliers is small. Hence the companies do not hesitate in switching from one supplier to another as resources are sufficient in availability. </w:t>
      </w:r>
    </w:p>
    <w:p w14:paraId="751C4C58" w14:textId="77777777" w:rsidR="00804AD9" w:rsidRPr="00C555A7" w:rsidRDefault="00804AD9" w:rsidP="00804AD9">
      <w:pPr>
        <w:rPr>
          <w:b/>
          <w:i/>
          <w:lang w:val="en-GB"/>
        </w:rPr>
      </w:pPr>
      <w:r w:rsidRPr="00C555A7">
        <w:rPr>
          <w:b/>
          <w:i/>
          <w:lang w:val="en-GB"/>
        </w:rPr>
        <w:t>The threat of substitute commodities</w:t>
      </w:r>
    </w:p>
    <w:p w14:paraId="59A9C3A1" w14:textId="77777777" w:rsidR="00804AD9" w:rsidRPr="00C555A7" w:rsidRDefault="00804AD9" w:rsidP="00804AD9">
      <w:pPr>
        <w:rPr>
          <w:lang w:val="en-GB"/>
        </w:rPr>
      </w:pPr>
      <w:r w:rsidRPr="00C555A7">
        <w:rPr>
          <w:lang w:val="en-GB"/>
        </w:rPr>
        <w:t>The substitutes considered against the private or commercial cars are train, aircraft, buses and three-wheeled vehicles. These cannot provide the level of comfort which is provided by the cars. Hence the threat from the commodities in substitute is considered low.</w:t>
      </w:r>
    </w:p>
    <w:p w14:paraId="60C2D479" w14:textId="77777777" w:rsidR="00804AD9" w:rsidRPr="00C555A7" w:rsidRDefault="00804AD9" w:rsidP="00804AD9">
      <w:pPr>
        <w:rPr>
          <w:b/>
          <w:i/>
          <w:lang w:val="en-GB"/>
        </w:rPr>
      </w:pPr>
      <w:r w:rsidRPr="00C555A7">
        <w:rPr>
          <w:b/>
          <w:i/>
          <w:lang w:val="en-GB"/>
        </w:rPr>
        <w:t>Competitive rivalry in the market</w:t>
      </w:r>
    </w:p>
    <w:p w14:paraId="2D5E0FC2" w14:textId="77777777" w:rsidR="00804AD9" w:rsidRPr="00C555A7" w:rsidRDefault="00804AD9" w:rsidP="00804AD9">
      <w:pPr>
        <w:rPr>
          <w:lang w:val="en-GB"/>
        </w:rPr>
      </w:pPr>
      <w:r w:rsidRPr="00C555A7">
        <w:rPr>
          <w:lang w:val="en-GB"/>
        </w:rPr>
        <w:t>The competition among the manufacturing companies is substantially high with the intense and influential competitors (</w:t>
      </w:r>
      <w:proofErr w:type="spellStart"/>
      <w:r w:rsidRPr="00C555A7">
        <w:rPr>
          <w:rFonts w:cs="Times New Roman"/>
          <w:color w:val="222222"/>
          <w:szCs w:val="24"/>
          <w:shd w:val="clear" w:color="auto" w:fill="FFFFFF"/>
          <w:lang w:val="en-GB"/>
        </w:rPr>
        <w:t>Ferràs</w:t>
      </w:r>
      <w:proofErr w:type="spellEnd"/>
      <w:r w:rsidRPr="00C555A7">
        <w:rPr>
          <w:rFonts w:cs="Times New Roman"/>
          <w:color w:val="222222"/>
          <w:szCs w:val="24"/>
          <w:shd w:val="clear" w:color="auto" w:fill="FFFFFF"/>
          <w:lang w:val="en-GB"/>
        </w:rPr>
        <w:t>-Hernández et al. 2017).</w:t>
      </w:r>
      <w:r w:rsidRPr="00C555A7">
        <w:rPr>
          <w:lang w:val="en-GB"/>
        </w:rPr>
        <w:t xml:space="preserve"> The rivalry is evident in the R&amp;D, digitalisation and marking the presence of the competitors in the international market. </w:t>
      </w:r>
    </w:p>
    <w:p w14:paraId="0C8F4B3D" w14:textId="77777777" w:rsidR="00804AD9" w:rsidRPr="00C555A7" w:rsidRDefault="00804AD9" w:rsidP="00804AD9">
      <w:pPr>
        <w:pStyle w:val="Heading1"/>
        <w:rPr>
          <w:lang w:val="en-GB"/>
        </w:rPr>
      </w:pPr>
      <w:r w:rsidRPr="00C555A7">
        <w:rPr>
          <w:lang w:val="en-GB"/>
        </w:rPr>
        <w:lastRenderedPageBreak/>
        <w:t>Discussing the Product Life Cycle of the manufacturing industry and positioning while gaining competitive advantage</w:t>
      </w:r>
    </w:p>
    <w:p w14:paraId="70461AC1" w14:textId="77777777" w:rsidR="00804AD9" w:rsidRPr="00C555A7" w:rsidRDefault="00804AD9" w:rsidP="00804AD9">
      <w:pPr>
        <w:rPr>
          <w:lang w:val="en-GB"/>
        </w:rPr>
      </w:pPr>
      <w:r w:rsidRPr="00C555A7">
        <w:rPr>
          <w:lang w:val="en-GB"/>
        </w:rPr>
        <w:t>The product life cycle is determined by the stages through which the models of the cars are introduced and exited. The introduction phase of the various models of the cars enjoys a monopoly market as the product launched is new with the latest technology and built. The growth phase enjoys better sales of the models with reasonable pricing strategies. Here the competition grows intense (</w:t>
      </w:r>
      <w:proofErr w:type="spellStart"/>
      <w:r w:rsidRPr="00C555A7">
        <w:rPr>
          <w:rFonts w:cs="Times New Roman"/>
          <w:color w:val="222222"/>
          <w:szCs w:val="24"/>
          <w:shd w:val="clear" w:color="auto" w:fill="FFFFFF"/>
          <w:lang w:val="en-GB"/>
        </w:rPr>
        <w:t>Kovács</w:t>
      </w:r>
      <w:proofErr w:type="spellEnd"/>
      <w:r w:rsidRPr="00C555A7">
        <w:rPr>
          <w:rFonts w:cs="Times New Roman"/>
          <w:color w:val="222222"/>
          <w:szCs w:val="24"/>
          <w:shd w:val="clear" w:color="auto" w:fill="FFFFFF"/>
          <w:lang w:val="en-GB"/>
        </w:rPr>
        <w:t xml:space="preserve"> and </w:t>
      </w:r>
      <w:proofErr w:type="spellStart"/>
      <w:r w:rsidRPr="00C555A7">
        <w:rPr>
          <w:rFonts w:cs="Times New Roman"/>
          <w:color w:val="222222"/>
          <w:szCs w:val="24"/>
          <w:shd w:val="clear" w:color="auto" w:fill="FFFFFF"/>
          <w:lang w:val="en-GB"/>
        </w:rPr>
        <w:t>Petunin</w:t>
      </w:r>
      <w:proofErr w:type="spellEnd"/>
      <w:r w:rsidRPr="00C555A7">
        <w:rPr>
          <w:rFonts w:cs="Times New Roman"/>
          <w:color w:val="222222"/>
          <w:szCs w:val="24"/>
          <w:shd w:val="clear" w:color="auto" w:fill="FFFFFF"/>
          <w:lang w:val="en-GB"/>
        </w:rPr>
        <w:t>, 2016).</w:t>
      </w:r>
      <w:r w:rsidRPr="00C555A7">
        <w:rPr>
          <w:lang w:val="en-GB"/>
        </w:rPr>
        <w:t xml:space="preserve"> The maturity stage shows the start of saturation in the sales of the models, while profit starts dipping low. The decline stage reflects the outdated models are recalled, and the companies take the decision on remodelling or restricting the models with advanced technology. The value-added segment positioning of the cars in the present scenario is recommended to gain a competitive advantage over other firms. </w:t>
      </w:r>
    </w:p>
    <w:p w14:paraId="4C7D55C6" w14:textId="77777777" w:rsidR="00804AD9" w:rsidRPr="00C555A7" w:rsidRDefault="00804AD9" w:rsidP="00804AD9">
      <w:pPr>
        <w:pStyle w:val="Heading1"/>
        <w:rPr>
          <w:lang w:val="en-GB"/>
        </w:rPr>
      </w:pPr>
      <w:r w:rsidRPr="00C555A7">
        <w:rPr>
          <w:lang w:val="en-GB"/>
        </w:rPr>
        <w:t>Critical evaluation of the reasons for engaging in car manufacturing organisations in international trade</w:t>
      </w:r>
    </w:p>
    <w:p w14:paraId="7F5069EA" w14:textId="77777777" w:rsidR="00804AD9" w:rsidRPr="00C555A7" w:rsidRDefault="00804AD9" w:rsidP="00804AD9">
      <w:pPr>
        <w:rPr>
          <w:lang w:val="en-GB"/>
        </w:rPr>
      </w:pPr>
      <w:r w:rsidRPr="00C555A7">
        <w:rPr>
          <w:lang w:val="en-GB"/>
        </w:rPr>
        <w:t>Internationalisation of the car manufacturing industry has its advantage and disadvantage. As criticised by Thomas, (2019), local selling in the nations of the U.K. and U.S. has been slumped due to BREXIT and the recent outbreak of coronavirus. The last few years the industry has witnessed tumults due to less credit offered by financial institutions to the manufacturers, unemployment in the nations, less demand for private vehicle owing to climate changes, and emission disasters affecting the sales that dipped to 7% in the U.K. in 2018 (</w:t>
      </w:r>
      <w:proofErr w:type="spellStart"/>
      <w:r w:rsidRPr="00C555A7">
        <w:rPr>
          <w:lang w:val="en-GB"/>
        </w:rPr>
        <w:t>Pavelink</w:t>
      </w:r>
      <w:proofErr w:type="spellEnd"/>
      <w:r w:rsidRPr="00C555A7">
        <w:rPr>
          <w:lang w:val="en-GB"/>
        </w:rPr>
        <w:t xml:space="preserve">, 2020). The biggest market in China has witnessed a slump in the economic growth that possibly affected the international trade of car manufacturers across the globe. </w:t>
      </w:r>
    </w:p>
    <w:p w14:paraId="4AFC1FCE" w14:textId="77777777" w:rsidR="00804AD9" w:rsidRPr="00C555A7" w:rsidRDefault="00804AD9" w:rsidP="00804AD9">
      <w:pPr>
        <w:pStyle w:val="Heading1"/>
        <w:rPr>
          <w:lang w:val="en-GB"/>
        </w:rPr>
      </w:pPr>
      <w:r w:rsidRPr="00C555A7">
        <w:rPr>
          <w:lang w:val="en-GB"/>
        </w:rPr>
        <w:t>Conclusion</w:t>
      </w:r>
    </w:p>
    <w:p w14:paraId="455D0DF5" w14:textId="77777777" w:rsidR="00804AD9" w:rsidRPr="00C555A7" w:rsidRDefault="00804AD9" w:rsidP="00804AD9">
      <w:pPr>
        <w:rPr>
          <w:lang w:val="en-GB"/>
        </w:rPr>
      </w:pPr>
      <w:r w:rsidRPr="00C555A7">
        <w:rPr>
          <w:lang w:val="en-GB"/>
        </w:rPr>
        <w:t>In conclusion, it may be portrayed that the models are used to present the current market scenario and the changes witnessed in the functioning of the companies are majorly influenced by the macro and microenvironment elements of the market. The tools used for measuring the competitive advantage gained by the industry supports the growth and development of the existing companies in the cutthroat competition.</w:t>
      </w:r>
    </w:p>
    <w:p w14:paraId="1DED4DF7" w14:textId="77777777" w:rsidR="00804AD9" w:rsidRPr="00C555A7" w:rsidRDefault="00804AD9" w:rsidP="00804AD9">
      <w:pPr>
        <w:spacing w:line="276" w:lineRule="auto"/>
        <w:jc w:val="left"/>
        <w:rPr>
          <w:rFonts w:eastAsiaTheme="majorEastAsia" w:cstheme="majorBidi"/>
          <w:b/>
          <w:bCs/>
          <w:szCs w:val="28"/>
          <w:lang w:val="en-GB"/>
        </w:rPr>
      </w:pPr>
      <w:r w:rsidRPr="00C555A7">
        <w:rPr>
          <w:lang w:val="en-GB"/>
        </w:rPr>
        <w:br w:type="page"/>
      </w:r>
    </w:p>
    <w:p w14:paraId="33D4CE07" w14:textId="77777777" w:rsidR="00804AD9" w:rsidRPr="00C555A7" w:rsidRDefault="00804AD9" w:rsidP="00804AD9">
      <w:pPr>
        <w:pStyle w:val="Heading1"/>
        <w:rPr>
          <w:lang w:val="en-GB"/>
        </w:rPr>
      </w:pPr>
      <w:r w:rsidRPr="00C555A7">
        <w:rPr>
          <w:lang w:val="en-GB"/>
        </w:rPr>
        <w:lastRenderedPageBreak/>
        <w:t xml:space="preserve">References </w:t>
      </w:r>
    </w:p>
    <w:p w14:paraId="05F0BF75" w14:textId="77777777" w:rsidR="00804AD9" w:rsidRPr="00C555A7" w:rsidRDefault="00804AD9" w:rsidP="00804AD9">
      <w:pPr>
        <w:rPr>
          <w:rFonts w:cs="Times New Roman"/>
          <w:color w:val="222222"/>
          <w:szCs w:val="24"/>
          <w:shd w:val="clear" w:color="auto" w:fill="FFFFFF"/>
          <w:lang w:val="en-GB"/>
        </w:rPr>
      </w:pPr>
      <w:r w:rsidRPr="00C555A7">
        <w:rPr>
          <w:rFonts w:cs="Times New Roman"/>
          <w:color w:val="222222"/>
          <w:szCs w:val="24"/>
          <w:shd w:val="clear" w:color="auto" w:fill="FFFFFF"/>
          <w:lang w:val="en-GB"/>
        </w:rPr>
        <w:t xml:space="preserve">Abdi, K., </w:t>
      </w:r>
      <w:proofErr w:type="spellStart"/>
      <w:r w:rsidRPr="00C555A7">
        <w:rPr>
          <w:rFonts w:cs="Times New Roman"/>
          <w:color w:val="222222"/>
          <w:szCs w:val="24"/>
          <w:shd w:val="clear" w:color="auto" w:fill="FFFFFF"/>
          <w:lang w:val="en-GB"/>
        </w:rPr>
        <w:t>Mardani</w:t>
      </w:r>
      <w:proofErr w:type="spellEnd"/>
      <w:r w:rsidRPr="00C555A7">
        <w:rPr>
          <w:rFonts w:cs="Times New Roman"/>
          <w:color w:val="222222"/>
          <w:szCs w:val="24"/>
          <w:shd w:val="clear" w:color="auto" w:fill="FFFFFF"/>
          <w:lang w:val="en-GB"/>
        </w:rPr>
        <w:t xml:space="preserve">, A., </w:t>
      </w:r>
      <w:proofErr w:type="spellStart"/>
      <w:r w:rsidRPr="00C555A7">
        <w:rPr>
          <w:rFonts w:cs="Times New Roman"/>
          <w:color w:val="222222"/>
          <w:szCs w:val="24"/>
          <w:shd w:val="clear" w:color="auto" w:fill="FFFFFF"/>
          <w:lang w:val="en-GB"/>
        </w:rPr>
        <w:t>Senin</w:t>
      </w:r>
      <w:proofErr w:type="spellEnd"/>
      <w:r w:rsidRPr="00C555A7">
        <w:rPr>
          <w:rFonts w:cs="Times New Roman"/>
          <w:color w:val="222222"/>
          <w:szCs w:val="24"/>
          <w:shd w:val="clear" w:color="auto" w:fill="FFFFFF"/>
          <w:lang w:val="en-GB"/>
        </w:rPr>
        <w:t xml:space="preserve">, A.A., </w:t>
      </w:r>
      <w:proofErr w:type="spellStart"/>
      <w:r w:rsidRPr="00C555A7">
        <w:rPr>
          <w:rFonts w:cs="Times New Roman"/>
          <w:color w:val="222222"/>
          <w:szCs w:val="24"/>
          <w:shd w:val="clear" w:color="auto" w:fill="FFFFFF"/>
          <w:lang w:val="en-GB"/>
        </w:rPr>
        <w:t>Tupenaite</w:t>
      </w:r>
      <w:proofErr w:type="spellEnd"/>
      <w:r w:rsidRPr="00C555A7">
        <w:rPr>
          <w:rFonts w:cs="Times New Roman"/>
          <w:color w:val="222222"/>
          <w:szCs w:val="24"/>
          <w:shd w:val="clear" w:color="auto" w:fill="FFFFFF"/>
          <w:lang w:val="en-GB"/>
        </w:rPr>
        <w:t xml:space="preserve">, L., </w:t>
      </w:r>
      <w:proofErr w:type="spellStart"/>
      <w:r w:rsidRPr="00C555A7">
        <w:rPr>
          <w:rFonts w:cs="Times New Roman"/>
          <w:color w:val="222222"/>
          <w:szCs w:val="24"/>
          <w:shd w:val="clear" w:color="auto" w:fill="FFFFFF"/>
          <w:lang w:val="en-GB"/>
        </w:rPr>
        <w:t>Naimaviciene</w:t>
      </w:r>
      <w:proofErr w:type="spellEnd"/>
      <w:r w:rsidRPr="00C555A7">
        <w:rPr>
          <w:rFonts w:cs="Times New Roman"/>
          <w:color w:val="222222"/>
          <w:szCs w:val="24"/>
          <w:shd w:val="clear" w:color="auto" w:fill="FFFFFF"/>
          <w:lang w:val="en-GB"/>
        </w:rPr>
        <w:t xml:space="preserve">, J., </w:t>
      </w:r>
      <w:proofErr w:type="spellStart"/>
      <w:r w:rsidRPr="00C555A7">
        <w:rPr>
          <w:rFonts w:cs="Times New Roman"/>
          <w:color w:val="222222"/>
          <w:szCs w:val="24"/>
          <w:shd w:val="clear" w:color="auto" w:fill="FFFFFF"/>
          <w:lang w:val="en-GB"/>
        </w:rPr>
        <w:t>Kanapeckiene</w:t>
      </w:r>
      <w:proofErr w:type="spellEnd"/>
      <w:r w:rsidRPr="00C555A7">
        <w:rPr>
          <w:rFonts w:cs="Times New Roman"/>
          <w:color w:val="222222"/>
          <w:szCs w:val="24"/>
          <w:shd w:val="clear" w:color="auto" w:fill="FFFFFF"/>
          <w:lang w:val="en-GB"/>
        </w:rPr>
        <w:t xml:space="preserve">, L. and </w:t>
      </w:r>
      <w:proofErr w:type="spellStart"/>
      <w:r w:rsidRPr="00C555A7">
        <w:rPr>
          <w:rFonts w:cs="Times New Roman"/>
          <w:color w:val="222222"/>
          <w:szCs w:val="24"/>
          <w:shd w:val="clear" w:color="auto" w:fill="FFFFFF"/>
          <w:lang w:val="en-GB"/>
        </w:rPr>
        <w:t>Kutut</w:t>
      </w:r>
      <w:proofErr w:type="spellEnd"/>
      <w:r w:rsidRPr="00C555A7">
        <w:rPr>
          <w:rFonts w:cs="Times New Roman"/>
          <w:color w:val="222222"/>
          <w:szCs w:val="24"/>
          <w:shd w:val="clear" w:color="auto" w:fill="FFFFFF"/>
          <w:lang w:val="en-GB"/>
        </w:rPr>
        <w:t xml:space="preserve">, V., (2018). The effect of knowledge management, organisational culture and organisational learning on innovation in automotive industry. </w:t>
      </w:r>
      <w:r w:rsidRPr="00C555A7">
        <w:rPr>
          <w:rFonts w:cs="Times New Roman"/>
          <w:i/>
          <w:iCs/>
          <w:color w:val="222222"/>
          <w:szCs w:val="24"/>
          <w:shd w:val="clear" w:color="auto" w:fill="FFFFFF"/>
          <w:lang w:val="en-GB"/>
        </w:rPr>
        <w:t>Journal of Business Economics and Management</w:t>
      </w:r>
      <w:r w:rsidRPr="00C555A7">
        <w:rPr>
          <w:rFonts w:cs="Times New Roman"/>
          <w:color w:val="222222"/>
          <w:szCs w:val="24"/>
          <w:shd w:val="clear" w:color="auto" w:fill="FFFFFF"/>
          <w:lang w:val="en-GB"/>
        </w:rPr>
        <w:t>, </w:t>
      </w:r>
      <w:r w:rsidRPr="00C555A7">
        <w:rPr>
          <w:rFonts w:cs="Times New Roman"/>
          <w:i/>
          <w:iCs/>
          <w:color w:val="222222"/>
          <w:szCs w:val="24"/>
          <w:shd w:val="clear" w:color="auto" w:fill="FFFFFF"/>
          <w:lang w:val="en-GB"/>
        </w:rPr>
        <w:t>19</w:t>
      </w:r>
      <w:r w:rsidRPr="00C555A7">
        <w:rPr>
          <w:rFonts w:cs="Times New Roman"/>
          <w:color w:val="222222"/>
          <w:szCs w:val="24"/>
          <w:shd w:val="clear" w:color="auto" w:fill="FFFFFF"/>
          <w:lang w:val="en-GB"/>
        </w:rPr>
        <w:t>(1), pp.1-19.</w:t>
      </w:r>
    </w:p>
    <w:p w14:paraId="7FEDA7F8" w14:textId="44431CDB"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222222"/>
          <w:szCs w:val="24"/>
          <w:shd w:val="clear" w:color="auto" w:fill="FFFFFF"/>
          <w:lang w:val="en-GB"/>
        </w:rPr>
        <w:t>Andriantsiferana</w:t>
      </w:r>
      <w:proofErr w:type="spellEnd"/>
      <w:r w:rsidRPr="00C555A7">
        <w:rPr>
          <w:rFonts w:cs="Times New Roman"/>
          <w:color w:val="222222"/>
          <w:szCs w:val="24"/>
          <w:shd w:val="clear" w:color="auto" w:fill="FFFFFF"/>
          <w:lang w:val="en-GB"/>
        </w:rPr>
        <w:t xml:space="preserve">, K.M., (2019). Decarbonising the global supply chain: Which fuel alternative should </w:t>
      </w:r>
      <w:proofErr w:type="gramStart"/>
      <w:r w:rsidRPr="00C555A7">
        <w:rPr>
          <w:rFonts w:cs="Times New Roman"/>
          <w:color w:val="222222"/>
          <w:szCs w:val="24"/>
          <w:shd w:val="clear" w:color="auto" w:fill="FFFFFF"/>
          <w:lang w:val="en-GB"/>
        </w:rPr>
        <w:t>shipping</w:t>
      </w:r>
      <w:proofErr w:type="gramEnd"/>
      <w:r w:rsidRPr="00C555A7">
        <w:rPr>
          <w:rFonts w:cs="Times New Roman"/>
          <w:color w:val="222222"/>
          <w:szCs w:val="24"/>
          <w:shd w:val="clear" w:color="auto" w:fill="FFFFFF"/>
          <w:lang w:val="en-GB"/>
        </w:rPr>
        <w:t xml:space="preserve"> companies turn </w:t>
      </w:r>
      <w:r>
        <w:rPr>
          <w:rFonts w:cs="Times New Roman"/>
          <w:color w:val="222222"/>
          <w:szCs w:val="24"/>
          <w:shd w:val="clear" w:color="auto" w:fill="FFFFFF"/>
          <w:lang w:val="en-GB"/>
        </w:rPr>
        <w:t>in</w:t>
      </w:r>
      <w:r w:rsidRPr="00C555A7">
        <w:rPr>
          <w:rFonts w:cs="Times New Roman"/>
          <w:color w:val="222222"/>
          <w:szCs w:val="24"/>
          <w:shd w:val="clear" w:color="auto" w:fill="FFFFFF"/>
          <w:lang w:val="en-GB"/>
        </w:rPr>
        <w:t>to</w:t>
      </w:r>
      <w:r>
        <w:rPr>
          <w:rFonts w:cs="Times New Roman"/>
          <w:color w:val="222222"/>
          <w:szCs w:val="24"/>
          <w:shd w:val="clear" w:color="auto" w:fill="FFFFFF"/>
          <w:lang w:val="en-GB"/>
        </w:rPr>
        <w:t xml:space="preserve"> </w:t>
      </w:r>
      <w:r w:rsidRPr="00C555A7">
        <w:rPr>
          <w:rFonts w:cs="Times New Roman"/>
          <w:color w:val="222222"/>
          <w:szCs w:val="24"/>
          <w:shd w:val="clear" w:color="auto" w:fill="FFFFFF"/>
          <w:lang w:val="en-GB"/>
        </w:rPr>
        <w:t>a feasibility study of the implementation of biofuels.</w:t>
      </w:r>
    </w:p>
    <w:p w14:paraId="5B51C556" w14:textId="77777777"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222222"/>
          <w:szCs w:val="24"/>
          <w:shd w:val="clear" w:color="auto" w:fill="FFFFFF"/>
          <w:lang w:val="en-GB"/>
        </w:rPr>
        <w:t>Ariffin</w:t>
      </w:r>
      <w:proofErr w:type="spellEnd"/>
      <w:r w:rsidRPr="00C555A7">
        <w:rPr>
          <w:rFonts w:cs="Times New Roman"/>
          <w:color w:val="222222"/>
          <w:szCs w:val="24"/>
          <w:shd w:val="clear" w:color="auto" w:fill="FFFFFF"/>
          <w:lang w:val="en-GB"/>
        </w:rPr>
        <w:t xml:space="preserve">, A.S. and </w:t>
      </w:r>
      <w:proofErr w:type="spellStart"/>
      <w:r w:rsidRPr="00C555A7">
        <w:rPr>
          <w:rFonts w:cs="Times New Roman"/>
          <w:color w:val="222222"/>
          <w:szCs w:val="24"/>
          <w:shd w:val="clear" w:color="auto" w:fill="FFFFFF"/>
          <w:lang w:val="en-GB"/>
        </w:rPr>
        <w:t>Sahid</w:t>
      </w:r>
      <w:proofErr w:type="spellEnd"/>
      <w:r w:rsidRPr="00C555A7">
        <w:rPr>
          <w:rFonts w:cs="Times New Roman"/>
          <w:color w:val="222222"/>
          <w:szCs w:val="24"/>
          <w:shd w:val="clear" w:color="auto" w:fill="FFFFFF"/>
          <w:lang w:val="en-GB"/>
        </w:rPr>
        <w:t>, M.L.I., (2018). Competitiveness analysis of ASEAN automotive industry: a comparison between Malaysia and Thailand. </w:t>
      </w:r>
      <w:r w:rsidRPr="00C555A7">
        <w:rPr>
          <w:rFonts w:cs="Times New Roman"/>
          <w:i/>
          <w:iCs/>
          <w:color w:val="222222"/>
          <w:szCs w:val="24"/>
          <w:shd w:val="clear" w:color="auto" w:fill="FFFFFF"/>
          <w:lang w:val="en-GB"/>
        </w:rPr>
        <w:t>Journal of Science, Technology and Innovation Policy</w:t>
      </w:r>
      <w:r w:rsidRPr="00C555A7">
        <w:rPr>
          <w:rFonts w:cs="Times New Roman"/>
          <w:color w:val="222222"/>
          <w:szCs w:val="24"/>
          <w:shd w:val="clear" w:color="auto" w:fill="FFFFFF"/>
          <w:lang w:val="en-GB"/>
        </w:rPr>
        <w:t>, </w:t>
      </w:r>
      <w:r w:rsidRPr="00C555A7">
        <w:rPr>
          <w:rFonts w:cs="Times New Roman"/>
          <w:i/>
          <w:iCs/>
          <w:color w:val="222222"/>
          <w:szCs w:val="24"/>
          <w:shd w:val="clear" w:color="auto" w:fill="FFFFFF"/>
          <w:lang w:val="en-GB"/>
        </w:rPr>
        <w:t>3</w:t>
      </w:r>
      <w:r w:rsidRPr="00C555A7">
        <w:rPr>
          <w:rFonts w:cs="Times New Roman"/>
          <w:color w:val="222222"/>
          <w:szCs w:val="24"/>
          <w:shd w:val="clear" w:color="auto" w:fill="FFFFFF"/>
          <w:lang w:val="en-GB"/>
        </w:rPr>
        <w:t>(2).</w:t>
      </w:r>
    </w:p>
    <w:p w14:paraId="6B0C51FA" w14:textId="77777777" w:rsidR="00804AD9" w:rsidRPr="00C555A7" w:rsidRDefault="00804AD9" w:rsidP="00804AD9">
      <w:pPr>
        <w:rPr>
          <w:rFonts w:cs="Times New Roman"/>
          <w:color w:val="222222"/>
          <w:szCs w:val="24"/>
          <w:shd w:val="clear" w:color="auto" w:fill="FFFFFF"/>
          <w:lang w:val="en-GB"/>
        </w:rPr>
      </w:pPr>
      <w:r w:rsidRPr="00C555A7">
        <w:rPr>
          <w:rFonts w:cs="Times New Roman"/>
          <w:color w:val="222222"/>
          <w:szCs w:val="24"/>
          <w:shd w:val="clear" w:color="auto" w:fill="FFFFFF"/>
          <w:lang w:val="en-GB"/>
        </w:rPr>
        <w:t>Bhatia, J., (2016). Porter's Five Forces Industry Analysis of Indian Passenger Car Industry. </w:t>
      </w:r>
      <w:r w:rsidRPr="00C555A7">
        <w:rPr>
          <w:rFonts w:cs="Times New Roman"/>
          <w:i/>
          <w:iCs/>
          <w:color w:val="222222"/>
          <w:szCs w:val="24"/>
          <w:shd w:val="clear" w:color="auto" w:fill="FFFFFF"/>
          <w:lang w:val="en-GB"/>
        </w:rPr>
        <w:t>Pacific Business Review International</w:t>
      </w:r>
      <w:r w:rsidRPr="00C555A7">
        <w:rPr>
          <w:rFonts w:cs="Times New Roman"/>
          <w:color w:val="222222"/>
          <w:szCs w:val="24"/>
          <w:shd w:val="clear" w:color="auto" w:fill="FFFFFF"/>
          <w:lang w:val="en-GB"/>
        </w:rPr>
        <w:t>, </w:t>
      </w:r>
      <w:r w:rsidRPr="00C555A7">
        <w:rPr>
          <w:rFonts w:cs="Times New Roman"/>
          <w:i/>
          <w:iCs/>
          <w:color w:val="222222"/>
          <w:szCs w:val="24"/>
          <w:shd w:val="clear" w:color="auto" w:fill="FFFFFF"/>
          <w:lang w:val="en-GB"/>
        </w:rPr>
        <w:t>8</w:t>
      </w:r>
      <w:r w:rsidRPr="00C555A7">
        <w:rPr>
          <w:rFonts w:cs="Times New Roman"/>
          <w:color w:val="222222"/>
          <w:szCs w:val="24"/>
          <w:shd w:val="clear" w:color="auto" w:fill="FFFFFF"/>
          <w:lang w:val="en-GB"/>
        </w:rPr>
        <w:t>(7), pp.113-123.</w:t>
      </w:r>
    </w:p>
    <w:p w14:paraId="52B1C693" w14:textId="77777777"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222222"/>
          <w:szCs w:val="24"/>
          <w:shd w:val="clear" w:color="auto" w:fill="FFFFFF"/>
          <w:lang w:val="en-GB"/>
        </w:rPr>
        <w:t>Chodakowska</w:t>
      </w:r>
      <w:proofErr w:type="spellEnd"/>
      <w:r w:rsidRPr="00C555A7">
        <w:rPr>
          <w:rFonts w:cs="Times New Roman"/>
          <w:color w:val="222222"/>
          <w:szCs w:val="24"/>
          <w:shd w:val="clear" w:color="auto" w:fill="FFFFFF"/>
          <w:lang w:val="en-GB"/>
        </w:rPr>
        <w:t>, A., (2018). The mobility revolution in the automobile industry. Electric cars and battery management.</w:t>
      </w:r>
    </w:p>
    <w:p w14:paraId="091BDED5" w14:textId="77777777" w:rsidR="00804AD9" w:rsidRPr="00C555A7" w:rsidRDefault="00804AD9" w:rsidP="00804AD9">
      <w:pPr>
        <w:rPr>
          <w:rFonts w:cs="Times New Roman"/>
          <w:color w:val="222222"/>
          <w:szCs w:val="24"/>
          <w:shd w:val="clear" w:color="auto" w:fill="FFFFFF"/>
          <w:lang w:val="en-GB"/>
        </w:rPr>
      </w:pPr>
      <w:r w:rsidRPr="00C555A7">
        <w:rPr>
          <w:rFonts w:cs="Times New Roman"/>
          <w:color w:val="222222"/>
          <w:szCs w:val="24"/>
          <w:shd w:val="clear" w:color="auto" w:fill="FFFFFF"/>
          <w:lang w:val="en-GB"/>
        </w:rPr>
        <w:t>Coe, N.M. and Yeung, H.W.C., (2019). Global production networks: mapping recent conceptual developments. </w:t>
      </w:r>
      <w:r w:rsidRPr="00C555A7">
        <w:rPr>
          <w:rFonts w:cs="Times New Roman"/>
          <w:i/>
          <w:iCs/>
          <w:color w:val="222222"/>
          <w:szCs w:val="24"/>
          <w:shd w:val="clear" w:color="auto" w:fill="FFFFFF"/>
          <w:lang w:val="en-GB"/>
        </w:rPr>
        <w:t>Journal of Economic Geography</w:t>
      </w:r>
      <w:r w:rsidRPr="00C555A7">
        <w:rPr>
          <w:rFonts w:cs="Times New Roman"/>
          <w:color w:val="222222"/>
          <w:szCs w:val="24"/>
          <w:shd w:val="clear" w:color="auto" w:fill="FFFFFF"/>
          <w:lang w:val="en-GB"/>
        </w:rPr>
        <w:t>, </w:t>
      </w:r>
      <w:r w:rsidRPr="00C555A7">
        <w:rPr>
          <w:rFonts w:cs="Times New Roman"/>
          <w:i/>
          <w:iCs/>
          <w:color w:val="222222"/>
          <w:szCs w:val="24"/>
          <w:shd w:val="clear" w:color="auto" w:fill="FFFFFF"/>
          <w:lang w:val="en-GB"/>
        </w:rPr>
        <w:t>19</w:t>
      </w:r>
      <w:r w:rsidRPr="00C555A7">
        <w:rPr>
          <w:rFonts w:cs="Times New Roman"/>
          <w:color w:val="222222"/>
          <w:szCs w:val="24"/>
          <w:shd w:val="clear" w:color="auto" w:fill="FFFFFF"/>
          <w:lang w:val="en-GB"/>
        </w:rPr>
        <w:t>(4), pp.775-801.</w:t>
      </w:r>
    </w:p>
    <w:p w14:paraId="0D40344D" w14:textId="77777777" w:rsidR="00804AD9" w:rsidRPr="00C555A7" w:rsidRDefault="00804AD9" w:rsidP="00804AD9">
      <w:pPr>
        <w:rPr>
          <w:rFonts w:cs="Times New Roman"/>
          <w:color w:val="222222"/>
          <w:szCs w:val="24"/>
          <w:shd w:val="clear" w:color="auto" w:fill="FFFFFF"/>
          <w:lang w:val="en-GB"/>
        </w:rPr>
      </w:pPr>
      <w:r w:rsidRPr="00C555A7">
        <w:rPr>
          <w:rFonts w:cs="Times New Roman"/>
          <w:color w:val="222222"/>
          <w:szCs w:val="24"/>
          <w:shd w:val="clear" w:color="auto" w:fill="FFFFFF"/>
          <w:lang w:val="en-GB"/>
        </w:rPr>
        <w:t>Covarrubias, A. and Perez, S.M.R. eds., (2019). </w:t>
      </w:r>
      <w:r w:rsidRPr="00C555A7">
        <w:rPr>
          <w:rFonts w:cs="Times New Roman"/>
          <w:i/>
          <w:iCs/>
          <w:color w:val="222222"/>
          <w:szCs w:val="24"/>
          <w:shd w:val="clear" w:color="auto" w:fill="FFFFFF"/>
          <w:lang w:val="en-GB"/>
        </w:rPr>
        <w:t>New Frontiers of the Automobile Industry: Exploring Geographies, Technology, and Institutional Challenges</w:t>
      </w:r>
      <w:r w:rsidRPr="00C555A7">
        <w:rPr>
          <w:rFonts w:cs="Times New Roman"/>
          <w:color w:val="222222"/>
          <w:szCs w:val="24"/>
          <w:shd w:val="clear" w:color="auto" w:fill="FFFFFF"/>
          <w:lang w:val="en-GB"/>
        </w:rPr>
        <w:t>. Springer Nature.</w:t>
      </w:r>
    </w:p>
    <w:p w14:paraId="732313CF" w14:textId="77777777" w:rsidR="00804AD9" w:rsidRPr="00C555A7" w:rsidRDefault="00804AD9" w:rsidP="00804AD9">
      <w:pPr>
        <w:rPr>
          <w:rFonts w:cs="Times New Roman"/>
          <w:color w:val="222222"/>
          <w:szCs w:val="24"/>
          <w:shd w:val="clear" w:color="auto" w:fill="FFFFFF"/>
          <w:lang w:val="en-GB"/>
        </w:rPr>
      </w:pPr>
      <w:r w:rsidRPr="00C555A7">
        <w:rPr>
          <w:rFonts w:cs="Times New Roman"/>
          <w:color w:val="222222"/>
          <w:szCs w:val="24"/>
          <w:shd w:val="clear" w:color="auto" w:fill="FFFFFF"/>
          <w:lang w:val="en-GB"/>
        </w:rPr>
        <w:t xml:space="preserve">D'Costa, A., (2016). Institutional change, industrial logics, and internationalisation. </w:t>
      </w:r>
      <w:r w:rsidRPr="00C555A7">
        <w:rPr>
          <w:rFonts w:cs="Times New Roman"/>
          <w:i/>
          <w:iCs/>
          <w:color w:val="222222"/>
          <w:szCs w:val="24"/>
          <w:shd w:val="clear" w:color="auto" w:fill="FFFFFF"/>
          <w:lang w:val="en-GB"/>
        </w:rPr>
        <w:t>dans Begley J., Coffey D., Donnelly T. &amp; Thornley C.(dir.), Global Economic Crisis and Local Economic Development: International Cases and Policy Responses, New York: Routledge</w:t>
      </w:r>
      <w:r w:rsidRPr="00C555A7">
        <w:rPr>
          <w:rFonts w:cs="Times New Roman"/>
          <w:color w:val="222222"/>
          <w:szCs w:val="24"/>
          <w:shd w:val="clear" w:color="auto" w:fill="FFFFFF"/>
          <w:lang w:val="en-GB"/>
        </w:rPr>
        <w:t>, pp.95-119.</w:t>
      </w:r>
    </w:p>
    <w:p w14:paraId="23BBE1FD" w14:textId="77777777"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222222"/>
          <w:szCs w:val="24"/>
          <w:shd w:val="clear" w:color="auto" w:fill="FFFFFF"/>
          <w:lang w:val="en-GB"/>
        </w:rPr>
        <w:t>Ferràs</w:t>
      </w:r>
      <w:proofErr w:type="spellEnd"/>
      <w:r w:rsidRPr="00C555A7">
        <w:rPr>
          <w:rFonts w:cs="Times New Roman"/>
          <w:color w:val="222222"/>
          <w:szCs w:val="24"/>
          <w:shd w:val="clear" w:color="auto" w:fill="FFFFFF"/>
          <w:lang w:val="en-GB"/>
        </w:rPr>
        <w:t xml:space="preserve">-Hernández, X., </w:t>
      </w:r>
      <w:proofErr w:type="spellStart"/>
      <w:r w:rsidRPr="00C555A7">
        <w:rPr>
          <w:rFonts w:cs="Times New Roman"/>
          <w:color w:val="222222"/>
          <w:szCs w:val="24"/>
          <w:shd w:val="clear" w:color="auto" w:fill="FFFFFF"/>
          <w:lang w:val="en-GB"/>
        </w:rPr>
        <w:t>Tarrats</w:t>
      </w:r>
      <w:proofErr w:type="spellEnd"/>
      <w:r w:rsidRPr="00C555A7">
        <w:rPr>
          <w:rFonts w:cs="Times New Roman"/>
          <w:color w:val="222222"/>
          <w:szCs w:val="24"/>
          <w:shd w:val="clear" w:color="auto" w:fill="FFFFFF"/>
          <w:lang w:val="en-GB"/>
        </w:rPr>
        <w:t xml:space="preserve">-Pons, E. and </w:t>
      </w:r>
      <w:proofErr w:type="spellStart"/>
      <w:r w:rsidRPr="00C555A7">
        <w:rPr>
          <w:rFonts w:cs="Times New Roman"/>
          <w:color w:val="222222"/>
          <w:szCs w:val="24"/>
          <w:shd w:val="clear" w:color="auto" w:fill="FFFFFF"/>
          <w:lang w:val="en-GB"/>
        </w:rPr>
        <w:t>Arimany-Serrat</w:t>
      </w:r>
      <w:proofErr w:type="spellEnd"/>
      <w:r w:rsidRPr="00C555A7">
        <w:rPr>
          <w:rFonts w:cs="Times New Roman"/>
          <w:color w:val="222222"/>
          <w:szCs w:val="24"/>
          <w:shd w:val="clear" w:color="auto" w:fill="FFFFFF"/>
          <w:lang w:val="en-GB"/>
        </w:rPr>
        <w:t>, N., (2017). Disruption in the automotive industry: A Cambrian moment. </w:t>
      </w:r>
      <w:r w:rsidRPr="00C555A7">
        <w:rPr>
          <w:rFonts w:cs="Times New Roman"/>
          <w:i/>
          <w:iCs/>
          <w:color w:val="222222"/>
          <w:szCs w:val="24"/>
          <w:shd w:val="clear" w:color="auto" w:fill="FFFFFF"/>
          <w:lang w:val="en-GB"/>
        </w:rPr>
        <w:t>Business horizons</w:t>
      </w:r>
      <w:r w:rsidRPr="00C555A7">
        <w:rPr>
          <w:rFonts w:cs="Times New Roman"/>
          <w:color w:val="222222"/>
          <w:szCs w:val="24"/>
          <w:shd w:val="clear" w:color="auto" w:fill="FFFFFF"/>
          <w:lang w:val="en-GB"/>
        </w:rPr>
        <w:t>, </w:t>
      </w:r>
      <w:r w:rsidRPr="00C555A7">
        <w:rPr>
          <w:rFonts w:cs="Times New Roman"/>
          <w:i/>
          <w:iCs/>
          <w:color w:val="222222"/>
          <w:szCs w:val="24"/>
          <w:shd w:val="clear" w:color="auto" w:fill="FFFFFF"/>
          <w:lang w:val="en-GB"/>
        </w:rPr>
        <w:t>60</w:t>
      </w:r>
      <w:r w:rsidRPr="00C555A7">
        <w:rPr>
          <w:rFonts w:cs="Times New Roman"/>
          <w:color w:val="222222"/>
          <w:szCs w:val="24"/>
          <w:shd w:val="clear" w:color="auto" w:fill="FFFFFF"/>
          <w:lang w:val="en-GB"/>
        </w:rPr>
        <w:t>(6), pp.855-863.</w:t>
      </w:r>
    </w:p>
    <w:p w14:paraId="79D96F10" w14:textId="77777777" w:rsidR="00804AD9" w:rsidRPr="00C555A7" w:rsidRDefault="00804AD9" w:rsidP="00804AD9">
      <w:pPr>
        <w:rPr>
          <w:rFonts w:cs="Times New Roman"/>
          <w:color w:val="000000"/>
          <w:szCs w:val="24"/>
          <w:shd w:val="clear" w:color="auto" w:fill="FFFFFF"/>
          <w:lang w:val="en-GB"/>
        </w:rPr>
      </w:pPr>
      <w:r w:rsidRPr="00C555A7">
        <w:rPr>
          <w:rFonts w:cs="Times New Roman"/>
          <w:color w:val="000000"/>
          <w:szCs w:val="24"/>
          <w:shd w:val="clear" w:color="auto" w:fill="FFFFFF"/>
          <w:lang w:val="en-GB"/>
        </w:rPr>
        <w:t>Ford, J., (2017). </w:t>
      </w:r>
      <w:r w:rsidRPr="00C555A7">
        <w:rPr>
          <w:rFonts w:cs="Times New Roman"/>
          <w:i/>
          <w:iCs/>
          <w:color w:val="000000"/>
          <w:szCs w:val="24"/>
          <w:shd w:val="clear" w:color="auto" w:fill="FFFFFF"/>
          <w:lang w:val="en-GB"/>
        </w:rPr>
        <w:t xml:space="preserve">Profiting </w:t>
      </w:r>
      <w:proofErr w:type="gramStart"/>
      <w:r w:rsidRPr="00C555A7">
        <w:rPr>
          <w:rFonts w:cs="Times New Roman"/>
          <w:i/>
          <w:iCs/>
          <w:color w:val="000000"/>
          <w:szCs w:val="24"/>
          <w:shd w:val="clear" w:color="auto" w:fill="FFFFFF"/>
          <w:lang w:val="en-GB"/>
        </w:rPr>
        <w:t>From</w:t>
      </w:r>
      <w:proofErr w:type="gramEnd"/>
      <w:r w:rsidRPr="00C555A7">
        <w:rPr>
          <w:rFonts w:cs="Times New Roman"/>
          <w:i/>
          <w:iCs/>
          <w:color w:val="000000"/>
          <w:szCs w:val="24"/>
          <w:shd w:val="clear" w:color="auto" w:fill="FFFFFF"/>
          <w:lang w:val="en-GB"/>
        </w:rPr>
        <w:t xml:space="preserve"> Brexit: </w:t>
      </w:r>
      <w:proofErr w:type="spellStart"/>
      <w:r w:rsidRPr="00C555A7">
        <w:rPr>
          <w:rFonts w:cs="Times New Roman"/>
          <w:i/>
          <w:iCs/>
          <w:color w:val="000000"/>
          <w:szCs w:val="24"/>
          <w:shd w:val="clear" w:color="auto" w:fill="FFFFFF"/>
          <w:lang w:val="en-GB"/>
        </w:rPr>
        <w:t>Mclaren</w:t>
      </w:r>
      <w:proofErr w:type="spellEnd"/>
      <w:r w:rsidRPr="00C555A7">
        <w:rPr>
          <w:rFonts w:cs="Times New Roman"/>
          <w:i/>
          <w:iCs/>
          <w:color w:val="000000"/>
          <w:szCs w:val="24"/>
          <w:shd w:val="clear" w:color="auto" w:fill="FFFFFF"/>
          <w:lang w:val="en-GB"/>
        </w:rPr>
        <w:t xml:space="preserve"> Shifts Supply Chain Back To The UK</w:t>
      </w:r>
      <w:r w:rsidRPr="00C555A7">
        <w:rPr>
          <w:rFonts w:cs="Times New Roman"/>
          <w:color w:val="000000"/>
          <w:szCs w:val="24"/>
          <w:shd w:val="clear" w:color="auto" w:fill="FFFFFF"/>
          <w:lang w:val="en-GB"/>
        </w:rPr>
        <w:t>. [online] Ft.com. Available at: https://www.ft.com/content/b3d67800-9475-11e7-bdfa-eda243196c2c [Accessed 12 August 2020].</w:t>
      </w:r>
    </w:p>
    <w:p w14:paraId="2586B5F2" w14:textId="77777777"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000000"/>
          <w:szCs w:val="24"/>
          <w:shd w:val="clear" w:color="auto" w:fill="FFFFFF"/>
          <w:lang w:val="en-GB"/>
        </w:rPr>
        <w:t>Fulthorpe</w:t>
      </w:r>
      <w:proofErr w:type="spellEnd"/>
      <w:r w:rsidRPr="00C555A7">
        <w:rPr>
          <w:rFonts w:cs="Times New Roman"/>
          <w:color w:val="000000"/>
          <w:szCs w:val="24"/>
          <w:shd w:val="clear" w:color="auto" w:fill="FFFFFF"/>
          <w:lang w:val="en-GB"/>
        </w:rPr>
        <w:t>, M., (2019). [online] Cdn.ihs.com. Available at: http://cdn.ihs.com/www/pdf/AUT-TL-WhitePaper-5.pdf [Accessed 12 August 2020].</w:t>
      </w:r>
    </w:p>
    <w:p w14:paraId="3BFEC594" w14:textId="77777777"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222222"/>
          <w:szCs w:val="24"/>
          <w:shd w:val="clear" w:color="auto" w:fill="FFFFFF"/>
          <w:lang w:val="en-GB"/>
        </w:rPr>
        <w:lastRenderedPageBreak/>
        <w:t>Grinsteins</w:t>
      </w:r>
      <w:proofErr w:type="spellEnd"/>
      <w:r w:rsidRPr="00C555A7">
        <w:rPr>
          <w:rFonts w:cs="Times New Roman"/>
          <w:color w:val="222222"/>
          <w:szCs w:val="24"/>
          <w:shd w:val="clear" w:color="auto" w:fill="FFFFFF"/>
          <w:lang w:val="en-GB"/>
        </w:rPr>
        <w:t xml:space="preserve">, G., (2018). Room </w:t>
      </w:r>
      <w:proofErr w:type="gramStart"/>
      <w:r w:rsidRPr="00C555A7">
        <w:rPr>
          <w:rFonts w:cs="Times New Roman"/>
          <w:color w:val="222222"/>
          <w:szCs w:val="24"/>
          <w:shd w:val="clear" w:color="auto" w:fill="FFFFFF"/>
          <w:lang w:val="en-GB"/>
        </w:rPr>
        <w:t>For</w:t>
      </w:r>
      <w:proofErr w:type="gramEnd"/>
      <w:r w:rsidRPr="00C555A7">
        <w:rPr>
          <w:rFonts w:cs="Times New Roman"/>
          <w:color w:val="222222"/>
          <w:szCs w:val="24"/>
          <w:shd w:val="clear" w:color="auto" w:fill="FFFFFF"/>
          <w:lang w:val="en-GB"/>
        </w:rPr>
        <w:t xml:space="preserve"> Growth In A Time Of Uncertainty: The U.K. Luxury Automotive Industry And Brexit.</w:t>
      </w:r>
    </w:p>
    <w:p w14:paraId="37EE8F3D" w14:textId="77777777"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222222"/>
          <w:szCs w:val="24"/>
          <w:shd w:val="clear" w:color="auto" w:fill="FFFFFF"/>
          <w:lang w:val="en-GB"/>
        </w:rPr>
        <w:t>Kotabe</w:t>
      </w:r>
      <w:proofErr w:type="spellEnd"/>
      <w:r w:rsidRPr="00C555A7">
        <w:rPr>
          <w:rFonts w:cs="Times New Roman"/>
          <w:color w:val="222222"/>
          <w:szCs w:val="24"/>
          <w:shd w:val="clear" w:color="auto" w:fill="FFFFFF"/>
          <w:lang w:val="en-GB"/>
        </w:rPr>
        <w:t xml:space="preserve">, M.M. and </w:t>
      </w:r>
      <w:proofErr w:type="spellStart"/>
      <w:r w:rsidRPr="00C555A7">
        <w:rPr>
          <w:rFonts w:cs="Times New Roman"/>
          <w:color w:val="222222"/>
          <w:szCs w:val="24"/>
          <w:shd w:val="clear" w:color="auto" w:fill="FFFFFF"/>
          <w:lang w:val="en-GB"/>
        </w:rPr>
        <w:t>Helsen</w:t>
      </w:r>
      <w:proofErr w:type="spellEnd"/>
      <w:r w:rsidRPr="00C555A7">
        <w:rPr>
          <w:rFonts w:cs="Times New Roman"/>
          <w:color w:val="222222"/>
          <w:szCs w:val="24"/>
          <w:shd w:val="clear" w:color="auto" w:fill="FFFFFF"/>
          <w:lang w:val="en-GB"/>
        </w:rPr>
        <w:t>, K., (2020). </w:t>
      </w:r>
      <w:r w:rsidRPr="00C555A7">
        <w:rPr>
          <w:rFonts w:cs="Times New Roman"/>
          <w:i/>
          <w:iCs/>
          <w:color w:val="222222"/>
          <w:szCs w:val="24"/>
          <w:shd w:val="clear" w:color="auto" w:fill="FFFFFF"/>
          <w:lang w:val="en-GB"/>
        </w:rPr>
        <w:t>Global marketing management</w:t>
      </w:r>
      <w:r w:rsidRPr="00C555A7">
        <w:rPr>
          <w:rFonts w:cs="Times New Roman"/>
          <w:color w:val="222222"/>
          <w:szCs w:val="24"/>
          <w:shd w:val="clear" w:color="auto" w:fill="FFFFFF"/>
          <w:lang w:val="en-GB"/>
        </w:rPr>
        <w:t>. John Wiley &amp; Sons.</w:t>
      </w:r>
    </w:p>
    <w:p w14:paraId="55F9F425" w14:textId="77777777"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222222"/>
          <w:szCs w:val="24"/>
          <w:shd w:val="clear" w:color="auto" w:fill="FFFFFF"/>
          <w:lang w:val="en-GB"/>
        </w:rPr>
        <w:t>Kovács</w:t>
      </w:r>
      <w:proofErr w:type="spellEnd"/>
      <w:r w:rsidRPr="00C555A7">
        <w:rPr>
          <w:rFonts w:cs="Times New Roman"/>
          <w:color w:val="222222"/>
          <w:szCs w:val="24"/>
          <w:shd w:val="clear" w:color="auto" w:fill="FFFFFF"/>
          <w:lang w:val="en-GB"/>
        </w:rPr>
        <w:t xml:space="preserve">, G.L. and </w:t>
      </w:r>
      <w:proofErr w:type="spellStart"/>
      <w:r w:rsidRPr="00C555A7">
        <w:rPr>
          <w:rFonts w:cs="Times New Roman"/>
          <w:color w:val="222222"/>
          <w:szCs w:val="24"/>
          <w:shd w:val="clear" w:color="auto" w:fill="FFFFFF"/>
          <w:lang w:val="en-GB"/>
        </w:rPr>
        <w:t>Petunin</w:t>
      </w:r>
      <w:proofErr w:type="spellEnd"/>
      <w:r w:rsidRPr="00C555A7">
        <w:rPr>
          <w:rFonts w:cs="Times New Roman"/>
          <w:color w:val="222222"/>
          <w:szCs w:val="24"/>
          <w:shd w:val="clear" w:color="auto" w:fill="FFFFFF"/>
          <w:lang w:val="en-GB"/>
        </w:rPr>
        <w:t>, A., (2016). An information technology view of manufacturing automation-product life-cycle management. </w:t>
      </w:r>
      <w:r w:rsidRPr="00C555A7">
        <w:rPr>
          <w:rFonts w:cs="Times New Roman"/>
          <w:i/>
          <w:iCs/>
          <w:color w:val="222222"/>
          <w:szCs w:val="24"/>
          <w:shd w:val="clear" w:color="auto" w:fill="FFFFFF"/>
          <w:lang w:val="en-GB"/>
        </w:rPr>
        <w:t xml:space="preserve">Pollack </w:t>
      </w:r>
      <w:proofErr w:type="spellStart"/>
      <w:r w:rsidRPr="00C555A7">
        <w:rPr>
          <w:rFonts w:cs="Times New Roman"/>
          <w:i/>
          <w:iCs/>
          <w:color w:val="222222"/>
          <w:szCs w:val="24"/>
          <w:shd w:val="clear" w:color="auto" w:fill="FFFFFF"/>
          <w:lang w:val="en-GB"/>
        </w:rPr>
        <w:t>Periodica</w:t>
      </w:r>
      <w:proofErr w:type="spellEnd"/>
      <w:r w:rsidRPr="00C555A7">
        <w:rPr>
          <w:rFonts w:cs="Times New Roman"/>
          <w:color w:val="222222"/>
          <w:szCs w:val="24"/>
          <w:shd w:val="clear" w:color="auto" w:fill="FFFFFF"/>
          <w:lang w:val="en-GB"/>
        </w:rPr>
        <w:t>, </w:t>
      </w:r>
      <w:r w:rsidRPr="00C555A7">
        <w:rPr>
          <w:rFonts w:cs="Times New Roman"/>
          <w:i/>
          <w:iCs/>
          <w:color w:val="222222"/>
          <w:szCs w:val="24"/>
          <w:shd w:val="clear" w:color="auto" w:fill="FFFFFF"/>
          <w:lang w:val="en-GB"/>
        </w:rPr>
        <w:t>11</w:t>
      </w:r>
      <w:r w:rsidRPr="00C555A7">
        <w:rPr>
          <w:rFonts w:cs="Times New Roman"/>
          <w:color w:val="222222"/>
          <w:szCs w:val="24"/>
          <w:shd w:val="clear" w:color="auto" w:fill="FFFFFF"/>
          <w:lang w:val="en-GB"/>
        </w:rPr>
        <w:t>(2), pp.3-14.</w:t>
      </w:r>
    </w:p>
    <w:p w14:paraId="7118193D" w14:textId="77777777"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222222"/>
          <w:szCs w:val="24"/>
          <w:shd w:val="clear" w:color="auto" w:fill="FFFFFF"/>
          <w:lang w:val="en-GB"/>
        </w:rPr>
        <w:t>Laju</w:t>
      </w:r>
      <w:proofErr w:type="spellEnd"/>
      <w:r w:rsidRPr="00C555A7">
        <w:rPr>
          <w:rFonts w:cs="Times New Roman"/>
          <w:color w:val="222222"/>
          <w:szCs w:val="24"/>
          <w:shd w:val="clear" w:color="auto" w:fill="FFFFFF"/>
          <w:lang w:val="en-GB"/>
        </w:rPr>
        <w:t>, P., (2019). A STUDY TO ANALYSE GREEN MARKETING CONCEPT IN AUTOMOBILE INDUSTRY. </w:t>
      </w:r>
      <w:r w:rsidRPr="00C555A7">
        <w:rPr>
          <w:rFonts w:cs="Times New Roman"/>
          <w:i/>
          <w:iCs/>
          <w:color w:val="222222"/>
          <w:szCs w:val="24"/>
          <w:shd w:val="clear" w:color="auto" w:fill="FFFFFF"/>
          <w:lang w:val="en-GB"/>
        </w:rPr>
        <w:t>Journal of the Gujarat Research Society</w:t>
      </w:r>
      <w:r w:rsidRPr="00C555A7">
        <w:rPr>
          <w:rFonts w:cs="Times New Roman"/>
          <w:color w:val="222222"/>
          <w:szCs w:val="24"/>
          <w:shd w:val="clear" w:color="auto" w:fill="FFFFFF"/>
          <w:lang w:val="en-GB"/>
        </w:rPr>
        <w:t>, </w:t>
      </w:r>
      <w:r w:rsidRPr="00C555A7">
        <w:rPr>
          <w:rFonts w:cs="Times New Roman"/>
          <w:i/>
          <w:iCs/>
          <w:color w:val="222222"/>
          <w:szCs w:val="24"/>
          <w:shd w:val="clear" w:color="auto" w:fill="FFFFFF"/>
          <w:lang w:val="en-GB"/>
        </w:rPr>
        <w:t>21</w:t>
      </w:r>
      <w:r w:rsidRPr="00C555A7">
        <w:rPr>
          <w:rFonts w:cs="Times New Roman"/>
          <w:color w:val="222222"/>
          <w:szCs w:val="24"/>
          <w:shd w:val="clear" w:color="auto" w:fill="FFFFFF"/>
          <w:lang w:val="en-GB"/>
        </w:rPr>
        <w:t>(8), pp.223-233.</w:t>
      </w:r>
    </w:p>
    <w:p w14:paraId="448D2548" w14:textId="77777777" w:rsidR="00804AD9" w:rsidRPr="00C555A7" w:rsidRDefault="00804AD9" w:rsidP="00804AD9">
      <w:pPr>
        <w:rPr>
          <w:rFonts w:cs="Times New Roman"/>
          <w:color w:val="222222"/>
          <w:szCs w:val="24"/>
          <w:shd w:val="clear" w:color="auto" w:fill="FFFFFF"/>
          <w:lang w:val="en-GB"/>
        </w:rPr>
      </w:pPr>
      <w:r w:rsidRPr="00C555A7">
        <w:rPr>
          <w:rFonts w:cs="Times New Roman"/>
          <w:color w:val="222222"/>
          <w:szCs w:val="24"/>
          <w:shd w:val="clear" w:color="auto" w:fill="FFFFFF"/>
          <w:lang w:val="en-GB"/>
        </w:rPr>
        <w:t>Parra, D.C., De Sá, T.H., Monteiro, C.A. and Freudenberg, N., (2018). Automobile, construction and entertainment business sector influences on sedentary lifestyles. </w:t>
      </w:r>
      <w:r w:rsidRPr="00C555A7">
        <w:rPr>
          <w:rFonts w:cs="Times New Roman"/>
          <w:i/>
          <w:iCs/>
          <w:color w:val="222222"/>
          <w:szCs w:val="24"/>
          <w:shd w:val="clear" w:color="auto" w:fill="FFFFFF"/>
          <w:lang w:val="en-GB"/>
        </w:rPr>
        <w:t>Health promotion international</w:t>
      </w:r>
      <w:r w:rsidRPr="00C555A7">
        <w:rPr>
          <w:rFonts w:cs="Times New Roman"/>
          <w:color w:val="222222"/>
          <w:szCs w:val="24"/>
          <w:shd w:val="clear" w:color="auto" w:fill="FFFFFF"/>
          <w:lang w:val="en-GB"/>
        </w:rPr>
        <w:t>, </w:t>
      </w:r>
      <w:r w:rsidRPr="00C555A7">
        <w:rPr>
          <w:rFonts w:cs="Times New Roman"/>
          <w:i/>
          <w:iCs/>
          <w:color w:val="222222"/>
          <w:szCs w:val="24"/>
          <w:shd w:val="clear" w:color="auto" w:fill="FFFFFF"/>
          <w:lang w:val="en-GB"/>
        </w:rPr>
        <w:t>33</w:t>
      </w:r>
      <w:r w:rsidRPr="00C555A7">
        <w:rPr>
          <w:rFonts w:cs="Times New Roman"/>
          <w:color w:val="222222"/>
          <w:szCs w:val="24"/>
          <w:shd w:val="clear" w:color="auto" w:fill="FFFFFF"/>
          <w:lang w:val="en-GB"/>
        </w:rPr>
        <w:t>(2), pp.239-249.</w:t>
      </w:r>
    </w:p>
    <w:p w14:paraId="75DC1930" w14:textId="77777777" w:rsidR="00804AD9" w:rsidRPr="00C555A7" w:rsidRDefault="00804AD9" w:rsidP="00804AD9">
      <w:pPr>
        <w:rPr>
          <w:rFonts w:cs="Times New Roman"/>
          <w:color w:val="222222"/>
          <w:szCs w:val="24"/>
          <w:shd w:val="clear" w:color="auto" w:fill="FFFFFF"/>
          <w:lang w:val="en-GB"/>
        </w:rPr>
      </w:pPr>
      <w:proofErr w:type="spellStart"/>
      <w:r w:rsidRPr="00C555A7">
        <w:rPr>
          <w:rFonts w:cs="Times New Roman"/>
          <w:color w:val="222222"/>
          <w:szCs w:val="24"/>
          <w:shd w:val="clear" w:color="auto" w:fill="FFFFFF"/>
          <w:lang w:val="en-GB"/>
        </w:rPr>
        <w:t>Pavlínek</w:t>
      </w:r>
      <w:proofErr w:type="spellEnd"/>
      <w:r w:rsidRPr="00C555A7">
        <w:rPr>
          <w:rFonts w:cs="Times New Roman"/>
          <w:color w:val="222222"/>
          <w:szCs w:val="24"/>
          <w:shd w:val="clear" w:color="auto" w:fill="FFFFFF"/>
          <w:lang w:val="en-GB"/>
        </w:rPr>
        <w:t xml:space="preserve">, P., (2020). Restructuring and internationalisation of the European automotive industry. </w:t>
      </w:r>
      <w:r w:rsidRPr="00C555A7">
        <w:rPr>
          <w:rFonts w:cs="Times New Roman"/>
          <w:i/>
          <w:iCs/>
          <w:color w:val="222222"/>
          <w:szCs w:val="24"/>
          <w:shd w:val="clear" w:color="auto" w:fill="FFFFFF"/>
          <w:lang w:val="en-GB"/>
        </w:rPr>
        <w:t>Journal of Economic Geography</w:t>
      </w:r>
      <w:r w:rsidRPr="00C555A7">
        <w:rPr>
          <w:rFonts w:cs="Times New Roman"/>
          <w:color w:val="222222"/>
          <w:szCs w:val="24"/>
          <w:shd w:val="clear" w:color="auto" w:fill="FFFFFF"/>
          <w:lang w:val="en-GB"/>
        </w:rPr>
        <w:t>, </w:t>
      </w:r>
      <w:r w:rsidRPr="00C555A7">
        <w:rPr>
          <w:rFonts w:cs="Times New Roman"/>
          <w:i/>
          <w:iCs/>
          <w:color w:val="222222"/>
          <w:szCs w:val="24"/>
          <w:shd w:val="clear" w:color="auto" w:fill="FFFFFF"/>
          <w:lang w:val="en-GB"/>
        </w:rPr>
        <w:t>20</w:t>
      </w:r>
      <w:r w:rsidRPr="00C555A7">
        <w:rPr>
          <w:rFonts w:cs="Times New Roman"/>
          <w:color w:val="222222"/>
          <w:szCs w:val="24"/>
          <w:shd w:val="clear" w:color="auto" w:fill="FFFFFF"/>
          <w:lang w:val="en-GB"/>
        </w:rPr>
        <w:t xml:space="preserve">(2), pp.509-541. </w:t>
      </w:r>
    </w:p>
    <w:p w14:paraId="17BF4512" w14:textId="77777777" w:rsidR="00804AD9" w:rsidRPr="00C555A7" w:rsidRDefault="00804AD9" w:rsidP="00804AD9">
      <w:pPr>
        <w:rPr>
          <w:rFonts w:cs="Times New Roman"/>
          <w:color w:val="000000"/>
          <w:szCs w:val="24"/>
          <w:shd w:val="clear" w:color="auto" w:fill="FFFFFF"/>
          <w:lang w:val="en-GB"/>
        </w:rPr>
      </w:pPr>
      <w:r w:rsidRPr="00C555A7">
        <w:rPr>
          <w:rFonts w:cs="Times New Roman"/>
          <w:color w:val="000000"/>
          <w:szCs w:val="24"/>
          <w:shd w:val="clear" w:color="auto" w:fill="FFFFFF"/>
          <w:lang w:val="en-GB"/>
        </w:rPr>
        <w:t>Thomas, D., (2019). </w:t>
      </w:r>
      <w:r w:rsidRPr="00C555A7">
        <w:rPr>
          <w:rFonts w:cs="Times New Roman"/>
          <w:i/>
          <w:iCs/>
          <w:color w:val="000000"/>
          <w:szCs w:val="24"/>
          <w:shd w:val="clear" w:color="auto" w:fill="FFFFFF"/>
          <w:lang w:val="en-GB"/>
        </w:rPr>
        <w:t xml:space="preserve">Five Reasons </w:t>
      </w:r>
      <w:proofErr w:type="gramStart"/>
      <w:r w:rsidRPr="00C555A7">
        <w:rPr>
          <w:rFonts w:cs="Times New Roman"/>
          <w:i/>
          <w:iCs/>
          <w:color w:val="000000"/>
          <w:szCs w:val="24"/>
          <w:shd w:val="clear" w:color="auto" w:fill="FFFFFF"/>
          <w:lang w:val="en-GB"/>
        </w:rPr>
        <w:t>The</w:t>
      </w:r>
      <w:proofErr w:type="gramEnd"/>
      <w:r w:rsidRPr="00C555A7">
        <w:rPr>
          <w:rFonts w:cs="Times New Roman"/>
          <w:i/>
          <w:iCs/>
          <w:color w:val="000000"/>
          <w:szCs w:val="24"/>
          <w:shd w:val="clear" w:color="auto" w:fill="FFFFFF"/>
          <w:lang w:val="en-GB"/>
        </w:rPr>
        <w:t xml:space="preserve"> Car Industry Is Struggling</w:t>
      </w:r>
      <w:r w:rsidRPr="00C555A7">
        <w:rPr>
          <w:rFonts w:cs="Times New Roman"/>
          <w:color w:val="000000"/>
          <w:szCs w:val="24"/>
          <w:shd w:val="clear" w:color="auto" w:fill="FFFFFF"/>
          <w:lang w:val="en-GB"/>
        </w:rPr>
        <w:t>. [online] BBC News. Available at: https://www.bbc.com/news/business-48545733 [Accessed 13 August 2020].</w:t>
      </w:r>
    </w:p>
    <w:p w14:paraId="3339248C" w14:textId="77777777" w:rsidR="00822807" w:rsidRDefault="00804AD9"/>
    <w:sectPr w:rsidR="00822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B606B"/>
    <w:multiLevelType w:val="hybridMultilevel"/>
    <w:tmpl w:val="42B20B52"/>
    <w:lvl w:ilvl="0" w:tplc="0DFCB7D2">
      <w:start w:val="1"/>
      <w:numFmt w:val="bullet"/>
      <w:lvlText w:val="►"/>
      <w:lvlJc w:val="left"/>
      <w:pPr>
        <w:ind w:left="720" w:hanging="360"/>
      </w:pPr>
      <w:rPr>
        <w:rFonts w:ascii="Times New Roman" w:hAnsi="Times New Roman" w:cs="Times New Roman" w:hint="default"/>
      </w:rPr>
    </w:lvl>
    <w:lvl w:ilvl="1" w:tplc="7B0AC7DC" w:tentative="1">
      <w:start w:val="1"/>
      <w:numFmt w:val="bullet"/>
      <w:lvlText w:val="o"/>
      <w:lvlJc w:val="left"/>
      <w:pPr>
        <w:ind w:left="1440" w:hanging="360"/>
      </w:pPr>
      <w:rPr>
        <w:rFonts w:ascii="Courier New" w:hAnsi="Courier New" w:cs="Courier New" w:hint="default"/>
      </w:rPr>
    </w:lvl>
    <w:lvl w:ilvl="2" w:tplc="D95E65AC" w:tentative="1">
      <w:start w:val="1"/>
      <w:numFmt w:val="bullet"/>
      <w:lvlText w:val=""/>
      <w:lvlJc w:val="left"/>
      <w:pPr>
        <w:ind w:left="2160" w:hanging="360"/>
      </w:pPr>
      <w:rPr>
        <w:rFonts w:ascii="Wingdings" w:hAnsi="Wingdings" w:hint="default"/>
      </w:rPr>
    </w:lvl>
    <w:lvl w:ilvl="3" w:tplc="01EE433E" w:tentative="1">
      <w:start w:val="1"/>
      <w:numFmt w:val="bullet"/>
      <w:lvlText w:val=""/>
      <w:lvlJc w:val="left"/>
      <w:pPr>
        <w:ind w:left="2880" w:hanging="360"/>
      </w:pPr>
      <w:rPr>
        <w:rFonts w:ascii="Symbol" w:hAnsi="Symbol" w:hint="default"/>
      </w:rPr>
    </w:lvl>
    <w:lvl w:ilvl="4" w:tplc="2F0C6012" w:tentative="1">
      <w:start w:val="1"/>
      <w:numFmt w:val="bullet"/>
      <w:lvlText w:val="o"/>
      <w:lvlJc w:val="left"/>
      <w:pPr>
        <w:ind w:left="3600" w:hanging="360"/>
      </w:pPr>
      <w:rPr>
        <w:rFonts w:ascii="Courier New" w:hAnsi="Courier New" w:cs="Courier New" w:hint="default"/>
      </w:rPr>
    </w:lvl>
    <w:lvl w:ilvl="5" w:tplc="2F948878" w:tentative="1">
      <w:start w:val="1"/>
      <w:numFmt w:val="bullet"/>
      <w:lvlText w:val=""/>
      <w:lvlJc w:val="left"/>
      <w:pPr>
        <w:ind w:left="4320" w:hanging="360"/>
      </w:pPr>
      <w:rPr>
        <w:rFonts w:ascii="Wingdings" w:hAnsi="Wingdings" w:hint="default"/>
      </w:rPr>
    </w:lvl>
    <w:lvl w:ilvl="6" w:tplc="C50AB2BA" w:tentative="1">
      <w:start w:val="1"/>
      <w:numFmt w:val="bullet"/>
      <w:lvlText w:val=""/>
      <w:lvlJc w:val="left"/>
      <w:pPr>
        <w:ind w:left="5040" w:hanging="360"/>
      </w:pPr>
      <w:rPr>
        <w:rFonts w:ascii="Symbol" w:hAnsi="Symbol" w:hint="default"/>
      </w:rPr>
    </w:lvl>
    <w:lvl w:ilvl="7" w:tplc="401A7B6C" w:tentative="1">
      <w:start w:val="1"/>
      <w:numFmt w:val="bullet"/>
      <w:lvlText w:val="o"/>
      <w:lvlJc w:val="left"/>
      <w:pPr>
        <w:ind w:left="5760" w:hanging="360"/>
      </w:pPr>
      <w:rPr>
        <w:rFonts w:ascii="Courier New" w:hAnsi="Courier New" w:cs="Courier New" w:hint="default"/>
      </w:rPr>
    </w:lvl>
    <w:lvl w:ilvl="8" w:tplc="3B5EE55A" w:tentative="1">
      <w:start w:val="1"/>
      <w:numFmt w:val="bullet"/>
      <w:lvlText w:val=""/>
      <w:lvlJc w:val="left"/>
      <w:pPr>
        <w:ind w:left="6480" w:hanging="360"/>
      </w:pPr>
      <w:rPr>
        <w:rFonts w:ascii="Wingdings" w:hAnsi="Wingdings" w:hint="default"/>
      </w:rPr>
    </w:lvl>
  </w:abstractNum>
  <w:abstractNum w:abstractNumId="1" w15:restartNumberingAfterBreak="0">
    <w:nsid w:val="08D90AFE"/>
    <w:multiLevelType w:val="hybridMultilevel"/>
    <w:tmpl w:val="DB4A29F6"/>
    <w:lvl w:ilvl="0" w:tplc="21400D1E">
      <w:start w:val="1"/>
      <w:numFmt w:val="bullet"/>
      <w:lvlText w:val="►"/>
      <w:lvlJc w:val="left"/>
      <w:pPr>
        <w:ind w:left="720" w:hanging="360"/>
      </w:pPr>
      <w:rPr>
        <w:rFonts w:ascii="Times New Roman" w:hAnsi="Times New Roman" w:cs="Times New Roman" w:hint="default"/>
      </w:rPr>
    </w:lvl>
    <w:lvl w:ilvl="1" w:tplc="BC523E94" w:tentative="1">
      <w:start w:val="1"/>
      <w:numFmt w:val="bullet"/>
      <w:lvlText w:val="o"/>
      <w:lvlJc w:val="left"/>
      <w:pPr>
        <w:ind w:left="1440" w:hanging="360"/>
      </w:pPr>
      <w:rPr>
        <w:rFonts w:ascii="Courier New" w:hAnsi="Courier New" w:cs="Courier New" w:hint="default"/>
      </w:rPr>
    </w:lvl>
    <w:lvl w:ilvl="2" w:tplc="146E32FC" w:tentative="1">
      <w:start w:val="1"/>
      <w:numFmt w:val="bullet"/>
      <w:lvlText w:val=""/>
      <w:lvlJc w:val="left"/>
      <w:pPr>
        <w:ind w:left="2160" w:hanging="360"/>
      </w:pPr>
      <w:rPr>
        <w:rFonts w:ascii="Wingdings" w:hAnsi="Wingdings" w:hint="default"/>
      </w:rPr>
    </w:lvl>
    <w:lvl w:ilvl="3" w:tplc="41F02034" w:tentative="1">
      <w:start w:val="1"/>
      <w:numFmt w:val="bullet"/>
      <w:lvlText w:val=""/>
      <w:lvlJc w:val="left"/>
      <w:pPr>
        <w:ind w:left="2880" w:hanging="360"/>
      </w:pPr>
      <w:rPr>
        <w:rFonts w:ascii="Symbol" w:hAnsi="Symbol" w:hint="default"/>
      </w:rPr>
    </w:lvl>
    <w:lvl w:ilvl="4" w:tplc="F702969C" w:tentative="1">
      <w:start w:val="1"/>
      <w:numFmt w:val="bullet"/>
      <w:lvlText w:val="o"/>
      <w:lvlJc w:val="left"/>
      <w:pPr>
        <w:ind w:left="3600" w:hanging="360"/>
      </w:pPr>
      <w:rPr>
        <w:rFonts w:ascii="Courier New" w:hAnsi="Courier New" w:cs="Courier New" w:hint="default"/>
      </w:rPr>
    </w:lvl>
    <w:lvl w:ilvl="5" w:tplc="7722E4B6" w:tentative="1">
      <w:start w:val="1"/>
      <w:numFmt w:val="bullet"/>
      <w:lvlText w:val=""/>
      <w:lvlJc w:val="left"/>
      <w:pPr>
        <w:ind w:left="4320" w:hanging="360"/>
      </w:pPr>
      <w:rPr>
        <w:rFonts w:ascii="Wingdings" w:hAnsi="Wingdings" w:hint="default"/>
      </w:rPr>
    </w:lvl>
    <w:lvl w:ilvl="6" w:tplc="D8AE2654" w:tentative="1">
      <w:start w:val="1"/>
      <w:numFmt w:val="bullet"/>
      <w:lvlText w:val=""/>
      <w:lvlJc w:val="left"/>
      <w:pPr>
        <w:ind w:left="5040" w:hanging="360"/>
      </w:pPr>
      <w:rPr>
        <w:rFonts w:ascii="Symbol" w:hAnsi="Symbol" w:hint="default"/>
      </w:rPr>
    </w:lvl>
    <w:lvl w:ilvl="7" w:tplc="CAFCB44C" w:tentative="1">
      <w:start w:val="1"/>
      <w:numFmt w:val="bullet"/>
      <w:lvlText w:val="o"/>
      <w:lvlJc w:val="left"/>
      <w:pPr>
        <w:ind w:left="5760" w:hanging="360"/>
      </w:pPr>
      <w:rPr>
        <w:rFonts w:ascii="Courier New" w:hAnsi="Courier New" w:cs="Courier New" w:hint="default"/>
      </w:rPr>
    </w:lvl>
    <w:lvl w:ilvl="8" w:tplc="5C324620" w:tentative="1">
      <w:start w:val="1"/>
      <w:numFmt w:val="bullet"/>
      <w:lvlText w:val=""/>
      <w:lvlJc w:val="left"/>
      <w:pPr>
        <w:ind w:left="6480" w:hanging="360"/>
      </w:pPr>
      <w:rPr>
        <w:rFonts w:ascii="Wingdings" w:hAnsi="Wingdings" w:hint="default"/>
      </w:rPr>
    </w:lvl>
  </w:abstractNum>
  <w:abstractNum w:abstractNumId="2" w15:restartNumberingAfterBreak="0">
    <w:nsid w:val="2A6F2153"/>
    <w:multiLevelType w:val="hybridMultilevel"/>
    <w:tmpl w:val="4E9633C2"/>
    <w:lvl w:ilvl="0" w:tplc="5438827A">
      <w:start w:val="1"/>
      <w:numFmt w:val="bullet"/>
      <w:lvlText w:val="►"/>
      <w:lvlJc w:val="left"/>
      <w:pPr>
        <w:ind w:left="720" w:hanging="360"/>
      </w:pPr>
      <w:rPr>
        <w:rFonts w:ascii="Times New Roman" w:hAnsi="Times New Roman" w:cs="Times New Roman" w:hint="default"/>
      </w:rPr>
    </w:lvl>
    <w:lvl w:ilvl="1" w:tplc="1AEE95E6" w:tentative="1">
      <w:start w:val="1"/>
      <w:numFmt w:val="bullet"/>
      <w:lvlText w:val="o"/>
      <w:lvlJc w:val="left"/>
      <w:pPr>
        <w:ind w:left="1440" w:hanging="360"/>
      </w:pPr>
      <w:rPr>
        <w:rFonts w:ascii="Courier New" w:hAnsi="Courier New" w:cs="Courier New" w:hint="default"/>
      </w:rPr>
    </w:lvl>
    <w:lvl w:ilvl="2" w:tplc="305237CA" w:tentative="1">
      <w:start w:val="1"/>
      <w:numFmt w:val="bullet"/>
      <w:lvlText w:val=""/>
      <w:lvlJc w:val="left"/>
      <w:pPr>
        <w:ind w:left="2160" w:hanging="360"/>
      </w:pPr>
      <w:rPr>
        <w:rFonts w:ascii="Wingdings" w:hAnsi="Wingdings" w:hint="default"/>
      </w:rPr>
    </w:lvl>
    <w:lvl w:ilvl="3" w:tplc="8FA42340" w:tentative="1">
      <w:start w:val="1"/>
      <w:numFmt w:val="bullet"/>
      <w:lvlText w:val=""/>
      <w:lvlJc w:val="left"/>
      <w:pPr>
        <w:ind w:left="2880" w:hanging="360"/>
      </w:pPr>
      <w:rPr>
        <w:rFonts w:ascii="Symbol" w:hAnsi="Symbol" w:hint="default"/>
      </w:rPr>
    </w:lvl>
    <w:lvl w:ilvl="4" w:tplc="9F3E8042" w:tentative="1">
      <w:start w:val="1"/>
      <w:numFmt w:val="bullet"/>
      <w:lvlText w:val="o"/>
      <w:lvlJc w:val="left"/>
      <w:pPr>
        <w:ind w:left="3600" w:hanging="360"/>
      </w:pPr>
      <w:rPr>
        <w:rFonts w:ascii="Courier New" w:hAnsi="Courier New" w:cs="Courier New" w:hint="default"/>
      </w:rPr>
    </w:lvl>
    <w:lvl w:ilvl="5" w:tplc="DD0A876C" w:tentative="1">
      <w:start w:val="1"/>
      <w:numFmt w:val="bullet"/>
      <w:lvlText w:val=""/>
      <w:lvlJc w:val="left"/>
      <w:pPr>
        <w:ind w:left="4320" w:hanging="360"/>
      </w:pPr>
      <w:rPr>
        <w:rFonts w:ascii="Wingdings" w:hAnsi="Wingdings" w:hint="default"/>
      </w:rPr>
    </w:lvl>
    <w:lvl w:ilvl="6" w:tplc="D2B040CC" w:tentative="1">
      <w:start w:val="1"/>
      <w:numFmt w:val="bullet"/>
      <w:lvlText w:val=""/>
      <w:lvlJc w:val="left"/>
      <w:pPr>
        <w:ind w:left="5040" w:hanging="360"/>
      </w:pPr>
      <w:rPr>
        <w:rFonts w:ascii="Symbol" w:hAnsi="Symbol" w:hint="default"/>
      </w:rPr>
    </w:lvl>
    <w:lvl w:ilvl="7" w:tplc="4BCEB500" w:tentative="1">
      <w:start w:val="1"/>
      <w:numFmt w:val="bullet"/>
      <w:lvlText w:val="o"/>
      <w:lvlJc w:val="left"/>
      <w:pPr>
        <w:ind w:left="5760" w:hanging="360"/>
      </w:pPr>
      <w:rPr>
        <w:rFonts w:ascii="Courier New" w:hAnsi="Courier New" w:cs="Courier New" w:hint="default"/>
      </w:rPr>
    </w:lvl>
    <w:lvl w:ilvl="8" w:tplc="39AE35E0" w:tentative="1">
      <w:start w:val="1"/>
      <w:numFmt w:val="bullet"/>
      <w:lvlText w:val=""/>
      <w:lvlJc w:val="left"/>
      <w:pPr>
        <w:ind w:left="6480" w:hanging="360"/>
      </w:pPr>
      <w:rPr>
        <w:rFonts w:ascii="Wingdings" w:hAnsi="Wingdings" w:hint="default"/>
      </w:rPr>
    </w:lvl>
  </w:abstractNum>
  <w:abstractNum w:abstractNumId="3" w15:restartNumberingAfterBreak="0">
    <w:nsid w:val="65EE1C43"/>
    <w:multiLevelType w:val="hybridMultilevel"/>
    <w:tmpl w:val="EE8ABB44"/>
    <w:lvl w:ilvl="0" w:tplc="55226002">
      <w:start w:val="1"/>
      <w:numFmt w:val="bullet"/>
      <w:lvlText w:val="►"/>
      <w:lvlJc w:val="left"/>
      <w:pPr>
        <w:ind w:left="720" w:hanging="360"/>
      </w:pPr>
      <w:rPr>
        <w:rFonts w:ascii="Times New Roman" w:hAnsi="Times New Roman" w:cs="Times New Roman" w:hint="default"/>
      </w:rPr>
    </w:lvl>
    <w:lvl w:ilvl="1" w:tplc="958A54B8" w:tentative="1">
      <w:start w:val="1"/>
      <w:numFmt w:val="bullet"/>
      <w:lvlText w:val="o"/>
      <w:lvlJc w:val="left"/>
      <w:pPr>
        <w:ind w:left="1440" w:hanging="360"/>
      </w:pPr>
      <w:rPr>
        <w:rFonts w:ascii="Courier New" w:hAnsi="Courier New" w:cs="Courier New" w:hint="default"/>
      </w:rPr>
    </w:lvl>
    <w:lvl w:ilvl="2" w:tplc="A456E688" w:tentative="1">
      <w:start w:val="1"/>
      <w:numFmt w:val="bullet"/>
      <w:lvlText w:val=""/>
      <w:lvlJc w:val="left"/>
      <w:pPr>
        <w:ind w:left="2160" w:hanging="360"/>
      </w:pPr>
      <w:rPr>
        <w:rFonts w:ascii="Wingdings" w:hAnsi="Wingdings" w:hint="default"/>
      </w:rPr>
    </w:lvl>
    <w:lvl w:ilvl="3" w:tplc="B2DE8656" w:tentative="1">
      <w:start w:val="1"/>
      <w:numFmt w:val="bullet"/>
      <w:lvlText w:val=""/>
      <w:lvlJc w:val="left"/>
      <w:pPr>
        <w:ind w:left="2880" w:hanging="360"/>
      </w:pPr>
      <w:rPr>
        <w:rFonts w:ascii="Symbol" w:hAnsi="Symbol" w:hint="default"/>
      </w:rPr>
    </w:lvl>
    <w:lvl w:ilvl="4" w:tplc="3B14BF5A" w:tentative="1">
      <w:start w:val="1"/>
      <w:numFmt w:val="bullet"/>
      <w:lvlText w:val="o"/>
      <w:lvlJc w:val="left"/>
      <w:pPr>
        <w:ind w:left="3600" w:hanging="360"/>
      </w:pPr>
      <w:rPr>
        <w:rFonts w:ascii="Courier New" w:hAnsi="Courier New" w:cs="Courier New" w:hint="default"/>
      </w:rPr>
    </w:lvl>
    <w:lvl w:ilvl="5" w:tplc="87CE699C" w:tentative="1">
      <w:start w:val="1"/>
      <w:numFmt w:val="bullet"/>
      <w:lvlText w:val=""/>
      <w:lvlJc w:val="left"/>
      <w:pPr>
        <w:ind w:left="4320" w:hanging="360"/>
      </w:pPr>
      <w:rPr>
        <w:rFonts w:ascii="Wingdings" w:hAnsi="Wingdings" w:hint="default"/>
      </w:rPr>
    </w:lvl>
    <w:lvl w:ilvl="6" w:tplc="EC2ABB0C" w:tentative="1">
      <w:start w:val="1"/>
      <w:numFmt w:val="bullet"/>
      <w:lvlText w:val=""/>
      <w:lvlJc w:val="left"/>
      <w:pPr>
        <w:ind w:left="5040" w:hanging="360"/>
      </w:pPr>
      <w:rPr>
        <w:rFonts w:ascii="Symbol" w:hAnsi="Symbol" w:hint="default"/>
      </w:rPr>
    </w:lvl>
    <w:lvl w:ilvl="7" w:tplc="3252C414" w:tentative="1">
      <w:start w:val="1"/>
      <w:numFmt w:val="bullet"/>
      <w:lvlText w:val="o"/>
      <w:lvlJc w:val="left"/>
      <w:pPr>
        <w:ind w:left="5760" w:hanging="360"/>
      </w:pPr>
      <w:rPr>
        <w:rFonts w:ascii="Courier New" w:hAnsi="Courier New" w:cs="Courier New" w:hint="default"/>
      </w:rPr>
    </w:lvl>
    <w:lvl w:ilvl="8" w:tplc="CDE8BB7A"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AD9"/>
    <w:rsid w:val="00804AD9"/>
    <w:rsid w:val="00B37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EE3425"/>
  <w15:chartTrackingRefBased/>
  <w15:docId w15:val="{FCA94B10-4A53-DA42-813F-9AB54EE09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AD9"/>
    <w:pPr>
      <w:spacing w:after="200" w:line="360" w:lineRule="auto"/>
      <w:jc w:val="both"/>
    </w:pPr>
    <w:rPr>
      <w:rFonts w:ascii="Times New Roman" w:eastAsiaTheme="minorEastAsia" w:hAnsi="Times New Roman"/>
      <w:szCs w:val="22"/>
      <w:lang w:val="en-US"/>
    </w:rPr>
  </w:style>
  <w:style w:type="paragraph" w:styleId="Heading1">
    <w:name w:val="heading 1"/>
    <w:basedOn w:val="Normal"/>
    <w:next w:val="Normal"/>
    <w:link w:val="Heading1Char"/>
    <w:uiPriority w:val="9"/>
    <w:qFormat/>
    <w:rsid w:val="00804AD9"/>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04AD9"/>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AD9"/>
    <w:rPr>
      <w:rFonts w:ascii="Times New Roman" w:eastAsiaTheme="majorEastAsia" w:hAnsi="Times New Roman" w:cstheme="majorBidi"/>
      <w:b/>
      <w:bCs/>
      <w:szCs w:val="28"/>
      <w:lang w:val="en-US"/>
    </w:rPr>
  </w:style>
  <w:style w:type="character" w:customStyle="1" w:styleId="Heading2Char">
    <w:name w:val="Heading 2 Char"/>
    <w:basedOn w:val="DefaultParagraphFont"/>
    <w:link w:val="Heading2"/>
    <w:uiPriority w:val="9"/>
    <w:rsid w:val="00804AD9"/>
    <w:rPr>
      <w:rFonts w:ascii="Times New Roman" w:eastAsiaTheme="majorEastAsia" w:hAnsi="Times New Roman" w:cstheme="majorBidi"/>
      <w:b/>
      <w:bCs/>
      <w:szCs w:val="26"/>
      <w:lang w:val="en-US"/>
    </w:rPr>
  </w:style>
  <w:style w:type="table" w:styleId="TableGrid">
    <w:name w:val="Table Grid"/>
    <w:basedOn w:val="TableNormal"/>
    <w:uiPriority w:val="59"/>
    <w:rsid w:val="00804AD9"/>
    <w:rPr>
      <w:rFonts w:eastAsiaTheme="minorEastAsia"/>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04A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2546</Words>
  <Characters>14513</Characters>
  <Application>Microsoft Office Word</Application>
  <DocSecurity>0</DocSecurity>
  <Lines>120</Lines>
  <Paragraphs>34</Paragraphs>
  <ScaleCrop>false</ScaleCrop>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Bobos (1921543)</dc:creator>
  <cp:keywords/>
  <dc:description/>
  <cp:lastModifiedBy>Iulia Bobos (1921543)</cp:lastModifiedBy>
  <cp:revision>1</cp:revision>
  <dcterms:created xsi:type="dcterms:W3CDTF">2020-08-19T15:10:00Z</dcterms:created>
  <dcterms:modified xsi:type="dcterms:W3CDTF">2020-08-19T15:18:00Z</dcterms:modified>
</cp:coreProperties>
</file>