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67522FF" w:rsidR="00A80868" w:rsidRPr="003C7DED" w:rsidRDefault="00BA3868" w:rsidP="008C14E9">
            <w:pPr>
              <w:rPr>
                <w:rFonts w:ascii="Arial" w:hAnsi="Arial" w:cs="Arial"/>
                <w:sz w:val="22"/>
                <w:szCs w:val="22"/>
              </w:rPr>
            </w:pPr>
            <w:r w:rsidRPr="00BA3868">
              <w:rPr>
                <w:rFonts w:ascii="Arial" w:hAnsi="Arial" w:cs="Arial"/>
                <w:sz w:val="22"/>
                <w:szCs w:val="22"/>
              </w:rPr>
              <w:t xml:space="preserve">Jasmine </w:t>
            </w:r>
            <w:r w:rsidR="00E60240">
              <w:rPr>
                <w:rFonts w:ascii="Arial" w:hAnsi="Arial" w:cs="Arial"/>
                <w:sz w:val="22"/>
                <w:szCs w:val="22"/>
              </w:rPr>
              <w:t>K</w:t>
            </w:r>
            <w:r w:rsidRPr="00BA3868">
              <w:rPr>
                <w:rFonts w:ascii="Arial" w:hAnsi="Arial" w:cs="Arial"/>
                <w:sz w:val="22"/>
                <w:szCs w:val="22"/>
              </w:rPr>
              <w:t>aur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35D38A08" w:rsidR="00B60A98" w:rsidRPr="003C7DED" w:rsidRDefault="00171C4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BF97C10" w:rsidR="00B60A98" w:rsidRPr="003C7DED" w:rsidRDefault="00171C4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6AD46744" w:rsidR="00A80868" w:rsidRPr="003C7DED" w:rsidRDefault="00967300" w:rsidP="008C14E9">
            <w:pPr>
              <w:rPr>
                <w:rFonts w:ascii="Arial" w:hAnsi="Arial" w:cs="Arial"/>
                <w:sz w:val="22"/>
                <w:szCs w:val="22"/>
              </w:rPr>
            </w:pPr>
            <w:r w:rsidRPr="00967300">
              <w:rPr>
                <w:rFonts w:ascii="Arial" w:hAnsi="Arial" w:cs="Arial"/>
                <w:sz w:val="22"/>
                <w:szCs w:val="22"/>
              </w:rPr>
              <w:t xml:space="preserve">Institute of </w:t>
            </w:r>
            <w:r w:rsidR="00784F66" w:rsidRPr="00967300">
              <w:rPr>
                <w:rFonts w:ascii="Arial" w:hAnsi="Arial" w:cs="Arial"/>
                <w:sz w:val="22"/>
                <w:szCs w:val="22"/>
              </w:rPr>
              <w:t>Inner</w:t>
            </w:r>
            <w:r w:rsidR="00CC29F7">
              <w:rPr>
                <w:rFonts w:ascii="Arial" w:hAnsi="Arial" w:cs="Arial"/>
                <w:sz w:val="22"/>
                <w:szCs w:val="22"/>
              </w:rPr>
              <w:t xml:space="preserve"> </w:t>
            </w:r>
            <w:r w:rsidR="00784F66" w:rsidRPr="00967300">
              <w:rPr>
                <w:rFonts w:ascii="Arial" w:hAnsi="Arial" w:cs="Arial"/>
                <w:sz w:val="22"/>
                <w:szCs w:val="22"/>
              </w:rPr>
              <w:t>City</w:t>
            </w:r>
            <w:r w:rsidRPr="00967300">
              <w:rPr>
                <w:rFonts w:ascii="Arial" w:hAnsi="Arial" w:cs="Arial"/>
                <w:sz w:val="22"/>
                <w:szCs w:val="22"/>
              </w:rPr>
              <w:t xml:space="preserve"> Learning</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0AC003E6" w:rsidR="00A80868" w:rsidRPr="003C7DED" w:rsidRDefault="00EB7AB6" w:rsidP="008C14E9">
            <w:pPr>
              <w:rPr>
                <w:rFonts w:ascii="Arial" w:hAnsi="Arial" w:cs="Arial"/>
                <w:sz w:val="22"/>
                <w:szCs w:val="22"/>
              </w:rPr>
            </w:pPr>
            <w:r w:rsidRPr="00EB7AB6">
              <w:rPr>
                <w:rFonts w:ascii="Arial" w:hAnsi="Arial" w:cs="Arial"/>
                <w:sz w:val="22"/>
                <w:szCs w:val="22"/>
              </w:rPr>
              <w:t>London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01E60920" w:rsidR="00A80868" w:rsidRPr="003C7DED" w:rsidRDefault="000740CD" w:rsidP="008C14E9">
            <w:pPr>
              <w:rPr>
                <w:rFonts w:ascii="Arial" w:hAnsi="Arial" w:cs="Arial"/>
                <w:sz w:val="22"/>
                <w:szCs w:val="22"/>
              </w:rPr>
            </w:pPr>
            <w:r w:rsidRPr="000740CD">
              <w:rPr>
                <w:rFonts w:ascii="Arial" w:hAnsi="Arial" w:cs="Arial"/>
                <w:sz w:val="22"/>
                <w:szCs w:val="22"/>
              </w:rPr>
              <w:t>2222522@student.uwtsd.ac.uk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2A98398" w:rsidR="00A80868" w:rsidRPr="003C7DED" w:rsidRDefault="00B03A70" w:rsidP="008C14E9">
            <w:pPr>
              <w:rPr>
                <w:rFonts w:ascii="Arial" w:hAnsi="Arial" w:cs="Arial"/>
                <w:sz w:val="22"/>
                <w:szCs w:val="22"/>
              </w:rPr>
            </w:pPr>
            <w:r w:rsidRPr="00B03A70">
              <w:rPr>
                <w:rFonts w:ascii="Arial" w:hAnsi="Arial" w:cs="Arial"/>
                <w:sz w:val="22"/>
                <w:szCs w:val="22"/>
              </w:rPr>
              <w:t>+44 7448858926</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3F16A162" w14:textId="77777777" w:rsidR="00AA00CE" w:rsidRPr="001256EA" w:rsidRDefault="00AA00CE" w:rsidP="00117A44">
            <w:pPr>
              <w:rPr>
                <w:b/>
                <w:bCs/>
              </w:rPr>
            </w:pPr>
            <w:r w:rsidRPr="001256EA">
              <w:rPr>
                <w:b/>
                <w:bCs/>
              </w:rPr>
              <w:t>ASSESSING THE HR ROLE IN MANAGING WORK-LIFE BALANCE IN REMOTE AND HYBRID WORKING ENVIRONMENTS</w:t>
            </w:r>
          </w:p>
          <w:p w14:paraId="57B688B4" w14:textId="77777777" w:rsidR="0069797A" w:rsidRPr="003C7DED" w:rsidRDefault="0069797A" w:rsidP="008C14E9">
            <w:pPr>
              <w:rPr>
                <w:rFonts w:ascii="Arial" w:hAnsi="Arial" w:cs="Arial"/>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01375B0" w:rsidR="0069797A" w:rsidRPr="003C7DED" w:rsidRDefault="008D6A63" w:rsidP="008C14E9">
            <w:pPr>
              <w:rPr>
                <w:rFonts w:ascii="Arial" w:hAnsi="Arial" w:cs="Arial"/>
                <w:sz w:val="22"/>
                <w:szCs w:val="22"/>
              </w:rPr>
            </w:pPr>
            <w:r>
              <w:rPr>
                <w:rFonts w:ascii="Arial" w:hAnsi="Arial" w:cs="Arial"/>
                <w:sz w:val="22"/>
                <w:szCs w:val="22"/>
              </w:rPr>
              <w:t>8</w:t>
            </w:r>
            <w:r w:rsidR="00176D00">
              <w:rPr>
                <w:rFonts w:ascii="Arial" w:hAnsi="Arial" w:cs="Arial"/>
                <w:sz w:val="22"/>
                <w:szCs w:val="22"/>
              </w:rPr>
              <w:t>-1</w:t>
            </w:r>
            <w:r>
              <w:rPr>
                <w:rFonts w:ascii="Arial" w:hAnsi="Arial" w:cs="Arial"/>
                <w:sz w:val="22"/>
                <w:szCs w:val="22"/>
              </w:rPr>
              <w:t>1</w:t>
            </w:r>
            <w:r w:rsidR="00176D00">
              <w:rPr>
                <w:rFonts w:ascii="Arial" w:hAnsi="Arial" w:cs="Arial"/>
                <w:sz w:val="22"/>
                <w:szCs w:val="22"/>
              </w:rPr>
              <w:t>-2025</w:t>
            </w:r>
            <w:r w:rsidR="00C23E30">
              <w:rPr>
                <w:rFonts w:ascii="Arial" w:hAnsi="Arial" w:cs="Arial"/>
                <w:sz w:val="22"/>
                <w:szCs w:val="22"/>
              </w:rPr>
              <w:t xml:space="preserve"> </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980E602" w:rsidR="0069797A" w:rsidRPr="003C7DED" w:rsidRDefault="00077E90" w:rsidP="008C14E9">
            <w:pPr>
              <w:rPr>
                <w:rFonts w:ascii="Arial" w:hAnsi="Arial" w:cs="Arial"/>
                <w:sz w:val="22"/>
                <w:szCs w:val="22"/>
              </w:rPr>
            </w:pPr>
            <w:r>
              <w:rPr>
                <w:rFonts w:ascii="Arial" w:hAnsi="Arial" w:cs="Arial"/>
                <w:sz w:val="22"/>
                <w:szCs w:val="22"/>
              </w:rPr>
              <w:t>9</w:t>
            </w:r>
            <w:r w:rsidR="009A7EA7">
              <w:rPr>
                <w:rFonts w:ascii="Arial" w:hAnsi="Arial" w:cs="Arial"/>
                <w:sz w:val="22"/>
                <w:szCs w:val="22"/>
              </w:rPr>
              <w:t>-</w:t>
            </w:r>
            <w:r>
              <w:rPr>
                <w:rFonts w:ascii="Arial" w:hAnsi="Arial" w:cs="Arial"/>
                <w:sz w:val="22"/>
                <w:szCs w:val="22"/>
              </w:rPr>
              <w:t>2</w:t>
            </w:r>
            <w:r w:rsidR="009A7EA7">
              <w:rPr>
                <w:rFonts w:ascii="Arial" w:hAnsi="Arial" w:cs="Arial"/>
                <w:sz w:val="22"/>
                <w:szCs w:val="22"/>
              </w:rPr>
              <w:t>-202</w:t>
            </w:r>
            <w:r w:rsidR="00457DA6">
              <w:rPr>
                <w:rFonts w:ascii="Arial" w:hAnsi="Arial" w:cs="Arial"/>
                <w:sz w:val="22"/>
                <w:szCs w:val="22"/>
              </w:rPr>
              <w:t>6</w:t>
            </w:r>
            <w:r w:rsidR="00E96E4E">
              <w:rPr>
                <w:rFonts w:ascii="Arial" w:hAnsi="Arial" w:cs="Arial"/>
                <w:sz w:val="22"/>
                <w:szCs w:val="22"/>
              </w:rPr>
              <w:t xml:space="preserve"> </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A0CB3C7" w:rsidR="00A80868" w:rsidRPr="003C7DED" w:rsidRDefault="008951DB" w:rsidP="008C14E9">
            <w:pPr>
              <w:rPr>
                <w:rFonts w:ascii="Arial" w:hAnsi="Arial" w:cs="Arial"/>
                <w:sz w:val="22"/>
                <w:szCs w:val="22"/>
              </w:rPr>
            </w:pPr>
            <w:r w:rsidRPr="008951DB">
              <w:rPr>
                <w:rFonts w:ascii="Arial" w:hAnsi="Arial" w:cs="Arial"/>
                <w:sz w:val="22"/>
                <w:szCs w:val="22"/>
              </w:rPr>
              <w:t>2222522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9A05775" w:rsidR="00A80868" w:rsidRPr="003C7DED" w:rsidRDefault="008E362D" w:rsidP="008C14E9">
            <w:pPr>
              <w:rPr>
                <w:rFonts w:ascii="Arial" w:hAnsi="Arial" w:cs="Arial"/>
                <w:sz w:val="22"/>
                <w:szCs w:val="22"/>
              </w:rPr>
            </w:pPr>
            <w:r w:rsidRPr="008E362D">
              <w:rPr>
                <w:rFonts w:ascii="Arial" w:hAnsi="Arial" w:cs="Arial"/>
                <w:sz w:val="22"/>
                <w:szCs w:val="22"/>
              </w:rPr>
              <w:t>BA (Hons) Business Management (London)</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2E255FD" w:rsidR="00A80868" w:rsidRPr="003C7DED" w:rsidRDefault="002C57FE" w:rsidP="008C14E9">
            <w:pPr>
              <w:rPr>
                <w:rFonts w:ascii="Arial" w:hAnsi="Arial" w:cs="Arial"/>
                <w:sz w:val="22"/>
                <w:szCs w:val="22"/>
              </w:rPr>
            </w:pPr>
            <w:r w:rsidRPr="002C57FE">
              <w:rPr>
                <w:rFonts w:ascii="Arial" w:hAnsi="Arial" w:cs="Arial"/>
                <w:sz w:val="22"/>
                <w:szCs w:val="22"/>
              </w:rPr>
              <w:t xml:space="preserve">Anupam </w:t>
            </w:r>
            <w:r>
              <w:rPr>
                <w:rFonts w:ascii="Arial" w:hAnsi="Arial" w:cs="Arial"/>
                <w:sz w:val="22"/>
                <w:szCs w:val="22"/>
              </w:rPr>
              <w:t>M</w:t>
            </w:r>
            <w:r w:rsidRPr="002C57FE">
              <w:rPr>
                <w:rFonts w:ascii="Arial" w:hAnsi="Arial" w:cs="Arial"/>
                <w:sz w:val="22"/>
                <w:szCs w:val="22"/>
              </w:rPr>
              <w:t>azumdar</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7C7AD01" w:rsidR="00F150A6" w:rsidRPr="003C7DED" w:rsidRDefault="00BD68D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4D202A3" w:rsidR="00F150A6" w:rsidRPr="003C7DED" w:rsidRDefault="00BD68D3"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97A8AD6" w:rsidR="00F150A6" w:rsidRPr="003C7DED" w:rsidRDefault="00BD68D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lastRenderedPageBreak/>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DEA59DB" w14:textId="77777777" w:rsidR="004A3145" w:rsidRPr="00D70BAA" w:rsidRDefault="004A3145" w:rsidP="004A3145">
            <w:pPr>
              <w:pStyle w:val="Heading2"/>
              <w:rPr>
                <w:color w:val="000000" w:themeColor="text1"/>
                <w:sz w:val="24"/>
                <w:szCs w:val="24"/>
              </w:rPr>
            </w:pPr>
            <w:bookmarkStart w:id="3" w:name="_Toc216966661"/>
            <w:r w:rsidRPr="00D70BAA">
              <w:rPr>
                <w:color w:val="000000" w:themeColor="text1"/>
                <w:sz w:val="24"/>
                <w:szCs w:val="24"/>
              </w:rPr>
              <w:t>Research Aim</w:t>
            </w:r>
            <w:bookmarkEnd w:id="3"/>
          </w:p>
          <w:p w14:paraId="6285ED84" w14:textId="77777777" w:rsidR="004A3145" w:rsidRPr="00D70BAA" w:rsidRDefault="004A3145" w:rsidP="004A3145">
            <w:pPr>
              <w:spacing w:before="240" w:after="240"/>
              <w:rPr>
                <w:color w:val="000000" w:themeColor="text1"/>
                <w:sz w:val="24"/>
                <w:szCs w:val="24"/>
              </w:rPr>
            </w:pPr>
            <w:r w:rsidRPr="00D70BAA">
              <w:rPr>
                <w:color w:val="000000" w:themeColor="text1"/>
                <w:sz w:val="24"/>
                <w:szCs w:val="24"/>
              </w:rPr>
              <w:t>This research aims to determine the contribution of HR in balancing work life within the hybrid and remote working environment.</w:t>
            </w:r>
          </w:p>
          <w:p w14:paraId="500DFA7F" w14:textId="77777777" w:rsidR="004A3145" w:rsidRPr="00D70BAA" w:rsidRDefault="004A3145" w:rsidP="004A3145">
            <w:pPr>
              <w:pStyle w:val="Heading2"/>
              <w:rPr>
                <w:color w:val="000000" w:themeColor="text1"/>
                <w:sz w:val="24"/>
                <w:szCs w:val="24"/>
              </w:rPr>
            </w:pPr>
            <w:bookmarkStart w:id="4" w:name="_Toc216966662"/>
            <w:r w:rsidRPr="00D70BAA">
              <w:rPr>
                <w:color w:val="000000" w:themeColor="text1"/>
                <w:sz w:val="24"/>
                <w:szCs w:val="24"/>
              </w:rPr>
              <w:t>Research Objectives</w:t>
            </w:r>
            <w:bookmarkEnd w:id="4"/>
          </w:p>
          <w:p w14:paraId="434FAAFC" w14:textId="77777777" w:rsidR="004A3145" w:rsidRPr="00D70BAA" w:rsidRDefault="004A3145" w:rsidP="004A3145">
            <w:pPr>
              <w:pStyle w:val="ListParagraph"/>
              <w:numPr>
                <w:ilvl w:val="0"/>
                <w:numId w:val="14"/>
              </w:numPr>
              <w:spacing w:before="240" w:after="240" w:line="360" w:lineRule="auto"/>
              <w:jc w:val="both"/>
              <w:rPr>
                <w:color w:val="000000" w:themeColor="text1"/>
                <w:sz w:val="24"/>
                <w:szCs w:val="24"/>
              </w:rPr>
            </w:pPr>
            <w:r w:rsidRPr="00D70BAA">
              <w:rPr>
                <w:color w:val="000000" w:themeColor="text1"/>
                <w:sz w:val="24"/>
                <w:szCs w:val="24"/>
              </w:rPr>
              <w:t>To understand the context of HR in managing work-life balance in a hybrid and remote working environment</w:t>
            </w:r>
          </w:p>
          <w:p w14:paraId="625F5F02" w14:textId="77777777" w:rsidR="004A3145" w:rsidRPr="00D70BAA" w:rsidRDefault="004A3145" w:rsidP="004A3145">
            <w:pPr>
              <w:pStyle w:val="ListParagraph"/>
              <w:numPr>
                <w:ilvl w:val="0"/>
                <w:numId w:val="14"/>
              </w:numPr>
              <w:spacing w:before="240" w:after="240" w:line="360" w:lineRule="auto"/>
              <w:jc w:val="both"/>
              <w:rPr>
                <w:color w:val="000000" w:themeColor="text1"/>
                <w:sz w:val="24"/>
                <w:szCs w:val="24"/>
              </w:rPr>
            </w:pPr>
            <w:r w:rsidRPr="00D70BAA">
              <w:rPr>
                <w:color w:val="000000" w:themeColor="text1"/>
                <w:sz w:val="24"/>
                <w:szCs w:val="24"/>
              </w:rPr>
              <w:t>To identify the issues and challenges that are considered by HR in managing work-life balance in a hybrid and remote working environment</w:t>
            </w:r>
          </w:p>
          <w:p w14:paraId="7FCCCB48" w14:textId="77777777" w:rsidR="004A3145" w:rsidRPr="00D70BAA" w:rsidRDefault="004A3145" w:rsidP="004A3145">
            <w:pPr>
              <w:pStyle w:val="ListParagraph"/>
              <w:numPr>
                <w:ilvl w:val="0"/>
                <w:numId w:val="14"/>
              </w:numPr>
              <w:spacing w:before="240" w:after="240" w:line="360" w:lineRule="auto"/>
              <w:jc w:val="both"/>
              <w:rPr>
                <w:color w:val="000000" w:themeColor="text1"/>
                <w:sz w:val="24"/>
                <w:szCs w:val="24"/>
              </w:rPr>
            </w:pPr>
            <w:r w:rsidRPr="00D70BAA">
              <w:rPr>
                <w:color w:val="000000" w:themeColor="text1"/>
                <w:sz w:val="24"/>
                <w:szCs w:val="24"/>
              </w:rPr>
              <w:t>To assess the impact that HR faces in managing the work-life balance in a hybrid and remote working environment</w:t>
            </w:r>
          </w:p>
          <w:p w14:paraId="6E9F7726" w14:textId="77777777" w:rsidR="004A3145" w:rsidRPr="00D70BAA" w:rsidRDefault="004A3145" w:rsidP="004A3145">
            <w:pPr>
              <w:pStyle w:val="ListParagraph"/>
              <w:numPr>
                <w:ilvl w:val="0"/>
                <w:numId w:val="14"/>
              </w:numPr>
              <w:spacing w:before="240" w:after="240" w:line="360" w:lineRule="auto"/>
              <w:jc w:val="both"/>
              <w:rPr>
                <w:color w:val="000000" w:themeColor="text1"/>
                <w:sz w:val="24"/>
                <w:szCs w:val="24"/>
              </w:rPr>
            </w:pPr>
            <w:r w:rsidRPr="00D70BAA">
              <w:rPr>
                <w:color w:val="000000" w:themeColor="text1"/>
                <w:sz w:val="24"/>
                <w:szCs w:val="24"/>
              </w:rPr>
              <w:t xml:space="preserve">To develop a theoretical framework to address issues and challenges faced by the HR in balancing hybrid and remote working environment. </w:t>
            </w:r>
          </w:p>
          <w:p w14:paraId="1F851057" w14:textId="00FE3B08" w:rsidR="003F1A54" w:rsidRPr="00A44560" w:rsidRDefault="003F1A54" w:rsidP="004A3145">
            <w:pPr>
              <w:spacing w:before="240" w:after="240" w:line="360" w:lineRule="auto"/>
              <w:jc w:val="both"/>
              <w:rPr>
                <w:sz w:val="24"/>
                <w:szCs w:val="24"/>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0CFF8E6C" w14:textId="77777777" w:rsidR="000179F7" w:rsidRPr="000F1DE9" w:rsidRDefault="000179F7" w:rsidP="000179F7">
            <w:pPr>
              <w:spacing w:before="240" w:after="240"/>
              <w:rPr>
                <w:b/>
                <w:bCs/>
                <w:color w:val="000000" w:themeColor="text1"/>
                <w:sz w:val="24"/>
                <w:szCs w:val="24"/>
              </w:rPr>
            </w:pPr>
            <w:r w:rsidRPr="000F1DE9">
              <w:rPr>
                <w:color w:val="000000" w:themeColor="text1"/>
                <w:sz w:val="24"/>
                <w:szCs w:val="24"/>
              </w:rPr>
              <w:lastRenderedPageBreak/>
              <w:t>Functions of Human Resource (HR) possess a key role in the management of work–life balance in hybrid and remote working environment. HR is accountable for initiating flexible policies, calculating the distribution of equitable workload, and ensuring that staff possess autonomy over schedules. They encourage digital welfare by setting clear norms of communication, preventing overwork, and supporting healthy boundaries amidst professional and personal life. HR bestows access to assistance programmes for employees, support for mental health, and training on management of time. By providing managers with proficiencies for supporting distributed teams, as well as working in the inclusive culture of the trust, HR ensures that hybrid and remote work arrangements improve.</w:t>
            </w:r>
          </w:p>
          <w:p w14:paraId="127A9B1A" w14:textId="77777777" w:rsidR="000179F7" w:rsidRPr="000F1DE9" w:rsidRDefault="000179F7" w:rsidP="000179F7">
            <w:pPr>
              <w:spacing w:before="240" w:after="240"/>
              <w:rPr>
                <w:color w:val="000000" w:themeColor="text1"/>
                <w:sz w:val="24"/>
                <w:szCs w:val="24"/>
              </w:rPr>
            </w:pPr>
            <w:r w:rsidRPr="000F1DE9">
              <w:rPr>
                <w:color w:val="000000" w:themeColor="text1"/>
                <w:sz w:val="24"/>
                <w:szCs w:val="24"/>
              </w:rPr>
              <w:t>This study underpins how the practices of Human Resource (HR) should evolve for protecting employee welfare in expandingly hybrid, and remote work surroundings. As the flexible work has been an enduring organisational strategy, acknowledging the role of HR in the management of work–life balance is mandatory for sustaining job satisfaction, talent retention, and productivity. The research bestows the insights within how the HR can better up policies, digital norms of communication, and the support systems for reducing burnout, as well as blurring boundaries. It contributes to decision-making of organisation by detecting strategies based on evidence which encourage healthier cultures of work, assuring that hybrid, and remote models remains effective, equitable, as well as, feasible for varied workers.</w:t>
            </w:r>
          </w:p>
          <w:p w14:paraId="1154E79A" w14:textId="77777777" w:rsidR="000179F7" w:rsidRPr="000F1DE9" w:rsidRDefault="000179F7" w:rsidP="000179F7">
            <w:pPr>
              <w:spacing w:before="240" w:after="240"/>
              <w:rPr>
                <w:color w:val="000000" w:themeColor="text1"/>
                <w:sz w:val="24"/>
                <w:szCs w:val="24"/>
              </w:rPr>
            </w:pPr>
            <w:r w:rsidRPr="000F1DE9">
              <w:rPr>
                <w:color w:val="000000" w:themeColor="text1"/>
                <w:sz w:val="24"/>
                <w:szCs w:val="24"/>
              </w:rPr>
              <w:t>The Rationale of this study arises from the quick global move toward hybrid, and remote work, that has improved boundaries of work–life and made latest challenges for workers and firms. As traditional frameworks HR are not considered as sufficient in the current scenario, an urgent requirement is there for understanding how HR can capably support staff navigating the blurred lines of both personal, and professional, increased autonomy, and digital overload. The study explores the reason for which HR should redesign policies, practices of the leadership, and welfare of initiatives for meeting evolving necessities of distributed workers. By examining the role of HR in the managing of work–life balance, this paper aims in informing more feasible, organisational strategies that are human-centred for future of work.</w:t>
            </w:r>
          </w:p>
          <w:p w14:paraId="5FD66C96" w14:textId="77777777" w:rsidR="00ED55FC" w:rsidRPr="00FB6C86" w:rsidRDefault="00ED55FC" w:rsidP="0005192A">
            <w:pPr>
              <w:spacing w:before="240" w:after="240" w:line="360" w:lineRule="auto"/>
              <w:jc w:val="both"/>
              <w:rPr>
                <w:sz w:val="24"/>
                <w:szCs w:val="24"/>
              </w:rPr>
            </w:pPr>
          </w:p>
          <w:p w14:paraId="54A60189" w14:textId="238EE2FC"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A16BF37" w14:textId="77777777" w:rsidR="008864B2" w:rsidRPr="007A7662" w:rsidRDefault="008864B2" w:rsidP="008864B2">
            <w:pPr>
              <w:pStyle w:val="Heading2"/>
              <w:rPr>
                <w:color w:val="000000" w:themeColor="text1"/>
                <w:sz w:val="24"/>
                <w:szCs w:val="24"/>
              </w:rPr>
            </w:pPr>
            <w:bookmarkStart w:id="5" w:name="_Toc216966669"/>
            <w:bookmarkStart w:id="6" w:name="_Toc213765658"/>
            <w:r w:rsidRPr="007A7662">
              <w:rPr>
                <w:color w:val="000000" w:themeColor="text1"/>
                <w:sz w:val="24"/>
                <w:szCs w:val="24"/>
              </w:rPr>
              <w:lastRenderedPageBreak/>
              <w:t>Research Philosophy</w:t>
            </w:r>
            <w:bookmarkEnd w:id="5"/>
            <w:r w:rsidRPr="007A7662">
              <w:rPr>
                <w:color w:val="000000" w:themeColor="text1"/>
                <w:sz w:val="24"/>
                <w:szCs w:val="24"/>
              </w:rPr>
              <w:t xml:space="preserve"> </w:t>
            </w:r>
            <w:bookmarkEnd w:id="6"/>
          </w:p>
          <w:p w14:paraId="75B254C1" w14:textId="456021CF" w:rsidR="008864B2" w:rsidRPr="007A7662" w:rsidRDefault="008864B2" w:rsidP="008864B2">
            <w:pPr>
              <w:spacing w:before="240" w:after="240"/>
              <w:rPr>
                <w:color w:val="000000" w:themeColor="text1"/>
                <w:sz w:val="24"/>
                <w:szCs w:val="24"/>
              </w:rPr>
            </w:pPr>
            <w:r w:rsidRPr="007A7662">
              <w:rPr>
                <w:color w:val="000000" w:themeColor="text1"/>
                <w:sz w:val="24"/>
                <w:szCs w:val="24"/>
              </w:rPr>
              <w:t>Epistemology philosophy will be used for this research as it shows accuracy and understanding of sources, and limitations of human knowledge. It examines the perceptions of HR professionals and employees on the work-life balance in a remote and hybrid environment</w:t>
            </w:r>
            <w:r w:rsidR="007A7662">
              <w:rPr>
                <w:color w:val="000000" w:themeColor="text1"/>
                <w:sz w:val="24"/>
                <w:szCs w:val="24"/>
              </w:rPr>
              <w:t>.</w:t>
            </w:r>
            <w:r w:rsidRPr="007A7662">
              <w:rPr>
                <w:color w:val="000000" w:themeColor="text1"/>
                <w:sz w:val="24"/>
                <w:szCs w:val="24"/>
              </w:rPr>
              <w:t xml:space="preserve"> The method will enable the researcher to examine subjective experiences, organisational culture, and situational factors that influence HR strategies to increase employee satisfaction, engagement, and well-being. </w:t>
            </w:r>
          </w:p>
          <w:p w14:paraId="556A5DA8" w14:textId="77777777" w:rsidR="008864B2" w:rsidRPr="007A7662" w:rsidRDefault="008864B2" w:rsidP="008864B2">
            <w:pPr>
              <w:pStyle w:val="Heading2"/>
              <w:rPr>
                <w:color w:val="000000" w:themeColor="text1"/>
                <w:sz w:val="24"/>
                <w:szCs w:val="24"/>
              </w:rPr>
            </w:pPr>
            <w:bookmarkStart w:id="7" w:name="_Toc216966670"/>
            <w:r w:rsidRPr="007A7662">
              <w:rPr>
                <w:color w:val="000000" w:themeColor="text1"/>
                <w:sz w:val="24"/>
                <w:szCs w:val="24"/>
              </w:rPr>
              <w:t>Research Paradigm</w:t>
            </w:r>
            <w:bookmarkEnd w:id="7"/>
          </w:p>
          <w:p w14:paraId="6C97E572" w14:textId="61406771" w:rsidR="008864B2" w:rsidRPr="007A7662" w:rsidRDefault="008864B2" w:rsidP="008864B2">
            <w:pPr>
              <w:spacing w:before="240" w:after="240"/>
              <w:rPr>
                <w:color w:val="000000" w:themeColor="text1"/>
                <w:sz w:val="24"/>
                <w:szCs w:val="24"/>
              </w:rPr>
            </w:pPr>
            <w:r w:rsidRPr="007A7662">
              <w:rPr>
                <w:color w:val="000000" w:themeColor="text1"/>
                <w:sz w:val="24"/>
                <w:szCs w:val="24"/>
              </w:rPr>
              <w:t>The interpretivism paradigm is based on the interpretation of human behaviour using personal experiences and social contexts</w:t>
            </w:r>
            <w:r w:rsidR="008A172F">
              <w:rPr>
                <w:color w:val="000000" w:themeColor="text1"/>
                <w:sz w:val="24"/>
                <w:szCs w:val="24"/>
              </w:rPr>
              <w:t xml:space="preserve">. </w:t>
            </w:r>
            <w:r w:rsidRPr="007A7662">
              <w:rPr>
                <w:color w:val="000000" w:themeColor="text1"/>
                <w:sz w:val="24"/>
                <w:szCs w:val="24"/>
              </w:rPr>
              <w:t>The method will enable the researcher to examine subjective experiences, organisational culture, and situational aspects, which influence HR strategies, to increase employee satisfaction, engagement, and well-being.</w:t>
            </w:r>
          </w:p>
          <w:p w14:paraId="1A4A4A71" w14:textId="77777777" w:rsidR="008864B2" w:rsidRPr="007A7662" w:rsidRDefault="008864B2" w:rsidP="008864B2">
            <w:pPr>
              <w:pStyle w:val="Heading2"/>
              <w:rPr>
                <w:color w:val="000000" w:themeColor="text1"/>
                <w:sz w:val="24"/>
                <w:szCs w:val="24"/>
              </w:rPr>
            </w:pPr>
            <w:bookmarkStart w:id="8" w:name="_Toc213765659"/>
            <w:bookmarkStart w:id="9" w:name="_Toc216966671"/>
            <w:r w:rsidRPr="007A7662">
              <w:rPr>
                <w:color w:val="000000" w:themeColor="text1"/>
                <w:sz w:val="24"/>
                <w:szCs w:val="24"/>
              </w:rPr>
              <w:t>Research Approach</w:t>
            </w:r>
            <w:bookmarkEnd w:id="8"/>
            <w:bookmarkEnd w:id="9"/>
          </w:p>
          <w:p w14:paraId="2F1686A0" w14:textId="10F51AFD" w:rsidR="008864B2" w:rsidRPr="007A7662" w:rsidRDefault="008864B2" w:rsidP="008864B2">
            <w:pPr>
              <w:spacing w:before="240" w:after="240"/>
              <w:rPr>
                <w:color w:val="000000" w:themeColor="text1"/>
                <w:sz w:val="24"/>
                <w:szCs w:val="24"/>
              </w:rPr>
            </w:pPr>
            <w:r w:rsidRPr="007A7662">
              <w:rPr>
                <w:color w:val="000000" w:themeColor="text1"/>
                <w:sz w:val="24"/>
                <w:szCs w:val="24"/>
              </w:rPr>
              <w:t>The inductive method constructs theories based on observed data as opposed to testing current theories</w:t>
            </w:r>
            <w:r w:rsidR="006D17E5">
              <w:rPr>
                <w:color w:val="000000" w:themeColor="text1"/>
                <w:sz w:val="24"/>
                <w:szCs w:val="24"/>
              </w:rPr>
              <w:t>.</w:t>
            </w:r>
            <w:r w:rsidRPr="007A7662">
              <w:rPr>
                <w:color w:val="000000" w:themeColor="text1"/>
                <w:sz w:val="24"/>
                <w:szCs w:val="24"/>
              </w:rPr>
              <w:t xml:space="preserve"> It justifies this research as </w:t>
            </w:r>
            <w:proofErr w:type="gramStart"/>
            <w:r w:rsidRPr="007A7662">
              <w:rPr>
                <w:color w:val="000000" w:themeColor="text1"/>
                <w:sz w:val="24"/>
                <w:szCs w:val="24"/>
              </w:rPr>
              <w:t>it</w:t>
            </w:r>
            <w:proofErr w:type="gramEnd"/>
            <w:r w:rsidRPr="007A7662">
              <w:rPr>
                <w:color w:val="000000" w:themeColor="text1"/>
                <w:sz w:val="24"/>
                <w:szCs w:val="24"/>
              </w:rPr>
              <w:t xml:space="preserve"> insights to surface in the literature and organisational studies of HR practices in flexible work environments. By means of studying secondary sources, it assists in creating conceptual frameworks that describe how HR can cope with work-life balance and respond to issues that are related to remote working models and hybrid working models.</w:t>
            </w:r>
          </w:p>
          <w:p w14:paraId="0E377D19" w14:textId="77777777" w:rsidR="008864B2" w:rsidRPr="007A7662" w:rsidRDefault="008864B2" w:rsidP="008864B2">
            <w:pPr>
              <w:pStyle w:val="Heading2"/>
              <w:rPr>
                <w:color w:val="000000" w:themeColor="text1"/>
                <w:sz w:val="24"/>
                <w:szCs w:val="24"/>
              </w:rPr>
            </w:pPr>
            <w:bookmarkStart w:id="10" w:name="_Toc213765660"/>
            <w:bookmarkStart w:id="11" w:name="_Toc216966672"/>
            <w:r w:rsidRPr="007A7662">
              <w:rPr>
                <w:color w:val="000000" w:themeColor="text1"/>
                <w:sz w:val="24"/>
                <w:szCs w:val="24"/>
              </w:rPr>
              <w:t>Research Design</w:t>
            </w:r>
            <w:bookmarkEnd w:id="10"/>
            <w:bookmarkEnd w:id="11"/>
          </w:p>
          <w:p w14:paraId="01C6DAD0" w14:textId="4DEBC9B8" w:rsidR="008864B2" w:rsidRPr="007A7662" w:rsidRDefault="008864B2" w:rsidP="008864B2">
            <w:pPr>
              <w:spacing w:before="240" w:after="240"/>
              <w:rPr>
                <w:color w:val="000000" w:themeColor="text1"/>
                <w:sz w:val="24"/>
                <w:szCs w:val="24"/>
              </w:rPr>
            </w:pPr>
            <w:r w:rsidRPr="007A7662">
              <w:rPr>
                <w:color w:val="000000" w:themeColor="text1"/>
                <w:sz w:val="24"/>
                <w:szCs w:val="24"/>
              </w:rPr>
              <w:t>The exploratory research design explores areas in order to create new knowledge</w:t>
            </w:r>
            <w:r w:rsidR="00FD1BF4">
              <w:rPr>
                <w:color w:val="000000" w:themeColor="text1"/>
                <w:sz w:val="24"/>
                <w:szCs w:val="24"/>
              </w:rPr>
              <w:t xml:space="preserve">. </w:t>
            </w:r>
            <w:r w:rsidRPr="007A7662">
              <w:rPr>
                <w:color w:val="000000" w:themeColor="text1"/>
                <w:sz w:val="24"/>
                <w:szCs w:val="24"/>
              </w:rPr>
              <w:t>It will allow researchers to investigate how HR addresses the problem of work-life balance in remote and hybrid work environments. The design helps to discover new HR practices, policies, and strategies to improve employee engagement, satisfaction, and performance in changing working environments. This research will adopt a non-probability sampling technique, such as a convenience sampling technique to recruit participants. Once the participants will be enlisted, data will be collected from 10 experienced people who has minimum of 5 years of working experiences as a HR in different industries in the UK. The approach will aid in the recognition of trends, an assessment of the HR interventions, and the comparison of the methods of organizations to enhance the work-life integration of employees and their overall satisfaction.</w:t>
            </w:r>
          </w:p>
          <w:p w14:paraId="44C50FEA" w14:textId="77777777" w:rsidR="008864B2" w:rsidRPr="007A7662" w:rsidRDefault="008864B2" w:rsidP="008864B2">
            <w:pPr>
              <w:pStyle w:val="Heading2"/>
              <w:rPr>
                <w:color w:val="000000" w:themeColor="text1"/>
                <w:sz w:val="24"/>
                <w:szCs w:val="24"/>
              </w:rPr>
            </w:pPr>
            <w:bookmarkStart w:id="12" w:name="_Toc213765662"/>
            <w:bookmarkStart w:id="13" w:name="_Toc216966673"/>
            <w:r w:rsidRPr="007A7662">
              <w:rPr>
                <w:color w:val="000000" w:themeColor="text1"/>
                <w:sz w:val="24"/>
                <w:szCs w:val="24"/>
              </w:rPr>
              <w:t>Data Collection Method</w:t>
            </w:r>
            <w:bookmarkEnd w:id="12"/>
            <w:bookmarkEnd w:id="13"/>
          </w:p>
          <w:p w14:paraId="5700603F" w14:textId="5AC86D7F" w:rsidR="008864B2" w:rsidRPr="007A7662" w:rsidRDefault="008864B2" w:rsidP="008864B2">
            <w:pPr>
              <w:spacing w:before="240" w:after="240"/>
              <w:rPr>
                <w:color w:val="000000" w:themeColor="text1"/>
                <w:sz w:val="24"/>
                <w:szCs w:val="24"/>
              </w:rPr>
            </w:pPr>
            <w:r w:rsidRPr="007A7662">
              <w:rPr>
                <w:color w:val="000000" w:themeColor="text1"/>
                <w:sz w:val="24"/>
                <w:szCs w:val="24"/>
              </w:rPr>
              <w:t xml:space="preserve">The primary data gathering is based on field research and collecting data directly from the experienced people. The data will be directly collected from experienced people by asking some semi-structured questions. </w:t>
            </w:r>
          </w:p>
          <w:p w14:paraId="788E260C" w14:textId="561D805F" w:rsidR="008864B2" w:rsidRPr="007A7662" w:rsidRDefault="008864B2" w:rsidP="009F5880">
            <w:pPr>
              <w:rPr>
                <w:color w:val="000000" w:themeColor="text1"/>
                <w:sz w:val="24"/>
                <w:szCs w:val="24"/>
              </w:rPr>
            </w:pPr>
            <w:bookmarkStart w:id="14" w:name="_Toc213765663"/>
            <w:r w:rsidRPr="007A7662">
              <w:rPr>
                <w:color w:val="000000" w:themeColor="text1"/>
                <w:sz w:val="24"/>
                <w:szCs w:val="24"/>
              </w:rPr>
              <w:br w:type="page"/>
            </w:r>
            <w:bookmarkStart w:id="15" w:name="_Toc216966674"/>
            <w:r w:rsidRPr="007A7662">
              <w:rPr>
                <w:color w:val="000000" w:themeColor="text1"/>
                <w:sz w:val="24"/>
                <w:szCs w:val="24"/>
              </w:rPr>
              <w:t>Data Analysis</w:t>
            </w:r>
            <w:bookmarkEnd w:id="14"/>
            <w:bookmarkEnd w:id="15"/>
          </w:p>
          <w:p w14:paraId="00569BC4" w14:textId="12E5A126" w:rsidR="008864B2" w:rsidRPr="007A7662" w:rsidRDefault="008864B2" w:rsidP="008864B2">
            <w:pPr>
              <w:spacing w:before="240" w:after="240"/>
              <w:rPr>
                <w:color w:val="000000" w:themeColor="text1"/>
                <w:sz w:val="24"/>
                <w:szCs w:val="24"/>
              </w:rPr>
            </w:pPr>
            <w:r w:rsidRPr="007A7662">
              <w:rPr>
                <w:color w:val="000000" w:themeColor="text1"/>
                <w:sz w:val="24"/>
                <w:szCs w:val="24"/>
              </w:rPr>
              <w:t>Data will be analysed by the thematic analysis</w:t>
            </w:r>
            <w:r w:rsidR="009F5880">
              <w:rPr>
                <w:color w:val="000000" w:themeColor="text1"/>
                <w:sz w:val="24"/>
                <w:szCs w:val="24"/>
              </w:rPr>
              <w:t xml:space="preserve"> </w:t>
            </w:r>
            <w:r w:rsidRPr="007A7662">
              <w:rPr>
                <w:color w:val="000000" w:themeColor="text1"/>
                <w:sz w:val="24"/>
                <w:szCs w:val="24"/>
              </w:rPr>
              <w:t>where codes/sub-themes and themes will be developed from the collected data. It helps to classify the HR practices that influence the work-life balance. The approach offers a systematic data interpretation that can be used to demonstrate trends and data about remote and hybrid workforce management.</w:t>
            </w:r>
          </w:p>
          <w:p w14:paraId="15A255FE" w14:textId="77777777" w:rsidR="008864B2" w:rsidRPr="007A7662" w:rsidRDefault="008864B2" w:rsidP="008864B2">
            <w:pPr>
              <w:pStyle w:val="Heading2"/>
              <w:rPr>
                <w:color w:val="000000" w:themeColor="text1"/>
                <w:sz w:val="24"/>
                <w:szCs w:val="24"/>
              </w:rPr>
            </w:pPr>
            <w:bookmarkStart w:id="16" w:name="_Toc213765664"/>
            <w:bookmarkStart w:id="17" w:name="_Toc216966675"/>
            <w:r w:rsidRPr="007A7662">
              <w:rPr>
                <w:color w:val="000000" w:themeColor="text1"/>
                <w:sz w:val="24"/>
                <w:szCs w:val="24"/>
              </w:rPr>
              <w:t>Ethical Consideration</w:t>
            </w:r>
            <w:bookmarkEnd w:id="16"/>
            <w:bookmarkEnd w:id="17"/>
          </w:p>
          <w:p w14:paraId="45E8B681" w14:textId="6B175B61" w:rsidR="003F1A54" w:rsidRPr="007A7662" w:rsidRDefault="008864B2" w:rsidP="008864B2">
            <w:pPr>
              <w:spacing w:before="240" w:after="240" w:line="360" w:lineRule="auto"/>
              <w:jc w:val="both"/>
              <w:rPr>
                <w:color w:val="000000" w:themeColor="text1"/>
                <w:sz w:val="24"/>
                <w:szCs w:val="24"/>
              </w:rPr>
            </w:pPr>
            <w:r w:rsidRPr="007A7662">
              <w:rPr>
                <w:color w:val="000000" w:themeColor="text1"/>
                <w:sz w:val="24"/>
                <w:szCs w:val="24"/>
              </w:rPr>
              <w:lastRenderedPageBreak/>
              <w:t>This research adheres to the institution’s (UWTSD) ethical principles in order to be academically honest and to reflect on the responsible utilisation of primary data. Compliance with ethics guarantees the transparency, compliance, and respect for original participants by ensuring credibility and protection of intellectual property during the research process.</w:t>
            </w:r>
            <w:r w:rsidR="00431951">
              <w:rPr>
                <w:color w:val="000000" w:themeColor="text1"/>
                <w:sz w:val="24"/>
                <w:szCs w:val="24"/>
              </w:rPr>
              <w:t xml:space="preserve"> </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18"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18"/>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19"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7302566D"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B5B441E"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EA6FAD8"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4CC0205"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94802BC"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E938AE6"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61A1AB8"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B66F596"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81E440A"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6F8304E"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E70A35E"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24786AF"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89B4138"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80515B4"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ADC1BE8"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76DA43B8"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D268620" w:rsidR="00BD363F" w:rsidRPr="003C7DED" w:rsidRDefault="00510D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03C6A4AB" w:rsidR="003F1A54" w:rsidRPr="003C7DED" w:rsidRDefault="00FA285C" w:rsidP="004135AB">
            <w:pPr>
              <w:rPr>
                <w:rFonts w:ascii="Arial" w:hAnsi="Arial" w:cs="Arial"/>
                <w:sz w:val="22"/>
                <w:szCs w:val="22"/>
              </w:rPr>
            </w:pPr>
            <w:r>
              <w:rPr>
                <w:rFonts w:ascii="Arial" w:hAnsi="Arial" w:cs="Arial"/>
                <w:sz w:val="22"/>
                <w:szCs w:val="22"/>
              </w:rPr>
              <w:t xml:space="preserve"> </w:t>
            </w: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19"/>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68FB48FE" w14:textId="0B2C327C" w:rsidR="00BD363F" w:rsidRPr="003C7DED" w:rsidRDefault="00ED7010" w:rsidP="00ED7010">
            <w:pPr>
              <w:rPr>
                <w:rFonts w:ascii="Arial" w:hAnsi="Arial" w:cs="Arial"/>
                <w:sz w:val="22"/>
                <w:szCs w:val="22"/>
              </w:rPr>
            </w:pPr>
            <w:r w:rsidRPr="00ED7010">
              <w:rPr>
                <w:rFonts w:ascii="Arial" w:hAnsi="Arial" w:cs="Arial"/>
                <w:sz w:val="22"/>
                <w:szCs w:val="22"/>
              </w:rPr>
              <w:t xml:space="preserve">A total of around </w:t>
            </w:r>
            <w:r w:rsidR="006C1C69">
              <w:rPr>
                <w:rFonts w:ascii="Arial" w:hAnsi="Arial" w:cs="Arial"/>
                <w:sz w:val="22"/>
                <w:szCs w:val="22"/>
              </w:rPr>
              <w:t>10-12</w:t>
            </w:r>
            <w:r w:rsidRPr="00ED7010">
              <w:rPr>
                <w:rFonts w:ascii="Arial" w:hAnsi="Arial" w:cs="Arial"/>
                <w:sz w:val="22"/>
                <w:szCs w:val="22"/>
              </w:rPr>
              <w:t xml:space="preserve"> participants will be sampled out of diverse organizations in Londo</w:t>
            </w:r>
            <w:r>
              <w:rPr>
                <w:rFonts w:ascii="Arial" w:hAnsi="Arial" w:cs="Arial"/>
                <w:sz w:val="22"/>
                <w:szCs w:val="22"/>
              </w:rPr>
              <w:t>n.</w:t>
            </w:r>
          </w:p>
          <w:p w14:paraId="0B2C321C" w14:textId="77777777" w:rsidR="00BD363F" w:rsidRPr="003C7DED" w:rsidRDefault="00BD363F" w:rsidP="004135AB">
            <w:pPr>
              <w:rPr>
                <w:rFonts w:ascii="Arial" w:hAnsi="Arial" w:cs="Arial"/>
                <w:sz w:val="22"/>
                <w:szCs w:val="22"/>
              </w:rPr>
            </w:pPr>
          </w:p>
          <w:p w14:paraId="398B1CFC" w14:textId="651FF910"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F936ECB" w14:textId="58680B9C" w:rsidR="00732A79" w:rsidRPr="00732A79" w:rsidRDefault="00E13396" w:rsidP="00732A79">
            <w:pPr>
              <w:rPr>
                <w:rFonts w:ascii="Arial" w:hAnsi="Arial" w:cs="Arial"/>
                <w:sz w:val="22"/>
                <w:szCs w:val="22"/>
              </w:rPr>
            </w:pPr>
            <w:r>
              <w:rPr>
                <w:rFonts w:ascii="Arial" w:hAnsi="Arial" w:cs="Arial"/>
                <w:sz w:val="22"/>
                <w:szCs w:val="22"/>
              </w:rPr>
              <w:t xml:space="preserve">Different </w:t>
            </w:r>
            <w:r w:rsidR="00D407F9">
              <w:rPr>
                <w:rFonts w:ascii="Arial" w:hAnsi="Arial" w:cs="Arial"/>
                <w:sz w:val="22"/>
                <w:szCs w:val="22"/>
              </w:rPr>
              <w:t>company’s</w:t>
            </w:r>
            <w:r>
              <w:rPr>
                <w:rFonts w:ascii="Arial" w:hAnsi="Arial" w:cs="Arial"/>
                <w:sz w:val="22"/>
                <w:szCs w:val="22"/>
              </w:rPr>
              <w:t>’ em</w:t>
            </w:r>
            <w:r w:rsidR="00732A79" w:rsidRPr="00732A79">
              <w:rPr>
                <w:rFonts w:ascii="Arial" w:hAnsi="Arial" w:cs="Arial"/>
                <w:sz w:val="22"/>
                <w:szCs w:val="22"/>
              </w:rPr>
              <w:t>ployees will be incorporated into the study in</w:t>
            </w:r>
          </w:p>
          <w:p w14:paraId="760E2867" w14:textId="77777777" w:rsidR="00732A79" w:rsidRPr="00732A79" w:rsidRDefault="00732A79" w:rsidP="00732A79">
            <w:pPr>
              <w:rPr>
                <w:rFonts w:ascii="Arial" w:hAnsi="Arial" w:cs="Arial"/>
                <w:sz w:val="22"/>
                <w:szCs w:val="22"/>
              </w:rPr>
            </w:pPr>
            <w:r w:rsidRPr="00732A79">
              <w:rPr>
                <w:rFonts w:ascii="Arial" w:hAnsi="Arial" w:cs="Arial"/>
                <w:sz w:val="22"/>
                <w:szCs w:val="22"/>
              </w:rPr>
              <w:t>various capacities of supervisor, manager and customer service</w:t>
            </w:r>
          </w:p>
          <w:p w14:paraId="44CA0AF4" w14:textId="1830DC46" w:rsidR="00BD363F" w:rsidRPr="003C7DED" w:rsidRDefault="00732A79" w:rsidP="00732A79">
            <w:pPr>
              <w:rPr>
                <w:rFonts w:ascii="Arial" w:hAnsi="Arial" w:cs="Arial"/>
                <w:sz w:val="22"/>
                <w:szCs w:val="22"/>
              </w:rPr>
            </w:pPr>
            <w:r w:rsidRPr="00732A79">
              <w:rPr>
                <w:rFonts w:ascii="Arial" w:hAnsi="Arial" w:cs="Arial"/>
                <w:sz w:val="22"/>
                <w:szCs w:val="22"/>
              </w:rPr>
              <w:t>personnel.</w:t>
            </w:r>
          </w:p>
          <w:p w14:paraId="16130357" w14:textId="43DD63B0" w:rsidR="00BD363F" w:rsidRPr="003C7DED" w:rsidRDefault="00BD363F"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016B4A04" w:rsidR="00BD363F" w:rsidRPr="003C7DED" w:rsidRDefault="0017477C" w:rsidP="004135AB">
            <w:pPr>
              <w:rPr>
                <w:rFonts w:ascii="Arial" w:hAnsi="Arial" w:cs="Arial"/>
                <w:color w:val="808080"/>
                <w:sz w:val="18"/>
                <w:szCs w:val="18"/>
              </w:rPr>
            </w:pPr>
            <w:r w:rsidRPr="004E7D81">
              <w:rPr>
                <w:rFonts w:ascii="Arial" w:hAnsi="Arial" w:cs="Arial"/>
                <w:color w:val="000000" w:themeColor="text1"/>
                <w:sz w:val="18"/>
                <w:szCs w:val="18"/>
              </w:rPr>
              <w:t xml:space="preserve">Experienced people will be found from </w:t>
            </w:r>
            <w:r w:rsidR="000E2240">
              <w:rPr>
                <w:rFonts w:ascii="Arial" w:hAnsi="Arial" w:cs="Arial"/>
                <w:color w:val="000000" w:themeColor="text1"/>
                <w:sz w:val="18"/>
                <w:szCs w:val="18"/>
              </w:rPr>
              <w:t xml:space="preserve">London through LinkedIn, </w:t>
            </w:r>
            <w:r w:rsidR="002D64A8">
              <w:rPr>
                <w:rFonts w:ascii="Arial" w:hAnsi="Arial" w:cs="Arial"/>
                <w:color w:val="000000" w:themeColor="text1"/>
                <w:sz w:val="18"/>
                <w:szCs w:val="18"/>
              </w:rPr>
              <w:t xml:space="preserve">emails, and </w:t>
            </w:r>
            <w:r w:rsidR="002F2417">
              <w:rPr>
                <w:rFonts w:ascii="Arial" w:hAnsi="Arial" w:cs="Arial"/>
                <w:color w:val="000000" w:themeColor="text1"/>
                <w:sz w:val="18"/>
                <w:szCs w:val="18"/>
              </w:rPr>
              <w:t>websites</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0CEBA6EE" w:rsidR="00BD363F" w:rsidRPr="003C7DED" w:rsidRDefault="008A68FB" w:rsidP="004135AB">
            <w:pPr>
              <w:rPr>
                <w:rFonts w:ascii="Arial" w:hAnsi="Arial" w:cs="Arial"/>
                <w:sz w:val="22"/>
                <w:szCs w:val="22"/>
              </w:rPr>
            </w:pPr>
            <w:r>
              <w:rPr>
                <w:rFonts w:ascii="Arial" w:hAnsi="Arial" w:cs="Arial"/>
                <w:sz w:val="22"/>
                <w:szCs w:val="22"/>
              </w:rPr>
              <w:t>Only</w:t>
            </w:r>
            <w:r w:rsidR="004E7D81">
              <w:rPr>
                <w:rFonts w:ascii="Arial" w:hAnsi="Arial" w:cs="Arial"/>
                <w:sz w:val="22"/>
                <w:szCs w:val="22"/>
              </w:rPr>
              <w:t xml:space="preserve"> experience people will be</w:t>
            </w:r>
            <w:r>
              <w:rPr>
                <w:rFonts w:ascii="Arial" w:hAnsi="Arial" w:cs="Arial"/>
                <w:sz w:val="22"/>
                <w:szCs w:val="22"/>
              </w:rPr>
              <w:t xml:space="preserve"> Included</w:t>
            </w:r>
          </w:p>
          <w:p w14:paraId="1B741340" w14:textId="77777777" w:rsidR="00BD363F" w:rsidRPr="003C7DED" w:rsidRDefault="00BD363F" w:rsidP="004135AB">
            <w:pPr>
              <w:rPr>
                <w:rFonts w:ascii="Arial" w:hAnsi="Arial" w:cs="Arial"/>
                <w:sz w:val="22"/>
                <w:szCs w:val="22"/>
              </w:rPr>
            </w:pPr>
          </w:p>
          <w:p w14:paraId="4F134D86" w14:textId="16A2CD61" w:rsidR="00BD363F" w:rsidRPr="003C7DED"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1661E9F0" w14:textId="77777777" w:rsidR="007E243C" w:rsidRPr="007E243C" w:rsidRDefault="007E243C" w:rsidP="007E243C">
            <w:pPr>
              <w:rPr>
                <w:rFonts w:ascii="Arial" w:hAnsi="Arial" w:cs="Arial"/>
                <w:sz w:val="22"/>
                <w:szCs w:val="22"/>
                <w:lang w:val="en-IN"/>
              </w:rPr>
            </w:pPr>
            <w:r w:rsidRPr="007E243C">
              <w:rPr>
                <w:rFonts w:ascii="Arial" w:hAnsi="Arial" w:cs="Arial"/>
                <w:sz w:val="22"/>
                <w:szCs w:val="22"/>
                <w:lang w:val="en-IN"/>
              </w:rPr>
              <w:t>Before giving their consent, the participants will be fully informed about the study's goal, methodology, and data use.</w:t>
            </w:r>
          </w:p>
          <w:p w14:paraId="31934223" w14:textId="4C2A85F5" w:rsidR="00BD363F" w:rsidRPr="007E243C" w:rsidRDefault="00B4048C" w:rsidP="004135AB">
            <w:pPr>
              <w:rPr>
                <w:rFonts w:ascii="Arial" w:hAnsi="Arial" w:cs="Arial"/>
                <w:sz w:val="22"/>
                <w:szCs w:val="22"/>
              </w:rPr>
            </w:pPr>
            <w:r w:rsidRPr="00B4048C">
              <w:rPr>
                <w:rFonts w:ascii="Arial" w:hAnsi="Arial" w:cs="Arial"/>
                <w:sz w:val="22"/>
                <w:szCs w:val="22"/>
              </w:rPr>
              <w:t>.</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634875C" w14:textId="421534C5" w:rsidR="00BD363F" w:rsidRPr="003C7DED" w:rsidRDefault="00C42758" w:rsidP="004135AB">
            <w:pPr>
              <w:rPr>
                <w:rFonts w:ascii="Arial" w:hAnsi="Arial" w:cs="Arial"/>
                <w:sz w:val="22"/>
                <w:szCs w:val="22"/>
              </w:rPr>
            </w:pPr>
            <w:r>
              <w:rPr>
                <w:rFonts w:ascii="Arial" w:hAnsi="Arial" w:cs="Arial"/>
                <w:sz w:val="22"/>
                <w:szCs w:val="22"/>
              </w:rPr>
              <w:t>Yes,</w:t>
            </w:r>
            <w:r w:rsidR="007E2F81">
              <w:rPr>
                <w:rFonts w:ascii="Arial" w:hAnsi="Arial" w:cs="Arial"/>
                <w:sz w:val="22"/>
                <w:szCs w:val="22"/>
              </w:rPr>
              <w:t xml:space="preserve"> they </w:t>
            </w:r>
            <w:r w:rsidR="00ED1666">
              <w:rPr>
                <w:rFonts w:ascii="Arial" w:hAnsi="Arial" w:cs="Arial"/>
                <w:sz w:val="22"/>
                <w:szCs w:val="22"/>
              </w:rPr>
              <w:t>are free to leave as they want.</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62517EA2" w14:textId="67277E5F" w:rsidR="00BD363F" w:rsidRPr="00427741" w:rsidRDefault="00A84BC9" w:rsidP="004135AB">
            <w:pPr>
              <w:rPr>
                <w:rFonts w:ascii="Arial" w:hAnsi="Arial" w:cs="Arial"/>
                <w:iCs/>
                <w:color w:val="000000" w:themeColor="text1"/>
                <w:sz w:val="18"/>
                <w:szCs w:val="18"/>
              </w:rPr>
            </w:pPr>
            <w:r>
              <w:rPr>
                <w:rFonts w:ascii="Arial" w:hAnsi="Arial" w:cs="Arial"/>
                <w:iCs/>
                <w:color w:val="000000" w:themeColor="text1"/>
                <w:sz w:val="18"/>
                <w:szCs w:val="18"/>
              </w:rPr>
              <w:t xml:space="preserve">12 </w:t>
            </w:r>
            <w:r w:rsidR="00C42758">
              <w:rPr>
                <w:rFonts w:ascii="Arial" w:hAnsi="Arial" w:cs="Arial"/>
                <w:iCs/>
                <w:color w:val="000000" w:themeColor="text1"/>
                <w:sz w:val="18"/>
                <w:szCs w:val="18"/>
              </w:rPr>
              <w:t>days’ time</w:t>
            </w:r>
            <w:r>
              <w:rPr>
                <w:rFonts w:ascii="Arial" w:hAnsi="Arial" w:cs="Arial"/>
                <w:iCs/>
                <w:color w:val="000000" w:themeColor="text1"/>
                <w:sz w:val="18"/>
                <w:szCs w:val="18"/>
              </w:rPr>
              <w:t xml:space="preserve"> will be given</w:t>
            </w:r>
          </w:p>
          <w:p w14:paraId="39C1C08F" w14:textId="13D34E31" w:rsidR="00BD363F" w:rsidRPr="003C7DED" w:rsidRDefault="00BD363F" w:rsidP="004135AB">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3A20FE4B" w14:textId="70337CFB" w:rsidR="00C42758" w:rsidRPr="00C42758" w:rsidRDefault="00C42758" w:rsidP="00C42758">
            <w:pPr>
              <w:rPr>
                <w:rFonts w:ascii="Arial" w:hAnsi="Arial" w:cs="Arial"/>
                <w:sz w:val="22"/>
                <w:szCs w:val="22"/>
                <w:lang w:val="en-IN"/>
              </w:rPr>
            </w:pPr>
            <w:r w:rsidRPr="00C42758">
              <w:rPr>
                <w:rFonts w:ascii="Arial" w:hAnsi="Arial" w:cs="Arial"/>
                <w:sz w:val="22"/>
                <w:szCs w:val="22"/>
                <w:lang w:val="en-IN"/>
              </w:rPr>
              <w:t>All research information will be explained orally to members who struggle with reading or speaking.</w:t>
            </w:r>
            <w:r w:rsidR="001F274A">
              <w:rPr>
                <w:rFonts w:ascii="Arial" w:hAnsi="Arial" w:cs="Arial"/>
                <w:sz w:val="22"/>
                <w:szCs w:val="22"/>
                <w:lang w:val="en-IN"/>
              </w:rPr>
              <w:t xml:space="preserve"> </w:t>
            </w:r>
            <w:r w:rsidRPr="00C42758">
              <w:rPr>
                <w:rFonts w:ascii="Arial" w:hAnsi="Arial" w:cs="Arial"/>
                <w:sz w:val="22"/>
                <w:szCs w:val="22"/>
                <w:lang w:val="en-IN"/>
              </w:rPr>
              <w:t>Consent forms in digital or large print will be provided upon request. Additionally, the interviews can be conducted via audio or video call, which is helpful due to the participants' comfort and convenience.</w:t>
            </w:r>
          </w:p>
          <w:p w14:paraId="0750FD97" w14:textId="186B6C8D" w:rsidR="00BD363F" w:rsidRPr="003C7DED" w:rsidRDefault="00BD363F" w:rsidP="00C42758">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719189549"/>
              <w14:checkbox>
                <w14:checked w14:val="1"/>
                <w14:checkedState w14:val="2612" w14:font="MS Gothic"/>
                <w14:uncheckedState w14:val="2610" w14:font="MS Gothic"/>
              </w14:checkbox>
            </w:sdtPr>
            <w:sdtContent>
              <w:p w14:paraId="6F7C3511" w14:textId="77777777" w:rsidR="005B775F" w:rsidRDefault="005B775F" w:rsidP="005B775F">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4FDA2CFF" w14:textId="36D96353" w:rsidR="00A35E44" w:rsidRPr="003C7DED" w:rsidRDefault="00A35E44" w:rsidP="00BC7917">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20"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20"/>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02464834"/>
              <w14:checkbox>
                <w14:checked w14:val="1"/>
                <w14:checkedState w14:val="2612" w14:font="MS Gothic"/>
                <w14:uncheckedState w14:val="2610" w14:font="MS Gothic"/>
              </w14:checkbox>
            </w:sdtPr>
            <w:sdtContent>
              <w:p w14:paraId="5C76E9DC" w14:textId="77777777" w:rsidR="005B775F" w:rsidRDefault="005B775F" w:rsidP="005B775F">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434CCC42" w14:textId="0B0CBF25" w:rsidR="00A35E44" w:rsidRPr="003C7DED" w:rsidRDefault="00A35E44" w:rsidP="00BC7917">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21"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21"/>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06153614"/>
              <w14:checkbox>
                <w14:checked w14:val="1"/>
                <w14:checkedState w14:val="2612" w14:font="MS Gothic"/>
                <w14:uncheckedState w14:val="2610" w14:font="MS Gothic"/>
              </w14:checkbox>
            </w:sdtPr>
            <w:sdtContent>
              <w:p w14:paraId="28D48C61" w14:textId="77777777" w:rsidR="005B775F" w:rsidRDefault="005B775F" w:rsidP="005B775F">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0A181CCE" w14:textId="58F690FC" w:rsidR="007F0207" w:rsidRPr="003C7DED" w:rsidRDefault="007F0207" w:rsidP="00BC7917">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22"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22"/>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533662688"/>
              <w14:checkbox>
                <w14:checked w14:val="1"/>
                <w14:checkedState w14:val="2612" w14:font="MS Gothic"/>
                <w14:uncheckedState w14:val="2610" w14:font="MS Gothic"/>
              </w14:checkbox>
            </w:sdtPr>
            <w:sdtContent>
              <w:p w14:paraId="70BC838F" w14:textId="77777777" w:rsidR="005B775F" w:rsidRDefault="005B775F" w:rsidP="005B775F">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6C9B582D" w14:textId="7D1A2C0B" w:rsidR="007F0207" w:rsidRPr="003C7DED" w:rsidRDefault="007F0207" w:rsidP="00BC7917">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23"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23"/>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24"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46890508"/>
              <w14:checkbox>
                <w14:checked w14:val="1"/>
                <w14:checkedState w14:val="2612" w14:font="MS Gothic"/>
                <w14:uncheckedState w14:val="2610" w14:font="MS Gothic"/>
              </w14:checkbox>
            </w:sdtPr>
            <w:sdtContent>
              <w:p w14:paraId="7334850A" w14:textId="77777777" w:rsidR="005B775F" w:rsidRDefault="005B775F" w:rsidP="005B775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4E7A7EE" w14:textId="0B100A40"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24"/>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25"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1DEE9E32" w:rsidR="001F7B84" w:rsidRPr="003C7DED" w:rsidRDefault="00D61CC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1FFCF5E" w:rsidR="001F7B84" w:rsidRPr="003C7DED" w:rsidRDefault="00D61CC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D422EEB" w:rsidR="001F7B84" w:rsidRPr="003C7DED" w:rsidRDefault="00D61CC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2847857A" w:rsidR="001F7B84" w:rsidRPr="003C7DED" w:rsidRDefault="00D61CC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2190AC3" w:rsidR="001F7B84" w:rsidRPr="003C7DED" w:rsidRDefault="00D61CC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9AD6143" w:rsidR="001F7B84" w:rsidRPr="003C7DED" w:rsidRDefault="00D61CC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25"/>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26"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621DACF3"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14AFAA09"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26"/>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7611BAE5"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4957C89C"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10087D08"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1BFA62E4"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60BEF19A"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0949C22D"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5E79C58C" w:rsidR="001F7B84" w:rsidRPr="003C7DED" w:rsidRDefault="007F767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545BEA56"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4EB48B6"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1605481E"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286FFAAA"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486E2B9" w:rsidR="00702469" w:rsidRDefault="007F767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6755D80F"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5DA9162F" w:rsidR="001F7B84" w:rsidRPr="003C7DED" w:rsidRDefault="00A310A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204DD3F4" w:rsidR="001F7B84" w:rsidRPr="003C7DED" w:rsidRDefault="00E54560" w:rsidP="004135AB">
            <w:pPr>
              <w:rPr>
                <w:rFonts w:ascii="Arial" w:hAnsi="Arial" w:cs="Arial"/>
                <w:sz w:val="22"/>
                <w:szCs w:val="22"/>
              </w:rPr>
            </w:pPr>
            <w:r>
              <w:rPr>
                <w:rFonts w:ascii="Arial" w:hAnsi="Arial" w:cs="Arial"/>
                <w:sz w:val="22"/>
                <w:szCs w:val="22"/>
              </w:rPr>
              <w:t>NA</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27"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27"/>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w:t>
            </w:r>
            <w:r>
              <w:rPr>
                <w:rFonts w:ascii="Arial" w:hAnsi="Arial" w:cs="Arial"/>
                <w:bCs/>
                <w:sz w:val="22"/>
                <w:szCs w:val="22"/>
              </w:rPr>
              <w:lastRenderedPageBreak/>
              <w:t xml:space="preserve">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61C5F4EE" w:rsidR="00AA4E90" w:rsidRPr="003C7DED" w:rsidRDefault="006366B4"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2872FA85" w:rsidR="006E7E24" w:rsidRDefault="006366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7D86E495" w:rsidR="006E7E24" w:rsidRDefault="006366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77D1E8F8" w:rsidR="006E7E24" w:rsidRDefault="006366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10F852B4" w:rsidR="006E7E24" w:rsidRDefault="006366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33AFFCA8" w:rsidR="006E7E24" w:rsidRPr="003C7DED" w:rsidRDefault="006366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1F41530B" w:rsidR="006E7E24" w:rsidRPr="003C7DED" w:rsidRDefault="006366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4A528AB9" w:rsidR="006E7E24" w:rsidRPr="003C7DED" w:rsidRDefault="006366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46E7E7E8" w:rsidR="006E7E24" w:rsidRPr="003C7DED" w:rsidRDefault="006366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41484845" w:rsidR="006E7E24" w:rsidRPr="003C7DED" w:rsidRDefault="006366B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3B1D4886" w:rsidR="00E44410" w:rsidRDefault="006366B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lastRenderedPageBreak/>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28" w:name="_Hlk152919011"/>
          </w:p>
        </w:tc>
        <w:bookmarkEnd w:id="28"/>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68E60A7"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2CA5D9A"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154CF5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D57A87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6FC29F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FD101D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6A316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24AA9A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966979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15743F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CA378C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A386B63"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3EBC51D5"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366B4">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29"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29"/>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D1E136C" w:rsidR="00CD54AD" w:rsidRPr="003C7DED" w:rsidRDefault="00547384" w:rsidP="004135AB">
            <w:pPr>
              <w:pStyle w:val="NoSpacing"/>
              <w:rPr>
                <w:rFonts w:ascii="Arial" w:hAnsi="Arial" w:cs="Arial"/>
                <w:sz w:val="22"/>
                <w:szCs w:val="22"/>
              </w:rPr>
            </w:pPr>
            <w:r>
              <w:rPr>
                <w:rFonts w:ascii="Arial" w:hAnsi="Arial" w:cs="Arial"/>
                <w:sz w:val="22"/>
                <w:szCs w:val="22"/>
              </w:rPr>
              <w:t>Jasmine</w:t>
            </w:r>
            <w:r w:rsidR="007A7190">
              <w:rPr>
                <w:rFonts w:ascii="Arial" w:hAnsi="Arial" w:cs="Arial"/>
                <w:sz w:val="22"/>
                <w:szCs w:val="22"/>
              </w:rPr>
              <w:t xml:space="preserve"> Kaur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06CAF88" w:rsidR="00CD54AD" w:rsidRPr="003C7DED" w:rsidRDefault="00D04757" w:rsidP="004135AB">
            <w:pPr>
              <w:pStyle w:val="NoSpacing"/>
              <w:rPr>
                <w:rFonts w:ascii="Arial" w:hAnsi="Arial" w:cs="Arial"/>
                <w:b/>
                <w:bCs/>
                <w:sz w:val="22"/>
                <w:szCs w:val="22"/>
              </w:rPr>
            </w:pPr>
            <w:r>
              <w:rPr>
                <w:rFonts w:ascii="Arial" w:hAnsi="Arial" w:cs="Arial"/>
                <w:b/>
                <w:bCs/>
                <w:sz w:val="22"/>
                <w:szCs w:val="22"/>
              </w:rPr>
              <w:t>Jasmine</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4A7D994" w:rsidR="00CD54AD" w:rsidRPr="003C7DED" w:rsidRDefault="00AB1AE2" w:rsidP="004135AB">
            <w:pPr>
              <w:pStyle w:val="NoSpacing"/>
              <w:rPr>
                <w:rFonts w:ascii="Arial" w:hAnsi="Arial" w:cs="Arial"/>
                <w:b/>
                <w:bCs/>
                <w:sz w:val="22"/>
                <w:szCs w:val="22"/>
              </w:rPr>
            </w:pPr>
            <w:r>
              <w:rPr>
                <w:rFonts w:ascii="Arial" w:hAnsi="Arial" w:cs="Arial"/>
                <w:b/>
                <w:bCs/>
                <w:sz w:val="22"/>
                <w:szCs w:val="22"/>
              </w:rPr>
              <w:t>22-12-2025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89ACCA5" w:rsidR="00237489" w:rsidRPr="003C7DED" w:rsidRDefault="00AB25B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33AA8DB" w:rsidR="00237489" w:rsidRPr="003C7DED" w:rsidRDefault="00AB25B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5E57D5B8" w:rsidR="00237489" w:rsidRPr="003C7DED" w:rsidRDefault="00AB25B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08573B1" w:rsidR="00237489" w:rsidRPr="003C7DED" w:rsidRDefault="00AB25B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DAD11F9" w:rsidR="00237489" w:rsidRPr="003C7DED" w:rsidRDefault="00AB25B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784E621A" w:rsidR="00237489" w:rsidRPr="003C7DED" w:rsidRDefault="00AB25B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30" w:name="APP_1"/>
      <w:r w:rsidRPr="003C7DED">
        <w:rPr>
          <w:rFonts w:ascii="Arial" w:hAnsi="Arial" w:cs="Arial"/>
          <w:b/>
          <w:bCs/>
          <w:color w:val="000000" w:themeColor="text1"/>
          <w:sz w:val="22"/>
          <w:szCs w:val="22"/>
        </w:rPr>
        <w:lastRenderedPageBreak/>
        <w:t xml:space="preserve">APPENDIX 1 </w:t>
      </w:r>
      <w:bookmarkEnd w:id="30"/>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31"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31"/>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32" w:name="APP_2"/>
      <w:r w:rsidRPr="003C7DED">
        <w:rPr>
          <w:rFonts w:ascii="Arial" w:hAnsi="Arial" w:cs="Arial"/>
          <w:b/>
          <w:sz w:val="22"/>
          <w:szCs w:val="22"/>
        </w:rPr>
        <w:lastRenderedPageBreak/>
        <w:t>APPENDIX 2</w:t>
      </w:r>
      <w:bookmarkEnd w:id="32"/>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33"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34"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33"/>
      <w:bookmarkEnd w:id="34"/>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35"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35"/>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36"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36"/>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37"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37"/>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38"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38"/>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39"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40"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41" w:name="_Hlk156464303"/>
            <w:bookmarkEnd w:id="40"/>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42"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39"/>
      <w:bookmarkEnd w:id="41"/>
      <w:bookmarkEnd w:id="42"/>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43"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43"/>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44"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44"/>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45" w:name="APP_7"/>
      <w:r w:rsidRPr="003C7DED">
        <w:rPr>
          <w:rFonts w:ascii="Arial" w:hAnsi="Arial" w:cs="Arial"/>
          <w:b/>
          <w:sz w:val="22"/>
          <w:szCs w:val="22"/>
        </w:rPr>
        <w:lastRenderedPageBreak/>
        <w:t xml:space="preserve">APPENDIX 7:  </w:t>
      </w:r>
      <w:bookmarkEnd w:id="45"/>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46"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46"/>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F4B431" w14:textId="77777777" w:rsidR="00BF58C9" w:rsidRDefault="00BF58C9" w:rsidP="00E12CE5">
      <w:r>
        <w:separator/>
      </w:r>
    </w:p>
  </w:endnote>
  <w:endnote w:type="continuationSeparator" w:id="0">
    <w:p w14:paraId="42BD8F9E" w14:textId="77777777" w:rsidR="00BF58C9" w:rsidRDefault="00BF58C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127F52" w14:textId="77777777" w:rsidR="00BF58C9" w:rsidRDefault="00BF58C9" w:rsidP="00E12CE5">
      <w:r>
        <w:separator/>
      </w:r>
    </w:p>
  </w:footnote>
  <w:footnote w:type="continuationSeparator" w:id="0">
    <w:p w14:paraId="73D5AAC3" w14:textId="77777777" w:rsidR="00BF58C9" w:rsidRDefault="00BF58C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7D2BB0"/>
    <w:multiLevelType w:val="hybridMultilevel"/>
    <w:tmpl w:val="977E3D8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3"/>
  </w:num>
  <w:num w:numId="3" w16cid:durableId="1433432699">
    <w:abstractNumId w:val="2"/>
  </w:num>
  <w:num w:numId="4" w16cid:durableId="401568497">
    <w:abstractNumId w:val="6"/>
  </w:num>
  <w:num w:numId="5" w16cid:durableId="766847571">
    <w:abstractNumId w:val="12"/>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1"/>
  </w:num>
  <w:num w:numId="14" w16cid:durableId="202474238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79F7"/>
    <w:rsid w:val="000365A8"/>
    <w:rsid w:val="00041E52"/>
    <w:rsid w:val="00043453"/>
    <w:rsid w:val="0004645D"/>
    <w:rsid w:val="0005192A"/>
    <w:rsid w:val="000520C3"/>
    <w:rsid w:val="00061B1B"/>
    <w:rsid w:val="00064802"/>
    <w:rsid w:val="0007175B"/>
    <w:rsid w:val="000740CD"/>
    <w:rsid w:val="000747E1"/>
    <w:rsid w:val="00076294"/>
    <w:rsid w:val="00077E90"/>
    <w:rsid w:val="000A5BF4"/>
    <w:rsid w:val="000B5B9A"/>
    <w:rsid w:val="000B651C"/>
    <w:rsid w:val="000C5261"/>
    <w:rsid w:val="000E2240"/>
    <w:rsid w:val="000F1DE9"/>
    <w:rsid w:val="00117A44"/>
    <w:rsid w:val="001256EA"/>
    <w:rsid w:val="00132F6E"/>
    <w:rsid w:val="00140D27"/>
    <w:rsid w:val="00144663"/>
    <w:rsid w:val="00171C4A"/>
    <w:rsid w:val="0017477C"/>
    <w:rsid w:val="00176D00"/>
    <w:rsid w:val="0018385C"/>
    <w:rsid w:val="001921E7"/>
    <w:rsid w:val="001D79E4"/>
    <w:rsid w:val="001F274A"/>
    <w:rsid w:val="001F7B84"/>
    <w:rsid w:val="00213DE6"/>
    <w:rsid w:val="00220E9B"/>
    <w:rsid w:val="00237489"/>
    <w:rsid w:val="0023753B"/>
    <w:rsid w:val="00257A43"/>
    <w:rsid w:val="00276276"/>
    <w:rsid w:val="002854C0"/>
    <w:rsid w:val="002C57FE"/>
    <w:rsid w:val="002D64A8"/>
    <w:rsid w:val="002D6AAF"/>
    <w:rsid w:val="002E5348"/>
    <w:rsid w:val="002E77B7"/>
    <w:rsid w:val="002F2417"/>
    <w:rsid w:val="003014CE"/>
    <w:rsid w:val="00341B46"/>
    <w:rsid w:val="0034234B"/>
    <w:rsid w:val="00354DB7"/>
    <w:rsid w:val="00383018"/>
    <w:rsid w:val="00391075"/>
    <w:rsid w:val="00395AF2"/>
    <w:rsid w:val="003C7DED"/>
    <w:rsid w:val="003D0ABC"/>
    <w:rsid w:val="003F1A54"/>
    <w:rsid w:val="0040361A"/>
    <w:rsid w:val="00413420"/>
    <w:rsid w:val="00417CBF"/>
    <w:rsid w:val="004270E4"/>
    <w:rsid w:val="00427741"/>
    <w:rsid w:val="0043134A"/>
    <w:rsid w:val="00431772"/>
    <w:rsid w:val="00431951"/>
    <w:rsid w:val="00435D0D"/>
    <w:rsid w:val="004361F9"/>
    <w:rsid w:val="00442F51"/>
    <w:rsid w:val="004558B1"/>
    <w:rsid w:val="00457DA6"/>
    <w:rsid w:val="00461429"/>
    <w:rsid w:val="004674EF"/>
    <w:rsid w:val="00472F00"/>
    <w:rsid w:val="004927BA"/>
    <w:rsid w:val="004A10DC"/>
    <w:rsid w:val="004A3145"/>
    <w:rsid w:val="004C2503"/>
    <w:rsid w:val="004E7D81"/>
    <w:rsid w:val="00502B12"/>
    <w:rsid w:val="00510DAE"/>
    <w:rsid w:val="00515C24"/>
    <w:rsid w:val="00540F98"/>
    <w:rsid w:val="00547384"/>
    <w:rsid w:val="00551218"/>
    <w:rsid w:val="00551CE5"/>
    <w:rsid w:val="0056622C"/>
    <w:rsid w:val="005907A9"/>
    <w:rsid w:val="005B20B8"/>
    <w:rsid w:val="005B775F"/>
    <w:rsid w:val="005C690A"/>
    <w:rsid w:val="005D6DB1"/>
    <w:rsid w:val="006151A9"/>
    <w:rsid w:val="00624E42"/>
    <w:rsid w:val="00627EC2"/>
    <w:rsid w:val="006366B4"/>
    <w:rsid w:val="0064650F"/>
    <w:rsid w:val="00647C75"/>
    <w:rsid w:val="00651F0C"/>
    <w:rsid w:val="006525E2"/>
    <w:rsid w:val="00695179"/>
    <w:rsid w:val="0069797A"/>
    <w:rsid w:val="006A114C"/>
    <w:rsid w:val="006B2FD0"/>
    <w:rsid w:val="006C1C69"/>
    <w:rsid w:val="006C7408"/>
    <w:rsid w:val="006D17E5"/>
    <w:rsid w:val="006E5532"/>
    <w:rsid w:val="006E7E24"/>
    <w:rsid w:val="006F166F"/>
    <w:rsid w:val="00702469"/>
    <w:rsid w:val="007025FA"/>
    <w:rsid w:val="00713CAC"/>
    <w:rsid w:val="00732A79"/>
    <w:rsid w:val="00735E7B"/>
    <w:rsid w:val="00737DAA"/>
    <w:rsid w:val="00743C77"/>
    <w:rsid w:val="00762A75"/>
    <w:rsid w:val="00781850"/>
    <w:rsid w:val="00784F66"/>
    <w:rsid w:val="00786508"/>
    <w:rsid w:val="00786696"/>
    <w:rsid w:val="00787AEA"/>
    <w:rsid w:val="00787B6E"/>
    <w:rsid w:val="007A7190"/>
    <w:rsid w:val="007A7191"/>
    <w:rsid w:val="007A7662"/>
    <w:rsid w:val="007C3C51"/>
    <w:rsid w:val="007D2929"/>
    <w:rsid w:val="007E243C"/>
    <w:rsid w:val="007E2F81"/>
    <w:rsid w:val="007F0207"/>
    <w:rsid w:val="007F7672"/>
    <w:rsid w:val="00805613"/>
    <w:rsid w:val="00841382"/>
    <w:rsid w:val="00864354"/>
    <w:rsid w:val="00872452"/>
    <w:rsid w:val="008864B2"/>
    <w:rsid w:val="00886A02"/>
    <w:rsid w:val="00887143"/>
    <w:rsid w:val="008951DB"/>
    <w:rsid w:val="008978F6"/>
    <w:rsid w:val="008A172F"/>
    <w:rsid w:val="008A1E4E"/>
    <w:rsid w:val="008A2D50"/>
    <w:rsid w:val="008A68FB"/>
    <w:rsid w:val="008C2E25"/>
    <w:rsid w:val="008D6A63"/>
    <w:rsid w:val="008E1354"/>
    <w:rsid w:val="008E362D"/>
    <w:rsid w:val="008E5FA5"/>
    <w:rsid w:val="009019A1"/>
    <w:rsid w:val="00904D5B"/>
    <w:rsid w:val="00927121"/>
    <w:rsid w:val="00942D08"/>
    <w:rsid w:val="00960376"/>
    <w:rsid w:val="00967300"/>
    <w:rsid w:val="00975C54"/>
    <w:rsid w:val="009A3155"/>
    <w:rsid w:val="009A7EA7"/>
    <w:rsid w:val="009D1B48"/>
    <w:rsid w:val="009E5E57"/>
    <w:rsid w:val="009F5880"/>
    <w:rsid w:val="00A12FB0"/>
    <w:rsid w:val="00A310A3"/>
    <w:rsid w:val="00A35E44"/>
    <w:rsid w:val="00A44560"/>
    <w:rsid w:val="00A45BB9"/>
    <w:rsid w:val="00A54125"/>
    <w:rsid w:val="00A56AD8"/>
    <w:rsid w:val="00A718A3"/>
    <w:rsid w:val="00A80868"/>
    <w:rsid w:val="00A84BC9"/>
    <w:rsid w:val="00AA00CE"/>
    <w:rsid w:val="00AA4E90"/>
    <w:rsid w:val="00AB1AE2"/>
    <w:rsid w:val="00AB25B0"/>
    <w:rsid w:val="00AB2FEE"/>
    <w:rsid w:val="00AD1298"/>
    <w:rsid w:val="00AD3877"/>
    <w:rsid w:val="00AE6E5A"/>
    <w:rsid w:val="00B03A70"/>
    <w:rsid w:val="00B16FAD"/>
    <w:rsid w:val="00B20EC5"/>
    <w:rsid w:val="00B3462C"/>
    <w:rsid w:val="00B36605"/>
    <w:rsid w:val="00B4048C"/>
    <w:rsid w:val="00B45BCD"/>
    <w:rsid w:val="00B60A98"/>
    <w:rsid w:val="00B92EC5"/>
    <w:rsid w:val="00BA3725"/>
    <w:rsid w:val="00BA3868"/>
    <w:rsid w:val="00BD363F"/>
    <w:rsid w:val="00BD68D3"/>
    <w:rsid w:val="00BF58C9"/>
    <w:rsid w:val="00C13F75"/>
    <w:rsid w:val="00C159B7"/>
    <w:rsid w:val="00C22B1F"/>
    <w:rsid w:val="00C23E30"/>
    <w:rsid w:val="00C42758"/>
    <w:rsid w:val="00C70845"/>
    <w:rsid w:val="00C803DB"/>
    <w:rsid w:val="00CA7C6A"/>
    <w:rsid w:val="00CC29F7"/>
    <w:rsid w:val="00CC617C"/>
    <w:rsid w:val="00CD54AD"/>
    <w:rsid w:val="00CE73C2"/>
    <w:rsid w:val="00CF1DA8"/>
    <w:rsid w:val="00CF5AAA"/>
    <w:rsid w:val="00D04757"/>
    <w:rsid w:val="00D3389C"/>
    <w:rsid w:val="00D407F9"/>
    <w:rsid w:val="00D55D46"/>
    <w:rsid w:val="00D61CC8"/>
    <w:rsid w:val="00D70BAA"/>
    <w:rsid w:val="00D86859"/>
    <w:rsid w:val="00D93238"/>
    <w:rsid w:val="00D9773C"/>
    <w:rsid w:val="00DA467F"/>
    <w:rsid w:val="00DA5171"/>
    <w:rsid w:val="00DA5E8A"/>
    <w:rsid w:val="00DB1D58"/>
    <w:rsid w:val="00DB6726"/>
    <w:rsid w:val="00DB695D"/>
    <w:rsid w:val="00DC1A7A"/>
    <w:rsid w:val="00DC1CD1"/>
    <w:rsid w:val="00DE4FB9"/>
    <w:rsid w:val="00E12CE5"/>
    <w:rsid w:val="00E13396"/>
    <w:rsid w:val="00E35762"/>
    <w:rsid w:val="00E44410"/>
    <w:rsid w:val="00E44CFB"/>
    <w:rsid w:val="00E54560"/>
    <w:rsid w:val="00E60240"/>
    <w:rsid w:val="00E771B1"/>
    <w:rsid w:val="00E91E66"/>
    <w:rsid w:val="00E964B1"/>
    <w:rsid w:val="00E96E4E"/>
    <w:rsid w:val="00EB7AB6"/>
    <w:rsid w:val="00EC2BC0"/>
    <w:rsid w:val="00ED1666"/>
    <w:rsid w:val="00ED55FC"/>
    <w:rsid w:val="00ED7010"/>
    <w:rsid w:val="00EE5D51"/>
    <w:rsid w:val="00EF1692"/>
    <w:rsid w:val="00EF6287"/>
    <w:rsid w:val="00F11B19"/>
    <w:rsid w:val="00F14A3F"/>
    <w:rsid w:val="00F150A6"/>
    <w:rsid w:val="00F1771F"/>
    <w:rsid w:val="00F20A10"/>
    <w:rsid w:val="00F344E1"/>
    <w:rsid w:val="00F60A15"/>
    <w:rsid w:val="00F830BF"/>
    <w:rsid w:val="00FA285C"/>
    <w:rsid w:val="00FC276E"/>
    <w:rsid w:val="00FD1BF4"/>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8538</Words>
  <Characters>48670</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2025-12-22T10:12:00Z</dcterms:created>
  <dcterms:modified xsi:type="dcterms:W3CDTF">2025-12-22T10:12:00Z</dcterms:modified>
</cp:coreProperties>
</file>