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D3B1E9" w14:textId="0D30AC76" w:rsidR="005F5190" w:rsidRDefault="005F5190">
      <w:r w:rsidRPr="005F5190">
        <w:t>Rationale for ethical choices made within the application for ethical approval</w:t>
      </w:r>
    </w:p>
    <w:p w14:paraId="1F54D444" w14:textId="1460090A" w:rsidR="005F5190" w:rsidRDefault="005F5190"/>
    <w:p w14:paraId="434775AC" w14:textId="3992401A" w:rsidR="005F5190" w:rsidRDefault="005F5190">
      <w:r>
        <w:t>The ethical decision-making process for the proposed research considering</w:t>
      </w:r>
      <w:r w:rsidR="00CE031E">
        <w:t>,</w:t>
      </w:r>
      <w:r>
        <w:t xml:space="preserve"> w</w:t>
      </w:r>
      <w:r w:rsidRPr="005F5190">
        <w:t xml:space="preserve">ould </w:t>
      </w:r>
      <w:r>
        <w:t xml:space="preserve">a </w:t>
      </w:r>
      <w:r w:rsidRPr="005F5190">
        <w:t>growth mindset intervention have a positive impact upon the academic success of undergraduate students</w:t>
      </w:r>
      <w:r w:rsidR="001C40CA">
        <w:t>,</w:t>
      </w:r>
      <w:r>
        <w:t xml:space="preserve"> has needed to consider many different ethical choices. The purpose of the current body of work is to provide a rationale for the ethical choices such as research methods, management of risks involved and data storage, in conjunction with considerations of the key ethical areas of informed consent, confidentiality, anonymity and debrief. </w:t>
      </w:r>
    </w:p>
    <w:p w14:paraId="082D7215" w14:textId="6CD0F6DE" w:rsidR="004F0B39" w:rsidRDefault="005F5190">
      <w:r>
        <w:t>The proposed research will be using the research method</w:t>
      </w:r>
      <w:r w:rsidR="00CE031E">
        <w:t>,</w:t>
      </w:r>
      <w:r w:rsidR="009055FB">
        <w:t xml:space="preserve"> questionnaires</w:t>
      </w:r>
      <w:r w:rsidR="00CE031E">
        <w:t xml:space="preserve">, </w:t>
      </w:r>
      <w:r w:rsidR="009055FB">
        <w:t>to gain</w:t>
      </w:r>
      <w:r>
        <w:t xml:space="preserve"> quantitative </w:t>
      </w:r>
      <w:r w:rsidR="009055FB">
        <w:t xml:space="preserve">data, as set out in the objectives for the study (please see ethical approval form). </w:t>
      </w:r>
      <w:r w:rsidR="002D78A5">
        <w:t xml:space="preserve">The research method is a blueprint for the research activity (Denscombe,2010), and in the proposed research this means gathering data sets and looking for correlations. To obtain the data ethically, it is important to consider anonymity of the participants, thus the research method </w:t>
      </w:r>
      <w:r w:rsidR="00CE031E">
        <w:t xml:space="preserve">of electronic questionnaires </w:t>
      </w:r>
      <w:r w:rsidR="002D78A5">
        <w:t xml:space="preserve">is best suited to the design, </w:t>
      </w:r>
      <w:r w:rsidR="00CE031E">
        <w:t xml:space="preserve">as it allows anonymity of the personal data (through Participant ID numbers) which keeps the ethics in line with </w:t>
      </w:r>
      <w:r w:rsidR="00105784" w:rsidRPr="00105784">
        <w:t xml:space="preserve">British Educational Research Association </w:t>
      </w:r>
      <w:r w:rsidR="00105784">
        <w:t>(</w:t>
      </w:r>
      <w:r w:rsidR="00CE031E">
        <w:t>BERA</w:t>
      </w:r>
      <w:r w:rsidR="00105784">
        <w:t>)</w:t>
      </w:r>
      <w:r w:rsidR="00CE031E">
        <w:t xml:space="preserve">, </w:t>
      </w:r>
      <w:r w:rsidR="00105784">
        <w:t>Education Workforce Council (</w:t>
      </w:r>
      <w:r w:rsidR="00CE031E">
        <w:t>EWC</w:t>
      </w:r>
      <w:r w:rsidR="00105784">
        <w:t>)</w:t>
      </w:r>
      <w:r w:rsidR="00CE031E">
        <w:t xml:space="preserve"> and </w:t>
      </w:r>
      <w:r w:rsidR="00105784">
        <w:t>University of Wales Trinity St David (</w:t>
      </w:r>
      <w:r w:rsidR="00CE031E">
        <w:t>UWTSD</w:t>
      </w:r>
      <w:r w:rsidR="00105784">
        <w:t>)</w:t>
      </w:r>
      <w:r w:rsidR="00CE031E">
        <w:t xml:space="preserve">. The method also reduces the risk of harm to the participants, due to breaches in </w:t>
      </w:r>
      <w:r w:rsidR="00CE031E" w:rsidRPr="00CE031E">
        <w:t>privacy and confidentiality</w:t>
      </w:r>
      <w:r w:rsidR="00CE031E">
        <w:t xml:space="preserve"> or fear of having private thoughts and attitudes upon their sense of self made public</w:t>
      </w:r>
      <w:r w:rsidR="004F0B39">
        <w:t xml:space="preserve">, consequently, protecting the respondent’s confidentiality. </w:t>
      </w:r>
      <w:r w:rsidR="00CE031E">
        <w:t xml:space="preserve"> The method enables the data to become classified </w:t>
      </w:r>
      <w:r w:rsidR="007D007C">
        <w:t xml:space="preserve">within the collection process, thus protecting the identity of the respondents and mitigating </w:t>
      </w:r>
      <w:r w:rsidR="001C40CA">
        <w:t>any</w:t>
      </w:r>
      <w:r w:rsidR="007D007C">
        <w:t xml:space="preserve"> risk.</w:t>
      </w:r>
    </w:p>
    <w:p w14:paraId="0DB4CDF5" w14:textId="7E7FFC23" w:rsidR="00EE4907" w:rsidRDefault="007D007C">
      <w:r>
        <w:t xml:space="preserve">The method also enables the data sets to be stored electronically using the UWTSD cloud space, </w:t>
      </w:r>
      <w:r w:rsidR="00105784">
        <w:t xml:space="preserve">on Microsoft OneDrive </w:t>
      </w:r>
      <w:r>
        <w:t xml:space="preserve">which is password protected and maintained hourly for security </w:t>
      </w:r>
      <w:r w:rsidR="00B67692">
        <w:t xml:space="preserve">breaches, </w:t>
      </w:r>
      <w:r w:rsidR="00B67692" w:rsidRPr="00B67692">
        <w:t>this has many security features which includes anti-malware</w:t>
      </w:r>
      <w:r w:rsidR="001C40CA">
        <w:t xml:space="preserve"> and</w:t>
      </w:r>
      <w:r w:rsidR="00B67692" w:rsidRPr="00B67692">
        <w:t xml:space="preserve"> virus scanners (Microsoft, 2019). </w:t>
      </w:r>
      <w:r w:rsidR="00B67692">
        <w:t>Therefore</w:t>
      </w:r>
      <w:r>
        <w:t xml:space="preserve"> upholding the ethical framework from the </w:t>
      </w:r>
      <w:r w:rsidR="00E8551A" w:rsidRPr="00E8551A">
        <w:t xml:space="preserve">General Data Protection Regulation </w:t>
      </w:r>
      <w:r w:rsidR="00E8551A">
        <w:t>(</w:t>
      </w:r>
      <w:r>
        <w:t>GDPR</w:t>
      </w:r>
      <w:r w:rsidR="00E8551A">
        <w:t>)</w:t>
      </w:r>
      <w:r w:rsidR="00EE4907" w:rsidRPr="00EE4907">
        <w:t xml:space="preserve"> guidelines relating to storing of data which states “A key principle of the GDPR is that you process personal data securely by means of ‘appropriate technical and organisational measures’  this is the ‘security principle”, (ICO, 2019), </w:t>
      </w:r>
      <w:r w:rsidR="00B05525">
        <w:t xml:space="preserve">as previously mentioned </w:t>
      </w:r>
      <w:r w:rsidR="00EE4907" w:rsidRPr="00EE4907">
        <w:t>the data sets will be stored using the organisational measures set out by the UWTSD</w:t>
      </w:r>
      <w:r w:rsidR="001C40CA">
        <w:t xml:space="preserve">. </w:t>
      </w:r>
    </w:p>
    <w:p w14:paraId="280465A6" w14:textId="6C4DEC78" w:rsidR="007D007C" w:rsidRDefault="007D007C">
      <w:r>
        <w:t>The proposed research method also reduces any risk of bias in the final data sets, from the researcher or the responders, due to the fact the research design is standardised and objective, resulting in valid and reliably</w:t>
      </w:r>
      <w:r w:rsidR="004F0B39">
        <w:t xml:space="preserve"> data to be analysed </w:t>
      </w:r>
      <w:r>
        <w:t>(Boynton &amp; Greenhalgh, 2004), th</w:t>
      </w:r>
      <w:r w:rsidR="004F0B39">
        <w:t xml:space="preserve">erefore, upholding the ethical framework set out by BERA and UWTSD. </w:t>
      </w:r>
    </w:p>
    <w:p w14:paraId="2ED9DEE3" w14:textId="752D0A3D" w:rsidR="008D3102" w:rsidRDefault="004F0B39">
      <w:r>
        <w:t xml:space="preserve">The research method includes the use of the Likert scale in terms of question development, the rationale behind the design choice was to </w:t>
      </w:r>
      <w:r w:rsidRPr="004F0B39">
        <w:t>enable the respondents to consider their internal states in a scale format rather than an either/or option, thus capturing true readings of the respondents inner thoughts</w:t>
      </w:r>
      <w:r>
        <w:t xml:space="preserve"> and reducing any psychological/emotional intensity of the answers provided</w:t>
      </w:r>
      <w:r w:rsidR="001B4BD2">
        <w:t xml:space="preserve"> </w:t>
      </w:r>
      <w:r w:rsidR="008D3102">
        <w:t>(Parreira &amp; Da Silva, 2016).</w:t>
      </w:r>
    </w:p>
    <w:p w14:paraId="7563FE8D" w14:textId="3D10214A" w:rsidR="001B4BD2" w:rsidRDefault="00430F25">
      <w:r>
        <w:t xml:space="preserve">The second research </w:t>
      </w:r>
      <w:r w:rsidR="00BA7DF3">
        <w:t xml:space="preserve">questionnaire will be developed using </w:t>
      </w:r>
      <w:r w:rsidR="003370A0">
        <w:t xml:space="preserve">a mixture of open and closed questions, </w:t>
      </w:r>
      <w:r w:rsidR="001B4BD2">
        <w:t>a</w:t>
      </w:r>
      <w:r w:rsidR="000F3CF9">
        <w:t xml:space="preserve">ny design </w:t>
      </w:r>
      <w:r w:rsidR="00450334">
        <w:t xml:space="preserve">needs to consider </w:t>
      </w:r>
      <w:r w:rsidR="001B4BD2">
        <w:t xml:space="preserve">how </w:t>
      </w:r>
      <w:r w:rsidR="00DE46D8">
        <w:t xml:space="preserve">questionnaires </w:t>
      </w:r>
      <w:r w:rsidR="004D6C1D">
        <w:t xml:space="preserve">can be an intrusion </w:t>
      </w:r>
      <w:r w:rsidR="008109DA">
        <w:t>into the private world of the respondent</w:t>
      </w:r>
      <w:r w:rsidR="0032166F">
        <w:t xml:space="preserve"> (Cohen </w:t>
      </w:r>
      <w:r w:rsidR="00710DE6">
        <w:t>et al</w:t>
      </w:r>
      <w:r w:rsidR="004B7743">
        <w:t xml:space="preserve">, </w:t>
      </w:r>
      <w:r w:rsidR="0041326B">
        <w:t>200</w:t>
      </w:r>
      <w:r w:rsidR="00710DE6">
        <w:t>8</w:t>
      </w:r>
      <w:r w:rsidR="0041326B">
        <w:t xml:space="preserve">), </w:t>
      </w:r>
      <w:r w:rsidR="0044544A">
        <w:t>however, the proposed research has given careful consideration to reduce an</w:t>
      </w:r>
      <w:r w:rsidR="00CE6ACE">
        <w:t>y</w:t>
      </w:r>
      <w:r w:rsidR="0044544A">
        <w:t xml:space="preserve"> infringement </w:t>
      </w:r>
      <w:r w:rsidR="00CE6ACE">
        <w:t>on the participants</w:t>
      </w:r>
      <w:r w:rsidR="0044544A">
        <w:t xml:space="preserve"> </w:t>
      </w:r>
      <w:r w:rsidR="00CE6ACE">
        <w:t>(due to the sensitivity of the research area, being educational)</w:t>
      </w:r>
      <w:r w:rsidR="001C40CA">
        <w:t xml:space="preserve">, such as providing anonymity, confidentiality and data protection. </w:t>
      </w:r>
    </w:p>
    <w:p w14:paraId="562A30E3" w14:textId="6513399F" w:rsidR="004F0B39" w:rsidRDefault="00CE6ACE">
      <w:r>
        <w:lastRenderedPageBreak/>
        <w:t>Ethically</w:t>
      </w:r>
      <w:r w:rsidR="00364696">
        <w:t>,</w:t>
      </w:r>
      <w:r>
        <w:t xml:space="preserve"> </w:t>
      </w:r>
      <w:r w:rsidR="00364696">
        <w:t>t</w:t>
      </w:r>
      <w:r w:rsidR="004F0B39">
        <w:t xml:space="preserve">he research design includes informed consent which will </w:t>
      </w:r>
      <w:r w:rsidR="003E7D90">
        <w:t xml:space="preserve">provide key information regarding the study and the </w:t>
      </w:r>
      <w:r w:rsidR="001B4BD2">
        <w:t xml:space="preserve">use </w:t>
      </w:r>
      <w:r w:rsidR="003E7D90">
        <w:t xml:space="preserve">questionnaires, giving the </w:t>
      </w:r>
      <w:r w:rsidR="00E34997">
        <w:t xml:space="preserve">potential participants an opportunity to decline in taking part </w:t>
      </w:r>
      <w:r w:rsidR="003C115E">
        <w:t>in the research process</w:t>
      </w:r>
      <w:r w:rsidR="00B47194">
        <w:t>, as i</w:t>
      </w:r>
      <w:r w:rsidR="00B47194" w:rsidRPr="00B47194">
        <w:t xml:space="preserve">t </w:t>
      </w:r>
      <w:r w:rsidR="00B47194">
        <w:t>provides</w:t>
      </w:r>
      <w:r w:rsidR="00B47194" w:rsidRPr="00B47194">
        <w:t xml:space="preserve"> an expression of respect </w:t>
      </w:r>
      <w:r w:rsidR="00FD0FEE">
        <w:t>concerning</w:t>
      </w:r>
      <w:r w:rsidR="00B47194" w:rsidRPr="00B47194">
        <w:t xml:space="preserve"> the autonomy of the individual who </w:t>
      </w:r>
      <w:r w:rsidR="001C40CA">
        <w:t xml:space="preserve">may </w:t>
      </w:r>
      <w:r w:rsidR="00B47194" w:rsidRPr="00B47194">
        <w:t xml:space="preserve">participate in the </w:t>
      </w:r>
      <w:r w:rsidR="00B47194">
        <w:t xml:space="preserve">research (Cheng-Tek Tai, 2012). </w:t>
      </w:r>
      <w:r w:rsidR="003C115E">
        <w:t xml:space="preserve"> </w:t>
      </w:r>
      <w:r w:rsidR="009B7447">
        <w:t>The</w:t>
      </w:r>
      <w:r w:rsidR="006B6453">
        <w:t xml:space="preserve"> </w:t>
      </w:r>
      <w:r w:rsidR="005E287E">
        <w:t xml:space="preserve">use of a right to withdraw </w:t>
      </w:r>
      <w:r w:rsidR="00A12EBC">
        <w:t>at any time through-out the research process</w:t>
      </w:r>
      <w:r w:rsidR="00EA4D93">
        <w:t xml:space="preserve"> will also provide protection for the </w:t>
      </w:r>
      <w:r w:rsidR="00CC2D79">
        <w:t>participants</w:t>
      </w:r>
      <w:r w:rsidR="0023794A">
        <w:t xml:space="preserve">, in terms of not having to answer any items on the questionnaire that may cause discomfort or distress or even deciding to not answer any </w:t>
      </w:r>
      <w:r w:rsidR="009441CD">
        <w:t>of the questions.</w:t>
      </w:r>
      <w:r w:rsidR="00385F8F">
        <w:t xml:space="preserve"> The right to withdraw </w:t>
      </w:r>
      <w:r w:rsidR="001B4BD2">
        <w:t xml:space="preserve">will </w:t>
      </w:r>
      <w:r w:rsidR="00DD6FC1">
        <w:t xml:space="preserve">explain the rights of the </w:t>
      </w:r>
      <w:r w:rsidR="001B4BD2">
        <w:t>participants and</w:t>
      </w:r>
      <w:r w:rsidR="00063B35">
        <w:t xml:space="preserve"> gives options to ensure </w:t>
      </w:r>
      <w:r w:rsidR="008570DE">
        <w:t xml:space="preserve">the </w:t>
      </w:r>
      <w:r w:rsidR="00DD6FC1">
        <w:t xml:space="preserve">ethical framework </w:t>
      </w:r>
      <w:r w:rsidR="008570DE">
        <w:t>is being upheld</w:t>
      </w:r>
      <w:r w:rsidR="001B4BD2">
        <w:t xml:space="preserve">, </w:t>
      </w:r>
      <w:r w:rsidR="00287E85">
        <w:t>thus, the use of questionnaire as the research method</w:t>
      </w:r>
      <w:r w:rsidR="00252D9E">
        <w:t xml:space="preserve">, is deemed appropriate and ethical by the researcher within the research design. </w:t>
      </w:r>
    </w:p>
    <w:p w14:paraId="48831DFE" w14:textId="1093E34D" w:rsidR="00AA72B1" w:rsidRDefault="000549DD">
      <w:r>
        <w:t>Participation in research (especially Educational) ought to voluntary and based upon informed consent, there should be coercion or persuasion placed on the possible participants (Denscombe,2014). The proposed research has omitted any participation rewards, n</w:t>
      </w:r>
      <w:r w:rsidRPr="000549DD">
        <w:t>o incentives</w:t>
      </w:r>
      <w:r>
        <w:t xml:space="preserve"> are offered, to protect the possible participants from any pressure to enter into the research process (as this is an educational establishment, the participants will be the stud</w:t>
      </w:r>
      <w:r w:rsidR="001C40CA">
        <w:t>ent</w:t>
      </w:r>
      <w:r>
        <w:t xml:space="preserve"> body and they may feel </w:t>
      </w:r>
      <w:r w:rsidR="001C40CA">
        <w:t xml:space="preserve">internal </w:t>
      </w:r>
      <w:r>
        <w:t xml:space="preserve">tension </w:t>
      </w:r>
      <w:r w:rsidR="001C40CA">
        <w:t>to</w:t>
      </w:r>
      <w:r>
        <w:t xml:space="preserve"> please the educator, even if this wish to decline to take part in the research process). </w:t>
      </w:r>
      <w:r w:rsidR="00AA72B1">
        <w:t xml:space="preserve">The informed consent will be made available to the participants in a written format, the rationale </w:t>
      </w:r>
      <w:r w:rsidR="00357DFA">
        <w:t xml:space="preserve">for the design is to ensure the </w:t>
      </w:r>
      <w:r>
        <w:t>participants are made aware of the sufficient information regarding the research process</w:t>
      </w:r>
      <w:r w:rsidR="008D0ED2">
        <w:t xml:space="preserve"> and storage of </w:t>
      </w:r>
      <w:r w:rsidR="001C40CA">
        <w:t xml:space="preserve">their personal </w:t>
      </w:r>
      <w:r w:rsidR="008D0ED2">
        <w:t>data,</w:t>
      </w:r>
      <w:r>
        <w:t xml:space="preserve"> as</w:t>
      </w:r>
      <w:r w:rsidR="008D0ED2">
        <w:t xml:space="preserve"> this will be</w:t>
      </w:r>
      <w:r>
        <w:t xml:space="preserve"> in </w:t>
      </w:r>
      <w:r w:rsidR="008D0ED2">
        <w:t xml:space="preserve">a </w:t>
      </w:r>
      <w:r>
        <w:t>written format, no urgency will be present and a reasoned judgement can be reached in a time scale that suits the participants</w:t>
      </w:r>
      <w:r w:rsidR="008D0ED2">
        <w:t xml:space="preserve"> without the researcher being present, </w:t>
      </w:r>
      <w:r w:rsidR="001C40CA">
        <w:t>thus,</w:t>
      </w:r>
      <w:r w:rsidR="008D0ED2">
        <w:t xml:space="preserve"> eliminat</w:t>
      </w:r>
      <w:r w:rsidR="001C40CA">
        <w:t>ing any</w:t>
      </w:r>
      <w:r w:rsidR="008D0ED2">
        <w:t xml:space="preserve"> </w:t>
      </w:r>
      <w:r w:rsidR="001C40CA">
        <w:t>conflict that may occur</w:t>
      </w:r>
      <w:r w:rsidR="008D0ED2">
        <w:t xml:space="preserve"> between the researcher/educator</w:t>
      </w:r>
      <w:r w:rsidR="001C40CA">
        <w:t xml:space="preserve"> role</w:t>
      </w:r>
      <w:r w:rsidR="008D0ED2">
        <w:t xml:space="preserve"> and participants/students. </w:t>
      </w:r>
    </w:p>
    <w:p w14:paraId="31412442" w14:textId="1483B1AE" w:rsidR="004C3038" w:rsidRDefault="004C3038" w:rsidP="004C3038">
      <w:r>
        <w:t>While it is widely accepted that self-report measures such as the ones proposed for this body of research carry very little risk in terms of participant distress, it must be noted that each participant is still entitled to a full de-briefing of the research process and final outcomes of the research (Sharpe &amp; Faye, 2009). To protect the participants integrity and uphold the guidelines (set out by BERA and UWTSD) a full de-brief in a face to face, 1-2-1 (in private to ensure confidentiality) with the researcher will be offered</w:t>
      </w:r>
      <w:r w:rsidR="006856ED">
        <w:t>, or a written version should the participant decline to be identified by the researcher</w:t>
      </w:r>
      <w:r>
        <w:t xml:space="preserve">. The rationale behind this choice </w:t>
      </w:r>
      <w:r w:rsidR="00E278D4">
        <w:t>is, it provides an opportunity for reflection for both the researcher and the participants. It provides a confidential space, which protects the identity of the participants while offering contact with the researcher</w:t>
      </w:r>
      <w:r w:rsidR="001C40CA">
        <w:t>,</w:t>
      </w:r>
      <w:r w:rsidR="00E278D4">
        <w:t xml:space="preserve"> to explore any in-depth questions or inquiries relating to the experience of the research process. This will enable the researcher to capture any further information relating to the experiences of growth mindset and the impact it may have on academic attainment. This also gives the participant an opportunity for in-depth feedback on the intervention and the impact it may or may not have had on academic attainment. </w:t>
      </w:r>
      <w:r w:rsidR="006856ED">
        <w:t>The ethical paradigm will need to be explained further as the researcher will have had a relationship with the participant as an educator and researcher (</w:t>
      </w:r>
      <w:proofErr w:type="spellStart"/>
      <w:r w:rsidR="006856ED">
        <w:t>Parsell</w:t>
      </w:r>
      <w:proofErr w:type="spellEnd"/>
      <w:r w:rsidR="006856ED">
        <w:t xml:space="preserve"> et al, 2014) but will not be aware of the actually identity of the participants until the debrief has been completed and consent has been received to use the data sets collected to ensure detachment and objectivity with the data and to uphold the anonymity and confidentiality of the participants. </w:t>
      </w:r>
    </w:p>
    <w:p w14:paraId="1D03F757" w14:textId="5E565651" w:rsidR="002D78A5" w:rsidRDefault="002D78A5"/>
    <w:p w14:paraId="313A3ABE" w14:textId="21EC5248" w:rsidR="007D007C" w:rsidRDefault="007D007C"/>
    <w:p w14:paraId="021D6409" w14:textId="3C935282" w:rsidR="007D007C" w:rsidRDefault="007D007C"/>
    <w:p w14:paraId="7AD129A1" w14:textId="4537059E" w:rsidR="007D007C" w:rsidRDefault="007D007C"/>
    <w:p w14:paraId="6ADF4940" w14:textId="130A07B3" w:rsidR="007D007C" w:rsidRDefault="007D007C"/>
    <w:p w14:paraId="02D623CA" w14:textId="6C27B3FA" w:rsidR="007D007C" w:rsidRDefault="007D007C"/>
    <w:p w14:paraId="4A30757C" w14:textId="4017E399" w:rsidR="007D007C" w:rsidRDefault="007D007C"/>
    <w:p w14:paraId="6F833E58" w14:textId="75FA9A0E" w:rsidR="007D007C" w:rsidRDefault="007D007C">
      <w:r w:rsidRPr="007D007C">
        <w:t xml:space="preserve">Boynton, P. M., &amp; Greenhalgh, T. (2004). Selecting, designing, and developing your questionnaire. </w:t>
      </w:r>
      <w:r w:rsidRPr="00BC10C4">
        <w:rPr>
          <w:i/>
          <w:iCs/>
        </w:rPr>
        <w:t>BMJ (Clinical research ed.),</w:t>
      </w:r>
      <w:r w:rsidRPr="007D007C">
        <w:t xml:space="preserve"> 328(7451), </w:t>
      </w:r>
      <w:r w:rsidR="00455A99">
        <w:t>pp.</w:t>
      </w:r>
      <w:r w:rsidRPr="007D007C">
        <w:t xml:space="preserve">1312–1315. </w:t>
      </w:r>
      <w:r>
        <w:t xml:space="preserve">Available at </w:t>
      </w:r>
      <w:hyperlink r:id="rId9" w:history="1">
        <w:r w:rsidRPr="00F762B2">
          <w:rPr>
            <w:rStyle w:val="Hyperlink"/>
          </w:rPr>
          <w:t>https://www.ncbi.nlm.nih.gov/pmc/articles/PMC420179/</w:t>
        </w:r>
      </w:hyperlink>
      <w:r w:rsidR="00BC10C4">
        <w:t xml:space="preserve"> (</w:t>
      </w:r>
      <w:r w:rsidR="00455A99">
        <w:t>A</w:t>
      </w:r>
      <w:r>
        <w:t>ccessed on 02/12/19</w:t>
      </w:r>
      <w:r w:rsidR="00BC10C4">
        <w:t>)</w:t>
      </w:r>
      <w:r>
        <w:t xml:space="preserve">. </w:t>
      </w:r>
    </w:p>
    <w:p w14:paraId="201888B0" w14:textId="34AA7150" w:rsidR="00B47194" w:rsidRPr="00B47194" w:rsidRDefault="00B47194">
      <w:r>
        <w:t xml:space="preserve">Cheng-Tek Tai, </w:t>
      </w:r>
      <w:proofErr w:type="gramStart"/>
      <w:r>
        <w:t>M,.</w:t>
      </w:r>
      <w:proofErr w:type="gramEnd"/>
      <w:r>
        <w:t xml:space="preserve"> (2012). </w:t>
      </w:r>
      <w:r w:rsidRPr="00B47194">
        <w:t xml:space="preserve">Deception and informed consent in social, </w:t>
      </w:r>
      <w:proofErr w:type="spellStart"/>
      <w:r w:rsidRPr="00B47194">
        <w:t>behavioral</w:t>
      </w:r>
      <w:proofErr w:type="spellEnd"/>
      <w:r w:rsidRPr="00B47194">
        <w:t>, and educational research</w:t>
      </w:r>
      <w:r>
        <w:t xml:space="preserve">. </w:t>
      </w:r>
      <w:proofErr w:type="spellStart"/>
      <w:r w:rsidRPr="00B47194">
        <w:rPr>
          <w:i/>
          <w:iCs/>
        </w:rPr>
        <w:t>TzuChi</w:t>
      </w:r>
      <w:proofErr w:type="spellEnd"/>
      <w:r w:rsidRPr="00B47194">
        <w:rPr>
          <w:i/>
          <w:iCs/>
        </w:rPr>
        <w:t xml:space="preserve"> Medical Journal</w:t>
      </w:r>
      <w:r>
        <w:rPr>
          <w:i/>
          <w:iCs/>
        </w:rPr>
        <w:t xml:space="preserve">, </w:t>
      </w:r>
      <w:r>
        <w:t xml:space="preserve">24, </w:t>
      </w:r>
      <w:r w:rsidR="00455A99">
        <w:t xml:space="preserve">pp. </w:t>
      </w:r>
      <w:r>
        <w:t xml:space="preserve">218-222. Available at </w:t>
      </w:r>
      <w:hyperlink r:id="rId10" w:history="1">
        <w:r w:rsidRPr="00F762B2">
          <w:rPr>
            <w:rStyle w:val="Hyperlink"/>
          </w:rPr>
          <w:t>https://reader.elsevier.com/reader/sd/pii/S1016319012000468?token=12AA4E80DB38712CE09FA889E46D56F390B7466B54BBFE0D617B3E1416D7AAAE96C4680255636A6D092BFA35202E40D9</w:t>
        </w:r>
      </w:hyperlink>
      <w:r w:rsidR="00455A99">
        <w:rPr>
          <w:rStyle w:val="Hyperlink"/>
        </w:rPr>
        <w:t xml:space="preserve"> (</w:t>
      </w:r>
      <w:r w:rsidR="00455A99">
        <w:t>A</w:t>
      </w:r>
      <w:r>
        <w:t xml:space="preserve">ccessed on 02/12/19). </w:t>
      </w:r>
    </w:p>
    <w:p w14:paraId="2E51273E" w14:textId="23B2202A" w:rsidR="00A70E86" w:rsidRPr="00710DE6" w:rsidRDefault="00A70E86">
      <w:r>
        <w:t>Cohen, L. et al. (</w:t>
      </w:r>
      <w:r w:rsidR="00710DE6">
        <w:t xml:space="preserve">2008). </w:t>
      </w:r>
      <w:r w:rsidR="00710DE6" w:rsidRPr="00710DE6">
        <w:rPr>
          <w:i/>
          <w:iCs/>
        </w:rPr>
        <w:t>Research Methods in Education.</w:t>
      </w:r>
      <w:r w:rsidR="00710DE6">
        <w:rPr>
          <w:i/>
          <w:iCs/>
        </w:rPr>
        <w:t xml:space="preserve"> </w:t>
      </w:r>
      <w:r w:rsidR="00710DE6">
        <w:t>6</w:t>
      </w:r>
      <w:r w:rsidR="00710DE6" w:rsidRPr="00710DE6">
        <w:rPr>
          <w:vertAlign w:val="superscript"/>
        </w:rPr>
        <w:t>th</w:t>
      </w:r>
      <w:r w:rsidR="00710DE6">
        <w:t xml:space="preserve"> Ed. Oxon: Routledge.</w:t>
      </w:r>
    </w:p>
    <w:p w14:paraId="3688E101" w14:textId="4887C3EE" w:rsidR="00990B16" w:rsidRDefault="00990B16">
      <w:r>
        <w:t xml:space="preserve">Denscombe, M. (2014). </w:t>
      </w:r>
      <w:r w:rsidRPr="00990B16">
        <w:rPr>
          <w:i/>
          <w:iCs/>
        </w:rPr>
        <w:t>The good research guide</w:t>
      </w:r>
      <w:r>
        <w:t>: for small-scale social research projects. 5</w:t>
      </w:r>
      <w:r w:rsidRPr="00990B16">
        <w:rPr>
          <w:vertAlign w:val="superscript"/>
        </w:rPr>
        <w:t>th</w:t>
      </w:r>
      <w:r>
        <w:t xml:space="preserve"> Ed. Berkshire: Open University press. </w:t>
      </w:r>
    </w:p>
    <w:p w14:paraId="1B74571B" w14:textId="23719ED0" w:rsidR="00990B16" w:rsidRDefault="00990B16">
      <w:r>
        <w:t xml:space="preserve">Denscombe, M. (2010). </w:t>
      </w:r>
      <w:r w:rsidRPr="00990B16">
        <w:rPr>
          <w:i/>
          <w:iCs/>
        </w:rPr>
        <w:t>Ground Rule for Social Research</w:t>
      </w:r>
      <w:r>
        <w:t>: Guidelines for Good Practise. 2</w:t>
      </w:r>
      <w:r w:rsidRPr="00990B16">
        <w:rPr>
          <w:vertAlign w:val="superscript"/>
        </w:rPr>
        <w:t>nd</w:t>
      </w:r>
      <w:r>
        <w:t xml:space="preserve"> Ed. Berkshire: Open University Press.</w:t>
      </w:r>
    </w:p>
    <w:p w14:paraId="6A74937A" w14:textId="57E0CF56" w:rsidR="00000443" w:rsidRDefault="00000443">
      <w:r w:rsidRPr="00000443">
        <w:t xml:space="preserve">Information commissioner’s office ICO, 2019. Guide to the General Data Protection Regulation (GDPR). Available at </w:t>
      </w:r>
      <w:r w:rsidRPr="00000443">
        <w:rPr>
          <w:color w:val="2E74B5" w:themeColor="accent5" w:themeShade="BF"/>
        </w:rPr>
        <w:t xml:space="preserve">https://ico.org.uk/for-organisations/guide-to-data-protection/guide-to-the-general-data-protection-regulation-gdpr/security/ </w:t>
      </w:r>
      <w:r w:rsidR="00BC10C4" w:rsidRPr="00BC10C4">
        <w:t>(</w:t>
      </w:r>
      <w:r w:rsidR="00455A99">
        <w:t>A</w:t>
      </w:r>
      <w:r w:rsidRPr="00BC10C4">
        <w:t xml:space="preserve">ccess </w:t>
      </w:r>
      <w:r w:rsidRPr="00000443">
        <w:t>on 17/11/19</w:t>
      </w:r>
      <w:r w:rsidR="00BC10C4">
        <w:t>)</w:t>
      </w:r>
      <w:r w:rsidR="00752A83">
        <w:t>.</w:t>
      </w:r>
    </w:p>
    <w:p w14:paraId="68080269" w14:textId="31AA2653" w:rsidR="00000443" w:rsidRDefault="00752A83">
      <w:r w:rsidRPr="00752A83">
        <w:t xml:space="preserve">Microsoft, 2019. How OneDrive safeguards your data in the cloud. Available at </w:t>
      </w:r>
      <w:r w:rsidRPr="00752A83">
        <w:rPr>
          <w:color w:val="2E74B5" w:themeColor="accent5" w:themeShade="BF"/>
        </w:rPr>
        <w:t>https://support.office.com/en-gb/article/how-onedrive-safeguards-your-data-in-the-cloud-23c6ea94-3608-48d7-8bf0-80e142edd1e1</w:t>
      </w:r>
      <w:r w:rsidRPr="00752A83">
        <w:t xml:space="preserve"> </w:t>
      </w:r>
      <w:r w:rsidR="00BC10C4">
        <w:t>(</w:t>
      </w:r>
      <w:r w:rsidR="00455A99">
        <w:t>A</w:t>
      </w:r>
      <w:r w:rsidRPr="00752A83">
        <w:t>ccessed on 17/11/19</w:t>
      </w:r>
      <w:r w:rsidR="00BC10C4">
        <w:t>)</w:t>
      </w:r>
      <w:r>
        <w:t>.</w:t>
      </w:r>
    </w:p>
    <w:p w14:paraId="62F92E6C" w14:textId="1A524997" w:rsidR="007C14C9" w:rsidRDefault="007C14C9">
      <w:r>
        <w:t xml:space="preserve">Parnell, M. Et al. (2014). Ethics in higher education research. </w:t>
      </w:r>
      <w:r w:rsidRPr="007C14C9">
        <w:rPr>
          <w:i/>
          <w:iCs/>
        </w:rPr>
        <w:t>Studies in Higher Education.</w:t>
      </w:r>
      <w:r>
        <w:t xml:space="preserve"> 39 (1), 166-176. Available at </w:t>
      </w:r>
      <w:hyperlink r:id="rId11" w:history="1">
        <w:r w:rsidRPr="00F762B2">
          <w:rPr>
            <w:rStyle w:val="Hyperlink"/>
          </w:rPr>
          <w:t>http://dx.doi.org/10.1080/03075079.2011.647766</w:t>
        </w:r>
      </w:hyperlink>
      <w:r>
        <w:t xml:space="preserve"> (</w:t>
      </w:r>
      <w:r w:rsidR="00455A99">
        <w:t>A</w:t>
      </w:r>
      <w:r>
        <w:t xml:space="preserve">ccessed on 02/12/19). </w:t>
      </w:r>
    </w:p>
    <w:p w14:paraId="72F4A741" w14:textId="7FE549EF" w:rsidR="008D3102" w:rsidRPr="008D3102" w:rsidRDefault="008D3102">
      <w:r>
        <w:t xml:space="preserve">Parreira, A. and Da Silva, A. (2016). </w:t>
      </w:r>
      <w:r w:rsidRPr="008D3102">
        <w:t xml:space="preserve">The use of numerical value of adverbs of quantity and frequency in the measurement of </w:t>
      </w:r>
      <w:proofErr w:type="spellStart"/>
      <w:r w:rsidRPr="008D3102">
        <w:t>behavior</w:t>
      </w:r>
      <w:proofErr w:type="spellEnd"/>
      <w:r w:rsidRPr="008D3102">
        <w:t xml:space="preserve"> patterns: transforming ordinal scales into interval scales</w:t>
      </w:r>
      <w:r>
        <w:t xml:space="preserve">. </w:t>
      </w:r>
      <w:r w:rsidRPr="008D3102">
        <w:rPr>
          <w:i/>
          <w:iCs/>
        </w:rPr>
        <w:t>Directory of open access Journals</w:t>
      </w:r>
      <w:r>
        <w:rPr>
          <w:i/>
          <w:iCs/>
        </w:rPr>
        <w:t xml:space="preserve">, </w:t>
      </w:r>
      <w:r>
        <w:t xml:space="preserve">24 (90), pp.109-126. Available at </w:t>
      </w:r>
      <w:hyperlink r:id="rId12" w:history="1">
        <w:r w:rsidRPr="0052368F">
          <w:rPr>
            <w:rStyle w:val="Hyperlink"/>
          </w:rPr>
          <w:t>https://doaj.org/article/12f31c8eb66d468eb05b3ac7281cbb13</w:t>
        </w:r>
      </w:hyperlink>
      <w:r>
        <w:t xml:space="preserve"> (Accessed on 09/12/19). </w:t>
      </w:r>
    </w:p>
    <w:p w14:paraId="20B163F7" w14:textId="4EC875B4" w:rsidR="00E278D4" w:rsidRDefault="00E278D4">
      <w:r w:rsidRPr="00E278D4">
        <w:t xml:space="preserve">Sharpe, D. and Faye, C. 2009 ‘A Second Look at Debriefing Practices: Madness in Our Method?’, </w:t>
      </w:r>
      <w:r w:rsidRPr="00E278D4">
        <w:rPr>
          <w:i/>
          <w:iCs/>
        </w:rPr>
        <w:t xml:space="preserve">Ethics &amp; </w:t>
      </w:r>
      <w:proofErr w:type="spellStart"/>
      <w:r w:rsidRPr="00E278D4">
        <w:rPr>
          <w:i/>
          <w:iCs/>
        </w:rPr>
        <w:t>Behavior</w:t>
      </w:r>
      <w:proofErr w:type="spellEnd"/>
      <w:r w:rsidRPr="00E278D4">
        <w:t xml:space="preserve">, 19(5), pp. 432–447. Available at </w:t>
      </w:r>
      <w:r w:rsidRPr="00E278D4">
        <w:rPr>
          <w:color w:val="4472C4" w:themeColor="accent1"/>
        </w:rPr>
        <w:t>https://web-b-ebscohost-com.ezproxy.uwtsd.ac.uk/ehost/pdfviewer/pdfviewer?vid=1&amp;sid=a1832755-774a-44b9-a304-4b34b5b8ffda%40sessionmgr101</w:t>
      </w:r>
      <w:r w:rsidRPr="00E278D4">
        <w:t xml:space="preserve"> </w:t>
      </w:r>
      <w:r>
        <w:t>(</w:t>
      </w:r>
      <w:r w:rsidR="00455A99">
        <w:t>A</w:t>
      </w:r>
      <w:bookmarkStart w:id="0" w:name="_GoBack"/>
      <w:bookmarkEnd w:id="0"/>
      <w:r w:rsidRPr="00E278D4">
        <w:t>ccessed on 17/11/19</w:t>
      </w:r>
      <w:r>
        <w:t>)</w:t>
      </w:r>
      <w:r w:rsidRPr="00E278D4">
        <w:t>.</w:t>
      </w:r>
    </w:p>
    <w:p w14:paraId="5D72247E" w14:textId="77777777" w:rsidR="00E278D4" w:rsidRDefault="00E278D4"/>
    <w:sectPr w:rsidR="00E278D4">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9586C4" w14:textId="77777777" w:rsidR="004B78F6" w:rsidRDefault="004B78F6" w:rsidP="005F5190">
      <w:pPr>
        <w:spacing w:after="0" w:line="240" w:lineRule="auto"/>
      </w:pPr>
      <w:r>
        <w:separator/>
      </w:r>
    </w:p>
  </w:endnote>
  <w:endnote w:type="continuationSeparator" w:id="0">
    <w:p w14:paraId="75B4A1C7" w14:textId="77777777" w:rsidR="004B78F6" w:rsidRDefault="004B78F6" w:rsidP="005F51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52A5B4" w14:textId="77777777" w:rsidR="004B78F6" w:rsidRDefault="004B78F6" w:rsidP="005F5190">
      <w:pPr>
        <w:spacing w:after="0" w:line="240" w:lineRule="auto"/>
      </w:pPr>
      <w:r>
        <w:separator/>
      </w:r>
    </w:p>
  </w:footnote>
  <w:footnote w:type="continuationSeparator" w:id="0">
    <w:p w14:paraId="493D49F7" w14:textId="77777777" w:rsidR="004B78F6" w:rsidRDefault="004B78F6" w:rsidP="005F51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CE6729" w14:textId="0003A9AF" w:rsidR="005F5190" w:rsidRDefault="005F5190">
    <w:pPr>
      <w:pStyle w:val="Header"/>
    </w:pPr>
    <w:r>
      <w:t>1151007</w:t>
    </w:r>
  </w:p>
  <w:p w14:paraId="2791532D" w14:textId="77777777" w:rsidR="005F5190" w:rsidRDefault="005F5190">
    <w:pPr>
      <w:pStyle w:val="Header"/>
    </w:pPr>
  </w:p>
  <w:p w14:paraId="03D7E509" w14:textId="77777777" w:rsidR="005F5190" w:rsidRDefault="005F519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5190"/>
    <w:rsid w:val="00000443"/>
    <w:rsid w:val="000549DD"/>
    <w:rsid w:val="00063B35"/>
    <w:rsid w:val="000F103C"/>
    <w:rsid w:val="000F3CF9"/>
    <w:rsid w:val="00105784"/>
    <w:rsid w:val="001B4BD2"/>
    <w:rsid w:val="001C40CA"/>
    <w:rsid w:val="0023794A"/>
    <w:rsid w:val="00252D9E"/>
    <w:rsid w:val="002642B4"/>
    <w:rsid w:val="00287E85"/>
    <w:rsid w:val="002D78A5"/>
    <w:rsid w:val="0032166F"/>
    <w:rsid w:val="003370A0"/>
    <w:rsid w:val="00357DFA"/>
    <w:rsid w:val="00364696"/>
    <w:rsid w:val="00385F8F"/>
    <w:rsid w:val="003C115E"/>
    <w:rsid w:val="003E7D90"/>
    <w:rsid w:val="0041326B"/>
    <w:rsid w:val="00430F25"/>
    <w:rsid w:val="0044544A"/>
    <w:rsid w:val="00450334"/>
    <w:rsid w:val="00455A99"/>
    <w:rsid w:val="004B7743"/>
    <w:rsid w:val="004B78F6"/>
    <w:rsid w:val="004C3038"/>
    <w:rsid w:val="004D6C1D"/>
    <w:rsid w:val="004F0B39"/>
    <w:rsid w:val="00580DE7"/>
    <w:rsid w:val="005E287E"/>
    <w:rsid w:val="005F5190"/>
    <w:rsid w:val="006856ED"/>
    <w:rsid w:val="006B6453"/>
    <w:rsid w:val="00710DE6"/>
    <w:rsid w:val="00752A83"/>
    <w:rsid w:val="007C0EC3"/>
    <w:rsid w:val="007C14C9"/>
    <w:rsid w:val="007D007C"/>
    <w:rsid w:val="008109DA"/>
    <w:rsid w:val="008570DE"/>
    <w:rsid w:val="008D0ED2"/>
    <w:rsid w:val="008D3102"/>
    <w:rsid w:val="009055FB"/>
    <w:rsid w:val="009441CD"/>
    <w:rsid w:val="0094485E"/>
    <w:rsid w:val="00990B16"/>
    <w:rsid w:val="009B7447"/>
    <w:rsid w:val="00A12EBC"/>
    <w:rsid w:val="00A70E86"/>
    <w:rsid w:val="00AA72B1"/>
    <w:rsid w:val="00B05525"/>
    <w:rsid w:val="00B47194"/>
    <w:rsid w:val="00B67692"/>
    <w:rsid w:val="00BA7DF3"/>
    <w:rsid w:val="00BC10C4"/>
    <w:rsid w:val="00CC2D79"/>
    <w:rsid w:val="00CE031E"/>
    <w:rsid w:val="00CE6ACE"/>
    <w:rsid w:val="00DD6FC1"/>
    <w:rsid w:val="00DE46D8"/>
    <w:rsid w:val="00E278D4"/>
    <w:rsid w:val="00E34997"/>
    <w:rsid w:val="00E8551A"/>
    <w:rsid w:val="00EA4D93"/>
    <w:rsid w:val="00EE4907"/>
    <w:rsid w:val="00FD0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4B4D4"/>
  <w15:chartTrackingRefBased/>
  <w15:docId w15:val="{1753B0E9-71A7-4B3B-92EE-4BE5AD024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51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5190"/>
  </w:style>
  <w:style w:type="paragraph" w:styleId="Footer">
    <w:name w:val="footer"/>
    <w:basedOn w:val="Normal"/>
    <w:link w:val="FooterChar"/>
    <w:uiPriority w:val="99"/>
    <w:unhideWhenUsed/>
    <w:rsid w:val="005F51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190"/>
  </w:style>
  <w:style w:type="character" w:styleId="Hyperlink">
    <w:name w:val="Hyperlink"/>
    <w:basedOn w:val="DefaultParagraphFont"/>
    <w:uiPriority w:val="99"/>
    <w:unhideWhenUsed/>
    <w:rsid w:val="007D007C"/>
    <w:rPr>
      <w:color w:val="0563C1" w:themeColor="hyperlink"/>
      <w:u w:val="single"/>
    </w:rPr>
  </w:style>
  <w:style w:type="character" w:customStyle="1" w:styleId="UnresolvedMention1">
    <w:name w:val="Unresolved Mention1"/>
    <w:basedOn w:val="DefaultParagraphFont"/>
    <w:uiPriority w:val="99"/>
    <w:semiHidden/>
    <w:unhideWhenUsed/>
    <w:rsid w:val="007D007C"/>
    <w:rPr>
      <w:color w:val="605E5C"/>
      <w:shd w:val="clear" w:color="auto" w:fill="E1DFDD"/>
    </w:rPr>
  </w:style>
  <w:style w:type="character" w:styleId="UnresolvedMention">
    <w:name w:val="Unresolved Mention"/>
    <w:basedOn w:val="DefaultParagraphFont"/>
    <w:uiPriority w:val="99"/>
    <w:semiHidden/>
    <w:unhideWhenUsed/>
    <w:rsid w:val="008D31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doaj.org/article/12f31c8eb66d468eb05b3ac7281cbb13"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dx.doi.org/10.1080/03075079.2011.647766"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reader.elsevier.com/reader/sd/pii/S1016319012000468?token=12AA4E80DB38712CE09FA889E46D56F390B7466B54BBFE0D617B3E1416D7AAAE96C4680255636A6D092BFA35202E40D9" TargetMode="External"/><Relationship Id="rId4" Type="http://schemas.openxmlformats.org/officeDocument/2006/relationships/styles" Target="styles.xml"/><Relationship Id="rId9" Type="http://schemas.openxmlformats.org/officeDocument/2006/relationships/hyperlink" Target="https://www.ncbi.nlm.nih.gov/pmc/articles/PMC42017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4FCFDD98300314F867E0B6603FEE534" ma:contentTypeVersion="11" ma:contentTypeDescription="Create a new document." ma:contentTypeScope="" ma:versionID="3a88474e884683fc71d70e3562bf2e45">
  <xsd:schema xmlns:xsd="http://www.w3.org/2001/XMLSchema" xmlns:xs="http://www.w3.org/2001/XMLSchema" xmlns:p="http://schemas.microsoft.com/office/2006/metadata/properties" xmlns:ns3="873ac94e-7838-4c57-bfa7-805ffd43d616" xmlns:ns4="d654bf2c-9359-48f0-bdd1-0591a9b445d4" targetNamespace="http://schemas.microsoft.com/office/2006/metadata/properties" ma:root="true" ma:fieldsID="58452edb97211d48dc80e2399e6e5bc5" ns3:_="" ns4:_="">
    <xsd:import namespace="873ac94e-7838-4c57-bfa7-805ffd43d616"/>
    <xsd:import namespace="d654bf2c-9359-48f0-bdd1-0591a9b445d4"/>
    <xsd:element name="properties">
      <xsd:complexType>
        <xsd:sequence>
          <xsd:element name="documentManagement">
            <xsd:complexType>
              <xsd:all>
                <xsd:element ref="ns3:MediaServiceMetadata" minOccurs="0"/>
                <xsd:element ref="ns3:MediaServiceFastMetadata" minOccurs="0"/>
                <xsd:element ref="ns3:MediaServiceAutoTags" minOccurs="0"/>
                <xsd:element ref="ns4:SharedWithUsers" minOccurs="0"/>
                <xsd:element ref="ns4:SharedWithDetails" minOccurs="0"/>
                <xsd:element ref="ns4:SharingHintHash" minOccurs="0"/>
                <xsd:element ref="ns3:MediaServiceDateTaken"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73ac94e-7838-4c57-bfa7-805ffd43d616"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MediaServiceLoca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54bf2c-9359-48f0-bdd1-0591a9b445d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6D3A2DF-FEE9-408A-8258-FC2D98044A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73ac94e-7838-4c57-bfa7-805ffd43d616"/>
    <ds:schemaRef ds:uri="d654bf2c-9359-48f0-bdd1-0591a9b445d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F067592-A0CA-4A42-BB41-7256AABD8EA1}">
  <ds:schemaRefs>
    <ds:schemaRef ds:uri="http://schemas.microsoft.com/sharepoint/v3/contenttype/forms"/>
  </ds:schemaRefs>
</ds:datastoreItem>
</file>

<file path=customXml/itemProps3.xml><?xml version="1.0" encoding="utf-8"?>
<ds:datastoreItem xmlns:ds="http://schemas.openxmlformats.org/officeDocument/2006/customXml" ds:itemID="{57038BDE-6EBE-45FA-B7E9-49A156898C2E}">
  <ds:schemaRefs>
    <ds:schemaRef ds:uri="873ac94e-7838-4c57-bfa7-805ffd43d616"/>
    <ds:schemaRef ds:uri="http://purl.org/dc/elements/1.1/"/>
    <ds:schemaRef ds:uri="http://schemas.microsoft.com/office/2006/documentManagement/types"/>
    <ds:schemaRef ds:uri="d654bf2c-9359-48f0-bdd1-0591a9b445d4"/>
    <ds:schemaRef ds:uri="http://purl.org/dc/terms/"/>
    <ds:schemaRef ds:uri="http://schemas.openxmlformats.org/package/2006/metadata/core-properties"/>
    <ds:schemaRef ds:uri="http://purl.org/dc/dcmitype/"/>
    <ds:schemaRef ds:uri="http://schemas.microsoft.com/office/infopath/2007/PartnerControl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1524</Words>
  <Characters>8693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 Sarah</dc:creator>
  <cp:keywords/>
  <dc:description/>
  <cp:lastModifiedBy>Rees, Sarah</cp:lastModifiedBy>
  <cp:revision>2</cp:revision>
  <dcterms:created xsi:type="dcterms:W3CDTF">2019-12-09T12:47:00Z</dcterms:created>
  <dcterms:modified xsi:type="dcterms:W3CDTF">2019-12-09T12:47:00Z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0x010100C4FCFDD98300314F867E0B6603FEE534</vt:lpwstr>
  </property>
</Properties>
</file>