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4B012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D7F02" w:rsidP="00E51AAC">
            <w:pPr>
              <w:spacing w:before="120" w:after="120"/>
              <w:jc w:val="both"/>
              <w:rPr>
                <w:rFonts w:ascii="Arial" w:hAnsi="Arial" w:cs="Arial"/>
                <w:b/>
                <w:sz w:val="22"/>
                <w:szCs w:val="22"/>
              </w:rPr>
            </w:pPr>
            <w:r w:rsidRPr="001D7F02">
              <w:rPr>
                <w:rFonts w:ascii="Arial" w:hAnsi="Arial" w:cs="Arial"/>
                <w:b/>
                <w:sz w:val="22"/>
                <w:szCs w:val="22"/>
              </w:rPr>
              <w:t xml:space="preserve">Professional Practice in Advocacy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D7F02" w:rsidP="001D7F02">
            <w:pPr>
              <w:spacing w:before="120" w:after="120"/>
              <w:jc w:val="both"/>
              <w:rPr>
                <w:rFonts w:ascii="Arial" w:hAnsi="Arial" w:cs="Arial"/>
                <w:b/>
                <w:sz w:val="22"/>
                <w:szCs w:val="22"/>
              </w:rPr>
            </w:pPr>
            <w:r w:rsidRPr="001D7F02">
              <w:rPr>
                <w:rFonts w:ascii="Arial" w:hAnsi="Arial" w:cs="Arial"/>
                <w:b/>
                <w:sz w:val="22"/>
                <w:szCs w:val="22"/>
              </w:rPr>
              <w:t>ECAY5002</w:t>
            </w:r>
            <w:r w:rsidR="004B012C" w:rsidRPr="001D7F02">
              <w:rPr>
                <w:rFonts w:ascii="Arial" w:hAnsi="Arial" w:cs="Arial"/>
                <w:b/>
                <w:sz w:val="22"/>
                <w:szCs w:val="22"/>
              </w:rPr>
              <w:t xml:space="preserve"> Ass </w:t>
            </w:r>
            <w:r w:rsidRPr="001D7F02">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D7F02" w:rsidP="00E51AAC">
            <w:pPr>
              <w:spacing w:before="120" w:after="120"/>
              <w:jc w:val="both"/>
              <w:rPr>
                <w:rFonts w:ascii="Arial" w:hAnsi="Arial" w:cs="Arial"/>
                <w:b/>
                <w:sz w:val="22"/>
                <w:szCs w:val="22"/>
              </w:rPr>
            </w:pPr>
            <w:r>
              <w:rPr>
                <w:rFonts w:ascii="Arial" w:hAnsi="Arial" w:cs="Arial"/>
                <w:b/>
                <w:sz w:val="22"/>
                <w:szCs w:val="22"/>
              </w:rPr>
              <w:t>60</w:t>
            </w:r>
            <w:r w:rsidR="004B012C">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p>
        </w:tc>
        <w:tc>
          <w:tcPr>
            <w:tcW w:w="3293" w:type="dxa"/>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Phill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B012C" w:rsidP="00E51AAC">
            <w:pPr>
              <w:spacing w:before="120" w:after="120"/>
              <w:jc w:val="both"/>
              <w:rPr>
                <w:rFonts w:ascii="Arial" w:hAnsi="Arial" w:cs="Arial"/>
                <w:b/>
                <w:sz w:val="22"/>
                <w:szCs w:val="22"/>
              </w:rPr>
            </w:pPr>
            <w:r>
              <w:rPr>
                <w:rFonts w:ascii="Arial" w:hAnsi="Arial" w:cs="Arial"/>
                <w:b/>
                <w:sz w:val="22"/>
                <w:szCs w:val="22"/>
              </w:rPr>
              <w:t>Ken Dicks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1D7F02" w:rsidRPr="001D7F02" w:rsidRDefault="001D7F02" w:rsidP="001D7F02">
            <w:pPr>
              <w:spacing w:before="120" w:after="120"/>
              <w:jc w:val="both"/>
              <w:rPr>
                <w:rFonts w:ascii="Arial" w:hAnsi="Arial" w:cs="Arial"/>
                <w:b/>
                <w:sz w:val="22"/>
                <w:szCs w:val="22"/>
              </w:rPr>
            </w:pPr>
            <w:r w:rsidRPr="001D7F02">
              <w:rPr>
                <w:rFonts w:ascii="Arial" w:hAnsi="Arial" w:cs="Arial"/>
                <w:b/>
                <w:sz w:val="22"/>
                <w:szCs w:val="22"/>
              </w:rPr>
              <w:t xml:space="preserve">Critically evaluate the impact of Independent Professional Advocacy (IPA) qualification on the future of advocacy provision in Wales. </w:t>
            </w:r>
          </w:p>
          <w:p w:rsidR="001D7F02" w:rsidRPr="001D7F02" w:rsidRDefault="001D7F02" w:rsidP="001D7F02">
            <w:pPr>
              <w:spacing w:before="120" w:after="120"/>
              <w:jc w:val="both"/>
              <w:rPr>
                <w:rFonts w:ascii="Arial" w:hAnsi="Arial" w:cs="Arial"/>
                <w:b/>
                <w:sz w:val="22"/>
                <w:szCs w:val="22"/>
              </w:rPr>
            </w:pPr>
            <w:r w:rsidRPr="001D7F02">
              <w:rPr>
                <w:rFonts w:ascii="Arial" w:hAnsi="Arial" w:cs="Arial"/>
                <w:b/>
                <w:sz w:val="22"/>
                <w:szCs w:val="22"/>
              </w:rPr>
              <w:t>Or</w:t>
            </w:r>
          </w:p>
          <w:p w:rsidR="00DB116D" w:rsidRPr="00A406E5" w:rsidRDefault="001D7F02" w:rsidP="001D7F02">
            <w:pPr>
              <w:spacing w:before="120" w:after="120"/>
              <w:jc w:val="both"/>
              <w:rPr>
                <w:rFonts w:ascii="Arial" w:hAnsi="Arial" w:cs="Arial"/>
                <w:b/>
                <w:sz w:val="22"/>
                <w:szCs w:val="22"/>
              </w:rPr>
            </w:pPr>
            <w:r w:rsidRPr="001D7F02">
              <w:rPr>
                <w:rFonts w:ascii="Arial" w:hAnsi="Arial" w:cs="Arial"/>
                <w:b/>
                <w:sz w:val="22"/>
                <w:szCs w:val="22"/>
              </w:rPr>
              <w:t>Critically explore how the Social Services and Well-being (Wales) Act 2014 attempts to support the key aspirations of the Advocacy Charter?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D3582E" w:rsidRDefault="001D7F02" w:rsidP="00E51AAC">
            <w:pPr>
              <w:spacing w:before="120" w:after="120"/>
              <w:jc w:val="both"/>
              <w:rPr>
                <w:rFonts w:ascii="Arial" w:hAnsi="Arial" w:cs="Arial"/>
                <w:b/>
                <w:sz w:val="22"/>
                <w:szCs w:val="22"/>
              </w:rPr>
            </w:pPr>
            <w:r w:rsidRPr="001D7F02">
              <w:rPr>
                <w:rFonts w:ascii="Arial" w:hAnsi="Arial" w:cs="Arial"/>
                <w:b/>
                <w:sz w:val="22"/>
                <w:szCs w:val="22"/>
              </w:rPr>
              <w:t>3,000 word essay</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1D7F02" w:rsidRDefault="001D7F02" w:rsidP="005F0579">
            <w:pPr>
              <w:spacing w:before="120" w:after="120"/>
              <w:jc w:val="both"/>
              <w:rPr>
                <w:rFonts w:ascii="Arial" w:hAnsi="Arial" w:cs="Arial"/>
                <w:b/>
                <w:sz w:val="22"/>
                <w:szCs w:val="22"/>
              </w:rPr>
            </w:pPr>
            <w:r w:rsidRPr="001D7F02">
              <w:rPr>
                <w:rFonts w:ascii="Arial" w:hAnsi="Arial" w:cs="Arial"/>
                <w:b/>
                <w:sz w:val="22"/>
                <w:szCs w:val="22"/>
              </w:rPr>
              <w:t>28 March 2019</w:t>
            </w:r>
          </w:p>
          <w:p w:rsidR="004B012C" w:rsidRPr="00A406E5" w:rsidRDefault="004B012C" w:rsidP="005F0579">
            <w:pPr>
              <w:spacing w:before="120" w:after="120"/>
              <w:jc w:val="both"/>
              <w:rPr>
                <w:rFonts w:ascii="Arial" w:hAnsi="Arial" w:cs="Arial"/>
                <w:b/>
                <w:sz w:val="22"/>
                <w:szCs w:val="22"/>
              </w:rPr>
            </w:pPr>
            <w:r>
              <w:rPr>
                <w:rFonts w:ascii="Arial" w:hAnsi="Arial" w:cs="Arial"/>
                <w:b/>
                <w:sz w:val="22"/>
                <w:szCs w:val="22"/>
              </w:rPr>
              <w:t>5pm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D7F02" w:rsidP="005F0579">
            <w:pPr>
              <w:spacing w:before="120" w:after="120"/>
              <w:jc w:val="both"/>
              <w:rPr>
                <w:rFonts w:ascii="Arial" w:hAnsi="Arial" w:cs="Arial"/>
                <w:b/>
                <w:sz w:val="22"/>
                <w:szCs w:val="22"/>
              </w:rPr>
            </w:pPr>
            <w:r w:rsidRPr="001D7F02">
              <w:rPr>
                <w:rFonts w:ascii="Arial" w:hAnsi="Arial" w:cs="Arial"/>
                <w:b/>
                <w:sz w:val="22"/>
                <w:szCs w:val="22"/>
              </w:rPr>
              <w:t>16th May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B012C" w:rsidRPr="00A406E5" w:rsidTr="00A406E5">
        <w:tc>
          <w:tcPr>
            <w:tcW w:w="9747" w:type="dxa"/>
          </w:tcPr>
          <w:p w:rsidR="004B012C" w:rsidRDefault="004B012C" w:rsidP="004B012C">
            <w:pPr>
              <w:numPr>
                <w:ilvl w:val="0"/>
                <w:numId w:val="17"/>
              </w:numPr>
              <w:rPr>
                <w:rFonts w:ascii="Calibri" w:hAnsi="Calibri"/>
                <w:sz w:val="24"/>
                <w:szCs w:val="24"/>
              </w:rPr>
            </w:pPr>
            <w:r w:rsidRPr="004B012C">
              <w:rPr>
                <w:rFonts w:ascii="Calibri" w:hAnsi="Calibri"/>
                <w:sz w:val="24"/>
                <w:szCs w:val="24"/>
              </w:rPr>
              <w:t xml:space="preserve">Critically analyse multi-agency working and partnership working </w:t>
            </w:r>
          </w:p>
          <w:p w:rsidR="004B012C" w:rsidRPr="004B012C" w:rsidRDefault="004B012C" w:rsidP="004B012C">
            <w:pPr>
              <w:ind w:left="360"/>
              <w:rPr>
                <w:rFonts w:ascii="Calibri" w:hAnsi="Calibri"/>
                <w:sz w:val="24"/>
                <w:szCs w:val="24"/>
              </w:rPr>
            </w:pPr>
          </w:p>
        </w:tc>
      </w:tr>
      <w:tr w:rsidR="004B012C" w:rsidRPr="00A406E5" w:rsidTr="00A406E5">
        <w:tc>
          <w:tcPr>
            <w:tcW w:w="9747" w:type="dxa"/>
          </w:tcPr>
          <w:p w:rsidR="004B012C" w:rsidRDefault="004B012C" w:rsidP="004B012C">
            <w:pPr>
              <w:numPr>
                <w:ilvl w:val="0"/>
                <w:numId w:val="17"/>
              </w:numPr>
              <w:rPr>
                <w:rFonts w:ascii="Calibri" w:hAnsi="Calibri"/>
                <w:sz w:val="24"/>
                <w:szCs w:val="24"/>
              </w:rPr>
            </w:pPr>
            <w:r w:rsidRPr="004B012C">
              <w:rPr>
                <w:rFonts w:ascii="Calibri" w:hAnsi="Calibri"/>
                <w:sz w:val="24"/>
                <w:szCs w:val="24"/>
              </w:rPr>
              <w:t>Articulate an in depth understanding of protection and safeguarding</w:t>
            </w:r>
          </w:p>
          <w:p w:rsidR="004B012C" w:rsidRPr="004B012C" w:rsidRDefault="004B012C" w:rsidP="004B012C">
            <w:pPr>
              <w:ind w:left="360"/>
              <w:rPr>
                <w:rFonts w:ascii="Calibri" w:hAnsi="Calibri"/>
                <w:sz w:val="24"/>
                <w:szCs w:val="24"/>
              </w:rPr>
            </w:pPr>
          </w:p>
        </w:tc>
      </w:tr>
      <w:tr w:rsidR="004B012C" w:rsidRPr="00A406E5" w:rsidTr="00A406E5">
        <w:tc>
          <w:tcPr>
            <w:tcW w:w="9747" w:type="dxa"/>
          </w:tcPr>
          <w:p w:rsidR="004B012C" w:rsidRDefault="004B012C" w:rsidP="004B012C">
            <w:pPr>
              <w:numPr>
                <w:ilvl w:val="0"/>
                <w:numId w:val="17"/>
              </w:numPr>
              <w:rPr>
                <w:rFonts w:ascii="Calibri" w:hAnsi="Calibri"/>
                <w:sz w:val="24"/>
                <w:szCs w:val="24"/>
              </w:rPr>
            </w:pPr>
            <w:r w:rsidRPr="004B012C">
              <w:rPr>
                <w:rFonts w:ascii="Calibri" w:hAnsi="Calibri"/>
                <w:sz w:val="24"/>
                <w:szCs w:val="24"/>
              </w:rPr>
              <w:t>Apply a secure knowledge of data protection legislation and procedures</w:t>
            </w:r>
          </w:p>
          <w:p w:rsidR="004B012C" w:rsidRPr="004B012C" w:rsidRDefault="004B012C" w:rsidP="004B012C">
            <w:pPr>
              <w:ind w:left="360"/>
              <w:rPr>
                <w:rFonts w:ascii="Calibri" w:hAnsi="Calibri"/>
                <w:sz w:val="24"/>
                <w:szCs w:val="24"/>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r w:rsidRPr="001E06A7">
        <w:rPr>
          <w:rFonts w:ascii="Calibri" w:hAnsi="Calibri"/>
          <w:i/>
          <w:sz w:val="24"/>
          <w:szCs w:val="24"/>
        </w:rPr>
        <w:t xml:space="preserve">Critically analyse multi-agency working and partnership working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r w:rsidRPr="001E06A7">
        <w:rPr>
          <w:rFonts w:ascii="Calibri" w:hAnsi="Calibri"/>
          <w:i/>
          <w:sz w:val="24"/>
          <w:szCs w:val="24"/>
        </w:rPr>
        <w:t xml:space="preserve">Critically analyse multi-agency working and partnership working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r w:rsidRPr="001E06A7">
        <w:rPr>
          <w:rFonts w:ascii="Calibri" w:hAnsi="Calibri"/>
          <w:i/>
          <w:sz w:val="24"/>
          <w:szCs w:val="24"/>
        </w:rPr>
        <w:t xml:space="preserve">Critically analyse multi-agency working and partnership working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4B012C" w:rsidRDefault="001E06A7" w:rsidP="001E06A7">
      <w:pPr>
        <w:ind w:left="360"/>
        <w:rPr>
          <w:rFonts w:ascii="Calibri" w:hAnsi="Calibri"/>
          <w:i/>
          <w:sz w:val="24"/>
          <w:szCs w:val="24"/>
        </w:rPr>
      </w:pPr>
      <w:r w:rsidRPr="004B012C">
        <w:rPr>
          <w:rFonts w:ascii="Calibri" w:hAnsi="Calibri"/>
          <w:i/>
          <w:sz w:val="24"/>
          <w:szCs w:val="24"/>
        </w:rPr>
        <w:t>Apply a secure knowledge of data protection legislation and procedures</w:t>
      </w:r>
    </w:p>
    <w:p w:rsidR="004B012C" w:rsidRPr="004B012C" w:rsidRDefault="004B012C" w:rsidP="004B012C">
      <w:pPr>
        <w:ind w:left="360"/>
        <w:rPr>
          <w:rFonts w:ascii="Calibri" w:hAnsi="Calibri"/>
          <w:i/>
          <w:sz w:val="24"/>
          <w:szCs w:val="24"/>
        </w:rPr>
      </w:pPr>
    </w:p>
    <w:p w:rsidR="00C01A3F" w:rsidRPr="004B012C" w:rsidRDefault="00C01A3F" w:rsidP="00D22D9C">
      <w:pPr>
        <w:jc w:val="both"/>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1E06A7" w:rsidP="00D22D9C">
      <w:pPr>
        <w:jc w:val="both"/>
        <w:rPr>
          <w:rFonts w:ascii="Arial" w:hAnsi="Arial" w:cs="Arial"/>
          <w:sz w:val="22"/>
          <w:szCs w:val="22"/>
        </w:rPr>
      </w:pPr>
      <w:r>
        <w:rPr>
          <w:rFonts w:ascii="Calibri" w:hAnsi="Calibri"/>
          <w:i/>
          <w:sz w:val="24"/>
          <w:szCs w:val="24"/>
        </w:rPr>
        <w:t xml:space="preserve">      </w:t>
      </w:r>
      <w:r w:rsidRPr="004B012C">
        <w:rPr>
          <w:rFonts w:ascii="Calibri" w:hAnsi="Calibri"/>
          <w:i/>
          <w:sz w:val="24"/>
          <w:szCs w:val="24"/>
        </w:rPr>
        <w:t>Articulate an in depth understanding of protection and safeguarding</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582E" w:rsidRDefault="00D3582E">
      <w:r>
        <w:separator/>
      </w:r>
    </w:p>
  </w:endnote>
  <w:endnote w:type="continuationSeparator" w:id="0">
    <w:p w:rsidR="00D3582E" w:rsidRDefault="00D35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82E" w:rsidRDefault="00D3582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7F0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7F02">
      <w:rPr>
        <w:b/>
        <w:noProof/>
      </w:rPr>
      <w:t>10</w:t>
    </w:r>
    <w:r>
      <w:rPr>
        <w:b/>
        <w:sz w:val="24"/>
        <w:szCs w:val="24"/>
      </w:rPr>
      <w:fldChar w:fldCharType="end"/>
    </w:r>
  </w:p>
  <w:p w:rsidR="00D3582E" w:rsidRDefault="00D3582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582E" w:rsidRDefault="00D3582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582E" w:rsidRDefault="00D3582E">
      <w:r>
        <w:separator/>
      </w:r>
    </w:p>
  </w:footnote>
  <w:footnote w:type="continuationSeparator" w:id="0">
    <w:p w:rsidR="00D3582E" w:rsidRDefault="00D358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7F02"/>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78C5F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3160</Words>
  <Characters>19390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22505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Phillip Morgan</cp:lastModifiedBy>
  <cp:revision>2</cp:revision>
  <cp:lastPrinted>2014-10-10T07:42:00Z</cp:lastPrinted>
  <dcterms:created xsi:type="dcterms:W3CDTF">2018-09-17T11:17:00Z</dcterms:created>
  <dcterms:modified xsi:type="dcterms:W3CDTF">2018-09-17T11:17:00Z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