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rPr>
          <w:rFonts w:ascii="Cambria" w:cs="Cambria" w:hAnsi="Cambria" w:eastAsia="Cambria"/>
        </w:rPr>
      </w:pPr>
    </w:p>
    <w:p>
      <w:pPr>
        <w:pStyle w:val="Body"/>
        <w:rPr>
          <w:rFonts w:ascii="Cambria" w:cs="Cambria" w:hAnsi="Cambria" w:eastAsia="Cambria"/>
          <w:sz w:val="21"/>
          <w:szCs w:val="21"/>
          <w14:textOutline w14:w="12700" w14:cap="flat">
            <w14:noFill/>
            <w14:miter w14:lim="400000"/>
          </w14:textOutline>
        </w:rPr>
      </w:pPr>
      <w:r>
        <w:rPr>
          <w:rFonts w:ascii="Cambria" w:cs="Cambria" w:hAnsi="Cambria" w:eastAsia="Cambria"/>
          <w:sz w:val="21"/>
          <w:szCs w:val="21"/>
          <w:lang w:val="en-US"/>
          <w14:textOutline w14:w="12700" w14:cap="flat">
            <w14:noFill/>
            <w14:miter w14:lim="400000"/>
          </w14:textOutline>
        </w:rPr>
        <w:drawing xmlns:a="http://schemas.openxmlformats.org/drawingml/2006/main">
          <wp:inline distT="0" distB="0" distL="0" distR="0">
            <wp:extent cx="1908050" cy="63566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8050" cy="635662"/>
                    </a:xfrm>
                    <a:prstGeom prst="rect">
                      <a:avLst/>
                    </a:prstGeom>
                    <a:ln w="19050" cap="flat">
                      <a:solidFill>
                        <a:srgbClr val="000000"/>
                      </a:solidFill>
                      <a:prstDash val="solid"/>
                      <a:round/>
                    </a:ln>
                    <a:effectLst/>
                  </pic:spPr>
                </pic:pic>
              </a:graphicData>
            </a:graphic>
          </wp:inline>
        </w:drawing>
      </w:r>
    </w:p>
    <w:p>
      <w:pPr>
        <w:pStyle w:val="Body"/>
        <w:rPr>
          <w:rFonts w:ascii="Cambria" w:cs="Cambria" w:hAnsi="Cambria" w:eastAsia="Cambria"/>
          <w:sz w:val="21"/>
          <w:szCs w:val="21"/>
          <w:lang w:val="en-US"/>
          <w14:textOutline w14:w="12700" w14:cap="flat">
            <w14:noFill/>
            <w14:miter w14:lim="400000"/>
          </w14:textOutline>
        </w:rPr>
      </w:pPr>
    </w:p>
    <w:p>
      <w:pPr>
        <w:pStyle w:val="Title"/>
        <w:rPr>
          <w:rFonts w:ascii="Cambria" w:cs="Cambria" w:hAnsi="Cambria" w:eastAsia="Cambria"/>
          <w:u w:color="000000"/>
          <w14:textOutline w14:w="12700" w14:cap="flat">
            <w14:noFill/>
            <w14:miter w14:lim="400000"/>
          </w14:textOutline>
        </w:rPr>
      </w:pPr>
    </w:p>
    <w:p>
      <w:pPr>
        <w:pStyle w:val="Body"/>
        <w:jc w:val="center"/>
        <w:rPr>
          <w:rFonts w:ascii="Cambria" w:cs="Cambria" w:hAnsi="Cambria" w:eastAsia="Cambria"/>
          <w:b w:val="1"/>
          <w:bCs w:val="1"/>
          <w:sz w:val="28"/>
          <w:szCs w:val="28"/>
          <w14:textOutline w14:w="12700" w14:cap="flat">
            <w14:noFill/>
            <w14:miter w14:lim="400000"/>
          </w14:textOutline>
        </w:rPr>
      </w:pPr>
      <w:r>
        <w:rPr>
          <w:rFonts w:ascii="Cambria" w:hAnsi="Cambria"/>
          <w:b w:val="1"/>
          <w:bCs w:val="1"/>
          <w:sz w:val="28"/>
          <w:szCs w:val="28"/>
          <w:rtl w:val="0"/>
          <w:lang w:val="en-US"/>
          <w14:textOutline w14:w="12700" w14:cap="flat">
            <w14:noFill/>
            <w14:miter w14:lim="400000"/>
          </w14:textOutline>
        </w:rPr>
        <w:t xml:space="preserve">Postgraduate/Distance Learning </w:t>
      </w:r>
    </w:p>
    <w:p>
      <w:pPr>
        <w:pStyle w:val="Body"/>
        <w:jc w:val="center"/>
        <w:rPr>
          <w:rFonts w:ascii="Cambria" w:cs="Cambria" w:hAnsi="Cambria" w:eastAsia="Cambria"/>
          <w:sz w:val="21"/>
          <w:szCs w:val="21"/>
          <w14:textOutline w14:w="12700" w14:cap="flat">
            <w14:noFill/>
            <w14:miter w14:lim="400000"/>
          </w14:textOutline>
        </w:rPr>
      </w:pPr>
      <w:r>
        <w:rPr>
          <w:rFonts w:ascii="Cambria" w:hAnsi="Cambria"/>
          <w:b w:val="1"/>
          <w:bCs w:val="1"/>
          <w:sz w:val="28"/>
          <w:szCs w:val="28"/>
          <w:rtl w:val="0"/>
          <w:lang w:val="en-US"/>
          <w14:textOutline w14:w="12700" w14:cap="flat">
            <w14:noFill/>
            <w14:miter w14:lim="400000"/>
          </w14:textOutline>
        </w:rPr>
        <w:t>Assignment coversheet &amp; feedback form</w:t>
      </w: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1"/>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p>
    <w:p>
      <w:pPr>
        <w:pStyle w:val="Body A"/>
        <w:rPr>
          <w:rFonts w:ascii="Cambria" w:cs="Cambria" w:hAnsi="Cambria" w:eastAsia="Cambria"/>
        </w:rPr>
      </w:pPr>
      <w:r>
        <w:rPr>
          <w:rFonts w:ascii="Cambria" w:hAnsi="Cambria"/>
          <w:rtl w:val="0"/>
          <w:lang w:val="en-US"/>
        </w:rPr>
        <w:t>A Critical Comparison of Two JSTOR Papers</w:t>
      </w:r>
    </w:p>
    <w:p>
      <w:pPr>
        <w:pStyle w:val="Body A"/>
        <w:rPr>
          <w:rFonts w:ascii="Cambria" w:cs="Cambria" w:hAnsi="Cambria" w:eastAsia="Cambria"/>
        </w:rPr>
      </w:pPr>
    </w:p>
    <w:p>
      <w:pPr>
        <w:pStyle w:val="Body A"/>
        <w:jc w:val="both"/>
        <w:rPr>
          <w:rFonts w:ascii="Cambria" w:cs="Cambria" w:hAnsi="Cambria" w:eastAsia="Cambria"/>
        </w:rPr>
      </w:pPr>
      <w:r>
        <w:rPr>
          <w:rFonts w:ascii="Cambria" w:cs="Cambria" w:hAnsi="Cambria" w:eastAsia="Cambria"/>
        </w:rPr>
        <w:tab/>
      </w:r>
      <w:r>
        <w:rPr>
          <w:rFonts w:ascii="Cambria" w:hAnsi="Cambria"/>
          <w:rtl w:val="0"/>
          <w:lang w:val="en-US"/>
        </w:rPr>
        <w:t xml:space="preserve">This essay compares and contrasts two JSTOR papers, being </w:t>
      </w:r>
      <w:r>
        <w:rPr>
          <w:rFonts w:ascii="Cambria" w:hAnsi="Cambria" w:hint="default"/>
          <w:rtl w:val="1"/>
        </w:rPr>
        <w:t>‘</w:t>
      </w:r>
      <w:r>
        <w:rPr>
          <w:rFonts w:ascii="Cambria" w:hAnsi="Cambria"/>
          <w:rtl w:val="0"/>
          <w:lang w:val="en-US"/>
        </w:rPr>
        <w:t>Bridging the Gap</w:t>
      </w:r>
      <w:r>
        <w:rPr>
          <w:rFonts w:ascii="Cambria" w:hAnsi="Cambria" w:hint="default"/>
          <w:rtl w:val="1"/>
        </w:rPr>
        <w:t xml:space="preserve">’ </w:t>
      </w:r>
      <w:r>
        <w:rPr>
          <w:rFonts w:ascii="Cambria" w:hAnsi="Cambria"/>
          <w:rtl w:val="0"/>
          <w:lang w:val="en-US"/>
        </w:rPr>
        <w:t>Through Australian Cultural Astronomy</w:t>
      </w:r>
      <w:r>
        <w:rPr>
          <w:rFonts w:ascii="Cambria" w:hAnsi="Cambria" w:hint="default"/>
          <w:rtl w:val="0"/>
          <w:lang w:val="en-US"/>
        </w:rPr>
        <w:t>’</w:t>
      </w:r>
      <w:r>
        <w:rPr>
          <w:rFonts w:ascii="Cambria" w:cs="Cambria" w:hAnsi="Cambria" w:eastAsia="Cambria"/>
          <w:vertAlign w:val="superscript"/>
        </w:rPr>
        <w:footnoteReference w:id="1"/>
      </w:r>
      <w:r>
        <w:rPr>
          <w:rFonts w:ascii="Cambria" w:hAnsi="Cambria"/>
          <w:rtl w:val="0"/>
          <w:lang w:val="en-US"/>
        </w:rPr>
        <w:t xml:space="preserve"> by Duane W. Hamacher and Ray P. Norris, and </w:t>
      </w:r>
      <w:r>
        <w:rPr>
          <w:rFonts w:ascii="Cambria" w:hAnsi="Cambria" w:hint="default"/>
          <w:rtl w:val="0"/>
          <w:lang w:val="en-US"/>
        </w:rPr>
        <w:t>‘</w:t>
      </w:r>
      <w:r>
        <w:rPr>
          <w:rFonts w:ascii="Cambria" w:hAnsi="Cambria"/>
          <w:rtl w:val="0"/>
          <w:lang w:val="en-US"/>
        </w:rPr>
        <w:t xml:space="preserve">Holst - Astrology and Modernism in </w:t>
      </w:r>
      <w:r>
        <w:rPr>
          <w:rFonts w:ascii="Cambria" w:hAnsi="Cambria" w:hint="default"/>
          <w:rtl w:val="1"/>
        </w:rPr>
        <w:t>‘</w:t>
      </w:r>
      <w:r>
        <w:rPr>
          <w:rFonts w:ascii="Cambria" w:hAnsi="Cambria"/>
          <w:rtl w:val="0"/>
          <w:lang w:val="en-US"/>
        </w:rPr>
        <w:t>The Planets</w:t>
      </w:r>
      <w:r>
        <w:rPr>
          <w:rFonts w:ascii="Cambria" w:hAnsi="Cambria" w:hint="default"/>
          <w:rtl w:val="0"/>
          <w:lang w:val="en-US"/>
        </w:rPr>
        <w:t>’</w:t>
      </w:r>
      <w:r>
        <w:rPr>
          <w:rFonts w:ascii="Cambria" w:cs="Cambria" w:hAnsi="Cambria" w:eastAsia="Cambria"/>
          <w:vertAlign w:val="superscript"/>
        </w:rPr>
        <w:footnoteReference w:id="2"/>
      </w:r>
      <w:r>
        <w:rPr>
          <w:rFonts w:ascii="Cambria" w:hAnsi="Cambria"/>
          <w:rtl w:val="0"/>
          <w:lang w:val="en-US"/>
        </w:rPr>
        <w:t xml:space="preserve"> by Raymond Head.</w:t>
      </w:r>
    </w:p>
    <w:p>
      <w:pPr>
        <w:pStyle w:val="Body A"/>
        <w:jc w:val="both"/>
        <w:rPr>
          <w:rFonts w:ascii="Cambria" w:cs="Cambria" w:hAnsi="Cambria" w:eastAsia="Cambria"/>
        </w:rPr>
      </w:pPr>
      <w:r>
        <w:rPr>
          <w:rFonts w:ascii="Cambria" w:cs="Cambria" w:hAnsi="Cambria" w:eastAsia="Cambria"/>
          <w:rtl w:val="0"/>
          <w:lang w:val="en-US"/>
        </w:rPr>
        <w:tab/>
        <w:t>Published in the Proceedings of the International Symposium on Archeoastronomy of 2011 held in Lima, Peru</w:t>
      </w:r>
      <w:r>
        <w:rPr>
          <w:rFonts w:ascii="Cambria" w:cs="Cambria" w:hAnsi="Cambria" w:eastAsia="Cambria"/>
          <w:vertAlign w:val="superscript"/>
        </w:rPr>
        <w:footnoteReference w:id="3"/>
      </w:r>
      <w:r>
        <w:rPr>
          <w:rStyle w:val="None"/>
          <w:rFonts w:ascii="Cambria" w:hAnsi="Cambria"/>
          <w:rtl w:val="0"/>
          <w:lang w:val="en-US"/>
        </w:rPr>
        <w:t xml:space="preserve">, </w:t>
      </w:r>
      <w:r>
        <w:rPr>
          <w:rStyle w:val="None"/>
          <w:rFonts w:ascii="Cambria" w:hAnsi="Cambria" w:hint="default"/>
          <w:rtl w:val="0"/>
          <w:lang w:val="en-US"/>
        </w:rPr>
        <w:t>‘</w:t>
      </w:r>
      <w:r>
        <w:rPr>
          <w:rStyle w:val="None"/>
          <w:rFonts w:ascii="Cambria" w:hAnsi="Cambria"/>
          <w:rtl w:val="0"/>
          <w:lang w:val="en-US"/>
        </w:rPr>
        <w:t>Bridging the Gap</w:t>
      </w:r>
      <w:r>
        <w:rPr>
          <w:rStyle w:val="None"/>
          <w:rFonts w:ascii="Cambria" w:hAnsi="Cambria" w:hint="default"/>
          <w:rtl w:val="0"/>
          <w:lang w:val="en-US"/>
        </w:rPr>
        <w:t xml:space="preserve">’ </w:t>
      </w:r>
      <w:r>
        <w:rPr>
          <w:rStyle w:val="None"/>
          <w:rFonts w:ascii="Cambria" w:hAnsi="Cambria"/>
          <w:rtl w:val="0"/>
          <w:lang w:val="en-US"/>
        </w:rPr>
        <w:t>proposes that Australian Aboriginal groups have developed and applied a diversity of techniques on astronomical observation, in opposition to what has been stated by scholar</w:t>
      </w:r>
      <w:r>
        <w:rPr>
          <w:rStyle w:val="None"/>
          <w:rFonts w:ascii="Cambria" w:hAnsi="Cambria"/>
          <w:rtl w:val="0"/>
          <w:lang w:val="en-US"/>
        </w:rPr>
        <w:t>ly</w:t>
      </w:r>
      <w:r>
        <w:rPr>
          <w:rStyle w:val="None"/>
          <w:rFonts w:ascii="Cambria" w:hAnsi="Cambria"/>
          <w:rtl w:val="0"/>
          <w:lang w:val="en-US"/>
        </w:rPr>
        <w:t xml:space="preserve"> research until then</w:t>
      </w:r>
      <w:r>
        <w:rPr>
          <w:rStyle w:val="None"/>
          <w:rFonts w:ascii="Cambria" w:cs="Cambria" w:hAnsi="Cambria" w:eastAsia="Cambria"/>
          <w:vertAlign w:val="superscript"/>
        </w:rPr>
        <w:footnoteReference w:id="4"/>
      </w:r>
      <w:r>
        <w:rPr>
          <w:rStyle w:val="None"/>
          <w:rFonts w:ascii="Cambria" w:hAnsi="Cambria"/>
          <w:rtl w:val="0"/>
          <w:lang w:val="en-US"/>
        </w:rPr>
        <w:t xml:space="preserve">. The methodological approach taken in this study presents the reader with </w:t>
      </w:r>
      <w:r>
        <w:rPr>
          <w:rStyle w:val="None"/>
          <w:rFonts w:ascii="Cambria" w:hAnsi="Cambria"/>
          <w:rtl w:val="0"/>
          <w:lang w:val="en-US"/>
        </w:rPr>
        <w:t xml:space="preserve">archeological </w:t>
      </w:r>
      <w:r>
        <w:rPr>
          <w:rStyle w:val="None"/>
          <w:rFonts w:ascii="Cambria" w:hAnsi="Cambria"/>
          <w:rtl w:val="0"/>
          <w:lang w:val="en-US"/>
        </w:rPr>
        <w:t xml:space="preserve">evidence of such astronomical techniques and </w:t>
      </w:r>
      <w:r>
        <w:rPr>
          <w:rStyle w:val="None"/>
          <w:rFonts w:ascii="Cambria" w:hAnsi="Cambria"/>
          <w:rtl w:val="0"/>
          <w:lang w:val="en-US"/>
        </w:rPr>
        <w:t>their</w:t>
      </w:r>
      <w:r>
        <w:rPr>
          <w:rStyle w:val="None"/>
          <w:rFonts w:ascii="Cambria" w:hAnsi="Cambria"/>
          <w:rtl w:val="0"/>
          <w:lang w:val="en-US"/>
        </w:rPr>
        <w:t xml:space="preserve"> incorporation into various groups</w:t>
      </w:r>
      <w:r>
        <w:rPr>
          <w:rStyle w:val="None"/>
          <w:rFonts w:ascii="Cambria" w:hAnsi="Cambria" w:hint="default"/>
          <w:rtl w:val="0"/>
          <w:lang w:val="en-US"/>
        </w:rPr>
        <w:t xml:space="preserve">’ </w:t>
      </w:r>
      <w:r>
        <w:rPr>
          <w:rStyle w:val="None"/>
          <w:rFonts w:ascii="Cambria" w:hAnsi="Cambria"/>
          <w:rtl w:val="0"/>
          <w:lang w:val="en-US"/>
        </w:rPr>
        <w:t xml:space="preserve">oral traditions, therefore confirming that such groups have indeed taken precise observations of the sky. </w:t>
      </w:r>
    </w:p>
    <w:p>
      <w:pPr>
        <w:pStyle w:val="Body A"/>
        <w:jc w:val="both"/>
        <w:rPr>
          <w:rFonts w:ascii="Cambria" w:cs="Cambria" w:hAnsi="Cambria" w:eastAsia="Cambria"/>
        </w:rPr>
      </w:pPr>
      <w:r>
        <w:rPr>
          <w:rStyle w:val="None"/>
          <w:rFonts w:ascii="Cambria" w:cs="Cambria" w:hAnsi="Cambria" w:eastAsia="Cambria"/>
          <w:rtl w:val="0"/>
          <w:lang w:val="en-US"/>
        </w:rPr>
        <w:tab/>
        <w:t xml:space="preserve">The first of its two authors, Duane W. Hamacher is an American astronomer with a degree in Physics </w:t>
      </w:r>
      <w:r>
        <w:rPr>
          <w:rStyle w:val="None"/>
          <w:rFonts w:ascii="Cambria" w:hAnsi="Cambria"/>
          <w:rtl w:val="0"/>
          <w:lang w:val="en-US"/>
        </w:rPr>
        <w:t>from</w:t>
      </w:r>
      <w:r>
        <w:rPr>
          <w:rStyle w:val="None"/>
          <w:rFonts w:ascii="Cambria" w:hAnsi="Cambria"/>
          <w:rtl w:val="0"/>
          <w:lang w:val="en-US"/>
        </w:rPr>
        <w:t xml:space="preserve"> the University of Missouri, further relocated to Australia, where he completed a Master</w:t>
      </w:r>
      <w:r>
        <w:rPr>
          <w:rStyle w:val="None"/>
          <w:rFonts w:ascii="Cambria" w:hAnsi="Cambria" w:hint="default"/>
          <w:rtl w:val="0"/>
          <w:lang w:val="en-US"/>
        </w:rPr>
        <w:t>’</w:t>
      </w:r>
      <w:r>
        <w:rPr>
          <w:rStyle w:val="None"/>
          <w:rFonts w:ascii="Cambria" w:hAnsi="Cambria"/>
          <w:rtl w:val="0"/>
          <w:lang w:val="en-US"/>
        </w:rPr>
        <w:t>s degree in Astrophysics at the University of New South Wales and Ph</w:t>
      </w:r>
      <w:r>
        <w:rPr>
          <w:rStyle w:val="None"/>
          <w:rFonts w:ascii="Cambria" w:hAnsi="Cambria"/>
          <w:rtl w:val="0"/>
          <w:lang w:val="en-US"/>
        </w:rPr>
        <w:t>.</w:t>
      </w:r>
      <w:r>
        <w:rPr>
          <w:rStyle w:val="None"/>
          <w:rFonts w:ascii="Cambria" w:hAnsi="Cambria"/>
          <w:rtl w:val="0"/>
          <w:lang w:val="en-US"/>
        </w:rPr>
        <w:t>D</w:t>
      </w:r>
      <w:r>
        <w:rPr>
          <w:rStyle w:val="None"/>
          <w:rFonts w:ascii="Cambria" w:hAnsi="Cambria"/>
          <w:rtl w:val="0"/>
          <w:lang w:val="en-US"/>
        </w:rPr>
        <w:t>.</w:t>
      </w:r>
      <w:r>
        <w:rPr>
          <w:rStyle w:val="None"/>
          <w:rFonts w:ascii="Cambria" w:hAnsi="Cambria"/>
          <w:rtl w:val="0"/>
          <w:lang w:val="en-US"/>
        </w:rPr>
        <w:t xml:space="preserve"> in Indigenous Studies at Macquarie University, </w:t>
      </w:r>
      <w:r>
        <w:rPr>
          <w:rStyle w:val="None"/>
          <w:rFonts w:ascii="Cambria" w:hAnsi="Cambria"/>
          <w:rtl w:val="0"/>
          <w:lang w:val="en-US"/>
        </w:rPr>
        <w:t>researching</w:t>
      </w:r>
      <w:r>
        <w:rPr>
          <w:rStyle w:val="None"/>
          <w:rFonts w:ascii="Cambria" w:hAnsi="Cambria"/>
          <w:rtl w:val="0"/>
          <w:lang w:val="en-US"/>
        </w:rPr>
        <w:t xml:space="preserve"> Aboriginal Astronomy</w:t>
      </w:r>
      <w:r>
        <w:rPr>
          <w:rStyle w:val="None"/>
          <w:rFonts w:ascii="Cambria" w:cs="Cambria" w:hAnsi="Cambria" w:eastAsia="Cambria"/>
          <w:vertAlign w:val="superscript"/>
        </w:rPr>
        <w:footnoteReference w:id="5"/>
      </w:r>
      <w:r>
        <w:rPr>
          <w:rStyle w:val="None"/>
          <w:rFonts w:ascii="Cambria" w:hAnsi="Cambria"/>
          <w:rtl w:val="0"/>
          <w:lang w:val="en-US"/>
        </w:rPr>
        <w:t>. Dr. Hamacher is also a member of the International Astronomical Union, a non-governmental organi</w:t>
      </w:r>
      <w:r>
        <w:rPr>
          <w:rStyle w:val="None"/>
          <w:rFonts w:ascii="Cambria" w:hAnsi="Cambria"/>
          <w:rtl w:val="0"/>
          <w:lang w:val="en-US"/>
        </w:rPr>
        <w:t>z</w:t>
      </w:r>
      <w:r>
        <w:rPr>
          <w:rStyle w:val="None"/>
          <w:rFonts w:ascii="Cambria" w:hAnsi="Cambria"/>
          <w:rtl w:val="0"/>
          <w:lang w:val="en-US"/>
        </w:rPr>
        <w:t>ation that promotes astronomical research</w:t>
      </w:r>
      <w:r>
        <w:rPr>
          <w:rStyle w:val="None"/>
          <w:rFonts w:ascii="Cambria" w:cs="Cambria" w:hAnsi="Cambria" w:eastAsia="Cambria"/>
          <w:vertAlign w:val="superscript"/>
          <w:lang w:val="en-US"/>
        </w:rPr>
        <w:footnoteReference w:id="6"/>
      </w:r>
      <w:r>
        <w:rPr>
          <w:rStyle w:val="None"/>
          <w:rFonts w:ascii="Cambria" w:hAnsi="Cambria"/>
          <w:rtl w:val="0"/>
          <w:lang w:val="en-US"/>
        </w:rPr>
        <w:t>, as</w:t>
      </w:r>
      <w:r>
        <w:rPr>
          <w:rStyle w:val="None"/>
          <w:rFonts w:ascii="Cambria" w:hAnsi="Cambria"/>
          <w:rtl w:val="0"/>
          <w:lang w:val="en-US"/>
        </w:rPr>
        <w:t xml:space="preserve"> </w:t>
      </w:r>
      <w:r>
        <w:rPr>
          <w:rStyle w:val="None"/>
          <w:rFonts w:ascii="Cambria" w:hAnsi="Cambria"/>
          <w:rtl w:val="0"/>
          <w:lang w:val="en-US"/>
        </w:rPr>
        <w:t>it is Dr. Clive Ruggles, editor of the publication and Emeritus Professor of Archeoastronomy in the School of Archeology and Ancient History at University of Leicester, UK.</w:t>
      </w:r>
    </w:p>
    <w:p>
      <w:pPr>
        <w:pStyle w:val="Body A"/>
        <w:jc w:val="both"/>
        <w:rPr>
          <w:rFonts w:ascii="Cambria" w:cs="Cambria" w:hAnsi="Cambria" w:eastAsia="Cambria"/>
        </w:rPr>
      </w:pPr>
      <w:r>
        <w:rPr>
          <w:rStyle w:val="None"/>
          <w:rFonts w:ascii="Cambria" w:cs="Cambria" w:hAnsi="Cambria" w:eastAsia="Cambria"/>
          <w:rtl w:val="0"/>
          <w:lang w:val="en-US"/>
        </w:rPr>
        <w:tab/>
        <w:t>Professor Ray Norris, the second author of this paper, is a British/Australian astrophysicist based at the Western Sidney University. Norris</w:t>
      </w:r>
      <w:r>
        <w:rPr>
          <w:rStyle w:val="None"/>
          <w:rFonts w:ascii="Cambria" w:hAnsi="Cambria" w:hint="default"/>
          <w:rtl w:val="0"/>
          <w:lang w:val="en-US"/>
        </w:rPr>
        <w:t xml:space="preserve">’ </w:t>
      </w:r>
      <w:r>
        <w:rPr>
          <w:rStyle w:val="None"/>
          <w:rFonts w:ascii="Cambria" w:hAnsi="Cambria"/>
          <w:rtl w:val="0"/>
          <w:lang w:val="en-US"/>
        </w:rPr>
        <w:t>main fields of research are on the origin and evolution of galaxies</w:t>
      </w:r>
      <w:r>
        <w:rPr>
          <w:rStyle w:val="None"/>
          <w:rFonts w:ascii="Cambria" w:cs="Cambria" w:hAnsi="Cambria" w:eastAsia="Cambria"/>
          <w:vertAlign w:val="superscript"/>
        </w:rPr>
        <w:footnoteReference w:id="7"/>
      </w:r>
      <w:r>
        <w:rPr>
          <w:rStyle w:val="None"/>
          <w:rFonts w:ascii="Cambria" w:hAnsi="Cambria"/>
          <w:rtl w:val="0"/>
          <w:lang w:val="en-US"/>
        </w:rPr>
        <w:t xml:space="preserve"> and Aboriginal Astronomy. He is well known </w:t>
      </w:r>
      <w:r>
        <w:rPr>
          <w:rStyle w:val="None"/>
          <w:rFonts w:ascii="Cambria" w:hAnsi="Cambria"/>
          <w:rtl w:val="0"/>
          <w:lang w:val="en-US"/>
        </w:rPr>
        <w:t>for</w:t>
      </w:r>
      <w:r>
        <w:rPr>
          <w:rStyle w:val="None"/>
          <w:rFonts w:ascii="Cambria" w:hAnsi="Cambria"/>
          <w:rtl w:val="0"/>
          <w:lang w:val="en-US"/>
        </w:rPr>
        <w:t xml:space="preserve"> his frequent appearances in TV and radio shows on the subject. He has also been an adjunct professor in the Department of Indigenous Studies at Macquarie University</w:t>
      </w:r>
      <w:r>
        <w:rPr>
          <w:rStyle w:val="None"/>
          <w:rFonts w:ascii="Cambria" w:cs="Cambria" w:hAnsi="Cambria" w:eastAsia="Cambria"/>
          <w:vertAlign w:val="superscript"/>
        </w:rPr>
        <w:footnoteReference w:id="8"/>
      </w:r>
      <w:r>
        <w:rPr>
          <w:rStyle w:val="None"/>
          <w:rFonts w:ascii="Cambria" w:hAnsi="Cambria"/>
          <w:rtl w:val="0"/>
          <w:lang w:val="en-US"/>
        </w:rPr>
        <w:t>. Hamacher and Norris have conducted several research works on Aboriginal Astronomy together.</w:t>
      </w:r>
    </w:p>
    <w:p>
      <w:pPr>
        <w:pStyle w:val="Body A"/>
        <w:jc w:val="both"/>
        <w:rPr>
          <w:rFonts w:ascii="Cambria" w:cs="Cambria" w:hAnsi="Cambria" w:eastAsia="Cambria"/>
        </w:rPr>
      </w:pPr>
      <w:r>
        <w:rPr>
          <w:rStyle w:val="None"/>
          <w:rFonts w:ascii="Cambria" w:cs="Cambria" w:hAnsi="Cambria" w:eastAsia="Cambria"/>
          <w:rtl w:val="0"/>
          <w:lang w:val="en-US"/>
        </w:rPr>
        <w:tab/>
        <w:t>The second paper analy</w:t>
      </w:r>
      <w:r>
        <w:rPr>
          <w:rStyle w:val="None"/>
          <w:rFonts w:ascii="Cambria" w:hAnsi="Cambria"/>
          <w:rtl w:val="0"/>
          <w:lang w:val="en-US"/>
        </w:rPr>
        <w:t>z</w:t>
      </w:r>
      <w:r>
        <w:rPr>
          <w:rStyle w:val="None"/>
          <w:rFonts w:ascii="Cambria" w:hAnsi="Cambria"/>
          <w:rtl w:val="0"/>
          <w:lang w:val="en-US"/>
        </w:rPr>
        <w:t xml:space="preserve">ed in this essay has been written by Raymond Head, a British composer, writer, teacher and scholar on Gustav </w:t>
      </w:r>
      <w:r>
        <w:rPr>
          <w:rStyle w:val="None"/>
          <w:rFonts w:ascii="Cambria" w:hAnsi="Cambria"/>
          <w:rtl w:val="0"/>
          <w:lang w:val="da-DK"/>
        </w:rPr>
        <w:t>Holst</w:t>
      </w:r>
      <w:r>
        <w:rPr>
          <w:rStyle w:val="None"/>
          <w:rFonts w:ascii="Cambria" w:hAnsi="Cambria" w:hint="default"/>
          <w:rtl w:val="0"/>
          <w:lang w:val="en-US"/>
        </w:rPr>
        <w:t>’</w:t>
      </w:r>
      <w:r>
        <w:rPr>
          <w:rStyle w:val="None"/>
          <w:rFonts w:ascii="Cambria" w:hAnsi="Cambria"/>
          <w:rtl w:val="0"/>
          <w:lang w:val="en-US"/>
        </w:rPr>
        <w:t>s works</w:t>
      </w:r>
      <w:r>
        <w:rPr>
          <w:rStyle w:val="None"/>
          <w:rFonts w:ascii="Cambria" w:cs="Cambria" w:hAnsi="Cambria" w:eastAsia="Cambria"/>
          <w:vertAlign w:val="superscript"/>
        </w:rPr>
        <w:footnoteReference w:id="9"/>
      </w:r>
      <w:r>
        <w:rPr>
          <w:rStyle w:val="None"/>
          <w:rFonts w:ascii="Cambria" w:hAnsi="Cambria"/>
          <w:rtl w:val="0"/>
          <w:lang w:val="en-US"/>
        </w:rPr>
        <w:t xml:space="preserve">. Head is </w:t>
      </w:r>
      <w:r>
        <w:rPr>
          <w:rStyle w:val="None"/>
          <w:rFonts w:ascii="Cambria" w:hAnsi="Cambria"/>
          <w:rtl w:val="0"/>
          <w:lang w:val="en-US"/>
        </w:rPr>
        <w:t xml:space="preserve">the </w:t>
      </w:r>
      <w:r>
        <w:rPr>
          <w:rStyle w:val="None"/>
          <w:rFonts w:ascii="Cambria" w:hAnsi="Cambria"/>
          <w:rtl w:val="0"/>
          <w:lang w:val="en-US"/>
        </w:rPr>
        <w:t xml:space="preserve">musical advisor </w:t>
      </w:r>
      <w:r>
        <w:rPr>
          <w:rStyle w:val="None"/>
          <w:rFonts w:ascii="Cambria" w:hAnsi="Cambria"/>
          <w:rtl w:val="0"/>
          <w:lang w:val="en-US"/>
        </w:rPr>
        <w:t>for</w:t>
      </w:r>
      <w:r>
        <w:rPr>
          <w:rStyle w:val="None"/>
          <w:rFonts w:ascii="Cambria" w:hAnsi="Cambria"/>
          <w:rtl w:val="0"/>
          <w:lang w:val="en-US"/>
        </w:rPr>
        <w:t xml:space="preserve"> the Holst Birthplace Museum in Cheltenham, Gloucestershire, and researcher of the Indian influences in Western music, having written two books on the subject and </w:t>
      </w:r>
      <w:r>
        <w:rPr>
          <w:rStyle w:val="None"/>
          <w:rFonts w:ascii="Cambria" w:hAnsi="Cambria"/>
          <w:rtl w:val="0"/>
          <w:lang w:val="en-US"/>
        </w:rPr>
        <w:t xml:space="preserve">a </w:t>
      </w:r>
      <w:r>
        <w:rPr>
          <w:rStyle w:val="None"/>
          <w:rFonts w:ascii="Cambria" w:hAnsi="Cambria"/>
          <w:rtl w:val="0"/>
          <w:lang w:val="en-US"/>
        </w:rPr>
        <w:t>series of other studies.</w:t>
      </w:r>
    </w:p>
    <w:p>
      <w:pPr>
        <w:pStyle w:val="Body A"/>
        <w:jc w:val="both"/>
        <w:rPr>
          <w:rFonts w:ascii="Cambria" w:cs="Cambria" w:hAnsi="Cambria" w:eastAsia="Cambria"/>
        </w:rPr>
      </w:pPr>
      <w:r>
        <w:rPr>
          <w:rStyle w:val="None"/>
          <w:rFonts w:ascii="Cambria" w:cs="Cambria" w:hAnsi="Cambria" w:eastAsia="Cambria"/>
          <w:rtl w:val="0"/>
          <w:lang w:val="en-US"/>
        </w:rPr>
        <w:tab/>
        <w:t xml:space="preserve">His piece </w:t>
      </w:r>
      <w:r>
        <w:rPr>
          <w:rStyle w:val="None"/>
          <w:rFonts w:ascii="Cambria" w:hAnsi="Cambria" w:hint="default"/>
          <w:rtl w:val="0"/>
          <w:lang w:val="en-US"/>
        </w:rPr>
        <w:t>‘</w:t>
      </w:r>
      <w:r>
        <w:rPr>
          <w:rStyle w:val="None"/>
          <w:rFonts w:ascii="Cambria" w:hAnsi="Cambria"/>
          <w:rtl w:val="0"/>
          <w:lang w:val="en-US"/>
        </w:rPr>
        <w:t xml:space="preserve">Holst - Astrology and Modernism in </w:t>
      </w:r>
      <w:r>
        <w:rPr>
          <w:rStyle w:val="None"/>
          <w:rFonts w:ascii="Cambria" w:hAnsi="Cambria" w:hint="default"/>
          <w:rtl w:val="1"/>
        </w:rPr>
        <w:t>‘</w:t>
      </w:r>
      <w:r>
        <w:rPr>
          <w:rStyle w:val="None"/>
          <w:rFonts w:ascii="Cambria" w:hAnsi="Cambria"/>
          <w:rtl w:val="0"/>
          <w:lang w:val="en-US"/>
        </w:rPr>
        <w:t>The Planets</w:t>
      </w:r>
      <w:r>
        <w:rPr>
          <w:rStyle w:val="None"/>
          <w:rFonts w:ascii="Cambria" w:hAnsi="Cambria" w:hint="default"/>
          <w:rtl w:val="0"/>
          <w:lang w:val="en-US"/>
        </w:rPr>
        <w:t xml:space="preserve">’ </w:t>
      </w:r>
      <w:r>
        <w:rPr>
          <w:rStyle w:val="None"/>
          <w:rFonts w:ascii="Cambria" w:hAnsi="Cambria"/>
          <w:rtl w:val="0"/>
          <w:lang w:val="en-US"/>
        </w:rPr>
        <w:t>were</w:t>
      </w:r>
      <w:r>
        <w:rPr>
          <w:rStyle w:val="None"/>
          <w:rFonts w:ascii="Cambria" w:hAnsi="Cambria"/>
          <w:rtl w:val="0"/>
          <w:lang w:val="en-US"/>
        </w:rPr>
        <w:t xml:space="preserve"> originally published in the 1993 edition of Tempo Magazine, an academic journal that documents the development of the  Modernist and Contemporary music scenes</w:t>
      </w:r>
      <w:r>
        <w:rPr>
          <w:rStyle w:val="None"/>
          <w:rFonts w:ascii="Cambria" w:cs="Cambria" w:hAnsi="Cambria" w:eastAsia="Cambria"/>
          <w:vertAlign w:val="superscript"/>
          <w:lang w:val="en-US"/>
        </w:rPr>
        <w:footnoteReference w:id="10"/>
      </w:r>
      <w:r>
        <w:rPr>
          <w:rStyle w:val="None"/>
          <w:rFonts w:ascii="Cambria" w:hAnsi="Cambria"/>
          <w:rtl w:val="0"/>
          <w:lang w:val="en-US"/>
        </w:rPr>
        <w:t xml:space="preserve">. In his piece, Head tells us about the backstory that would lead to the composition of </w:t>
      </w:r>
      <w:r>
        <w:rPr>
          <w:rStyle w:val="None"/>
          <w:rFonts w:ascii="Cambria" w:hAnsi="Cambria" w:hint="default"/>
          <w:rtl w:val="0"/>
          <w:lang w:val="en-US"/>
        </w:rPr>
        <w:t>“</w:t>
      </w:r>
      <w:r>
        <w:rPr>
          <w:rStyle w:val="None"/>
          <w:rFonts w:ascii="Cambria" w:hAnsi="Cambria"/>
          <w:rtl w:val="0"/>
          <w:lang w:val="en-US"/>
        </w:rPr>
        <w:t>The Planets</w:t>
      </w:r>
      <w:r>
        <w:rPr>
          <w:rStyle w:val="None"/>
          <w:rFonts w:ascii="Cambria" w:hAnsi="Cambria" w:hint="default"/>
          <w:rtl w:val="0"/>
          <w:lang w:val="en-US"/>
        </w:rPr>
        <w:t>”</w:t>
      </w:r>
      <w:r>
        <w:rPr>
          <w:rStyle w:val="None"/>
          <w:rFonts w:ascii="Cambria" w:hAnsi="Cambria"/>
          <w:rtl w:val="0"/>
          <w:lang w:val="en-US"/>
        </w:rPr>
        <w:t>, an orchestral suite that represented a hallmark in the music of the early 20th century. His account takes the reader through Holst</w:t>
      </w:r>
      <w:r>
        <w:rPr>
          <w:rStyle w:val="None"/>
          <w:rFonts w:ascii="Cambria" w:hAnsi="Cambria" w:hint="default"/>
          <w:rtl w:val="0"/>
          <w:lang w:val="en-US"/>
        </w:rPr>
        <w:t>’</w:t>
      </w:r>
      <w:r>
        <w:rPr>
          <w:rStyle w:val="None"/>
          <w:rFonts w:ascii="Cambria" w:hAnsi="Cambria"/>
          <w:rtl w:val="0"/>
          <w:lang w:val="en-US"/>
        </w:rPr>
        <w:t>s involvement with the Theosophical  Society and astrology as well as a brief description of each of the suite</w:t>
      </w:r>
      <w:r>
        <w:rPr>
          <w:rStyle w:val="None"/>
          <w:rFonts w:ascii="Cambria" w:hAnsi="Cambria" w:hint="default"/>
          <w:rtl w:val="0"/>
          <w:lang w:val="en-US"/>
        </w:rPr>
        <w:t>’</w:t>
      </w:r>
      <w:r>
        <w:rPr>
          <w:rStyle w:val="None"/>
          <w:rFonts w:ascii="Cambria" w:hAnsi="Cambria"/>
          <w:rtl w:val="0"/>
          <w:lang w:val="en-US"/>
        </w:rPr>
        <w:t>s movements and its relationship to the esoteric field.</w:t>
      </w:r>
    </w:p>
    <w:p>
      <w:pPr>
        <w:pStyle w:val="Body A"/>
        <w:jc w:val="both"/>
        <w:rPr>
          <w:rFonts w:ascii="Cambria" w:cs="Cambria" w:hAnsi="Cambria" w:eastAsia="Cambria"/>
        </w:rPr>
      </w:pPr>
      <w:r>
        <w:rPr>
          <w:rStyle w:val="None"/>
          <w:rFonts w:ascii="Cambria" w:cs="Cambria" w:hAnsi="Cambria" w:eastAsia="Cambria"/>
          <w:rtl w:val="0"/>
          <w:lang w:val="en-US"/>
        </w:rPr>
        <w:tab/>
        <w:t xml:space="preserve">Both essays </w:t>
      </w:r>
      <w:r>
        <w:rPr>
          <w:rStyle w:val="None"/>
          <w:rFonts w:ascii="Cambria" w:hAnsi="Cambria"/>
          <w:rtl w:val="0"/>
          <w:lang w:val="en-US"/>
        </w:rPr>
        <w:t>have</w:t>
      </w:r>
      <w:r>
        <w:rPr>
          <w:rStyle w:val="None"/>
          <w:rFonts w:ascii="Cambria" w:hAnsi="Cambria"/>
          <w:rtl w:val="0"/>
          <w:lang w:val="en-US"/>
        </w:rPr>
        <w:t xml:space="preserve"> been published by Cambridge University Press, a traditional institution that deals with academic contents such as journals, monographs, reference works and textbooks</w:t>
      </w:r>
      <w:r>
        <w:rPr>
          <w:rStyle w:val="None"/>
          <w:rFonts w:ascii="Cambria" w:cs="Cambria" w:hAnsi="Cambria" w:eastAsia="Cambria"/>
          <w:vertAlign w:val="superscript"/>
        </w:rPr>
        <w:footnoteReference w:id="11"/>
      </w:r>
      <w:r>
        <w:rPr>
          <w:rStyle w:val="None"/>
          <w:rFonts w:ascii="Cambria" w:hAnsi="Cambria"/>
          <w:rtl w:val="0"/>
          <w:lang w:val="en-US"/>
        </w:rPr>
        <w:t xml:space="preserve"> in the most diverse scholar</w:t>
      </w:r>
      <w:r>
        <w:rPr>
          <w:rStyle w:val="None"/>
          <w:rFonts w:ascii="Cambria" w:hAnsi="Cambria"/>
          <w:rtl w:val="0"/>
          <w:lang w:val="en-US"/>
        </w:rPr>
        <w:t>ly</w:t>
      </w:r>
      <w:r>
        <w:rPr>
          <w:rStyle w:val="None"/>
          <w:rFonts w:ascii="Cambria" w:hAnsi="Cambria"/>
          <w:rtl w:val="0"/>
          <w:lang w:val="en-US"/>
        </w:rPr>
        <w:t xml:space="preserve"> </w:t>
      </w:r>
      <w:r>
        <w:rPr>
          <w:rStyle w:val="None"/>
          <w:rFonts w:ascii="Cambria" w:hAnsi="Cambria"/>
          <w:rtl w:val="0"/>
          <w:lang w:val="en-US"/>
        </w:rPr>
        <w:t>fields</w:t>
      </w:r>
      <w:r>
        <w:rPr>
          <w:rStyle w:val="None"/>
          <w:rFonts w:ascii="Cambria" w:hAnsi="Cambria"/>
          <w:rtl w:val="0"/>
          <w:lang w:val="en-US"/>
        </w:rPr>
        <w:t xml:space="preserve">. Written with a considerable time gap, 2011 and 1993 respectively, and being of such different natures - the first, a </w:t>
      </w:r>
      <w:r>
        <w:rPr>
          <w:rStyle w:val="None"/>
          <w:rFonts w:ascii="Cambria" w:hAnsi="Cambria"/>
          <w:rtl w:val="0"/>
          <w:lang w:val="en-US"/>
        </w:rPr>
        <w:t xml:space="preserve">scientific </w:t>
      </w:r>
      <w:r>
        <w:rPr>
          <w:rStyle w:val="None"/>
          <w:rFonts w:ascii="Cambria" w:hAnsi="Cambria"/>
          <w:rtl w:val="0"/>
          <w:lang w:val="en-US"/>
        </w:rPr>
        <w:t>Symposium record and the last, an academic journal article - both essays nonetheless seems to present similarities in its storytelling, being academic in content but openly comprehensible to any instructed and interested reader</w:t>
      </w:r>
      <w:r>
        <w:rPr>
          <w:rStyle w:val="None"/>
          <w:rFonts w:ascii="Cambria" w:hAnsi="Cambria"/>
          <w:rtl w:val="0"/>
          <w:lang w:val="en-US"/>
        </w:rPr>
        <w:t>, mostly uncomplicated in its writing</w:t>
      </w:r>
      <w:r>
        <w:rPr>
          <w:rStyle w:val="None"/>
          <w:rFonts w:ascii="Cambria" w:hAnsi="Cambria"/>
          <w:rtl w:val="0"/>
          <w:lang w:val="en-US"/>
        </w:rPr>
        <w:t xml:space="preserve">. Both narratives present a problem around its subject - quite similar in nature, as it will be further developed in this essay -, followed by the proposition of a hypothesis and evidence that supports such an idea - Hamacher and Norris making use of studies on archeological records, and Head, historical accounts. The main contrast in between the papers can be found in the precision with which Hamacher and Norris present such evidence, </w:t>
      </w:r>
      <w:r>
        <w:rPr>
          <w:rStyle w:val="None"/>
          <w:rFonts w:ascii="Cambria" w:hAnsi="Cambria"/>
          <w:rtl w:val="0"/>
          <w:lang w:val="en-US"/>
        </w:rPr>
        <w:t xml:space="preserve">using </w:t>
      </w:r>
      <w:r>
        <w:rPr>
          <w:rStyle w:val="None"/>
          <w:rFonts w:ascii="Cambria" w:hAnsi="Cambria"/>
          <w:rtl w:val="0"/>
          <w:lang w:val="en-US"/>
        </w:rPr>
        <w:t xml:space="preserve">the standard </w:t>
      </w:r>
      <w:r>
        <w:rPr>
          <w:rStyle w:val="None"/>
          <w:rFonts w:ascii="Cambria" w:hAnsi="Cambria"/>
          <w:rtl w:val="0"/>
          <w:lang w:val="en-US"/>
        </w:rPr>
        <w:t>scientific</w:t>
      </w:r>
      <w:r>
        <w:rPr>
          <w:rStyle w:val="None"/>
          <w:rFonts w:ascii="Cambria" w:hAnsi="Cambria"/>
          <w:rtl w:val="0"/>
          <w:lang w:val="en-US"/>
        </w:rPr>
        <w:t xml:space="preserve"> research </w:t>
      </w:r>
      <w:r>
        <w:rPr>
          <w:rStyle w:val="None"/>
          <w:rFonts w:ascii="Cambria" w:hAnsi="Cambria"/>
          <w:rtl w:val="0"/>
          <w:lang w:val="en-US"/>
        </w:rPr>
        <w:t>investigation style</w:t>
      </w:r>
      <w:r>
        <w:rPr>
          <w:rStyle w:val="None"/>
          <w:rFonts w:ascii="Cambria" w:hAnsi="Cambria"/>
          <w:rtl w:val="0"/>
          <w:lang w:val="en-US"/>
        </w:rPr>
        <w:t xml:space="preserve">, while Head - taking advantage of historical topics more or less known by the wide audience, as well as </w:t>
      </w:r>
      <w:r>
        <w:rPr>
          <w:rStyle w:val="None"/>
          <w:rFonts w:ascii="Cambria" w:hAnsi="Cambria"/>
          <w:rtl w:val="0"/>
          <w:lang w:val="en-US"/>
        </w:rPr>
        <w:t xml:space="preserve">taking in account </w:t>
      </w:r>
      <w:r>
        <w:rPr>
          <w:rStyle w:val="None"/>
          <w:rFonts w:ascii="Cambria" w:hAnsi="Cambria"/>
          <w:rtl w:val="0"/>
          <w:lang w:val="en-US"/>
        </w:rPr>
        <w:t>the nature of his publication -, draw the reader to a more fluid storytelling.</w:t>
      </w:r>
    </w:p>
    <w:p>
      <w:pPr>
        <w:pStyle w:val="Body A"/>
        <w:jc w:val="both"/>
        <w:rPr>
          <w:rStyle w:val="None"/>
          <w:rFonts w:ascii="Cambria" w:cs="Cambria" w:hAnsi="Cambria" w:eastAsia="Cambria"/>
          <w:i w:val="1"/>
          <w:iCs w:val="1"/>
        </w:rPr>
      </w:pPr>
      <w:r>
        <w:rPr>
          <w:rStyle w:val="None"/>
          <w:rFonts w:ascii="Cambria" w:cs="Cambria" w:hAnsi="Cambria" w:eastAsia="Cambria"/>
          <w:rtl w:val="0"/>
          <w:lang w:val="en-US"/>
        </w:rPr>
        <w:tab/>
        <w:t>As both essays states from the beginning, we are touching subjects that haven</w:t>
      </w:r>
      <w:r>
        <w:rPr>
          <w:rStyle w:val="None"/>
          <w:rFonts w:ascii="Cambria" w:hAnsi="Cambria" w:hint="default"/>
          <w:rtl w:val="0"/>
          <w:lang w:val="en-US"/>
        </w:rPr>
        <w:t>’</w:t>
      </w:r>
      <w:r>
        <w:rPr>
          <w:rStyle w:val="None"/>
          <w:rFonts w:ascii="Cambria" w:hAnsi="Cambria"/>
          <w:rtl w:val="0"/>
          <w:lang w:val="en-US"/>
        </w:rPr>
        <w:t xml:space="preserve">t been acknowledged or welcomed to debate by the mainstream scholar areas until recently. As in Roslyn Haynes cited in Hamacher and Norris and pointed above, it was largely believed that aboriginal people </w:t>
      </w:r>
      <w:r>
        <w:rPr>
          <w:rStyle w:val="None"/>
          <w:rFonts w:ascii="Cambria" w:hAnsi="Cambria" w:hint="default"/>
          <w:rtl w:val="0"/>
          <w:lang w:val="en-US"/>
        </w:rPr>
        <w:t>“</w:t>
      </w:r>
      <w:r>
        <w:rPr>
          <w:rStyle w:val="None"/>
          <w:rFonts w:ascii="Cambria" w:hAnsi="Cambria"/>
          <w:rtl w:val="0"/>
          <w:lang w:val="en-US"/>
        </w:rPr>
        <w:t>made no measurements of space and time, nor did they engage in even the most elementary of mathematical calculations</w:t>
      </w:r>
      <w:r>
        <w:rPr>
          <w:rStyle w:val="None"/>
          <w:rFonts w:ascii="Cambria" w:cs="Cambria" w:hAnsi="Cambria" w:eastAsia="Cambria"/>
          <w:vertAlign w:val="superscript"/>
        </w:rPr>
        <w:footnoteReference w:id="12"/>
      </w:r>
      <w:r>
        <w:rPr>
          <w:rFonts w:ascii="Cambria" w:hAnsi="Cambria" w:hint="default"/>
          <w:rtl w:val="0"/>
        </w:rPr>
        <w:t>”</w:t>
      </w:r>
      <w:r>
        <w:rPr>
          <w:rStyle w:val="None"/>
          <w:rFonts w:ascii="Cambria" w:hAnsi="Cambria"/>
          <w:rtl w:val="0"/>
          <w:lang w:val="en-US"/>
        </w:rPr>
        <w:t xml:space="preserve">. </w:t>
      </w:r>
      <w:r>
        <w:rPr>
          <w:rStyle w:val="None"/>
          <w:rFonts w:ascii="Cambria" w:hAnsi="Cambria" w:hint="default"/>
          <w:rtl w:val="0"/>
          <w:lang w:val="en-US"/>
        </w:rPr>
        <w:t>“</w:t>
      </w:r>
      <w:r>
        <w:rPr>
          <w:rStyle w:val="None"/>
          <w:rFonts w:ascii="Cambria" w:hAnsi="Cambria"/>
          <w:rtl w:val="0"/>
          <w:lang w:val="en-US"/>
        </w:rPr>
        <w:t>Such misconceptions are an obstacle to research in this area</w:t>
      </w:r>
      <w:r>
        <w:rPr>
          <w:rStyle w:val="None"/>
          <w:rFonts w:ascii="Cambria" w:hAnsi="Cambria" w:hint="default"/>
          <w:rtl w:val="0"/>
          <w:lang w:val="en-US"/>
        </w:rPr>
        <w:t>”</w:t>
      </w:r>
      <w:r>
        <w:rPr>
          <w:rStyle w:val="None"/>
          <w:rFonts w:ascii="Cambria" w:hAnsi="Cambria"/>
          <w:rtl w:val="0"/>
          <w:lang w:val="en-US"/>
        </w:rPr>
        <w:t xml:space="preserve">, informs </w:t>
      </w:r>
      <w:r>
        <w:rPr>
          <w:rFonts w:ascii="Cambria" w:hAnsi="Cambria"/>
          <w:rtl w:val="0"/>
        </w:rPr>
        <w:t xml:space="preserve">Hamacher </w:t>
      </w:r>
      <w:r>
        <w:rPr>
          <w:rStyle w:val="None"/>
          <w:rFonts w:ascii="Cambria" w:hAnsi="Cambria"/>
          <w:rtl w:val="0"/>
          <w:lang w:val="en-US"/>
        </w:rPr>
        <w:t>and</w:t>
      </w:r>
      <w:r>
        <w:rPr>
          <w:rStyle w:val="None"/>
          <w:rFonts w:ascii="Cambria" w:hAnsi="Cambria"/>
          <w:rtl w:val="0"/>
          <w:lang w:val="it-IT"/>
        </w:rPr>
        <w:t xml:space="preserve"> Norris</w:t>
      </w:r>
      <w:r>
        <w:rPr>
          <w:rStyle w:val="None"/>
          <w:rFonts w:ascii="Cambria" w:hAnsi="Cambria"/>
          <w:rtl w:val="0"/>
          <w:lang w:val="en-US"/>
        </w:rPr>
        <w:t>. In comparison to Head</w:t>
      </w:r>
      <w:r>
        <w:rPr>
          <w:rStyle w:val="None"/>
          <w:rFonts w:ascii="Cambria" w:hAnsi="Cambria" w:hint="default"/>
          <w:rtl w:val="0"/>
          <w:lang w:val="en-US"/>
        </w:rPr>
        <w:t>’</w:t>
      </w:r>
      <w:r>
        <w:rPr>
          <w:rStyle w:val="None"/>
          <w:rFonts w:ascii="Cambria" w:hAnsi="Cambria"/>
          <w:rtl w:val="0"/>
          <w:lang w:val="en-US"/>
        </w:rPr>
        <w:t>s work, the challenge is found in engaging the academic community in considering and bringing to debate the astrological content behind The Planets and Holst</w:t>
      </w:r>
      <w:r>
        <w:rPr>
          <w:rStyle w:val="None"/>
          <w:rFonts w:ascii="Cambria" w:hAnsi="Cambria" w:hint="default"/>
          <w:rtl w:val="0"/>
          <w:lang w:val="en-US"/>
        </w:rPr>
        <w:t>’</w:t>
      </w:r>
      <w:r>
        <w:rPr>
          <w:rStyle w:val="None"/>
          <w:rFonts w:ascii="Cambria" w:hAnsi="Cambria"/>
          <w:rtl w:val="0"/>
          <w:lang w:val="en-US"/>
        </w:rPr>
        <w:t xml:space="preserve">s personal concept of artistic creation: </w:t>
      </w:r>
      <w:r>
        <w:rPr>
          <w:rStyle w:val="None"/>
          <w:rFonts w:ascii="Cambria" w:hAnsi="Cambria" w:hint="default"/>
          <w:rtl w:val="0"/>
          <w:lang w:val="en-US"/>
        </w:rPr>
        <w:t>“</w:t>
      </w:r>
      <w:r>
        <w:rPr>
          <w:rStyle w:val="None"/>
          <w:rFonts w:ascii="Cambria" w:hAnsi="Cambria"/>
          <w:rtl w:val="0"/>
          <w:lang w:val="en-US"/>
        </w:rPr>
        <w:t>The subject of modernism in early 20th-century British music is rarely examined: (</w:t>
      </w:r>
      <w:r>
        <w:rPr>
          <w:rStyle w:val="None"/>
          <w:rFonts w:ascii="Cambria" w:hAnsi="Cambria" w:hint="default"/>
          <w:rtl w:val="0"/>
          <w:lang w:val="en-US"/>
        </w:rPr>
        <w:t>…</w:t>
      </w:r>
      <w:r>
        <w:rPr>
          <w:rStyle w:val="None"/>
          <w:rFonts w:ascii="Cambria" w:hAnsi="Cambria"/>
          <w:rtl w:val="0"/>
          <w:lang w:val="en-US"/>
        </w:rPr>
        <w:t xml:space="preserve">) one must be prepared to engage subjects which, in this country, are normally considered </w:t>
      </w:r>
      <w:r>
        <w:rPr>
          <w:rStyle w:val="None"/>
          <w:rFonts w:ascii="Cambria" w:hAnsi="Cambria"/>
          <w:i w:val="1"/>
          <w:iCs w:val="1"/>
          <w:rtl w:val="0"/>
          <w:lang w:val="en-US"/>
        </w:rPr>
        <w:t>Verboten.</w:t>
      </w:r>
      <w:r>
        <w:rPr>
          <w:rStyle w:val="None"/>
          <w:rFonts w:ascii="Cambria" w:cs="Cambria" w:hAnsi="Cambria" w:eastAsia="Cambria"/>
          <w:i w:val="1"/>
          <w:iCs w:val="1"/>
          <w:vertAlign w:val="superscript"/>
        </w:rPr>
        <w:footnoteReference w:id="13"/>
      </w:r>
      <w:r>
        <w:rPr>
          <w:rStyle w:val="None"/>
          <w:rFonts w:ascii="Cambria" w:hAnsi="Cambria" w:hint="default"/>
          <w:i w:val="1"/>
          <w:iCs w:val="1"/>
          <w:rtl w:val="0"/>
          <w:lang w:val="en-US"/>
        </w:rPr>
        <w:t>”</w:t>
      </w:r>
    </w:p>
    <w:p>
      <w:pPr>
        <w:pStyle w:val="Body A"/>
        <w:jc w:val="both"/>
        <w:rPr>
          <w:rStyle w:val="None"/>
          <w:rFonts w:ascii="Cambria" w:cs="Cambria" w:hAnsi="Cambria" w:eastAsia="Cambria"/>
          <w:i w:val="1"/>
          <w:iCs w:val="1"/>
        </w:rPr>
      </w:pPr>
      <w:r>
        <w:rPr>
          <w:rStyle w:val="None"/>
          <w:rFonts w:ascii="Cambria" w:cs="Cambria" w:hAnsi="Cambria" w:eastAsia="Cambria"/>
          <w:i w:val="1"/>
          <w:iCs w:val="1"/>
        </w:rPr>
        <w:tab/>
      </w:r>
      <w:r>
        <w:rPr>
          <w:rStyle w:val="None"/>
          <w:rFonts w:ascii="Cambria" w:hAnsi="Cambria"/>
          <w:rtl w:val="0"/>
          <w:lang w:val="en-US"/>
        </w:rPr>
        <w:t xml:space="preserve">The development of both studies, despite the difficulties on its acceptance by the academic community, are found to have benefited from the concept of cultural relativity, where </w:t>
      </w:r>
      <w:r>
        <w:rPr>
          <w:rStyle w:val="None"/>
          <w:rFonts w:ascii="Cambria" w:hAnsi="Cambria" w:hint="default"/>
          <w:rtl w:val="0"/>
          <w:lang w:val="en-US"/>
        </w:rPr>
        <w:t>“</w:t>
      </w:r>
      <w:r>
        <w:rPr>
          <w:rStyle w:val="None"/>
          <w:rFonts w:ascii="Cambria" w:hAnsi="Cambria"/>
          <w:rtl w:val="0"/>
          <w:lang w:val="en-US"/>
        </w:rPr>
        <w:t xml:space="preserve">no one culture is </w:t>
      </w:r>
      <w:r>
        <w:rPr>
          <w:rStyle w:val="None"/>
          <w:rFonts w:ascii="Cambria" w:hAnsi="Cambria" w:hint="default"/>
          <w:rtl w:val="0"/>
          <w:lang w:val="en-US"/>
        </w:rPr>
        <w:t>‘</w:t>
      </w:r>
      <w:r>
        <w:rPr>
          <w:rStyle w:val="None"/>
          <w:rFonts w:ascii="Cambria" w:hAnsi="Cambria"/>
          <w:rtl w:val="0"/>
          <w:lang w:val="it-IT"/>
        </w:rPr>
        <w:t>central</w:t>
      </w:r>
      <w:r>
        <w:rPr>
          <w:rStyle w:val="None"/>
          <w:rFonts w:ascii="Cambria" w:hAnsi="Cambria" w:hint="default"/>
          <w:rtl w:val="0"/>
          <w:lang w:val="en-US"/>
        </w:rPr>
        <w:t>’</w:t>
      </w:r>
      <w:r>
        <w:rPr>
          <w:rStyle w:val="None"/>
          <w:rFonts w:ascii="Cambria" w:hAnsi="Cambria"/>
          <w:rtl w:val="0"/>
          <w:lang w:val="en-US"/>
        </w:rPr>
        <w:t>, all cultural perspectives and practices must be respected on their own terms</w:t>
      </w:r>
      <w:r>
        <w:rPr>
          <w:rStyle w:val="None"/>
          <w:rFonts w:ascii="Cambria" w:cs="Cambria" w:hAnsi="Cambria" w:eastAsia="Cambria"/>
          <w:vertAlign w:val="superscript"/>
        </w:rPr>
        <w:footnoteReference w:id="14"/>
      </w:r>
      <w:r>
        <w:rPr>
          <w:rStyle w:val="None"/>
          <w:rFonts w:ascii="Cambria" w:hAnsi="Cambria" w:hint="default"/>
          <w:rtl w:val="0"/>
          <w:lang w:val="en-US"/>
        </w:rPr>
        <w:t>”</w:t>
      </w:r>
      <w:r>
        <w:rPr>
          <w:rStyle w:val="None"/>
          <w:rFonts w:ascii="Cambria" w:hAnsi="Cambria"/>
          <w:rtl w:val="0"/>
          <w:lang w:val="en-US"/>
        </w:rPr>
        <w:t>. This comes straight from the idea developed by Herder and other philosophers during the Enlightenment, cited here by Raymond Williams</w:t>
      </w:r>
      <w:r>
        <w:rPr>
          <w:rStyle w:val="None"/>
          <w:rFonts w:ascii="Cambria" w:cs="Cambria" w:hAnsi="Cambria" w:eastAsia="Cambria"/>
          <w:vertAlign w:val="superscript"/>
        </w:rPr>
        <w:footnoteReference w:id="15"/>
      </w:r>
      <w:r>
        <w:rPr>
          <w:rStyle w:val="None"/>
          <w:rFonts w:ascii="Cambria" w:hAnsi="Cambria"/>
          <w:rtl w:val="0"/>
          <w:lang w:val="en-US"/>
        </w:rPr>
        <w:t xml:space="preserve">: </w:t>
      </w:r>
      <w:r>
        <w:rPr>
          <w:rStyle w:val="None"/>
          <w:rFonts w:ascii="Cambria" w:hAnsi="Cambria" w:hint="default"/>
          <w:rtl w:val="0"/>
          <w:lang w:val="en-US"/>
        </w:rPr>
        <w:t>“</w:t>
      </w:r>
      <w:r>
        <w:rPr>
          <w:rStyle w:val="None"/>
          <w:rFonts w:ascii="Cambria" w:hAnsi="Cambria"/>
          <w:rtl w:val="0"/>
          <w:lang w:val="en-US"/>
        </w:rPr>
        <w:t>The very thought of a superior European culture is a blatant insult to  the majesty of Nature</w:t>
      </w:r>
      <w:r>
        <w:rPr>
          <w:rStyle w:val="None"/>
          <w:rFonts w:ascii="Cambria" w:hAnsi="Cambria" w:hint="default"/>
          <w:rtl w:val="0"/>
          <w:lang w:val="en-US"/>
        </w:rPr>
        <w:t>”</w:t>
      </w:r>
      <w:r>
        <w:rPr>
          <w:rStyle w:val="None"/>
          <w:rFonts w:ascii="Cambria" w:hAnsi="Cambria"/>
          <w:rtl w:val="0"/>
          <w:lang w:val="en-US"/>
        </w:rPr>
        <w:t>. Such a thought, having its first rise in the Romantic movement and popularised by the New Age movement, is now very much accepted by the general public and being slowly digested by the academic community</w:t>
      </w:r>
      <w:r>
        <w:rPr>
          <w:rStyle w:val="None"/>
          <w:rFonts w:ascii="Cambria" w:hAnsi="Cambria"/>
          <w:rtl w:val="0"/>
          <w:lang w:val="en-US"/>
        </w:rPr>
        <w:t>, being exemplified in both essays</w:t>
      </w:r>
      <w:r>
        <w:rPr>
          <w:rStyle w:val="None"/>
          <w:rFonts w:ascii="Cambria" w:hAnsi="Cambria"/>
          <w:rtl w:val="0"/>
          <w:lang w:val="en-US"/>
        </w:rPr>
        <w:t>.</w:t>
      </w:r>
    </w:p>
    <w:p>
      <w:pPr>
        <w:pStyle w:val="Body A"/>
        <w:jc w:val="both"/>
        <w:rPr>
          <w:rFonts w:ascii="Cambria" w:cs="Cambria" w:hAnsi="Cambria" w:eastAsia="Cambria"/>
        </w:rPr>
      </w:pPr>
      <w:r>
        <w:rPr>
          <w:rStyle w:val="None"/>
          <w:rFonts w:ascii="Cambria" w:cs="Cambria" w:hAnsi="Cambria" w:eastAsia="Cambria"/>
          <w:rtl w:val="0"/>
          <w:lang w:val="en-US"/>
        </w:rPr>
        <w:tab/>
        <w:t>As we dig further in</w:t>
      </w:r>
      <w:r>
        <w:rPr>
          <w:rStyle w:val="None"/>
          <w:rFonts w:ascii="Cambria" w:hAnsi="Cambria"/>
          <w:rtl w:val="0"/>
          <w:lang w:val="en-US"/>
        </w:rPr>
        <w:t>to</w:t>
      </w:r>
      <w:r>
        <w:rPr>
          <w:rStyle w:val="None"/>
          <w:rFonts w:ascii="Cambria" w:hAnsi="Cambria"/>
          <w:rtl w:val="0"/>
          <w:lang w:val="en-US"/>
        </w:rPr>
        <w:t xml:space="preserve"> the papers</w:t>
      </w:r>
      <w:r>
        <w:rPr>
          <w:rStyle w:val="None"/>
          <w:rFonts w:ascii="Cambria" w:hAnsi="Cambria" w:hint="default"/>
          <w:rtl w:val="0"/>
          <w:lang w:val="en-US"/>
        </w:rPr>
        <w:t xml:space="preserve">’ </w:t>
      </w:r>
      <w:r>
        <w:rPr>
          <w:rStyle w:val="None"/>
          <w:rFonts w:ascii="Cambria" w:hAnsi="Cambria"/>
          <w:rtl w:val="0"/>
          <w:lang w:val="en-US"/>
        </w:rPr>
        <w:t>subjects, we begin to learn how the authors developed their research and thought. In Hamacher and Norris, the explanation of the difficulties carried in their field of study opens to the evidence found by both and other researchers that would prove wrong the statement that Aboriginal groups didn</w:t>
      </w:r>
      <w:r>
        <w:rPr>
          <w:rStyle w:val="None"/>
          <w:rFonts w:ascii="Cambria" w:hAnsi="Cambria" w:hint="default"/>
          <w:rtl w:val="0"/>
          <w:lang w:val="en-US"/>
        </w:rPr>
        <w:t>’</w:t>
      </w:r>
      <w:r>
        <w:rPr>
          <w:rStyle w:val="None"/>
          <w:rFonts w:ascii="Cambria" w:hAnsi="Cambria"/>
          <w:rtl w:val="0"/>
          <w:lang w:val="en-US"/>
        </w:rPr>
        <w:t>t carry any form of astronomical observation. In the first evidence we are presented with, we learn that Aborigines would keep track of time by using the Moon</w:t>
      </w:r>
      <w:r>
        <w:rPr>
          <w:rStyle w:val="None"/>
          <w:rFonts w:ascii="Cambria" w:hAnsi="Cambria" w:hint="default"/>
          <w:rtl w:val="0"/>
          <w:lang w:val="en-US"/>
        </w:rPr>
        <w:t>’</w:t>
      </w:r>
      <w:r>
        <w:rPr>
          <w:rStyle w:val="None"/>
          <w:rFonts w:ascii="Cambria" w:hAnsi="Cambria"/>
          <w:rtl w:val="0"/>
          <w:lang w:val="en-US"/>
        </w:rPr>
        <w:t xml:space="preserve">s cycle, which is clearly demonstrated by pictograms created by different groups in order to </w:t>
      </w:r>
      <w:r>
        <w:rPr>
          <w:rStyle w:val="None"/>
          <w:rFonts w:ascii="Cambria" w:hAnsi="Cambria" w:hint="default"/>
          <w:rtl w:val="0"/>
          <w:lang w:val="en-US"/>
        </w:rPr>
        <w:t>“</w:t>
      </w:r>
      <w:r>
        <w:rPr>
          <w:rStyle w:val="None"/>
          <w:rFonts w:ascii="Cambria" w:hAnsi="Cambria"/>
          <w:rtl w:val="0"/>
          <w:lang w:val="en-US"/>
        </w:rPr>
        <w:t>communicate particular information to distant communities</w:t>
      </w:r>
      <w:r>
        <w:rPr>
          <w:rStyle w:val="None"/>
          <w:rFonts w:ascii="Cambria" w:cs="Cambria" w:hAnsi="Cambria" w:eastAsia="Cambria"/>
          <w:vertAlign w:val="superscript"/>
        </w:rPr>
        <w:footnoteReference w:id="16"/>
      </w:r>
      <w:r>
        <w:rPr>
          <w:rStyle w:val="None"/>
          <w:rFonts w:ascii="Cambria" w:hAnsi="Cambria" w:hint="default"/>
          <w:rtl w:val="0"/>
          <w:lang w:val="en-US"/>
        </w:rPr>
        <w:t>”</w:t>
      </w:r>
      <w:r>
        <w:rPr>
          <w:rStyle w:val="None"/>
          <w:rFonts w:ascii="Cambria" w:hAnsi="Cambria"/>
          <w:rtl w:val="0"/>
          <w:lang w:val="en-US"/>
        </w:rPr>
        <w:t xml:space="preserve">, where they would make notches </w:t>
      </w:r>
      <w:r>
        <w:rPr>
          <w:rStyle w:val="None"/>
          <w:rFonts w:ascii="Cambria" w:hAnsi="Cambria"/>
          <w:rtl w:val="0"/>
          <w:lang w:val="en-US"/>
        </w:rPr>
        <w:t xml:space="preserve">on </w:t>
      </w:r>
      <w:r>
        <w:rPr>
          <w:rStyle w:val="None"/>
          <w:rFonts w:ascii="Cambria" w:hAnsi="Cambria"/>
          <w:rtl w:val="0"/>
          <w:lang w:val="en-US"/>
        </w:rPr>
        <w:t xml:space="preserve">digging sticks to mark the phases of the Moon, or even to count their own age </w:t>
      </w:r>
      <w:r>
        <w:rPr>
          <w:rStyle w:val="None"/>
          <w:rFonts w:ascii="Cambria" w:hAnsi="Cambria"/>
          <w:rtl w:val="0"/>
          <w:lang w:val="en-US"/>
        </w:rPr>
        <w:t>through</w:t>
      </w:r>
      <w:r>
        <w:rPr>
          <w:rStyle w:val="None"/>
          <w:rFonts w:ascii="Cambria" w:hAnsi="Cambria"/>
          <w:rtl w:val="0"/>
          <w:lang w:val="en-US"/>
        </w:rPr>
        <w:t xml:space="preserve"> the appearance of each New Moon. Following it, the authors present the reader with the evidence that these groups would also keep track of the seasons, by observing the appearance of particular stars. We also find further observations of celestial bodies and the mechanics involving Earth, Sun and Moon in accounts of different groups oral traditions - an Aboriginal specific phenomenon to what anthropologists call </w:t>
      </w:r>
      <w:r>
        <w:rPr>
          <w:rStyle w:val="None"/>
          <w:rFonts w:ascii="Cambria" w:hAnsi="Cambria"/>
          <w:i w:val="1"/>
          <w:iCs w:val="1"/>
          <w:rtl w:val="0"/>
          <w:lang w:val="en-US"/>
        </w:rPr>
        <w:t>Dreaming</w:t>
      </w:r>
      <w:r>
        <w:rPr>
          <w:rStyle w:val="None"/>
          <w:rFonts w:ascii="Cambria" w:cs="Cambria" w:hAnsi="Cambria" w:eastAsia="Cambria"/>
          <w:i w:val="1"/>
          <w:iCs w:val="1"/>
          <w:vertAlign w:val="superscript"/>
        </w:rPr>
        <w:footnoteReference w:id="17"/>
      </w:r>
      <w:r>
        <w:rPr>
          <w:rStyle w:val="None"/>
          <w:rFonts w:ascii="Cambria" w:hAnsi="Cambria"/>
          <w:i w:val="1"/>
          <w:iCs w:val="1"/>
          <w:rtl w:val="0"/>
          <w:lang w:val="en-US"/>
        </w:rPr>
        <w:t xml:space="preserve"> -, </w:t>
      </w:r>
      <w:r>
        <w:rPr>
          <w:rStyle w:val="None"/>
          <w:rFonts w:ascii="Cambria" w:hAnsi="Cambria"/>
          <w:rtl w:val="0"/>
          <w:lang w:val="en-US"/>
        </w:rPr>
        <w:t>later related to specific astronomical events by Hamacher and Norris (for a more detailed explanation of Dreaming, see Hamacher and Norris on the study of the importance of Astronomy in Aboriginal cultures</w:t>
      </w:r>
      <w:r>
        <w:rPr>
          <w:rStyle w:val="None"/>
          <w:rFonts w:ascii="Cambria" w:cs="Cambria" w:hAnsi="Cambria" w:eastAsia="Cambria"/>
          <w:vertAlign w:val="superscript"/>
        </w:rPr>
        <w:footnoteReference w:id="18"/>
      </w:r>
      <w:r>
        <w:rPr>
          <w:rStyle w:val="None"/>
          <w:rFonts w:ascii="Cambria" w:hAnsi="Cambria"/>
          <w:rtl w:val="0"/>
          <w:lang w:val="en-US"/>
        </w:rPr>
        <w:t xml:space="preserve">). To finish the exposition of evidence, the authors present us with two archeological records that hold perfect alignment with cardinal points and equinox and solstice points, </w:t>
      </w:r>
      <w:r>
        <w:rPr>
          <w:rStyle w:val="None"/>
          <w:rFonts w:ascii="Cambria" w:hAnsi="Cambria"/>
          <w:rtl w:val="0"/>
          <w:lang w:val="en-US"/>
        </w:rPr>
        <w:t>which</w:t>
      </w:r>
      <w:r>
        <w:rPr>
          <w:rStyle w:val="None"/>
          <w:rFonts w:ascii="Cambria" w:hAnsi="Cambria" w:hint="default"/>
          <w:rtl w:val="0"/>
          <w:lang w:val="en-US"/>
        </w:rPr>
        <w:t xml:space="preserve"> “</w:t>
      </w:r>
      <w:r>
        <w:rPr>
          <w:rStyle w:val="None"/>
          <w:rFonts w:ascii="Cambria" w:hAnsi="Cambria"/>
          <w:rtl w:val="0"/>
          <w:lang w:val="en-US"/>
        </w:rPr>
        <w:t>implies a degree of planning, observation, and measurement that seem to be absent from most anthropological accounts of Aboriginal cultures</w:t>
      </w:r>
      <w:r>
        <w:rPr>
          <w:rStyle w:val="None"/>
          <w:rFonts w:ascii="Cambria" w:cs="Cambria" w:hAnsi="Cambria" w:eastAsia="Cambria"/>
          <w:vertAlign w:val="superscript"/>
        </w:rPr>
        <w:footnoteReference w:id="19"/>
      </w:r>
      <w:r>
        <w:rPr>
          <w:rStyle w:val="None"/>
          <w:rFonts w:ascii="Cambria" w:hAnsi="Cambria" w:hint="default"/>
          <w:rtl w:val="0"/>
          <w:lang w:val="en-US"/>
        </w:rPr>
        <w:t>”</w:t>
      </w:r>
      <w:r>
        <w:rPr>
          <w:rStyle w:val="None"/>
          <w:rFonts w:ascii="Cambria" w:hAnsi="Cambria"/>
          <w:rtl w:val="0"/>
          <w:lang w:val="en-US"/>
        </w:rPr>
        <w:t xml:space="preserve">. In this way, </w:t>
      </w:r>
      <w:r>
        <w:rPr>
          <w:rStyle w:val="None"/>
          <w:rFonts w:ascii="Cambria" w:hAnsi="Cambria"/>
          <w:rtl w:val="0"/>
          <w:lang w:val="en-US"/>
        </w:rPr>
        <w:t>the authors</w:t>
      </w:r>
      <w:r>
        <w:rPr>
          <w:rStyle w:val="None"/>
          <w:rFonts w:ascii="Cambria" w:hAnsi="Cambria"/>
          <w:rtl w:val="0"/>
          <w:lang w:val="en-US"/>
        </w:rPr>
        <w:t xml:space="preserve"> conclude that the evidences presented shows that Aboriginal Australians developed detailed astronomical observation, </w:t>
      </w:r>
      <w:r>
        <w:rPr>
          <w:rStyle w:val="None"/>
          <w:rFonts w:ascii="Cambria" w:hAnsi="Cambria"/>
          <w:rtl w:val="0"/>
          <w:lang w:val="en-US"/>
        </w:rPr>
        <w:t>which</w:t>
      </w:r>
      <w:r>
        <w:rPr>
          <w:rStyle w:val="None"/>
          <w:rFonts w:ascii="Cambria" w:hAnsi="Cambria"/>
          <w:rtl w:val="0"/>
          <w:lang w:val="en-US"/>
        </w:rPr>
        <w:t xml:space="preserve"> would open academia to a new understanding of the development and dynamics of those groups.</w:t>
      </w:r>
    </w:p>
    <w:p>
      <w:pPr>
        <w:pStyle w:val="Body A"/>
        <w:jc w:val="both"/>
        <w:rPr>
          <w:rFonts w:ascii="Cambria" w:cs="Cambria" w:hAnsi="Cambria" w:eastAsia="Cambria"/>
        </w:rPr>
      </w:pPr>
      <w:r>
        <w:rPr>
          <w:rStyle w:val="None"/>
          <w:rFonts w:ascii="Cambria" w:cs="Cambria" w:hAnsi="Cambria" w:eastAsia="Cambria"/>
          <w:rtl w:val="0"/>
          <w:lang w:val="en-US"/>
        </w:rPr>
        <w:tab/>
        <w:t>Switching to Head and Holst</w:t>
      </w:r>
      <w:r>
        <w:rPr>
          <w:rStyle w:val="None"/>
          <w:rFonts w:ascii="Cambria" w:hAnsi="Cambria" w:hint="default"/>
          <w:rtl w:val="0"/>
          <w:lang w:val="en-US"/>
        </w:rPr>
        <w:t>’</w:t>
      </w:r>
      <w:r>
        <w:rPr>
          <w:rStyle w:val="None"/>
          <w:rFonts w:ascii="Cambria" w:hAnsi="Cambria"/>
          <w:rtl w:val="0"/>
          <w:lang w:val="en-US"/>
        </w:rPr>
        <w:t xml:space="preserve">s issue, we are presented with the indubitable connection between the Modernist movement and the works of the Theosophical Society, which had as core, as the </w:t>
      </w:r>
      <w:r>
        <w:rPr>
          <w:rStyle w:val="None"/>
          <w:rFonts w:ascii="Cambria" w:hAnsi="Cambria"/>
          <w:rtl w:val="0"/>
          <w:lang w:val="en-US"/>
        </w:rPr>
        <w:t xml:space="preserve">noted </w:t>
      </w:r>
      <w:r>
        <w:rPr>
          <w:rStyle w:val="None"/>
          <w:rFonts w:ascii="Cambria" w:hAnsi="Cambria"/>
          <w:rtl w:val="0"/>
          <w:lang w:val="en-US"/>
        </w:rPr>
        <w:t>scholar on Cultural Astronomy</w:t>
      </w:r>
      <w:r>
        <w:rPr>
          <w:rStyle w:val="None"/>
          <w:rFonts w:ascii="Cambria" w:hAnsi="Cambria"/>
          <w:rtl w:val="0"/>
          <w:lang w:val="en-US"/>
        </w:rPr>
        <w:t xml:space="preserve"> and Astrology</w:t>
      </w:r>
      <w:r>
        <w:rPr>
          <w:rStyle w:val="None"/>
          <w:rFonts w:ascii="Cambria" w:hAnsi="Cambria"/>
          <w:rtl w:val="0"/>
          <w:lang w:val="en-US"/>
        </w:rPr>
        <w:t xml:space="preserve"> Nicholas Campion informs us, </w:t>
      </w:r>
      <w:r>
        <w:rPr>
          <w:rStyle w:val="None"/>
          <w:rFonts w:ascii="Cambria" w:hAnsi="Cambria" w:hint="default"/>
          <w:rtl w:val="0"/>
          <w:lang w:val="en-US"/>
        </w:rPr>
        <w:t>“</w:t>
      </w:r>
      <w:r>
        <w:rPr>
          <w:rStyle w:val="None"/>
          <w:rFonts w:ascii="Cambria" w:hAnsi="Cambria"/>
          <w:rtl w:val="0"/>
          <w:lang w:val="en-US"/>
        </w:rPr>
        <w:t>that the cosmos is essentially spiritual in nature and that the material world is illusory</w:t>
      </w:r>
      <w:r>
        <w:rPr>
          <w:rStyle w:val="None"/>
          <w:rFonts w:ascii="Cambria" w:cs="Cambria" w:hAnsi="Cambria" w:eastAsia="Cambria"/>
          <w:vertAlign w:val="superscript"/>
        </w:rPr>
        <w:footnoteReference w:id="20"/>
      </w:r>
      <w:r>
        <w:rPr>
          <w:rStyle w:val="None"/>
          <w:rFonts w:ascii="Cambria" w:hAnsi="Cambria" w:hint="default"/>
          <w:rtl w:val="0"/>
          <w:lang w:val="en-US"/>
        </w:rPr>
        <w:t>”</w:t>
      </w:r>
      <w:r>
        <w:rPr>
          <w:rStyle w:val="None"/>
          <w:rFonts w:ascii="Cambria" w:hAnsi="Cambria"/>
          <w:rtl w:val="0"/>
          <w:lang w:val="en-US"/>
        </w:rPr>
        <w:t>, drawing from Plato</w:t>
      </w:r>
      <w:r>
        <w:rPr>
          <w:rStyle w:val="None"/>
          <w:rFonts w:ascii="Cambria" w:hAnsi="Cambria" w:hint="default"/>
          <w:rtl w:val="0"/>
          <w:lang w:val="en-US"/>
        </w:rPr>
        <w:t>’</w:t>
      </w:r>
      <w:r>
        <w:rPr>
          <w:rStyle w:val="None"/>
          <w:rFonts w:ascii="Cambria" w:hAnsi="Cambria"/>
          <w:rtl w:val="0"/>
          <w:lang w:val="en-US"/>
        </w:rPr>
        <w:t>s cosmological view. The idea that the individual should undergo</w:t>
      </w:r>
      <w:r>
        <w:rPr>
          <w:rStyle w:val="None"/>
          <w:rFonts w:ascii="Cambria" w:hAnsi="Cambria"/>
          <w:rtl w:val="0"/>
          <w:lang w:val="en-US"/>
        </w:rPr>
        <w:t xml:space="preserve"> an</w:t>
      </w:r>
      <w:r>
        <w:rPr>
          <w:rStyle w:val="None"/>
          <w:rFonts w:ascii="Cambria" w:hAnsi="Cambria"/>
          <w:rtl w:val="0"/>
          <w:lang w:val="en-US"/>
        </w:rPr>
        <w:t xml:space="preserve"> inner transformation in order to be actuali</w:t>
      </w:r>
      <w:r>
        <w:rPr>
          <w:rStyle w:val="None"/>
          <w:rFonts w:ascii="Cambria" w:hAnsi="Cambria"/>
          <w:rtl w:val="0"/>
          <w:lang w:val="en-US"/>
        </w:rPr>
        <w:t>z</w:t>
      </w:r>
      <w:r>
        <w:rPr>
          <w:rStyle w:val="None"/>
          <w:rFonts w:ascii="Cambria" w:hAnsi="Cambria"/>
          <w:rtl w:val="0"/>
          <w:lang w:val="en-US"/>
        </w:rPr>
        <w:t>ed by higher will was translated in Blavatsky</w:t>
      </w:r>
      <w:r>
        <w:rPr>
          <w:rStyle w:val="None"/>
          <w:rFonts w:ascii="Cambria" w:hAnsi="Cambria" w:hint="default"/>
          <w:rtl w:val="0"/>
          <w:lang w:val="en-US"/>
        </w:rPr>
        <w:t>’</w:t>
      </w:r>
      <w:r>
        <w:rPr>
          <w:rStyle w:val="None"/>
          <w:rFonts w:ascii="Cambria" w:hAnsi="Cambria"/>
          <w:rtl w:val="0"/>
          <w:lang w:val="en-US"/>
        </w:rPr>
        <w:t xml:space="preserve">s proposal as a </w:t>
      </w:r>
      <w:r>
        <w:rPr>
          <w:rStyle w:val="None"/>
          <w:rFonts w:ascii="Cambria" w:hAnsi="Cambria" w:hint="default"/>
          <w:rtl w:val="0"/>
          <w:lang w:val="en-US"/>
        </w:rPr>
        <w:t>“</w:t>
      </w:r>
      <w:r>
        <w:rPr>
          <w:rStyle w:val="None"/>
          <w:rFonts w:ascii="Cambria" w:hAnsi="Cambria"/>
          <w:rtl w:val="0"/>
          <w:lang w:val="en-US"/>
        </w:rPr>
        <w:t>necessity of a new art for a new age</w:t>
      </w:r>
      <w:r>
        <w:rPr>
          <w:rStyle w:val="None"/>
          <w:rFonts w:ascii="Cambria" w:hAnsi="Cambria" w:hint="default"/>
          <w:rtl w:val="0"/>
          <w:lang w:val="en-US"/>
        </w:rPr>
        <w:t>”</w:t>
      </w:r>
      <w:r>
        <w:rPr>
          <w:rStyle w:val="None"/>
          <w:rFonts w:ascii="Cambria" w:hAnsi="Cambria"/>
          <w:rtl w:val="0"/>
          <w:lang w:val="en-US"/>
        </w:rPr>
        <w:t>. Such call influenced many artists of the time, Holst amongst them.</w:t>
      </w:r>
    </w:p>
    <w:p>
      <w:pPr>
        <w:pStyle w:val="Body A"/>
        <w:jc w:val="both"/>
        <w:rPr>
          <w:rFonts w:ascii="Cambria" w:cs="Cambria" w:hAnsi="Cambria" w:eastAsia="Cambria"/>
        </w:rPr>
      </w:pPr>
      <w:r>
        <w:rPr>
          <w:rStyle w:val="None"/>
          <w:rFonts w:ascii="Cambria" w:cs="Cambria" w:hAnsi="Cambria" w:eastAsia="Cambria"/>
          <w:rtl w:val="0"/>
          <w:lang w:val="en-US"/>
        </w:rPr>
        <w:tab/>
        <w:t xml:space="preserve">Looking through </w:t>
      </w:r>
      <w:r>
        <w:rPr>
          <w:rStyle w:val="None"/>
          <w:rFonts w:ascii="Cambria" w:hAnsi="Cambria"/>
          <w:rtl w:val="0"/>
          <w:lang w:val="en-US"/>
        </w:rPr>
        <w:t>Head</w:t>
      </w:r>
      <w:r>
        <w:rPr>
          <w:rStyle w:val="None"/>
          <w:rFonts w:ascii="Cambria" w:hAnsi="Cambria" w:hint="default"/>
          <w:rtl w:val="0"/>
          <w:lang w:val="en-US"/>
        </w:rPr>
        <w:t>’</w:t>
      </w:r>
      <w:r>
        <w:rPr>
          <w:rStyle w:val="None"/>
          <w:rFonts w:ascii="Cambria" w:hAnsi="Cambria"/>
          <w:rtl w:val="0"/>
          <w:lang w:val="en-US"/>
        </w:rPr>
        <w:t>s</w:t>
      </w:r>
      <w:r>
        <w:rPr>
          <w:rStyle w:val="None"/>
          <w:rFonts w:ascii="Cambria" w:hAnsi="Cambria"/>
          <w:rtl w:val="0"/>
          <w:lang w:val="en-US"/>
        </w:rPr>
        <w:t xml:space="preserve"> lens</w:t>
      </w:r>
      <w:r>
        <w:rPr>
          <w:rStyle w:val="None"/>
          <w:rFonts w:ascii="Cambria" w:hAnsi="Cambria"/>
          <w:rtl w:val="0"/>
          <w:lang w:val="en-US"/>
        </w:rPr>
        <w:t>es</w:t>
      </w:r>
      <w:r>
        <w:rPr>
          <w:rStyle w:val="None"/>
          <w:rFonts w:ascii="Cambria" w:hAnsi="Cambria"/>
          <w:rtl w:val="0"/>
          <w:lang w:val="en-US"/>
        </w:rPr>
        <w:t>, we can identify various Theosophical interests in Holst</w:t>
      </w:r>
      <w:r>
        <w:rPr>
          <w:rStyle w:val="None"/>
          <w:rFonts w:ascii="Cambria" w:hAnsi="Cambria" w:hint="default"/>
          <w:rtl w:val="0"/>
          <w:lang w:val="en-US"/>
        </w:rPr>
        <w:t>’</w:t>
      </w:r>
      <w:r>
        <w:rPr>
          <w:rStyle w:val="None"/>
          <w:rFonts w:ascii="Cambria" w:hAnsi="Cambria"/>
          <w:rtl w:val="0"/>
          <w:lang w:val="en-US"/>
        </w:rPr>
        <w:t>s compositions, such as his Sanskrit suites, openly influenced by Vedic thought, his sympathy for other people</w:t>
      </w:r>
      <w:r>
        <w:rPr>
          <w:rStyle w:val="None"/>
          <w:rFonts w:ascii="Cambria" w:hAnsi="Cambria" w:hint="default"/>
          <w:rtl w:val="0"/>
          <w:lang w:val="en-US"/>
        </w:rPr>
        <w:t>’</w:t>
      </w:r>
      <w:r>
        <w:rPr>
          <w:rStyle w:val="None"/>
          <w:rFonts w:ascii="Cambria" w:hAnsi="Cambria"/>
          <w:rtl w:val="0"/>
          <w:lang w:val="en-US"/>
        </w:rPr>
        <w:t xml:space="preserve">s music draw from the already mentioned cultural relativism, where we find his suite </w:t>
      </w:r>
      <w:r>
        <w:rPr>
          <w:rStyle w:val="None"/>
          <w:rFonts w:ascii="Cambria" w:hAnsi="Cambria"/>
          <w:i w:val="1"/>
          <w:iCs w:val="1"/>
          <w:rtl w:val="0"/>
          <w:lang w:val="en-US"/>
        </w:rPr>
        <w:t>Beni Mora</w:t>
      </w:r>
      <w:r>
        <w:rPr>
          <w:rStyle w:val="None"/>
          <w:rFonts w:ascii="Cambria" w:hAnsi="Cambria"/>
          <w:rtl w:val="0"/>
          <w:lang w:val="en-US"/>
        </w:rPr>
        <w:t xml:space="preserve">, based on Algerian music, as well as on astrology, the major subject where Head bases his case. He tells us that this only factor, contrary to what the major audience might believe, is responsible for the composition of The Planets: </w:t>
      </w:r>
      <w:r>
        <w:rPr>
          <w:rStyle w:val="None"/>
          <w:rFonts w:ascii="Cambria" w:hAnsi="Cambria" w:hint="default"/>
          <w:rtl w:val="0"/>
          <w:lang w:val="en-US"/>
        </w:rPr>
        <w:t>“</w:t>
      </w:r>
      <w:r>
        <w:rPr>
          <w:rStyle w:val="None"/>
          <w:rFonts w:ascii="Cambria" w:hAnsi="Cambria"/>
          <w:rtl w:val="0"/>
          <w:lang w:val="en-US"/>
        </w:rPr>
        <w:t>few people know about its origins in Holst</w:t>
      </w:r>
      <w:r>
        <w:rPr>
          <w:rStyle w:val="None"/>
          <w:rFonts w:ascii="Cambria" w:hAnsi="Cambria" w:hint="default"/>
          <w:rtl w:val="0"/>
          <w:lang w:val="en-US"/>
        </w:rPr>
        <w:t>’</w:t>
      </w:r>
      <w:r>
        <w:rPr>
          <w:rStyle w:val="None"/>
          <w:rFonts w:ascii="Cambria" w:hAnsi="Cambria"/>
          <w:rtl w:val="0"/>
          <w:lang w:val="en-US"/>
        </w:rPr>
        <w:t>s study of astrology rather than astronomy or Greek and Roman mythology</w:t>
      </w:r>
      <w:r>
        <w:rPr>
          <w:rStyle w:val="None"/>
          <w:rFonts w:ascii="Cambria" w:cs="Cambria" w:hAnsi="Cambria" w:eastAsia="Cambria"/>
          <w:vertAlign w:val="superscript"/>
        </w:rPr>
        <w:footnoteReference w:id="21"/>
      </w:r>
      <w:r>
        <w:rPr>
          <w:rStyle w:val="None"/>
          <w:rFonts w:ascii="Cambria" w:hAnsi="Cambria" w:hint="default"/>
          <w:rtl w:val="0"/>
          <w:lang w:val="en-US"/>
        </w:rPr>
        <w:t>”</w:t>
      </w:r>
      <w:r>
        <w:rPr>
          <w:rStyle w:val="None"/>
          <w:rFonts w:ascii="Cambria" w:hAnsi="Cambria"/>
          <w:rtl w:val="0"/>
          <w:lang w:val="en-US"/>
        </w:rPr>
        <w:t xml:space="preserve">. </w:t>
      </w:r>
    </w:p>
    <w:p>
      <w:pPr>
        <w:pStyle w:val="Body A"/>
        <w:jc w:val="both"/>
        <w:rPr>
          <w:rFonts w:ascii="Cambria" w:cs="Cambria" w:hAnsi="Cambria" w:eastAsia="Cambria"/>
        </w:rPr>
      </w:pPr>
      <w:r>
        <w:rPr>
          <w:rStyle w:val="None"/>
          <w:rFonts w:ascii="Cambria" w:cs="Cambria" w:hAnsi="Cambria" w:eastAsia="Cambria"/>
          <w:rtl w:val="0"/>
          <w:lang w:val="en-US"/>
        </w:rPr>
        <w:tab/>
        <w:t>Head takes us through a timeline of failures of Holst</w:t>
      </w:r>
      <w:r>
        <w:rPr>
          <w:rStyle w:val="None"/>
          <w:rFonts w:ascii="Cambria" w:hAnsi="Cambria" w:hint="default"/>
          <w:rtl w:val="0"/>
          <w:lang w:val="en-US"/>
        </w:rPr>
        <w:t>’</w:t>
      </w:r>
      <w:r>
        <w:rPr>
          <w:rStyle w:val="None"/>
          <w:rFonts w:ascii="Cambria" w:hAnsi="Cambria"/>
          <w:rtl w:val="0"/>
          <w:lang w:val="en-US"/>
        </w:rPr>
        <w:t xml:space="preserve">s compositions, </w:t>
      </w:r>
      <w:r>
        <w:rPr>
          <w:rStyle w:val="None"/>
          <w:rFonts w:ascii="Cambria" w:hAnsi="Cambria"/>
          <w:rtl w:val="0"/>
          <w:lang w:val="en-US"/>
        </w:rPr>
        <w:t>which</w:t>
      </w:r>
      <w:r>
        <w:rPr>
          <w:rStyle w:val="None"/>
          <w:rFonts w:ascii="Cambria" w:hAnsi="Cambria"/>
          <w:rtl w:val="0"/>
          <w:lang w:val="en-US"/>
        </w:rPr>
        <w:t xml:space="preserve"> leads him to deepen his understanding of astrology as a way to uncover in depth his own psyche and motives</w:t>
      </w:r>
      <w:r>
        <w:rPr>
          <w:rStyle w:val="None"/>
          <w:rFonts w:ascii="Cambria" w:cs="Cambria" w:hAnsi="Cambria" w:eastAsia="Cambria"/>
          <w:vertAlign w:val="superscript"/>
        </w:rPr>
        <w:footnoteReference w:id="22"/>
      </w:r>
      <w:r>
        <w:rPr>
          <w:rStyle w:val="None"/>
          <w:rFonts w:ascii="Cambria" w:hAnsi="Cambria"/>
          <w:rtl w:val="0"/>
          <w:lang w:val="en-US"/>
        </w:rPr>
        <w:t>. The research presents us with friendships that would have increased Holst</w:t>
      </w:r>
      <w:r>
        <w:rPr>
          <w:rStyle w:val="None"/>
          <w:rFonts w:ascii="Cambria" w:hAnsi="Cambria" w:hint="default"/>
          <w:rtl w:val="0"/>
          <w:lang w:val="en-US"/>
        </w:rPr>
        <w:t>’</w:t>
      </w:r>
      <w:r>
        <w:rPr>
          <w:rStyle w:val="None"/>
          <w:rFonts w:ascii="Cambria" w:hAnsi="Cambria"/>
          <w:rtl w:val="0"/>
          <w:lang w:val="en-US"/>
        </w:rPr>
        <w:t xml:space="preserve">s interest </w:t>
      </w:r>
      <w:r>
        <w:rPr>
          <w:rStyle w:val="None"/>
          <w:rFonts w:ascii="Cambria" w:hAnsi="Cambria"/>
          <w:rtl w:val="0"/>
          <w:lang w:val="en-US"/>
        </w:rPr>
        <w:t>in</w:t>
      </w:r>
      <w:r>
        <w:rPr>
          <w:rStyle w:val="None"/>
          <w:rFonts w:ascii="Cambria" w:hAnsi="Cambria"/>
          <w:rtl w:val="0"/>
          <w:lang w:val="en-US"/>
        </w:rPr>
        <w:t xml:space="preserve"> the subject, such as George Mead, a classical scholar, Sanskrit translator and founder of a society quite similar in interests as Blavatsky</w:t>
      </w:r>
      <w:r>
        <w:rPr>
          <w:rStyle w:val="None"/>
          <w:rFonts w:ascii="Cambria" w:hAnsi="Cambria" w:hint="default"/>
          <w:rtl w:val="0"/>
          <w:lang w:val="en-US"/>
        </w:rPr>
        <w:t>’</w:t>
      </w:r>
      <w:r>
        <w:rPr>
          <w:rStyle w:val="None"/>
          <w:rFonts w:ascii="Cambria" w:hAnsi="Cambria"/>
          <w:rtl w:val="0"/>
          <w:lang w:val="en-US"/>
        </w:rPr>
        <w:t xml:space="preserve">s, called </w:t>
      </w:r>
      <w:r>
        <w:rPr>
          <w:rStyle w:val="None"/>
          <w:rFonts w:ascii="Cambria" w:hAnsi="Cambria"/>
          <w:i w:val="1"/>
          <w:iCs w:val="1"/>
          <w:rtl w:val="0"/>
          <w:lang w:val="en-US"/>
        </w:rPr>
        <w:t xml:space="preserve">The Quest. </w:t>
      </w:r>
      <w:r>
        <w:rPr>
          <w:rStyle w:val="None"/>
          <w:rFonts w:ascii="Cambria" w:hAnsi="Cambria"/>
          <w:rtl w:val="0"/>
          <w:lang w:val="en-US"/>
        </w:rPr>
        <w:t>Mead, according to Head</w:t>
      </w:r>
      <w:r>
        <w:rPr>
          <w:rStyle w:val="None"/>
          <w:rFonts w:ascii="Cambria" w:hAnsi="Cambria" w:hint="default"/>
          <w:rtl w:val="0"/>
          <w:lang w:val="en-US"/>
        </w:rPr>
        <w:t>’</w:t>
      </w:r>
      <w:r>
        <w:rPr>
          <w:rStyle w:val="None"/>
          <w:rFonts w:ascii="Cambria" w:hAnsi="Cambria"/>
          <w:rtl w:val="0"/>
          <w:lang w:val="en-US"/>
        </w:rPr>
        <w:t xml:space="preserve">s account, was closely associated </w:t>
      </w:r>
      <w:r>
        <w:rPr>
          <w:rStyle w:val="None"/>
          <w:rFonts w:ascii="Cambria" w:hAnsi="Cambria"/>
          <w:rtl w:val="0"/>
          <w:lang w:val="en-US"/>
        </w:rPr>
        <w:t>with</w:t>
      </w:r>
      <w:r>
        <w:rPr>
          <w:rStyle w:val="None"/>
          <w:rFonts w:ascii="Cambria" w:hAnsi="Cambria"/>
          <w:rtl w:val="0"/>
          <w:lang w:val="en-US"/>
        </w:rPr>
        <w:t xml:space="preserve"> Alan Leo, astrology</w:t>
      </w:r>
      <w:r>
        <w:rPr>
          <w:rStyle w:val="None"/>
          <w:rFonts w:ascii="Cambria" w:hAnsi="Cambria" w:hint="default"/>
          <w:rtl w:val="0"/>
          <w:lang w:val="en-US"/>
        </w:rPr>
        <w:t>’</w:t>
      </w:r>
      <w:r>
        <w:rPr>
          <w:rStyle w:val="None"/>
          <w:rFonts w:ascii="Cambria" w:hAnsi="Cambria"/>
          <w:rtl w:val="0"/>
          <w:lang w:val="en-US"/>
        </w:rPr>
        <w:t>s pioneer of the end of the 19th century and responsible for its popularisation into the modern world, as we learn from a profile draw by Nicholas Campion on his chapter on New Age in his Ph</w:t>
      </w:r>
      <w:r>
        <w:rPr>
          <w:rStyle w:val="None"/>
          <w:rFonts w:ascii="Cambria" w:hAnsi="Cambria"/>
          <w:rtl w:val="0"/>
          <w:lang w:val="en-US"/>
        </w:rPr>
        <w:t>.</w:t>
      </w:r>
      <w:r>
        <w:rPr>
          <w:rStyle w:val="None"/>
          <w:rFonts w:ascii="Cambria" w:hAnsi="Cambria"/>
          <w:rtl w:val="0"/>
          <w:lang w:val="en-US"/>
        </w:rPr>
        <w:t>D</w:t>
      </w:r>
      <w:r>
        <w:rPr>
          <w:rStyle w:val="None"/>
          <w:rFonts w:ascii="Cambria" w:hAnsi="Cambria"/>
          <w:rtl w:val="0"/>
          <w:lang w:val="en-US"/>
        </w:rPr>
        <w:t>.</w:t>
      </w:r>
      <w:r>
        <w:rPr>
          <w:rStyle w:val="None"/>
          <w:rFonts w:ascii="Cambria" w:hAnsi="Cambria"/>
          <w:rtl w:val="0"/>
          <w:lang w:val="en-US"/>
        </w:rPr>
        <w:t xml:space="preserve"> thesis</w:t>
      </w:r>
      <w:r>
        <w:rPr>
          <w:rStyle w:val="None"/>
          <w:rFonts w:ascii="Cambria" w:cs="Cambria" w:hAnsi="Cambria" w:eastAsia="Cambria"/>
          <w:vertAlign w:val="superscript"/>
        </w:rPr>
        <w:footnoteReference w:id="23"/>
      </w:r>
      <w:r>
        <w:rPr>
          <w:rStyle w:val="None"/>
          <w:rFonts w:ascii="Cambria" w:hAnsi="Cambria"/>
          <w:rtl w:val="0"/>
          <w:lang w:val="en-US"/>
        </w:rPr>
        <w:t xml:space="preserve"> from 2004. Head proposes that Leo might have been introduced to Holst via this link. The connection is presented by Head as the main evidence in supporting his hypothesis that The Planets was composed under the influence of astrological syllabus, as the author correlates the very structure of the book </w:t>
      </w:r>
      <w:r>
        <w:rPr>
          <w:rStyle w:val="None"/>
          <w:rFonts w:ascii="Cambria" w:hAnsi="Cambria"/>
          <w:i w:val="1"/>
          <w:iCs w:val="1"/>
          <w:rtl w:val="0"/>
          <w:lang w:val="en-US"/>
        </w:rPr>
        <w:t xml:space="preserve">The Art of Synthesis - </w:t>
      </w:r>
      <w:r>
        <w:rPr>
          <w:rStyle w:val="None"/>
          <w:rFonts w:ascii="Cambria" w:hAnsi="Cambria"/>
          <w:rtl w:val="0"/>
          <w:lang w:val="en-US"/>
        </w:rPr>
        <w:t>published in the same year Holst began his close examination of astrology -</w:t>
      </w:r>
      <w:r>
        <w:rPr>
          <w:rStyle w:val="None"/>
          <w:rFonts w:ascii="Cambria" w:hAnsi="Cambria"/>
          <w:i w:val="1"/>
          <w:iCs w:val="1"/>
          <w:rtl w:val="0"/>
          <w:lang w:val="en-US"/>
        </w:rPr>
        <w:t xml:space="preserve"> </w:t>
      </w:r>
      <w:r>
        <w:rPr>
          <w:rStyle w:val="None"/>
          <w:rFonts w:ascii="Cambria" w:hAnsi="Cambria"/>
          <w:rtl w:val="0"/>
          <w:lang w:val="en-US"/>
        </w:rPr>
        <w:t>with The Planets structure, consisting of movements themed by each planet and its qualities, the same structure applied by Leo in the mentioned book. The similarity is even greater as Holst names one of the suite</w:t>
      </w:r>
      <w:r>
        <w:rPr>
          <w:rStyle w:val="None"/>
          <w:rFonts w:ascii="Cambria" w:hAnsi="Cambria" w:hint="default"/>
          <w:rtl w:val="0"/>
          <w:lang w:val="en-US"/>
        </w:rPr>
        <w:t>’</w:t>
      </w:r>
      <w:r>
        <w:rPr>
          <w:rStyle w:val="None"/>
          <w:rFonts w:ascii="Cambria" w:hAnsi="Cambria"/>
          <w:rtl w:val="0"/>
          <w:lang w:val="en-US"/>
        </w:rPr>
        <w:t>s movements identically as one of the chapters in Leo</w:t>
      </w:r>
      <w:r>
        <w:rPr>
          <w:rStyle w:val="None"/>
          <w:rFonts w:ascii="Cambria" w:hAnsi="Cambria" w:hint="default"/>
          <w:rtl w:val="0"/>
          <w:lang w:val="en-US"/>
        </w:rPr>
        <w:t>’</w:t>
      </w:r>
      <w:r>
        <w:rPr>
          <w:rStyle w:val="None"/>
          <w:rFonts w:ascii="Cambria" w:hAnsi="Cambria"/>
          <w:rtl w:val="0"/>
          <w:lang w:val="en-US"/>
        </w:rPr>
        <w:t xml:space="preserve">s book. The evidence is followed by an exposition of musical and philosophical characteristics of each movement of the suite and its similarities to The Art of Synthesis. At the end of the </w:t>
      </w:r>
      <w:r>
        <w:rPr>
          <w:rStyle w:val="None"/>
          <w:rFonts w:ascii="Cambria" w:hAnsi="Cambria"/>
          <w:rtl w:val="0"/>
          <w:lang w:val="en-US"/>
        </w:rPr>
        <w:t>article</w:t>
      </w:r>
      <w:r>
        <w:rPr>
          <w:rStyle w:val="None"/>
          <w:rFonts w:ascii="Cambria" w:hAnsi="Cambria"/>
          <w:rtl w:val="0"/>
          <w:lang w:val="en-US"/>
        </w:rPr>
        <w:t xml:space="preserve"> we </w:t>
      </w:r>
      <w:r>
        <w:rPr>
          <w:rStyle w:val="None"/>
          <w:rFonts w:ascii="Cambria" w:hAnsi="Cambria"/>
          <w:rtl w:val="0"/>
          <w:lang w:val="en-US"/>
        </w:rPr>
        <w:t>learn, from</w:t>
      </w:r>
      <w:r>
        <w:rPr>
          <w:rStyle w:val="None"/>
          <w:rFonts w:ascii="Cambria" w:hAnsi="Cambria"/>
          <w:rtl w:val="0"/>
          <w:lang w:val="en-US"/>
        </w:rPr>
        <w:t xml:space="preserve"> Head</w:t>
      </w:r>
      <w:r>
        <w:rPr>
          <w:rStyle w:val="None"/>
          <w:rFonts w:ascii="Cambria" w:hAnsi="Cambria" w:hint="default"/>
          <w:rtl w:val="0"/>
          <w:lang w:val="en-US"/>
        </w:rPr>
        <w:t>’</w:t>
      </w:r>
      <w:r>
        <w:rPr>
          <w:rStyle w:val="None"/>
          <w:rFonts w:ascii="Cambria" w:hAnsi="Cambria"/>
          <w:rtl w:val="0"/>
          <w:lang w:val="en-US"/>
        </w:rPr>
        <w:t xml:space="preserve">s </w:t>
      </w:r>
      <w:r>
        <w:rPr>
          <w:rStyle w:val="None"/>
          <w:rFonts w:ascii="Cambria" w:hAnsi="Cambria"/>
          <w:rtl w:val="0"/>
          <w:lang w:val="en-US"/>
        </w:rPr>
        <w:t>perspective, why</w:t>
      </w:r>
      <w:r>
        <w:rPr>
          <w:rStyle w:val="None"/>
          <w:rFonts w:ascii="Cambria" w:hAnsi="Cambria"/>
          <w:rtl w:val="0"/>
          <w:lang w:val="en-US"/>
        </w:rPr>
        <w:t xml:space="preserve"> the link between the suite and its astrological </w:t>
      </w:r>
      <w:r>
        <w:rPr>
          <w:rStyle w:val="None"/>
          <w:rFonts w:ascii="Cambria" w:hAnsi="Cambria"/>
          <w:rtl w:val="0"/>
          <w:lang w:val="en-US"/>
        </w:rPr>
        <w:t>contours</w:t>
      </w:r>
      <w:r>
        <w:rPr>
          <w:rStyle w:val="None"/>
          <w:rFonts w:ascii="Cambria" w:hAnsi="Cambria"/>
          <w:rtl w:val="0"/>
          <w:lang w:val="en-US"/>
        </w:rPr>
        <w:t xml:space="preserve"> have remained </w:t>
      </w:r>
      <w:r>
        <w:rPr>
          <w:rStyle w:val="None"/>
          <w:rFonts w:ascii="Cambria" w:hAnsi="Cambria"/>
          <w:rtl w:val="0"/>
          <w:lang w:val="en-US"/>
        </w:rPr>
        <w:t>hidden from the public</w:t>
      </w:r>
      <w:r>
        <w:rPr>
          <w:rStyle w:val="None"/>
          <w:rFonts w:ascii="Cambria" w:hAnsi="Cambria"/>
          <w:rtl w:val="0"/>
          <w:lang w:val="en-US"/>
        </w:rPr>
        <w:t xml:space="preserve"> - in the year before The Planets premiere, Alan Leo came to be persecuted for his astrological practice, as well as other people involved in the esoteric arts. </w:t>
      </w:r>
      <w:r>
        <w:rPr>
          <w:rStyle w:val="None"/>
          <w:rFonts w:ascii="Cambria" w:hAnsi="Cambria" w:hint="default"/>
          <w:rtl w:val="0"/>
          <w:lang w:val="en-US"/>
        </w:rPr>
        <w:t>“</w:t>
      </w:r>
      <w:r>
        <w:rPr>
          <w:rStyle w:val="None"/>
          <w:rFonts w:ascii="Cambria" w:hAnsi="Cambria"/>
          <w:rtl w:val="0"/>
          <w:lang w:val="en-US"/>
        </w:rPr>
        <w:t>It is interesting to notice he says planets, not astrology</w:t>
      </w:r>
      <w:r>
        <w:rPr>
          <w:rStyle w:val="None"/>
          <w:rFonts w:ascii="Cambria" w:cs="Cambria" w:hAnsi="Cambria" w:eastAsia="Cambria"/>
          <w:vertAlign w:val="superscript"/>
        </w:rPr>
        <w:footnoteReference w:id="24"/>
      </w:r>
      <w:r>
        <w:rPr>
          <w:rStyle w:val="None"/>
          <w:rFonts w:ascii="Cambria" w:hAnsi="Cambria" w:hint="default"/>
          <w:rtl w:val="0"/>
          <w:lang w:val="en-US"/>
        </w:rPr>
        <w:t>”</w:t>
      </w:r>
      <w:r>
        <w:rPr>
          <w:rStyle w:val="None"/>
          <w:rFonts w:ascii="Cambria" w:hAnsi="Cambria"/>
          <w:rtl w:val="0"/>
          <w:lang w:val="en-US"/>
        </w:rPr>
        <w:t xml:space="preserve">, underlines Head. </w:t>
      </w:r>
      <w:r>
        <w:rPr>
          <w:rStyle w:val="None"/>
          <w:rFonts w:ascii="Cambria" w:hAnsi="Cambria"/>
          <w:rtl w:val="0"/>
          <w:lang w:val="en-US"/>
        </w:rPr>
        <w:t xml:space="preserve">That suggests that the composer himself had the intention to not underline such correspondence. </w:t>
      </w:r>
      <w:r>
        <w:rPr>
          <w:rStyle w:val="None"/>
          <w:rFonts w:ascii="Cambria" w:hAnsi="Cambria"/>
          <w:rtl w:val="0"/>
          <w:lang w:val="en-US"/>
        </w:rPr>
        <w:t>H</w:t>
      </w:r>
      <w:r>
        <w:rPr>
          <w:rStyle w:val="None"/>
          <w:rFonts w:ascii="Cambria" w:hAnsi="Cambria"/>
          <w:rtl w:val="0"/>
          <w:lang w:val="en-US"/>
        </w:rPr>
        <w:t>ead</w:t>
      </w:r>
      <w:r>
        <w:rPr>
          <w:rStyle w:val="None"/>
          <w:rFonts w:ascii="Cambria" w:hAnsi="Cambria"/>
          <w:rtl w:val="0"/>
          <w:lang w:val="en-US"/>
        </w:rPr>
        <w:t xml:space="preserve"> concludes </w:t>
      </w:r>
      <w:r>
        <w:rPr>
          <w:rStyle w:val="None"/>
          <w:rFonts w:ascii="Cambria" w:hAnsi="Cambria"/>
          <w:rtl w:val="0"/>
          <w:lang w:val="en-US"/>
        </w:rPr>
        <w:t>his piece by declaring</w:t>
      </w:r>
      <w:r>
        <w:rPr>
          <w:rStyle w:val="None"/>
          <w:rFonts w:ascii="Cambria" w:hAnsi="Cambria"/>
          <w:rtl w:val="0"/>
          <w:lang w:val="en-US"/>
        </w:rPr>
        <w:t xml:space="preserve"> that such argument could </w:t>
      </w:r>
      <w:r>
        <w:rPr>
          <w:rStyle w:val="None"/>
          <w:rFonts w:ascii="Cambria" w:hAnsi="Cambria"/>
          <w:rtl w:val="0"/>
          <w:lang w:val="en-US"/>
        </w:rPr>
        <w:t>finally start to be</w:t>
      </w:r>
      <w:r>
        <w:rPr>
          <w:rStyle w:val="None"/>
          <w:rFonts w:ascii="Cambria" w:hAnsi="Cambria"/>
          <w:rtl w:val="0"/>
          <w:lang w:val="en-US"/>
        </w:rPr>
        <w:t xml:space="preserve"> </w:t>
      </w:r>
      <w:r>
        <w:rPr>
          <w:rStyle w:val="None"/>
          <w:rFonts w:ascii="Cambria" w:hAnsi="Cambria"/>
          <w:rtl w:val="0"/>
          <w:lang w:val="en-US"/>
        </w:rPr>
        <w:t>discussed</w:t>
      </w:r>
      <w:r>
        <w:rPr>
          <w:rStyle w:val="None"/>
          <w:rFonts w:ascii="Cambria" w:hAnsi="Cambria"/>
          <w:rtl w:val="0"/>
          <w:lang w:val="en-US"/>
        </w:rPr>
        <w:t xml:space="preserve"> </w:t>
      </w:r>
      <w:r>
        <w:rPr>
          <w:rStyle w:val="None"/>
          <w:rFonts w:ascii="Cambria" w:hAnsi="Cambria"/>
          <w:rtl w:val="0"/>
          <w:lang w:val="en-US"/>
        </w:rPr>
        <w:t xml:space="preserve">in the academic community due to </w:t>
      </w:r>
      <w:r>
        <w:rPr>
          <w:rStyle w:val="None"/>
          <w:rFonts w:ascii="Cambria" w:hAnsi="Cambria"/>
          <w:rtl w:val="0"/>
          <w:lang w:val="en-US"/>
        </w:rPr>
        <w:t xml:space="preserve">the </w:t>
      </w:r>
      <w:r>
        <w:rPr>
          <w:rStyle w:val="None"/>
          <w:rFonts w:ascii="Cambria" w:hAnsi="Cambria"/>
          <w:rtl w:val="0"/>
          <w:lang w:val="en-US"/>
        </w:rPr>
        <w:t>emerging interest in the study</w:t>
      </w:r>
      <w:r>
        <w:rPr>
          <w:rStyle w:val="None"/>
          <w:rFonts w:ascii="Cambria" w:hAnsi="Cambria"/>
          <w:rtl w:val="0"/>
          <w:lang w:val="en-US"/>
        </w:rPr>
        <w:t xml:space="preserve"> of esoteric traditions</w:t>
      </w:r>
      <w:r>
        <w:rPr>
          <w:rStyle w:val="None"/>
          <w:rFonts w:ascii="Cambria" w:hAnsi="Cambria"/>
          <w:rtl w:val="0"/>
          <w:lang w:val="en-US"/>
        </w:rPr>
        <w:t xml:space="preserve"> and their place in history and culture</w:t>
      </w:r>
      <w:r>
        <w:rPr>
          <w:rStyle w:val="None"/>
          <w:rFonts w:ascii="Cambria" w:hAnsi="Cambria"/>
          <w:rtl w:val="0"/>
          <w:lang w:val="en-US"/>
        </w:rPr>
        <w:t xml:space="preserve">, </w:t>
      </w:r>
      <w:r>
        <w:rPr>
          <w:rStyle w:val="None"/>
          <w:rFonts w:ascii="Cambria" w:hAnsi="Cambria"/>
          <w:rtl w:val="0"/>
          <w:lang w:val="en-US"/>
        </w:rPr>
        <w:t>taking advantage of the contemporary examinations that the concept of culture underwent from the end of the XX century.</w:t>
      </w:r>
    </w:p>
    <w:p>
      <w:pPr>
        <w:pStyle w:val="Body A"/>
        <w:jc w:val="both"/>
        <w:rPr>
          <w:rFonts w:ascii="Cambria" w:cs="Cambria" w:hAnsi="Cambria" w:eastAsia="Cambria"/>
        </w:rPr>
      </w:pPr>
      <w:r>
        <w:rPr>
          <w:rStyle w:val="None"/>
          <w:rFonts w:ascii="Cambria" w:cs="Cambria" w:hAnsi="Cambria" w:eastAsia="Cambria"/>
          <w:rtl w:val="0"/>
          <w:lang w:val="en-US"/>
        </w:rPr>
        <w:tab/>
        <w:t xml:space="preserve">As to conclude the present study, we have learned that </w:t>
      </w:r>
      <w:r>
        <w:rPr>
          <w:rStyle w:val="None"/>
          <w:rFonts w:ascii="Cambria" w:hAnsi="Cambria"/>
          <w:rtl w:val="0"/>
          <w:lang w:val="en-US"/>
        </w:rPr>
        <w:t xml:space="preserve">distinct research fields can share of the same underlining problematic - in this essay, particularly relating to the changing dynamics of how culture has been regarded in the course of the 20th century. Concerning the particularities of each study, one can identify the differences in narratives that are necessary for each kind of publication, being it expressed in the way the authors expose their problematics, how they present evidences, deal with the sources analyzed, as from where they draw conclusions. Meanwhile, it is worth to signalize that both papers analyzed in this essay share of a simple and straightforward language, notably related to contemporary academic essays. As means of narrative, we can finally conclude that an </w:t>
      </w:r>
      <w:r>
        <w:rPr>
          <w:rStyle w:val="None"/>
          <w:rFonts w:ascii="Cambria" w:hAnsi="Cambria"/>
          <w:rtl w:val="0"/>
          <w:lang w:val="en-US"/>
        </w:rPr>
        <w:t>academic research document can present its narrative as fluidly as a journal piece, as well as the lat</w:t>
      </w:r>
      <w:r>
        <w:rPr>
          <w:rStyle w:val="None"/>
          <w:rFonts w:ascii="Cambria" w:hAnsi="Cambria"/>
          <w:rtl w:val="0"/>
          <w:lang w:val="en-US"/>
        </w:rPr>
        <w:t>t</w:t>
      </w:r>
      <w:r>
        <w:rPr>
          <w:rStyle w:val="None"/>
          <w:rFonts w:ascii="Cambria" w:hAnsi="Cambria"/>
          <w:rtl w:val="0"/>
          <w:lang w:val="en-US"/>
        </w:rPr>
        <w:t xml:space="preserve">er can contain in its structure solid evidence in which its formulations are based. This provides </w:t>
      </w:r>
      <w:r>
        <w:rPr>
          <w:rStyle w:val="None"/>
          <w:rFonts w:ascii="Cambria" w:hAnsi="Cambria"/>
          <w:rtl w:val="0"/>
          <w:lang w:val="en-US"/>
        </w:rPr>
        <w:t xml:space="preserve">to </w:t>
      </w:r>
      <w:r>
        <w:rPr>
          <w:rStyle w:val="None"/>
          <w:rFonts w:ascii="Cambria" w:hAnsi="Cambria"/>
          <w:rtl w:val="0"/>
          <w:lang w:val="en-US"/>
        </w:rPr>
        <w:t xml:space="preserve">a wider audience the benefit of its content, as in Hamacher and Norris, and a firm ground in which to take in new propositions, as in Raymond Head. </w:t>
      </w:r>
    </w:p>
    <w:p>
      <w:pPr>
        <w:pStyle w:val="Body A"/>
        <w:jc w:val="both"/>
        <w:rPr>
          <w:rFonts w:ascii="Cambria" w:cs="Cambria" w:hAnsi="Cambria" w:eastAsia="Cambria"/>
        </w:rPr>
      </w:pPr>
    </w:p>
    <w:p>
      <w:pPr>
        <w:pStyle w:val="Body A"/>
        <w:jc w:val="both"/>
        <w:rPr>
          <w:rFonts w:ascii="Cambria" w:cs="Cambria" w:hAnsi="Cambria" w:eastAsia="Cambria"/>
        </w:rPr>
      </w:pPr>
      <w:r>
        <w:rPr>
          <w:rStyle w:val="None"/>
          <w:rFonts w:ascii="Cambria" w:hAnsi="Cambria"/>
          <w:b w:val="1"/>
          <w:bCs w:val="1"/>
          <w:rtl w:val="0"/>
          <w:lang w:val="en-US"/>
        </w:rPr>
        <w:t>Bibliography</w:t>
      </w:r>
      <w:r>
        <w:rPr>
          <w:rStyle w:val="None"/>
          <w:rFonts w:ascii="Cambria" w:cs="Cambria" w:hAnsi="Cambria" w:eastAsia="Cambria"/>
          <w:b w:val="1"/>
          <w:bCs w:val="1"/>
          <w:lang w:val="en-US"/>
        </w:rPr>
        <w:br w:type="textWrapping"/>
      </w:r>
    </w:p>
    <w:p>
      <w:pPr>
        <w:pStyle w:val="Footnote"/>
        <w:jc w:val="both"/>
        <w:rPr>
          <w:rFonts w:ascii="Cambria" w:cs="Cambria" w:hAnsi="Cambria" w:eastAsia="Cambria"/>
        </w:rPr>
      </w:pPr>
      <w:r>
        <w:rPr>
          <w:rStyle w:val="None"/>
          <w:rFonts w:ascii="Cambria" w:hAnsi="Cambria"/>
          <w:rtl w:val="0"/>
          <w:lang w:val="en-US"/>
        </w:rPr>
        <w:t xml:space="preserve">Australia Telescope National Facility, </w:t>
      </w:r>
      <w:r>
        <w:rPr>
          <w:rStyle w:val="None"/>
          <w:rFonts w:ascii="Cambria" w:hAnsi="Cambria"/>
          <w:i w:val="1"/>
          <w:iCs w:val="1"/>
          <w:rtl w:val="0"/>
          <w:lang w:val="en-US"/>
        </w:rPr>
        <w:t>Ray Norris</w:t>
      </w:r>
      <w:r>
        <w:rPr>
          <w:rStyle w:val="None"/>
          <w:rFonts w:ascii="Cambria" w:hAnsi="Cambria"/>
          <w:rtl w:val="0"/>
          <w:lang w:val="en-US"/>
        </w:rPr>
        <w:t xml:space="preserve"> &lt;https://www.atnf.csiro.au/people/Ray.Norris/</w:t>
      </w:r>
      <w:r>
        <w:rPr>
          <w:rFonts w:ascii="Cambria" w:cs="Cambria" w:hAnsi="Cambria" w:eastAsia="Cambria"/>
        </w:rPr>
        <w:tab/>
        <w:tab/>
      </w:r>
      <w:r>
        <w:rPr>
          <w:rFonts w:ascii="Cambria" w:cs="Cambria" w:hAnsi="Cambria" w:eastAsia="Cambria"/>
        </w:rPr>
        <w:tab/>
      </w:r>
      <w:r>
        <w:rPr>
          <w:rStyle w:val="None"/>
          <w:rFonts w:ascii="Cambria" w:hAnsi="Cambria"/>
          <w:rtl w:val="0"/>
          <w:lang w:val="en-US"/>
        </w:rPr>
        <w:t>outreach/informal_bio.htm&gt; [accessed 18 October 2021].</w:t>
      </w:r>
    </w:p>
    <w:p>
      <w:pPr>
        <w:pStyle w:val="Footnote"/>
        <w:jc w:val="both"/>
        <w:rPr>
          <w:rFonts w:ascii="Cambria" w:cs="Cambria" w:hAnsi="Cambria" w:eastAsia="Cambria"/>
        </w:rPr>
      </w:pPr>
    </w:p>
    <w:p>
      <w:pPr>
        <w:pStyle w:val="Footnote"/>
        <w:jc w:val="both"/>
        <w:rPr>
          <w:rFonts w:ascii="Cambria" w:cs="Cambria" w:hAnsi="Cambria" w:eastAsia="Cambria"/>
        </w:rPr>
      </w:pPr>
      <w:r>
        <w:rPr>
          <w:rFonts w:ascii="Cambria" w:hAnsi="Cambria"/>
          <w:rtl w:val="0"/>
          <w:lang w:val="en-US"/>
        </w:rPr>
        <w:t xml:space="preserve">Cambridge University Press, </w:t>
      </w:r>
      <w:r>
        <w:rPr>
          <w:rStyle w:val="None"/>
          <w:rFonts w:ascii="Cambria" w:hAnsi="Cambria"/>
          <w:i w:val="1"/>
          <w:iCs w:val="1"/>
          <w:rtl w:val="0"/>
          <w:lang w:val="en-US"/>
        </w:rPr>
        <w:t xml:space="preserve">Tempo </w:t>
      </w:r>
      <w:r>
        <w:rPr>
          <w:rFonts w:ascii="Cambria" w:hAnsi="Cambria"/>
          <w:rtl w:val="0"/>
          <w:lang w:val="en-US"/>
        </w:rPr>
        <w:t>&lt;</w:t>
      </w:r>
      <w:r>
        <w:rPr>
          <w:rFonts w:ascii="Cambria" w:hAnsi="Cambria"/>
          <w:rtl w:val="0"/>
          <w:lang w:val="en-US"/>
        </w:rPr>
        <w:t>https://www.cambridge.org/core/journals/tempo</w:t>
      </w:r>
      <w:r>
        <w:rPr>
          <w:rFonts w:ascii="Cambria" w:hAnsi="Cambria"/>
          <w:rtl w:val="0"/>
          <w:lang w:val="en-US"/>
        </w:rPr>
        <w:t xml:space="preserve">&gt; </w:t>
        <w:tab/>
        <w:tab/>
        <w:tab/>
        <w:t>[accessed 18 October 2021].</w:t>
      </w:r>
    </w:p>
    <w:p>
      <w:pPr>
        <w:pStyle w:val="Footnote"/>
        <w:jc w:val="both"/>
        <w:rPr>
          <w:rFonts w:ascii="Cambria" w:cs="Cambria" w:hAnsi="Cambria" w:eastAsia="Cambria"/>
        </w:rPr>
      </w:pPr>
    </w:p>
    <w:p>
      <w:pPr>
        <w:pStyle w:val="Footnote"/>
        <w:jc w:val="both"/>
        <w:rPr>
          <w:rFonts w:ascii="Cambria" w:cs="Cambria" w:hAnsi="Cambria" w:eastAsia="Cambria"/>
        </w:rPr>
      </w:pPr>
      <w:r>
        <w:rPr>
          <w:rStyle w:val="None"/>
          <w:rFonts w:ascii="Cambria" w:hAnsi="Cambria"/>
          <w:rtl w:val="0"/>
          <w:lang w:val="en-US"/>
        </w:rPr>
        <w:t xml:space="preserve">Cambridge University Press, </w:t>
      </w:r>
      <w:r>
        <w:rPr>
          <w:rStyle w:val="None"/>
          <w:rFonts w:ascii="Cambria" w:hAnsi="Cambria"/>
          <w:i w:val="1"/>
          <w:iCs w:val="1"/>
          <w:rtl w:val="0"/>
          <w:lang w:val="en-US"/>
        </w:rPr>
        <w:t xml:space="preserve">What We Publish </w:t>
      </w:r>
      <w:r>
        <w:rPr>
          <w:rStyle w:val="None"/>
          <w:rFonts w:ascii="Cambria" w:hAnsi="Cambria"/>
          <w:rtl w:val="0"/>
          <w:lang w:val="en-US"/>
        </w:rPr>
        <w:t>(2021) &lt;</w:t>
      </w:r>
      <w:r>
        <w:rPr>
          <w:rStyle w:val="Hyperlink.1"/>
          <w:rFonts w:ascii="Cambria" w:cs="Cambria" w:hAnsi="Cambria" w:eastAsia="Cambria"/>
        </w:rPr>
        <w:fldChar w:fldCharType="begin" w:fldLock="0"/>
      </w:r>
      <w:r>
        <w:rPr>
          <w:rStyle w:val="Hyperlink.1"/>
          <w:rFonts w:ascii="Cambria" w:cs="Cambria" w:hAnsi="Cambria" w:eastAsia="Cambria"/>
        </w:rPr>
        <w:instrText xml:space="preserve"> HYPERLINK "https://www.cambridge.org/core/what-"</w:instrText>
      </w:r>
      <w:r>
        <w:rPr>
          <w:rStyle w:val="Hyperlink.1"/>
          <w:rFonts w:ascii="Cambria" w:cs="Cambria" w:hAnsi="Cambria" w:eastAsia="Cambria"/>
        </w:rPr>
        <w:fldChar w:fldCharType="separate" w:fldLock="0"/>
      </w:r>
      <w:r>
        <w:rPr>
          <w:rStyle w:val="Hyperlink.1"/>
          <w:rFonts w:ascii="Cambria" w:hAnsi="Cambria"/>
          <w:rtl w:val="0"/>
          <w:lang w:val="en-US"/>
        </w:rPr>
        <w:t>https://www.cambridge.org/core/what-</w:t>
      </w:r>
      <w:r>
        <w:rPr>
          <w:rFonts w:ascii="Cambria" w:cs="Cambria" w:hAnsi="Cambria" w:eastAsia="Cambria"/>
        </w:rPr>
        <w:fldChar w:fldCharType="end" w:fldLock="0"/>
      </w:r>
      <w:r>
        <w:rPr>
          <w:rFonts w:ascii="Cambria" w:cs="Cambria" w:hAnsi="Cambria" w:eastAsia="Cambria"/>
        </w:rPr>
        <w:tab/>
        <w:tab/>
        <w:tab/>
      </w:r>
      <w:r>
        <w:rPr>
          <w:rStyle w:val="None"/>
          <w:rFonts w:ascii="Cambria" w:hAnsi="Cambria"/>
          <w:rtl w:val="0"/>
          <w:lang w:val="en-US"/>
        </w:rPr>
        <w:t>we-publish&gt;</w:t>
      </w:r>
      <w:r>
        <w:rPr>
          <w:rStyle w:val="None"/>
          <w:rFonts w:ascii="Cambria" w:hAnsi="Cambria"/>
          <w:rtl w:val="0"/>
          <w:lang w:val="en-US"/>
        </w:rPr>
        <w:t xml:space="preserve"> </w:t>
      </w:r>
      <w:r>
        <w:rPr>
          <w:rStyle w:val="None"/>
          <w:rFonts w:ascii="Cambria" w:hAnsi="Cambria"/>
          <w:rtl w:val="0"/>
          <w:lang w:val="en-US"/>
        </w:rPr>
        <w:t>[accessed 18 October 2021].</w:t>
      </w:r>
    </w:p>
    <w:p>
      <w:pPr>
        <w:pStyle w:val="Footnote"/>
        <w:jc w:val="both"/>
        <w:rPr>
          <w:rFonts w:ascii="Cambria" w:cs="Cambria" w:hAnsi="Cambria" w:eastAsia="Cambria"/>
        </w:rPr>
      </w:pPr>
    </w:p>
    <w:p>
      <w:pPr>
        <w:pStyle w:val="Footnote"/>
        <w:jc w:val="both"/>
        <w:rPr>
          <w:rStyle w:val="None"/>
          <w:rFonts w:ascii="Cambria" w:cs="Cambria" w:hAnsi="Cambria" w:eastAsia="Cambria"/>
          <w:sz w:val="22"/>
          <w:szCs w:val="22"/>
        </w:rPr>
      </w:pPr>
      <w:r>
        <w:rPr>
          <w:rStyle w:val="None"/>
          <w:rFonts w:ascii="Cambria" w:hAnsi="Cambria"/>
          <w:sz w:val="22"/>
          <w:szCs w:val="22"/>
          <w:rtl w:val="0"/>
          <w:lang w:val="en-US"/>
        </w:rPr>
        <w:t xml:space="preserve">Campion, Nicholas. </w:t>
      </w:r>
      <w:r>
        <w:rPr>
          <w:rStyle w:val="None"/>
          <w:rFonts w:ascii="Cambria" w:hAnsi="Cambria"/>
          <w:i w:val="1"/>
          <w:iCs w:val="1"/>
          <w:sz w:val="22"/>
          <w:szCs w:val="22"/>
          <w:rtl w:val="0"/>
          <w:lang w:val="en-US"/>
        </w:rPr>
        <w:t>Astrology and Cosmology in the World Religions,</w:t>
      </w:r>
      <w:r>
        <w:rPr>
          <w:rStyle w:val="None"/>
          <w:rFonts w:ascii="Cambria" w:hAnsi="Cambria"/>
          <w:sz w:val="22"/>
          <w:szCs w:val="22"/>
          <w:rtl w:val="0"/>
          <w:lang w:val="en-US"/>
        </w:rPr>
        <w:t xml:space="preserve"> (New York: NYU Press, 2012).</w:t>
      </w:r>
    </w:p>
    <w:p>
      <w:pPr>
        <w:pStyle w:val="Footnote"/>
        <w:jc w:val="both"/>
        <w:rPr>
          <w:rStyle w:val="None"/>
          <w:rFonts w:ascii="Cambria" w:cs="Cambria" w:hAnsi="Cambria" w:eastAsia="Cambria"/>
          <w:sz w:val="20"/>
          <w:szCs w:val="20"/>
        </w:rPr>
      </w:pPr>
    </w:p>
    <w:p>
      <w:pPr>
        <w:pStyle w:val="Footnote"/>
        <w:jc w:val="both"/>
        <w:rPr>
          <w:rStyle w:val="None"/>
          <w:rFonts w:ascii="Cambria" w:cs="Cambria" w:hAnsi="Cambria" w:eastAsia="Cambria"/>
          <w:lang w:val="en-US"/>
        </w:rPr>
      </w:pPr>
      <w:r>
        <w:rPr>
          <w:rStyle w:val="None"/>
          <w:rFonts w:ascii="Cambria" w:hAnsi="Cambria"/>
          <w:rtl w:val="0"/>
          <w:lang w:val="en-US"/>
        </w:rPr>
        <w:t>Campion,</w:t>
      </w:r>
      <w:r>
        <w:rPr>
          <w:rStyle w:val="None"/>
          <w:rFonts w:ascii="Cambria" w:hAnsi="Cambria"/>
          <w:rtl w:val="0"/>
          <w:lang w:val="en-US"/>
        </w:rPr>
        <w:t xml:space="preserve"> Nicholas,</w:t>
      </w:r>
      <w:r>
        <w:rPr>
          <w:rStyle w:val="None"/>
          <w:rFonts w:ascii="Cambria" w:hAnsi="Cambria"/>
          <w:rtl w:val="0"/>
          <w:lang w:val="en-US"/>
        </w:rPr>
        <w:t xml:space="preserve"> </w:t>
      </w:r>
      <w:r>
        <w:rPr>
          <w:rStyle w:val="None"/>
          <w:rFonts w:ascii="Cambria" w:hAnsi="Cambria"/>
          <w:i w:val="1"/>
          <w:iCs w:val="1"/>
          <w:rtl w:val="0"/>
          <w:lang w:val="en-US"/>
        </w:rPr>
        <w:t>Prophecy, Cosmology and New Age Movement</w:t>
      </w:r>
      <w:r>
        <w:rPr>
          <w:rStyle w:val="None"/>
          <w:rFonts w:ascii="Cambria" w:hAnsi="Cambria"/>
          <w:i w:val="1"/>
          <w:iCs w:val="1"/>
          <w:rtl w:val="0"/>
          <w:lang w:val="en-US"/>
        </w:rPr>
        <w:t xml:space="preserve">: The Extent And Nature Of </w:t>
        <w:tab/>
        <w:tab/>
        <w:tab/>
        <w:tab/>
        <w:t>Contemporary Belief In Astrology</w:t>
      </w:r>
      <w:r>
        <w:rPr>
          <w:rStyle w:val="None"/>
          <w:rFonts w:ascii="Cambria" w:hAnsi="Cambria"/>
          <w:rtl w:val="0"/>
          <w:lang w:val="en-US"/>
        </w:rPr>
        <w:t xml:space="preserve">, </w:t>
      </w:r>
      <w:r>
        <w:rPr>
          <w:rStyle w:val="None"/>
          <w:rFonts w:ascii="Cambria" w:hAnsi="Cambria"/>
          <w:rtl w:val="0"/>
          <w:lang w:val="en-US"/>
        </w:rPr>
        <w:t xml:space="preserve">(University of the West of England: Bath Spa University </w:t>
        <w:tab/>
        <w:tab/>
        <w:tab/>
        <w:t>College, 2004).</w:t>
      </w:r>
    </w:p>
    <w:p>
      <w:pPr>
        <w:pStyle w:val="Footnote"/>
        <w:jc w:val="both"/>
        <w:rPr>
          <w:rStyle w:val="None"/>
          <w:rFonts w:ascii="Cambria" w:cs="Cambria" w:hAnsi="Cambria" w:eastAsia="Cambria"/>
          <w:lang w:val="en-US"/>
        </w:rPr>
      </w:pPr>
    </w:p>
    <w:p>
      <w:pPr>
        <w:pStyle w:val="Footnote"/>
        <w:jc w:val="both"/>
        <w:rPr>
          <w:rFonts w:ascii="Cambria" w:cs="Cambria" w:hAnsi="Cambria" w:eastAsia="Cambria"/>
        </w:rPr>
      </w:pPr>
      <w:r>
        <w:rPr>
          <w:rFonts w:ascii="Cambria" w:hAnsi="Cambria"/>
          <w:rtl w:val="0"/>
          <w:lang w:val="en-US"/>
        </w:rPr>
        <w:t>Hamacher, Duane W., and Ray P. Norris,</w:t>
      </w:r>
      <w:r>
        <w:rPr>
          <w:rFonts w:ascii="Cambria" w:hAnsi="Cambria"/>
          <w:rtl w:val="0"/>
          <w:lang w:val="en-US"/>
        </w:rPr>
        <w:t xml:space="preserve"> </w:t>
      </w:r>
      <w:r>
        <w:rPr>
          <w:rFonts w:ascii="Cambria" w:hAnsi="Cambria" w:hint="default"/>
          <w:rtl w:val="1"/>
        </w:rPr>
        <w:t>‘</w:t>
      </w:r>
      <w:r>
        <w:rPr>
          <w:rFonts w:ascii="Cambria" w:hAnsi="Cambria"/>
          <w:rtl w:val="0"/>
          <w:lang w:val="en-US"/>
        </w:rPr>
        <w:t>Bridging the Gap</w:t>
      </w:r>
      <w:r>
        <w:rPr>
          <w:rFonts w:ascii="Cambria" w:hAnsi="Cambria" w:hint="default"/>
          <w:rtl w:val="1"/>
        </w:rPr>
        <w:t xml:space="preserve">’ </w:t>
      </w:r>
      <w:r>
        <w:rPr>
          <w:rFonts w:ascii="Cambria" w:hAnsi="Cambria"/>
          <w:rtl w:val="0"/>
          <w:lang w:val="en-US"/>
        </w:rPr>
        <w:t xml:space="preserve">through Australian Cultural </w:t>
      </w:r>
      <w:r>
        <w:rPr>
          <w:rFonts w:ascii="Cambria" w:cs="Cambria" w:hAnsi="Cambria" w:eastAsia="Cambria"/>
        </w:rPr>
        <w:tab/>
        <w:tab/>
        <w:tab/>
        <w:tab/>
      </w:r>
      <w:r>
        <w:rPr>
          <w:rFonts w:ascii="Cambria" w:hAnsi="Cambria"/>
          <w:rtl w:val="0"/>
          <w:lang w:val="en-US"/>
        </w:rPr>
        <w:t>Astronomy</w:t>
      </w:r>
      <w:r>
        <w:rPr>
          <w:rFonts w:ascii="Cambria" w:hAnsi="Cambria" w:hint="default"/>
          <w:rtl w:val="0"/>
          <w:lang w:val="en-US"/>
        </w:rPr>
        <w:t>’</w:t>
      </w:r>
      <w:r>
        <w:rPr>
          <w:rFonts w:ascii="Cambria" w:hAnsi="Cambria"/>
          <w:rtl w:val="0"/>
          <w:lang w:val="en-US"/>
        </w:rPr>
        <w:t>, in</w:t>
      </w:r>
      <w:r>
        <w:rPr>
          <w:rFonts w:ascii="Cambria" w:hAnsi="Cambria" w:hint="default"/>
          <w:rtl w:val="0"/>
        </w:rPr>
        <w:t> </w:t>
      </w:r>
      <w:r>
        <w:rPr>
          <w:rStyle w:val="None"/>
          <w:rFonts w:ascii="Cambria" w:hAnsi="Cambria"/>
          <w:i w:val="1"/>
          <w:iCs w:val="1"/>
          <w:rtl w:val="0"/>
          <w:lang w:val="en-US"/>
        </w:rPr>
        <w:t>Proceedings of the International Astronomical Union</w:t>
      </w:r>
      <w:r>
        <w:rPr>
          <w:rFonts w:ascii="Cambria" w:hAnsi="Cambria"/>
          <w:rtl w:val="0"/>
        </w:rPr>
        <w:t xml:space="preserve">, 7 (2011), </w:t>
      </w:r>
      <w:r>
        <w:rPr>
          <w:rFonts w:ascii="Cambria" w:hAnsi="Cambria"/>
          <w:rtl w:val="0"/>
          <w:lang w:val="en-US"/>
        </w:rPr>
        <w:t xml:space="preserve">pp. </w:t>
      </w:r>
      <w:r>
        <w:rPr>
          <w:rFonts w:ascii="Cambria" w:hAnsi="Cambria"/>
          <w:rtl w:val="0"/>
        </w:rPr>
        <w:t>282</w:t>
      </w:r>
      <w:r>
        <w:rPr>
          <w:rFonts w:ascii="Cambria" w:hAnsi="Cambria" w:hint="default"/>
          <w:rtl w:val="0"/>
        </w:rPr>
        <w:t>–</w:t>
      </w:r>
      <w:r>
        <w:rPr>
          <w:rFonts w:ascii="Cambria" w:hAnsi="Cambria"/>
          <w:rtl w:val="0"/>
          <w:lang w:val="en-US"/>
        </w:rPr>
        <w:t>2</w:t>
      </w:r>
      <w:r>
        <w:rPr>
          <w:rFonts w:ascii="Cambria" w:hAnsi="Cambria"/>
          <w:rtl w:val="0"/>
        </w:rPr>
        <w:t>90</w:t>
      </w:r>
      <w:r>
        <w:rPr>
          <w:rFonts w:ascii="Cambria" w:hAnsi="Cambria"/>
          <w:rtl w:val="0"/>
          <w:lang w:val="en-US"/>
        </w:rPr>
        <w:t>.</w:t>
      </w:r>
    </w:p>
    <w:p>
      <w:pPr>
        <w:pStyle w:val="Footnote"/>
        <w:jc w:val="both"/>
        <w:rPr>
          <w:rFonts w:ascii="Cambria" w:cs="Cambria" w:hAnsi="Cambria" w:eastAsia="Cambria"/>
        </w:rPr>
      </w:pPr>
    </w:p>
    <w:p>
      <w:pPr>
        <w:pStyle w:val="Footnote"/>
        <w:jc w:val="both"/>
        <w:rPr>
          <w:rStyle w:val="None"/>
          <w:rFonts w:ascii="Cambria" w:cs="Cambria" w:hAnsi="Cambria" w:eastAsia="Cambria"/>
          <w:lang w:val="en-US"/>
        </w:rPr>
      </w:pPr>
      <w:r>
        <w:rPr>
          <w:rStyle w:val="None"/>
          <w:rFonts w:ascii="Cambria" w:hAnsi="Cambria"/>
          <w:rtl w:val="0"/>
          <w:lang w:val="en-US"/>
        </w:rPr>
        <w:t>Hamacher</w:t>
      </w:r>
      <w:r>
        <w:rPr>
          <w:rStyle w:val="None"/>
          <w:rFonts w:ascii="Cambria" w:hAnsi="Cambria"/>
          <w:rtl w:val="0"/>
          <w:lang w:val="en-US"/>
        </w:rPr>
        <w:t>,</w:t>
      </w:r>
      <w:r>
        <w:rPr>
          <w:rStyle w:val="None"/>
          <w:rFonts w:ascii="Cambria" w:hAnsi="Cambria"/>
          <w:rtl w:val="0"/>
          <w:lang w:val="en-US"/>
        </w:rPr>
        <w:t xml:space="preserve"> </w:t>
      </w:r>
      <w:r>
        <w:rPr>
          <w:rStyle w:val="None"/>
          <w:rFonts w:ascii="Cambria" w:hAnsi="Cambria"/>
          <w:rtl w:val="0"/>
          <w:lang w:val="en-US"/>
        </w:rPr>
        <w:t xml:space="preserve">Duane W., </w:t>
      </w:r>
      <w:r>
        <w:rPr>
          <w:rStyle w:val="None"/>
          <w:rFonts w:ascii="Cambria" w:hAnsi="Cambria"/>
          <w:rtl w:val="0"/>
          <w:lang w:val="en-US"/>
        </w:rPr>
        <w:t xml:space="preserve">and </w:t>
      </w:r>
      <w:r>
        <w:rPr>
          <w:rStyle w:val="None"/>
          <w:rFonts w:ascii="Cambria" w:hAnsi="Cambria"/>
          <w:rtl w:val="0"/>
          <w:lang w:val="en-US"/>
        </w:rPr>
        <w:t xml:space="preserve">Ray P. </w:t>
      </w:r>
      <w:r>
        <w:rPr>
          <w:rStyle w:val="None"/>
          <w:rFonts w:ascii="Cambria" w:hAnsi="Cambria"/>
          <w:rtl w:val="0"/>
          <w:lang w:val="en-US"/>
        </w:rPr>
        <w:t>Norris</w:t>
      </w:r>
      <w:r>
        <w:rPr>
          <w:rStyle w:val="None"/>
          <w:rFonts w:ascii="Cambria" w:hAnsi="Cambria"/>
          <w:rtl w:val="0"/>
          <w:lang w:val="en-US"/>
        </w:rPr>
        <w:t>,</w:t>
      </w:r>
      <w:r>
        <w:rPr>
          <w:rStyle w:val="None"/>
          <w:rFonts w:ascii="Cambria" w:hAnsi="Cambria"/>
          <w:rtl w:val="0"/>
          <w:lang w:val="en-US"/>
        </w:rPr>
        <w:t xml:space="preserve"> </w:t>
      </w:r>
      <w:r>
        <w:rPr>
          <w:rStyle w:val="None"/>
          <w:rFonts w:ascii="Cambria" w:hAnsi="Cambria" w:hint="default"/>
          <w:rtl w:val="0"/>
          <w:lang w:val="en-US"/>
        </w:rPr>
        <w:t>’</w:t>
      </w:r>
      <w:r>
        <w:rPr>
          <w:rStyle w:val="None"/>
          <w:rFonts w:ascii="Cambria" w:hAnsi="Cambria"/>
          <w:rtl w:val="0"/>
          <w:lang w:val="en-US"/>
        </w:rPr>
        <w:t>The Astronomy of Aboriginal Australia</w:t>
      </w:r>
      <w:r>
        <w:rPr>
          <w:rStyle w:val="None"/>
          <w:rFonts w:ascii="Cambria" w:hAnsi="Cambria" w:hint="default"/>
          <w:rtl w:val="0"/>
          <w:lang w:val="en-US"/>
        </w:rPr>
        <w:t>’</w:t>
      </w:r>
      <w:r>
        <w:rPr>
          <w:rStyle w:val="None"/>
          <w:rFonts w:ascii="Cambria" w:hAnsi="Cambria"/>
          <w:rtl w:val="0"/>
          <w:lang w:val="en-US"/>
        </w:rPr>
        <w:t xml:space="preserve">, in </w:t>
      </w:r>
      <w:r>
        <w:rPr>
          <w:rStyle w:val="None"/>
          <w:rFonts w:ascii="Cambria" w:hAnsi="Cambria"/>
          <w:i w:val="1"/>
          <w:iCs w:val="1"/>
          <w:rtl w:val="0"/>
          <w:lang w:val="en-US"/>
        </w:rPr>
        <w:t xml:space="preserve">Proceedings of the </w:t>
        <w:tab/>
        <w:tab/>
        <w:t xml:space="preserve">International Astronomical Union S260 </w:t>
      </w:r>
      <w:r>
        <w:rPr>
          <w:rStyle w:val="None"/>
          <w:rFonts w:ascii="Cambria" w:hAnsi="Cambria"/>
          <w:rtl w:val="0"/>
          <w:lang w:val="en-US"/>
        </w:rPr>
        <w:t>(2009), pp. 39-47.</w:t>
      </w:r>
    </w:p>
    <w:p>
      <w:pPr>
        <w:pStyle w:val="Footnote"/>
        <w:jc w:val="both"/>
        <w:rPr>
          <w:rFonts w:ascii="Cambria" w:cs="Cambria" w:hAnsi="Cambria" w:eastAsia="Cambria"/>
        </w:rPr>
      </w:pPr>
    </w:p>
    <w:p>
      <w:pPr>
        <w:pStyle w:val="Footnote"/>
        <w:jc w:val="both"/>
        <w:rPr>
          <w:rStyle w:val="None"/>
          <w:rFonts w:ascii="Cambria" w:cs="Cambria" w:hAnsi="Cambria" w:eastAsia="Cambria"/>
          <w:lang w:val="en-US"/>
        </w:rPr>
      </w:pPr>
      <w:r>
        <w:rPr>
          <w:rStyle w:val="None"/>
          <w:rFonts w:ascii="Cambria" w:hAnsi="Cambria"/>
          <w:rtl w:val="0"/>
          <w:lang w:val="en-US"/>
        </w:rPr>
        <w:t xml:space="preserve">Head, Raymond, </w:t>
      </w:r>
      <w:r>
        <w:rPr>
          <w:rStyle w:val="None"/>
          <w:rFonts w:ascii="Cambria" w:hAnsi="Cambria"/>
          <w:i w:val="1"/>
          <w:iCs w:val="1"/>
          <w:rtl w:val="0"/>
          <w:lang w:val="en-US"/>
        </w:rPr>
        <w:t xml:space="preserve">Biography </w:t>
      </w:r>
      <w:r>
        <w:rPr>
          <w:rStyle w:val="None"/>
          <w:rFonts w:ascii="Cambria" w:hAnsi="Cambria"/>
          <w:rtl w:val="0"/>
          <w:lang w:val="en-US"/>
        </w:rPr>
        <w:t>(2021) &lt;</w:t>
      </w:r>
      <w:r>
        <w:rPr>
          <w:rStyle w:val="Hyperlink.1"/>
          <w:rFonts w:ascii="Cambria" w:cs="Cambria" w:hAnsi="Cambria" w:eastAsia="Cambria"/>
        </w:rPr>
        <w:fldChar w:fldCharType="begin" w:fldLock="0"/>
      </w:r>
      <w:r>
        <w:rPr>
          <w:rStyle w:val="Hyperlink.1"/>
          <w:rFonts w:ascii="Cambria" w:cs="Cambria" w:hAnsi="Cambria" w:eastAsia="Cambria"/>
        </w:rPr>
        <w:instrText xml:space="preserve"> HYPERLINK "https://raymondhead.com/biography"</w:instrText>
      </w:r>
      <w:r>
        <w:rPr>
          <w:rStyle w:val="Hyperlink.1"/>
          <w:rFonts w:ascii="Cambria" w:cs="Cambria" w:hAnsi="Cambria" w:eastAsia="Cambria"/>
        </w:rPr>
        <w:fldChar w:fldCharType="separate" w:fldLock="0"/>
      </w:r>
      <w:r>
        <w:rPr>
          <w:rStyle w:val="Hyperlink.1"/>
          <w:rFonts w:ascii="Cambria" w:hAnsi="Cambria"/>
          <w:rtl w:val="0"/>
          <w:lang w:val="en-US"/>
        </w:rPr>
        <w:t>https://raymondhead.com/biography</w:t>
      </w:r>
      <w:r>
        <w:rPr>
          <w:rFonts w:ascii="Cambria" w:cs="Cambria" w:hAnsi="Cambria" w:eastAsia="Cambria"/>
        </w:rPr>
        <w:fldChar w:fldCharType="end" w:fldLock="0"/>
      </w:r>
      <w:r>
        <w:rPr>
          <w:rStyle w:val="None"/>
          <w:rFonts w:ascii="Cambria" w:hAnsi="Cambria"/>
          <w:rtl w:val="0"/>
          <w:lang w:val="en-US"/>
        </w:rPr>
        <w:t>&gt;.</w:t>
      </w:r>
    </w:p>
    <w:p>
      <w:pPr>
        <w:pStyle w:val="Footnote"/>
        <w:jc w:val="both"/>
        <w:rPr>
          <w:rStyle w:val="None"/>
          <w:rFonts w:ascii="Cambria" w:cs="Cambria" w:hAnsi="Cambria" w:eastAsia="Cambria"/>
          <w:lang w:val="en-US"/>
        </w:rPr>
      </w:pPr>
    </w:p>
    <w:p>
      <w:pPr>
        <w:pStyle w:val="Footnote"/>
        <w:jc w:val="both"/>
        <w:rPr>
          <w:rFonts w:ascii="Cambria" w:cs="Cambria" w:hAnsi="Cambria" w:eastAsia="Cambria"/>
        </w:rPr>
      </w:pPr>
      <w:r>
        <w:rPr>
          <w:rStyle w:val="None"/>
          <w:rFonts w:ascii="Cambria" w:hAnsi="Cambria"/>
          <w:rtl w:val="0"/>
          <w:lang w:val="en-US"/>
        </w:rPr>
        <w:t xml:space="preserve">Head, </w:t>
      </w:r>
      <w:r>
        <w:rPr>
          <w:rStyle w:val="None"/>
          <w:rFonts w:ascii="Cambria" w:hAnsi="Cambria"/>
          <w:rtl w:val="0"/>
          <w:lang w:val="en-US"/>
        </w:rPr>
        <w:t xml:space="preserve">Raymond, </w:t>
      </w:r>
      <w:r>
        <w:rPr>
          <w:rStyle w:val="None"/>
          <w:rFonts w:ascii="Cambria" w:hAnsi="Cambria"/>
          <w:i w:val="1"/>
          <w:iCs w:val="1"/>
          <w:rtl w:val="0"/>
          <w:lang w:val="en-US"/>
        </w:rPr>
        <w:t>Gustav Holst: The Planets Suite: New Light on a Famous Work</w:t>
      </w:r>
      <w:r>
        <w:rPr>
          <w:rStyle w:val="None"/>
          <w:rFonts w:ascii="Cambria" w:hAnsi="Cambria"/>
          <w:rtl w:val="0"/>
          <w:lang w:val="en-US"/>
        </w:rPr>
        <w:t xml:space="preserve"> (2021) &lt;https://</w:t>
      </w:r>
      <w:r>
        <w:rPr>
          <w:rStyle w:val="None"/>
          <w:rFonts w:ascii="Cambria" w:cs="Cambria" w:hAnsi="Cambria" w:eastAsia="Cambria"/>
          <w:lang w:val="en-US"/>
        </w:rPr>
        <w:tab/>
        <w:tab/>
        <w:tab/>
      </w:r>
      <w:r>
        <w:rPr>
          <w:rStyle w:val="None"/>
          <w:rFonts w:ascii="Cambria" w:hAnsi="Cambria"/>
          <w:rtl w:val="0"/>
          <w:lang w:val="en-US"/>
        </w:rPr>
        <w:t>raymondhead.com/gustav-holst-planets&gt;</w:t>
      </w:r>
      <w:r>
        <w:rPr>
          <w:rStyle w:val="None"/>
          <w:rFonts w:ascii="Cambria" w:hAnsi="Cambria"/>
          <w:rtl w:val="0"/>
          <w:lang w:val="en-US"/>
        </w:rPr>
        <w:t xml:space="preserve"> [accessed 18 October 2021].</w:t>
      </w:r>
    </w:p>
    <w:p>
      <w:pPr>
        <w:pStyle w:val="Footnote"/>
        <w:jc w:val="both"/>
        <w:rPr>
          <w:rFonts w:ascii="Cambria" w:cs="Cambria" w:hAnsi="Cambria" w:eastAsia="Cambria"/>
        </w:rPr>
      </w:pPr>
    </w:p>
    <w:p>
      <w:pPr>
        <w:pStyle w:val="Footnote"/>
        <w:jc w:val="both"/>
        <w:rPr>
          <w:rStyle w:val="None"/>
          <w:rFonts w:ascii="Cambria" w:cs="Cambria" w:hAnsi="Cambria" w:eastAsia="Cambria"/>
          <w:lang w:val="en-US"/>
        </w:rPr>
      </w:pPr>
      <w:r>
        <w:rPr>
          <w:rStyle w:val="None"/>
          <w:rFonts w:ascii="Cambria" w:hAnsi="Cambria"/>
          <w:rtl w:val="0"/>
          <w:lang w:val="en-US"/>
        </w:rPr>
        <w:t xml:space="preserve">Head, Raymond, </w:t>
      </w:r>
      <w:r>
        <w:rPr>
          <w:rStyle w:val="None"/>
          <w:rFonts w:ascii="Cambria" w:hAnsi="Cambria" w:hint="default"/>
          <w:rtl w:val="1"/>
        </w:rPr>
        <w:t>‘</w:t>
      </w:r>
      <w:r>
        <w:rPr>
          <w:rStyle w:val="None"/>
          <w:rFonts w:ascii="Cambria" w:hAnsi="Cambria"/>
          <w:rtl w:val="0"/>
          <w:lang w:val="en-US"/>
        </w:rPr>
        <w:t xml:space="preserve">Holst - Astrology and Modernism in </w:t>
      </w:r>
      <w:r>
        <w:rPr>
          <w:rStyle w:val="None"/>
          <w:rFonts w:ascii="Cambria" w:hAnsi="Cambria" w:hint="default"/>
          <w:rtl w:val="1"/>
        </w:rPr>
        <w:t>‘</w:t>
      </w:r>
      <w:r>
        <w:rPr>
          <w:rStyle w:val="None"/>
          <w:rFonts w:ascii="Cambria" w:hAnsi="Cambria"/>
          <w:rtl w:val="0"/>
          <w:lang w:val="en-US"/>
        </w:rPr>
        <w:t>The Planets</w:t>
      </w:r>
      <w:r>
        <w:rPr>
          <w:rStyle w:val="None"/>
          <w:rFonts w:ascii="Cambria" w:hAnsi="Cambria" w:hint="default"/>
          <w:rtl w:val="1"/>
        </w:rPr>
        <w:t>’</w:t>
      </w:r>
      <w:r>
        <w:rPr>
          <w:rStyle w:val="None"/>
          <w:rFonts w:ascii="Cambria" w:hAnsi="Cambria"/>
          <w:rtl w:val="0"/>
          <w:lang w:val="it-IT"/>
        </w:rPr>
        <w:t xml:space="preserve">, </w:t>
      </w:r>
      <w:r>
        <w:rPr>
          <w:rStyle w:val="None"/>
          <w:rFonts w:ascii="Cambria" w:hAnsi="Cambria"/>
          <w:rtl w:val="0"/>
          <w:lang w:val="en-US"/>
        </w:rPr>
        <w:t xml:space="preserve">in </w:t>
      </w:r>
      <w:r>
        <w:rPr>
          <w:rStyle w:val="None"/>
          <w:rFonts w:ascii="Cambria" w:hAnsi="Cambria"/>
          <w:i w:val="1"/>
          <w:iCs w:val="1"/>
          <w:rtl w:val="0"/>
          <w:lang w:val="it-IT"/>
        </w:rPr>
        <w:t>Tempo</w:t>
      </w:r>
      <w:r>
        <w:rPr>
          <w:rStyle w:val="None"/>
          <w:rFonts w:ascii="Cambria" w:hAnsi="Cambria"/>
          <w:rtl w:val="0"/>
          <w:lang w:val="it-IT"/>
        </w:rPr>
        <w:t xml:space="preserve">, New Series, no187 (Dec. </w:t>
      </w:r>
      <w:r>
        <w:rPr>
          <w:rFonts w:ascii="Cambria" w:cs="Cambria" w:hAnsi="Cambria" w:eastAsia="Cambria"/>
          <w:rtl w:val="0"/>
        </w:rPr>
        <w:tab/>
        <w:tab/>
        <w:tab/>
        <w:t>1993), p</w:t>
      </w:r>
      <w:r>
        <w:rPr>
          <w:rStyle w:val="None"/>
          <w:rFonts w:ascii="Cambria" w:hAnsi="Cambria"/>
          <w:rtl w:val="0"/>
          <w:lang w:val="en-US"/>
        </w:rPr>
        <w:t>p. 15-22.</w:t>
      </w:r>
    </w:p>
    <w:p>
      <w:pPr>
        <w:pStyle w:val="Footnote"/>
        <w:jc w:val="both"/>
        <w:rPr>
          <w:rStyle w:val="None"/>
          <w:rFonts w:ascii="Cambria" w:cs="Cambria" w:hAnsi="Cambria" w:eastAsia="Cambria"/>
          <w:lang w:val="en-US"/>
        </w:rPr>
      </w:pPr>
    </w:p>
    <w:p>
      <w:pPr>
        <w:pStyle w:val="Footnote"/>
        <w:jc w:val="both"/>
        <w:rPr>
          <w:rFonts w:ascii="Cambria" w:cs="Cambria" w:hAnsi="Cambria" w:eastAsia="Cambria"/>
        </w:rPr>
      </w:pPr>
      <w:r>
        <w:rPr>
          <w:rFonts w:ascii="Cambria" w:hAnsi="Cambria"/>
          <w:rtl w:val="0"/>
          <w:lang w:val="en-US"/>
        </w:rPr>
        <w:t xml:space="preserve">International Astronomical Union, </w:t>
      </w:r>
      <w:r>
        <w:rPr>
          <w:rStyle w:val="None"/>
          <w:rFonts w:ascii="Cambria" w:hAnsi="Cambria"/>
          <w:i w:val="1"/>
          <w:iCs w:val="1"/>
          <w:rtl w:val="0"/>
          <w:lang w:val="en-US"/>
        </w:rPr>
        <w:t xml:space="preserve">About the IAU </w:t>
      </w:r>
      <w:r>
        <w:rPr>
          <w:rFonts w:ascii="Cambria" w:hAnsi="Cambria"/>
          <w:rtl w:val="0"/>
          <w:lang w:val="en-US"/>
        </w:rPr>
        <w:t>&lt;</w:t>
      </w:r>
      <w:r>
        <w:rPr>
          <w:rFonts w:ascii="Cambria" w:hAnsi="Cambria"/>
          <w:rtl w:val="0"/>
          <w:lang w:val="en-US"/>
        </w:rPr>
        <w:t>https://www.iau.org/administration/about/</w:t>
      </w:r>
      <w:r>
        <w:rPr>
          <w:rFonts w:ascii="Cambria" w:hAnsi="Cambria"/>
          <w:rtl w:val="0"/>
          <w:lang w:val="en-US"/>
        </w:rPr>
        <w:t xml:space="preserve">&gt; </w:t>
        <w:tab/>
        <w:tab/>
        <w:tab/>
        <w:t>[accessed 04 November 2021].</w:t>
      </w:r>
    </w:p>
    <w:p>
      <w:pPr>
        <w:pStyle w:val="Footnote"/>
        <w:jc w:val="both"/>
        <w:rPr>
          <w:rFonts w:ascii="Cambria" w:cs="Cambria" w:hAnsi="Cambria" w:eastAsia="Cambria"/>
        </w:rPr>
      </w:pPr>
    </w:p>
    <w:p>
      <w:pPr>
        <w:pStyle w:val="Footnote"/>
        <w:jc w:val="both"/>
        <w:rPr>
          <w:rFonts w:ascii="Cambria" w:cs="Cambria" w:hAnsi="Cambria" w:eastAsia="Cambria"/>
        </w:rPr>
      </w:pPr>
      <w:r>
        <w:rPr>
          <w:rStyle w:val="None"/>
          <w:rFonts w:ascii="Cambria" w:hAnsi="Cambria"/>
          <w:rtl w:val="0"/>
          <w:lang w:val="en-US"/>
        </w:rPr>
        <w:t xml:space="preserve">The International Society for Archeoastronomy and Astronomy in Culture, </w:t>
      </w:r>
      <w:r>
        <w:rPr>
          <w:rStyle w:val="None"/>
          <w:rFonts w:ascii="Cambria" w:hAnsi="Cambria"/>
          <w:i w:val="1"/>
          <w:iCs w:val="1"/>
          <w:rtl w:val="0"/>
          <w:lang w:val="en-US"/>
        </w:rPr>
        <w:t xml:space="preserve">The </w:t>
      </w:r>
      <w:r>
        <w:rPr>
          <w:rStyle w:val="None"/>
          <w:rFonts w:ascii="Cambria" w:hAnsi="Cambria" w:hint="default"/>
          <w:i w:val="1"/>
          <w:iCs w:val="1"/>
          <w:rtl w:val="0"/>
          <w:lang w:val="en-US"/>
        </w:rPr>
        <w:t>‘</w:t>
      </w:r>
      <w:r>
        <w:rPr>
          <w:rStyle w:val="None"/>
          <w:rFonts w:ascii="Cambria" w:hAnsi="Cambria"/>
          <w:i w:val="1"/>
          <w:iCs w:val="1"/>
          <w:rtl w:val="0"/>
          <w:lang w:val="en-US"/>
        </w:rPr>
        <w:t>Oxford</w:t>
      </w:r>
      <w:r>
        <w:rPr>
          <w:rStyle w:val="None"/>
          <w:rFonts w:ascii="Cambria" w:hAnsi="Cambria" w:hint="default"/>
          <w:i w:val="1"/>
          <w:iCs w:val="1"/>
          <w:rtl w:val="0"/>
          <w:lang w:val="en-US"/>
        </w:rPr>
        <w:t xml:space="preserve">’ </w:t>
        <w:tab/>
        <w:tab/>
        <w:tab/>
        <w:tab/>
      </w:r>
      <w:r>
        <w:rPr>
          <w:rStyle w:val="None"/>
          <w:rFonts w:ascii="Cambria" w:hAnsi="Cambria"/>
          <w:i w:val="1"/>
          <w:iCs w:val="1"/>
          <w:rtl w:val="0"/>
          <w:lang w:val="en-US"/>
        </w:rPr>
        <w:t xml:space="preserve">International Symposia on Archeoastronomy </w:t>
      </w:r>
      <w:r>
        <w:rPr>
          <w:rStyle w:val="None"/>
          <w:rFonts w:ascii="Cambria" w:hAnsi="Cambria"/>
          <w:i w:val="1"/>
          <w:iCs w:val="1"/>
          <w:rtl w:val="0"/>
        </w:rPr>
        <w:t xml:space="preserve">(nov. 2009) </w:t>
      </w:r>
      <w:r>
        <w:rPr>
          <w:rStyle w:val="None"/>
          <w:rFonts w:ascii="Cambria" w:hAnsi="Cambria"/>
          <w:rtl w:val="0"/>
          <w:lang w:val="en-US"/>
        </w:rPr>
        <w:t>&lt;</w:t>
      </w:r>
      <w:r>
        <w:rPr>
          <w:rStyle w:val="Hyperlink.0"/>
          <w:rFonts w:ascii="Cambria" w:cs="Cambria" w:hAnsi="Cambria" w:eastAsia="Cambria"/>
        </w:rPr>
        <w:fldChar w:fldCharType="begin" w:fldLock="0"/>
      </w:r>
      <w:r>
        <w:rPr>
          <w:rStyle w:val="Hyperlink.0"/>
          <w:rFonts w:ascii="Cambria" w:cs="Cambria" w:hAnsi="Cambria" w:eastAsia="Cambria"/>
        </w:rPr>
        <w:instrText xml:space="preserve"> HYPERLINK "https://www.le.ac.uk/has/isaac/"</w:instrText>
      </w:r>
      <w:r>
        <w:rPr>
          <w:rStyle w:val="Hyperlink.0"/>
          <w:rFonts w:ascii="Cambria" w:cs="Cambria" w:hAnsi="Cambria" w:eastAsia="Cambria"/>
        </w:rPr>
        <w:fldChar w:fldCharType="separate" w:fldLock="0"/>
      </w:r>
      <w:r>
        <w:rPr>
          <w:rStyle w:val="Hyperlink.0"/>
          <w:rFonts w:ascii="Cambria" w:hAnsi="Cambria"/>
          <w:rtl w:val="0"/>
        </w:rPr>
        <w:t>https://www.le.ac.uk/has/isaac/</w:t>
      </w:r>
      <w:r>
        <w:rPr>
          <w:rFonts w:ascii="Cambria" w:cs="Cambria" w:hAnsi="Cambria" w:eastAsia="Cambria"/>
        </w:rPr>
        <w:fldChar w:fldCharType="end" w:fldLock="0"/>
      </w:r>
      <w:r>
        <w:rPr>
          <w:rFonts w:ascii="Cambria" w:cs="Cambria" w:hAnsi="Cambria" w:eastAsia="Cambria"/>
          <w:rtl w:val="0"/>
        </w:rPr>
        <w:tab/>
        <w:tab/>
        <w:tab/>
        <w:t>oxfords.html</w:t>
      </w:r>
      <w:r>
        <w:rPr>
          <w:rStyle w:val="None"/>
          <w:rFonts w:ascii="Cambria" w:hAnsi="Cambria"/>
          <w:rtl w:val="0"/>
          <w:lang w:val="en-US"/>
        </w:rPr>
        <w:t>&gt; [accessed 28 October 2021].</w:t>
      </w:r>
    </w:p>
    <w:p>
      <w:pPr>
        <w:pStyle w:val="Footnote"/>
        <w:jc w:val="both"/>
        <w:rPr>
          <w:rFonts w:ascii="Cambria" w:cs="Cambria" w:hAnsi="Cambria" w:eastAsia="Cambria"/>
        </w:rPr>
      </w:pPr>
    </w:p>
    <w:p>
      <w:pPr>
        <w:pStyle w:val="Footnote"/>
        <w:jc w:val="both"/>
        <w:rPr>
          <w:rStyle w:val="None"/>
          <w:rFonts w:ascii="Cambria" w:cs="Cambria" w:hAnsi="Cambria" w:eastAsia="Cambria"/>
          <w:lang w:val="en-US"/>
        </w:rPr>
      </w:pPr>
      <w:r>
        <w:rPr>
          <w:rStyle w:val="None"/>
          <w:rFonts w:ascii="Cambria" w:hAnsi="Cambria"/>
          <w:rtl w:val="0"/>
          <w:lang w:val="en-US"/>
        </w:rPr>
        <w:t xml:space="preserve">The Planetary Society, </w:t>
      </w:r>
      <w:r>
        <w:rPr>
          <w:rStyle w:val="None"/>
          <w:rFonts w:ascii="Cambria" w:hAnsi="Cambria"/>
          <w:i w:val="1"/>
          <w:iCs w:val="1"/>
          <w:rtl w:val="0"/>
          <w:lang w:val="en-US"/>
        </w:rPr>
        <w:t>Duane W. Hamacher &lt;</w:t>
      </w:r>
      <w:r>
        <w:rPr>
          <w:rStyle w:val="None"/>
          <w:rFonts w:ascii="Cambria" w:hAnsi="Cambria"/>
          <w:rtl w:val="0"/>
          <w:lang w:val="en-US"/>
        </w:rPr>
        <w:t>https://www.planetary.org/profiles/duane-w-</w:t>
      </w:r>
      <w:r>
        <w:rPr>
          <w:rFonts w:ascii="Cambria" w:cs="Cambria" w:hAnsi="Cambria" w:eastAsia="Cambria"/>
        </w:rPr>
        <w:tab/>
        <w:tab/>
        <w:tab/>
      </w:r>
      <w:r>
        <w:rPr>
          <w:rFonts w:ascii="Cambria" w:cs="Cambria" w:hAnsi="Cambria" w:eastAsia="Cambria"/>
        </w:rPr>
        <w:tab/>
      </w:r>
      <w:r>
        <w:rPr>
          <w:rFonts w:ascii="Cambria" w:hAnsi="Cambria"/>
          <w:rtl w:val="0"/>
        </w:rPr>
        <w:t>hamacher-2</w:t>
      </w:r>
      <w:r>
        <w:rPr>
          <w:rStyle w:val="None"/>
          <w:rFonts w:ascii="Cambria" w:hAnsi="Cambria"/>
          <w:rtl w:val="0"/>
          <w:lang w:val="en-US"/>
        </w:rPr>
        <w:t xml:space="preserve">&gt; [accessed 18 October 2021]. </w:t>
      </w:r>
    </w:p>
    <w:p>
      <w:pPr>
        <w:pStyle w:val="Footnote"/>
        <w:jc w:val="both"/>
        <w:rPr>
          <w:rStyle w:val="None"/>
          <w:rFonts w:ascii="Cambria" w:cs="Cambria" w:hAnsi="Cambria" w:eastAsia="Cambria"/>
          <w:lang w:val="en-US"/>
        </w:rPr>
      </w:pPr>
    </w:p>
    <w:p>
      <w:pPr>
        <w:pStyle w:val="Footnote"/>
        <w:jc w:val="both"/>
        <w:rPr>
          <w:rFonts w:ascii="Cambria" w:cs="Cambria" w:hAnsi="Cambria" w:eastAsia="Cambria"/>
        </w:rPr>
      </w:pPr>
      <w:r>
        <w:rPr>
          <w:rStyle w:val="None"/>
          <w:rFonts w:ascii="Cambria" w:hAnsi="Cambria"/>
          <w:rtl w:val="0"/>
          <w:lang w:val="en-US"/>
        </w:rPr>
        <w:t xml:space="preserve">Wikipedia, </w:t>
      </w:r>
      <w:r>
        <w:rPr>
          <w:rStyle w:val="None"/>
          <w:rFonts w:ascii="Cambria" w:hAnsi="Cambria"/>
          <w:i w:val="1"/>
          <w:iCs w:val="1"/>
          <w:rtl w:val="0"/>
          <w:lang w:val="en-US"/>
        </w:rPr>
        <w:t>Ray Norris (astrophysicist)</w:t>
      </w:r>
      <w:r>
        <w:rPr>
          <w:rStyle w:val="None"/>
          <w:rFonts w:ascii="Cambria" w:hAnsi="Cambria"/>
          <w:rtl w:val="0"/>
          <w:lang w:val="en-US"/>
        </w:rPr>
        <w:t xml:space="preserve"> &lt;</w:t>
      </w:r>
      <w:r>
        <w:rPr>
          <w:rFonts w:ascii="Cambria" w:hAnsi="Cambria"/>
          <w:rtl w:val="0"/>
        </w:rPr>
        <w:t>https://en.wikipedia.org/wiki/</w:t>
        <w:tab/>
        <w:tab/>
        <w:tab/>
        <w:tab/>
        <w:tab/>
        <w:tab/>
      </w:r>
      <w:r>
        <w:rPr>
          <w:rStyle w:val="None"/>
          <w:rFonts w:ascii="Cambria" w:hAnsi="Cambria"/>
          <w:rtl w:val="0"/>
          <w:lang w:val="en-US"/>
        </w:rPr>
        <w:t>Ray_Norris_(astrophysicist)&gt; [accessed 18 October 2021].</w:t>
      </w:r>
    </w:p>
    <w:p>
      <w:pPr>
        <w:pStyle w:val="Footnote"/>
        <w:jc w:val="both"/>
        <w:rPr>
          <w:rFonts w:ascii="Cambria" w:cs="Cambria" w:hAnsi="Cambria" w:eastAsia="Cambria"/>
        </w:rPr>
      </w:pPr>
    </w:p>
    <w:p>
      <w:pPr>
        <w:pStyle w:val="Footnote"/>
        <w:jc w:val="both"/>
        <w:rPr>
          <w:rFonts w:ascii="Cambria" w:cs="Cambria" w:hAnsi="Cambria" w:eastAsia="Cambria"/>
        </w:rPr>
      </w:pPr>
      <w:r>
        <w:rPr>
          <w:rFonts w:ascii="Cambria" w:hAnsi="Cambria"/>
          <w:rtl w:val="0"/>
        </w:rPr>
        <w:t xml:space="preserve"> </w:t>
      </w:r>
      <w:r>
        <w:rPr>
          <w:rStyle w:val="None"/>
          <w:rFonts w:ascii="Cambria" w:hAnsi="Cambria"/>
          <w:rtl w:val="0"/>
          <w:lang w:val="en-US"/>
        </w:rPr>
        <w:t>Williams,</w:t>
      </w:r>
      <w:r>
        <w:rPr>
          <w:rStyle w:val="None"/>
          <w:rFonts w:ascii="Cambria" w:hAnsi="Cambria"/>
          <w:rtl w:val="0"/>
          <w:lang w:val="en-US"/>
        </w:rPr>
        <w:t xml:space="preserve"> Raymond,</w:t>
      </w:r>
      <w:r>
        <w:rPr>
          <w:rStyle w:val="None"/>
          <w:rFonts w:ascii="Cambria" w:hAnsi="Cambria"/>
          <w:rtl w:val="0"/>
          <w:lang w:val="en-US"/>
        </w:rPr>
        <w:t xml:space="preserve"> </w:t>
      </w:r>
      <w:r>
        <w:rPr>
          <w:rStyle w:val="None"/>
          <w:rFonts w:ascii="Cambria" w:hAnsi="Cambria"/>
          <w:i w:val="1"/>
          <w:iCs w:val="1"/>
          <w:rtl w:val="0"/>
          <w:lang w:val="en-US"/>
        </w:rPr>
        <w:t>Keywords</w:t>
      </w:r>
      <w:r>
        <w:rPr>
          <w:rStyle w:val="None"/>
          <w:rFonts w:ascii="Cambria" w:hAnsi="Cambria"/>
          <w:i w:val="1"/>
          <w:iCs w:val="1"/>
          <w:rtl w:val="0"/>
          <w:lang w:val="en-US"/>
        </w:rPr>
        <w:t xml:space="preserve">, </w:t>
      </w:r>
      <w:r>
        <w:rPr>
          <w:rStyle w:val="None"/>
          <w:rFonts w:ascii="Cambria" w:hAnsi="Cambria"/>
          <w:rtl w:val="0"/>
          <w:lang w:val="en-US"/>
        </w:rPr>
        <w:t>2nd edn.</w:t>
      </w:r>
      <w:r>
        <w:rPr>
          <w:rStyle w:val="None"/>
          <w:rFonts w:ascii="Cambria" w:hAnsi="Cambria"/>
          <w:i w:val="1"/>
          <w:iCs w:val="1"/>
          <w:rtl w:val="0"/>
          <w:lang w:val="en-US"/>
        </w:rPr>
        <w:t xml:space="preserve"> </w:t>
      </w:r>
      <w:r>
        <w:rPr>
          <w:rStyle w:val="None"/>
          <w:rFonts w:ascii="Cambria" w:hAnsi="Cambria"/>
          <w:rtl w:val="0"/>
          <w:lang w:val="en-US"/>
        </w:rPr>
        <w:t>(New York: Oxford University Press, 1983)</w:t>
      </w:r>
      <w:r>
        <w:rPr>
          <w:rStyle w:val="None"/>
          <w:rFonts w:ascii="Cambria" w:hAnsi="Cambria"/>
          <w:rtl w:val="0"/>
          <w:lang w:val="en-US"/>
        </w:rPr>
        <w:t>.</w:t>
      </w:r>
    </w:p>
    <w:p>
      <w:pPr>
        <w:pStyle w:val="Footnote"/>
        <w:jc w:val="both"/>
        <w:rPr>
          <w:rFonts w:ascii="Cambria" w:cs="Cambria" w:hAnsi="Cambria" w:eastAsia="Cambria"/>
        </w:rPr>
      </w:pPr>
    </w:p>
    <w:p>
      <w:pPr>
        <w:pStyle w:val="Body A"/>
      </w:pPr>
    </w:p>
    <w:p>
      <w:pPr>
        <w:pStyle w:val="Footnote"/>
        <w:jc w:val="both"/>
        <w:rPr>
          <w:rFonts w:ascii="Cambria" w:cs="Cambria" w:hAnsi="Cambria" w:eastAsia="Cambria"/>
        </w:rPr>
      </w:pPr>
    </w:p>
    <w:p>
      <w:pPr>
        <w:pStyle w:val="Footnote"/>
        <w:jc w:val="both"/>
        <w:rPr>
          <w:rFonts w:ascii="Cambria" w:cs="Cambria" w:hAnsi="Cambria" w:eastAsia="Cambria"/>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p>
      <w:pPr>
        <w:pStyle w:val="Footnote"/>
        <w:jc w:val="both"/>
        <w:rPr>
          <w:rFonts w:ascii="Cambria" w:cs="Cambria" w:hAnsi="Cambria" w:eastAsia="Cambria"/>
          <w:sz w:val="20"/>
          <w:szCs w:val="20"/>
        </w:rPr>
      </w:pPr>
    </w:p>
    <w:tbl>
      <w:tblPr>
        <w:tblW w:w="963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5210"/>
        <w:gridCol w:w="461"/>
        <w:gridCol w:w="1694"/>
        <w:gridCol w:w="311"/>
        <w:gridCol w:w="1961"/>
      </w:tblGrid>
      <w:tr>
        <w:tblPrEx>
          <w:shd w:val="clear" w:color="auto" w:fill="cadfff"/>
        </w:tblPrEx>
        <w:trPr>
          <w:trHeight w:val="46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pPr>
            <w:r>
              <w:rPr>
                <w:rStyle w:val="None"/>
                <w:rFonts w:ascii="Arial" w:hAnsi="Arial"/>
                <w:b w:val="1"/>
                <w:bCs w:val="1"/>
                <w:sz w:val="22"/>
                <w:szCs w:val="22"/>
                <w:shd w:val="nil" w:color="auto" w:fill="auto"/>
                <w:rtl w:val="0"/>
                <w:lang w:val="en-US"/>
                <w14:textOutline w14:w="12700" w14:cap="flat">
                  <w14:noFill/>
                  <w14:miter w14:lim="400000"/>
                </w14:textOutline>
              </w:rPr>
              <w:t>For completion by the student</w:t>
            </w:r>
            <w:r>
              <w:rPr>
                <w:rStyle w:val="None"/>
                <w:rFonts w:ascii="Arial" w:hAnsi="Arial"/>
                <w:sz w:val="22"/>
                <w:szCs w:val="22"/>
                <w:shd w:val="nil" w:color="auto" w:fill="auto"/>
                <w:rtl w:val="0"/>
                <w:lang w:val="en-US"/>
                <w14:textOutline w14:w="12700" w14:cap="flat">
                  <w14:noFill/>
                  <w14:miter w14:lim="400000"/>
                </w14:textOutline>
              </w:rPr>
              <w:t>:</w:t>
            </w:r>
          </w:p>
        </w:tc>
      </w:tr>
      <w:tr>
        <w:tblPrEx>
          <w:shd w:val="clear" w:color="auto" w:fill="cadfff"/>
        </w:tblPrEx>
        <w:trPr>
          <w:trHeight w:val="762"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shd w:val="nil" w:color="auto" w:fill="auto"/>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Student Name: Thais Coca</w:t>
            </w:r>
          </w:p>
          <w:p>
            <w:pPr>
              <w:pStyle w:val="Body"/>
              <w:ind w:right="34"/>
              <w:rPr>
                <w:rStyle w:val="None"/>
                <w:rFonts w:ascii="Arial" w:cs="Arial" w:hAnsi="Arial" w:eastAsia="Arial"/>
                <w:sz w:val="22"/>
                <w:szCs w:val="22"/>
                <w:shd w:val="nil" w:color="auto" w:fill="auto"/>
                <w:lang w:val="en-US"/>
                <w14:textOutline w14:w="12700" w14:cap="flat">
                  <w14:noFill/>
                  <w14:miter w14:lim="400000"/>
                </w14:textOutline>
              </w:rPr>
            </w:pPr>
          </w:p>
          <w:p>
            <w:pPr>
              <w:pStyle w:val="Body"/>
              <w:bidi w:val="0"/>
              <w:ind w:left="0" w:right="34" w:firstLine="0"/>
              <w:jc w:val="left"/>
              <w:rPr>
                <w:rtl w:val="0"/>
              </w:rPr>
            </w:pPr>
            <w:r>
              <w:rPr>
                <w:rStyle w:val="None"/>
                <w:rFonts w:ascii="Arial" w:hAnsi="Arial"/>
                <w:sz w:val="22"/>
                <w:szCs w:val="22"/>
                <w:rtl w:val="0"/>
                <w:lang w:val="en-US"/>
                <w14:textOutline w14:w="12700" w14:cap="flat">
                  <w14:noFill/>
                  <w14:miter w14:lim="400000"/>
                </w14:textOutline>
              </w:rPr>
              <w:t xml:space="preserve">Student </w:t>
            </w:r>
            <w:r>
              <w:rPr>
                <w:rStyle w:val="None"/>
                <w:rFonts w:ascii="Arial" w:hAnsi="Arial"/>
                <w:b w:val="1"/>
                <w:bCs w:val="1"/>
                <w:sz w:val="22"/>
                <w:szCs w:val="22"/>
                <w:u w:val="single"/>
                <w:rtl w:val="0"/>
                <w:lang w:val="en-US"/>
                <w14:textOutline w14:w="12700" w14:cap="flat">
                  <w14:noFill/>
                  <w14:miter w14:lim="400000"/>
                </w14:textOutline>
              </w:rPr>
              <w:t>University</w:t>
            </w:r>
            <w:r>
              <w:rPr>
                <w:rStyle w:val="None"/>
                <w:rFonts w:ascii="Arial" w:hAnsi="Arial"/>
                <w:sz w:val="22"/>
                <w:szCs w:val="22"/>
                <w:u w:val="single"/>
                <w:rtl w:val="0"/>
                <w:lang w:val="en-US"/>
                <w14:textOutline w14:w="12700" w14:cap="flat">
                  <w14:noFill/>
                  <w14:miter w14:lim="400000"/>
                </w14:textOutline>
              </w:rPr>
              <w:t xml:space="preserve"> </w:t>
            </w:r>
            <w:r>
              <w:rPr>
                <w:rStyle w:val="None"/>
                <w:rFonts w:ascii="Arial" w:hAnsi="Arial"/>
                <w:sz w:val="22"/>
                <w:szCs w:val="22"/>
                <w:rtl w:val="0"/>
                <w:lang w:val="en-US"/>
                <w14:textOutline w14:w="12700" w14:cap="flat">
                  <w14:noFill/>
                  <w14:miter w14:lim="400000"/>
                </w14:textOutline>
              </w:rPr>
              <w:t>Email:</w:t>
            </w:r>
            <w:r>
              <w:rPr>
                <w:rStyle w:val="None"/>
                <w:rFonts w:ascii="Arial" w:hAnsi="Arial"/>
                <w:sz w:val="22"/>
                <w:szCs w:val="22"/>
                <w:rtl w:val="0"/>
                <w:lang w:val="en-US"/>
                <w14:textOutline w14:w="12700" w14:cap="flat">
                  <w14:noFill/>
                  <w14:miter w14:lim="400000"/>
                </w14:textOutline>
              </w:rPr>
              <w:t xml:space="preserve"> </w:t>
            </w:r>
            <w:r>
              <w:rPr>
                <w:rStyle w:val="Hyperlink.2"/>
                <w:rFonts w:ascii="Arial" w:cs="Arial" w:hAnsi="Arial" w:eastAsia="Arial"/>
              </w:rPr>
              <w:fldChar w:fldCharType="begin" w:fldLock="0"/>
            </w:r>
            <w:r>
              <w:rPr>
                <w:rStyle w:val="Hyperlink.2"/>
                <w:rFonts w:ascii="Arial" w:cs="Arial" w:hAnsi="Arial" w:eastAsia="Arial"/>
              </w:rPr>
              <w:instrText xml:space="preserve"> HYPERLINK "mailto:2014856@student.uwtsd.ac.uk"</w:instrText>
            </w:r>
            <w:r>
              <w:rPr>
                <w:rStyle w:val="Hyperlink.2"/>
                <w:rFonts w:ascii="Arial" w:cs="Arial" w:hAnsi="Arial" w:eastAsia="Arial"/>
              </w:rPr>
              <w:fldChar w:fldCharType="separate" w:fldLock="0"/>
            </w:r>
            <w:r>
              <w:rPr>
                <w:rStyle w:val="Hyperlink.2"/>
                <w:rFonts w:ascii="Arial" w:hAnsi="Arial"/>
                <w:rtl w:val="0"/>
                <w:lang w:val="nl-NL"/>
              </w:rPr>
              <w:t>2014856@student.uwtsd.ac.uk</w:t>
            </w:r>
            <w:r>
              <w:rPr>
                <w:rFonts w:ascii="Arial" w:cs="Arial" w:hAnsi="Arial" w:eastAsia="Arial"/>
              </w:rPr>
              <w:fldChar w:fldCharType="end" w:fldLock="0"/>
            </w:r>
          </w:p>
        </w:tc>
      </w:tr>
      <w:tr>
        <w:tblPrEx>
          <w:shd w:val="clear" w:color="auto" w:fill="cadfff"/>
        </w:tblPrEx>
        <w:trPr>
          <w:trHeight w:val="145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outline w:val="0"/>
                <w:color w:val="373a3c"/>
                <w:sz w:val="22"/>
                <w:szCs w:val="22"/>
                <w:shd w:val="clear" w:color="auto" w:fill="ffffff"/>
                <w14:textOutline w14:w="12700" w14:cap="flat">
                  <w14:noFill/>
                  <w14:miter w14:lim="400000"/>
                </w14:textOutline>
                <w14:textFill>
                  <w14:solidFill>
                    <w14:srgbClr w14:val="373A3C"/>
                  </w14:solidFill>
                </w14:textFill>
              </w:rPr>
            </w:pPr>
            <w:r>
              <w:rPr>
                <w:rStyle w:val="None"/>
                <w:rFonts w:ascii="Arial" w:hAnsi="Arial"/>
                <w:outline w:val="0"/>
                <w:color w:val="000000"/>
                <w:sz w:val="22"/>
                <w:szCs w:val="22"/>
                <w:shd w:val="nil" w:color="auto" w:fill="auto"/>
                <w:rtl w:val="0"/>
                <w:lang w:val="en-US"/>
                <w14:textOutline w14:w="12700" w14:cap="flat">
                  <w14:noFill/>
                  <w14:miter w14:lim="400000"/>
                </w14:textOutline>
                <w14:textFill>
                  <w14:solidFill>
                    <w14:srgbClr w14:val="000000"/>
                  </w14:solidFill>
                </w14:textFill>
              </w:rPr>
              <w:t xml:space="preserve">Module code: </w:t>
              <w:tab/>
              <w:t>HPCA7015</w:t>
            </w:r>
          </w:p>
          <w:p>
            <w:pPr>
              <w:pStyle w:val="Body"/>
              <w:ind w:right="34"/>
              <w:rPr>
                <w:rStyle w:val="None"/>
                <w:rFonts w:ascii="Arial" w:cs="Arial" w:hAnsi="Arial" w:eastAsia="Arial"/>
                <w:sz w:val="22"/>
                <w:szCs w:val="22"/>
                <w:shd w:val="nil" w:color="auto" w:fill="auto"/>
                <w:lang w:val="en-US"/>
                <w14:textOutline w14:w="12700" w14:cap="flat">
                  <w14:noFill/>
                  <w14:miter w14:lim="400000"/>
                </w14:textOutline>
              </w:rPr>
            </w:pPr>
          </w:p>
          <w:p>
            <w:pPr>
              <w:pStyle w:val="Body"/>
              <w:bidi w:val="0"/>
              <w:ind w:left="0" w:right="34" w:firstLine="0"/>
              <w:jc w:val="left"/>
              <w:rPr>
                <w:rtl w:val="0"/>
              </w:rPr>
            </w:pPr>
            <w:r>
              <w:rPr>
                <w:rStyle w:val="None"/>
                <w:rFonts w:ascii="Arial" w:hAnsi="Arial"/>
                <w:sz w:val="22"/>
                <w:szCs w:val="22"/>
                <w:shd w:val="nil" w:color="auto" w:fill="auto"/>
                <w:rtl w:val="0"/>
                <w:lang w:val="en-US"/>
                <w14:textOutline w14:w="12700" w14:cap="flat">
                  <w14:noFill/>
                  <w14:miter w14:lim="400000"/>
                </w14:textOutline>
              </w:rPr>
              <w:t>Module title: Foundations on Cultural Astronomy ans Astrology</w:t>
            </w:r>
            <w:r>
              <w:rPr>
                <w:rStyle w:val="None"/>
                <w:rFonts w:ascii="Arial" w:cs="Arial" w:hAnsi="Arial" w:eastAsia="Arial"/>
                <w:sz w:val="22"/>
                <w:szCs w:val="22"/>
                <w:shd w:val="nil" w:color="auto" w:fill="auto"/>
                <w14:textOutline w14:w="12700" w14:cap="flat">
                  <w14:noFill/>
                  <w14:miter w14:lim="400000"/>
                </w14:textOutline>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shd w:val="nil" w:color="auto" w:fill="auto"/>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Student ID number:</w:t>
            </w:r>
          </w:p>
          <w:p>
            <w:pPr>
              <w:pStyle w:val="Header &amp; Footer"/>
              <w:bidi w:val="0"/>
              <w:ind w:left="0" w:right="0" w:firstLine="0"/>
              <w:jc w:val="left"/>
              <w:rPr>
                <w:rtl w:val="0"/>
              </w:rPr>
            </w:pPr>
            <w:r>
              <w:rPr>
                <w:rStyle w:val="None"/>
                <w:rFonts w:ascii="Cambria" w:hAnsi="Cambria"/>
                <w:sz w:val="22"/>
                <w:szCs w:val="22"/>
                <w:shd w:val="nil" w:color="auto" w:fill="auto"/>
                <w:rtl w:val="0"/>
                <w:lang w:val="en-US"/>
              </w:rPr>
              <w:t>2014856</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shd w:val="nil" w:color="auto" w:fill="auto"/>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Educational support needs:</w:t>
            </w:r>
          </w:p>
          <w:p>
            <w:pPr>
              <w:pStyle w:val="Body"/>
              <w:bidi w:val="0"/>
              <w:ind w:left="0" w:right="34" w:firstLine="0"/>
              <w:jc w:val="left"/>
              <w:rPr>
                <w:rtl w:val="0"/>
              </w:rPr>
            </w:pPr>
            <w:r>
              <w:rPr>
                <w:rStyle w:val="None"/>
                <w:rFonts w:ascii="Arial" w:hAnsi="Arial"/>
                <w:sz w:val="22"/>
                <w:szCs w:val="22"/>
                <w:shd w:val="nil" w:color="auto" w:fill="auto"/>
                <w:rtl w:val="0"/>
                <w:lang w:val="en-US"/>
                <w14:textOutline w14:w="12700" w14:cap="flat">
                  <w14:noFill/>
                  <w14:miter w14:lim="400000"/>
                </w14:textOutline>
              </w:rPr>
              <w:t>Yes/</w:t>
            </w:r>
            <w:r>
              <w:rPr>
                <w:rStyle w:val="None"/>
                <w:rFonts w:ascii="Arial" w:hAnsi="Arial"/>
                <w:b w:val="1"/>
                <w:bCs w:val="1"/>
                <w:sz w:val="22"/>
                <w:szCs w:val="22"/>
                <w:rtl w:val="0"/>
                <w:lang w:val="en-US"/>
                <w14:textOutline w14:w="12700" w14:cap="flat">
                  <w14:noFill/>
                  <w14:miter w14:lim="400000"/>
                </w14:textOutline>
              </w:rPr>
              <w:t>No</w:t>
            </w:r>
          </w:p>
        </w:tc>
      </w:tr>
      <w:tr>
        <w:tblPrEx>
          <w:shd w:val="clear" w:color="auto" w:fill="cadfff"/>
        </w:tblPrEx>
        <w:trPr>
          <w:trHeight w:val="98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Body"/>
              <w:ind w:right="34"/>
              <w:rPr>
                <w:rStyle w:val="None"/>
                <w:rFonts w:ascii="Arial" w:cs="Arial" w:hAnsi="Arial" w:eastAsia="Arial"/>
                <w:sz w:val="22"/>
                <w:szCs w:val="22"/>
                <w:shd w:val="nil" w:color="auto" w:fill="auto"/>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Assignment title: A Critical Comparison of Two JSTOR Papers</w:t>
            </w:r>
          </w:p>
          <w:p>
            <w:pPr>
              <w:pStyle w:val="Body"/>
              <w:ind w:right="34"/>
              <w:rPr>
                <w:rStyle w:val="None"/>
                <w:rFonts w:ascii="Arial" w:cs="Arial" w:hAnsi="Arial" w:eastAsia="Arial"/>
                <w:sz w:val="22"/>
                <w:szCs w:val="22"/>
                <w:shd w:val="nil" w:color="auto" w:fill="auto"/>
                <w:lang w:val="en-US"/>
                <w14:textOutline w14:w="12700" w14:cap="flat">
                  <w14:noFill/>
                  <w14:miter w14:lim="400000"/>
                </w14:textOutline>
              </w:rPr>
            </w:pPr>
          </w:p>
          <w:p>
            <w:pPr>
              <w:pStyle w:val="Body"/>
              <w:ind w:right="34"/>
              <w:rPr>
                <w:rStyle w:val="None"/>
                <w:rFonts w:ascii="Arial" w:cs="Arial" w:hAnsi="Arial" w:eastAsia="Arial"/>
                <w:sz w:val="22"/>
                <w:szCs w:val="22"/>
                <w:shd w:val="nil" w:color="auto" w:fill="auto"/>
                <w:lang w:val="en-US"/>
                <w14:textOutline w14:w="12700" w14:cap="flat">
                  <w14:noFill/>
                  <w14:miter w14:lim="400000"/>
                </w14:textOutline>
              </w:rPr>
            </w:pPr>
          </w:p>
          <w:p>
            <w:pPr>
              <w:pStyle w:val="Body"/>
              <w:bidi w:val="0"/>
              <w:ind w:left="0" w:right="34" w:firstLine="0"/>
              <w:jc w:val="left"/>
              <w:rPr>
                <w:rtl w:val="0"/>
              </w:rPr>
            </w:pPr>
            <w:r>
              <w:rPr>
                <w:rStyle w:val="None"/>
                <w:rFonts w:ascii="Arial" w:hAnsi="Arial"/>
                <w:sz w:val="22"/>
                <w:szCs w:val="22"/>
                <w:shd w:val="nil" w:color="auto" w:fill="auto"/>
                <w:rtl w:val="0"/>
                <w:lang w:val="en-US"/>
                <w14:textOutline w14:w="12700" w14:cap="flat">
                  <w14:noFill/>
                  <w14:miter w14:lim="400000"/>
                </w14:textOutline>
              </w:rPr>
              <w:t>Assignment due date: 4 November 2021</w:t>
            </w:r>
          </w:p>
        </w:tc>
      </w:tr>
      <w:tr>
        <w:tblPrEx>
          <w:shd w:val="clear" w:color="auto" w:fill="cadfff"/>
        </w:tblPrEx>
        <w:trPr>
          <w:trHeight w:val="82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 xml:space="preserve">This assignment is for the       </w:t>
            </w:r>
            <w:r>
              <w:rPr>
                <w:rStyle w:val="None"/>
                <w:rFonts w:ascii="Arial" w:hAnsi="Arial"/>
                <w:b w:val="1"/>
                <w:bCs w:val="1"/>
                <w:shd w:val="nil" w:color="auto" w:fill="auto"/>
                <w:rtl w:val="0"/>
                <w:lang w:val="en-US"/>
              </w:rPr>
              <w:t>1</w:t>
            </w:r>
            <w:r>
              <w:rPr>
                <w:rStyle w:val="None"/>
                <w:rFonts w:ascii="Arial" w:hAnsi="Arial"/>
                <w:b w:val="1"/>
                <w:bCs w:val="1"/>
                <w:shd w:val="nil" w:color="auto" w:fill="auto"/>
                <w:vertAlign w:val="superscript"/>
                <w:rtl w:val="0"/>
                <w:lang w:val="en-US"/>
              </w:rPr>
              <w:t>st</w:t>
            </w:r>
            <w:r>
              <w:rPr>
                <w:rStyle w:val="None"/>
                <w:rFonts w:ascii="Arial" w:hAnsi="Arial"/>
                <w:shd w:val="nil" w:color="auto" w:fill="auto"/>
                <w:vertAlign w:val="superscript"/>
                <w:rtl w:val="0"/>
                <w:lang w:val="en-US"/>
              </w:rPr>
              <w:t xml:space="preserve"> </w:t>
            </w:r>
            <w:r>
              <w:rPr>
                <w:rStyle w:val="None"/>
                <w:rFonts w:ascii="Arial" w:hAnsi="Arial"/>
                <w:shd w:val="nil" w:color="auto" w:fill="auto"/>
                <w:rtl w:val="0"/>
                <w:lang w:val="en-US"/>
              </w:rPr>
              <w:t xml:space="preserve">    2</w:t>
            </w:r>
            <w:r>
              <w:rPr>
                <w:rStyle w:val="None"/>
                <w:rFonts w:ascii="Arial" w:hAnsi="Arial"/>
                <w:shd w:val="nil" w:color="auto" w:fill="auto"/>
                <w:vertAlign w:val="superscript"/>
                <w:rtl w:val="0"/>
                <w:lang w:val="en-US"/>
              </w:rPr>
              <w:t>nd</w:t>
            </w:r>
            <w:r>
              <w:rPr>
                <w:rStyle w:val="None"/>
                <w:rFonts w:ascii="Arial" w:hAnsi="Arial"/>
                <w:shd w:val="nil" w:color="auto" w:fill="auto"/>
                <w:rtl w:val="0"/>
                <w:lang w:val="en-US"/>
              </w:rPr>
              <w:t xml:space="preserve">       3</w:t>
            </w:r>
            <w:r>
              <w:rPr>
                <w:rStyle w:val="None"/>
                <w:rFonts w:ascii="Arial" w:hAnsi="Arial"/>
                <w:shd w:val="nil" w:color="auto" w:fill="auto"/>
                <w:vertAlign w:val="superscript"/>
                <w:rtl w:val="0"/>
                <w:lang w:val="en-US"/>
              </w:rPr>
              <w:t>rd</w:t>
            </w:r>
            <w:r>
              <w:rPr>
                <w:rStyle w:val="None"/>
                <w:rFonts w:ascii="Arial" w:hAnsi="Arial"/>
                <w:shd w:val="nil" w:color="auto" w:fill="auto"/>
                <w:rtl w:val="0"/>
                <w:lang w:val="en-US"/>
              </w:rPr>
              <w:t xml:space="preserve">        4</w:t>
            </w:r>
            <w:r>
              <w:rPr>
                <w:rStyle w:val="None"/>
                <w:rFonts w:ascii="Arial" w:hAnsi="Arial"/>
                <w:shd w:val="nil" w:color="auto" w:fill="auto"/>
                <w:vertAlign w:val="superscript"/>
                <w:rtl w:val="0"/>
                <w:lang w:val="en-US"/>
              </w:rPr>
              <w:t>th</w:t>
            </w:r>
            <w:r>
              <w:rPr>
                <w:rStyle w:val="None"/>
                <w:rFonts w:ascii="Arial" w:hAnsi="Arial"/>
                <w:shd w:val="nil" w:color="auto" w:fill="auto"/>
                <w:rtl w:val="0"/>
                <w:lang w:val="en-US"/>
              </w:rPr>
              <w:t xml:space="preserve">       5</w:t>
            </w:r>
            <w:r>
              <w:rPr>
                <w:rStyle w:val="None"/>
                <w:rFonts w:ascii="Arial" w:hAnsi="Arial"/>
                <w:shd w:val="nil" w:color="auto" w:fill="auto"/>
                <w:vertAlign w:val="superscript"/>
                <w:rtl w:val="0"/>
                <w:lang w:val="en-US"/>
              </w:rPr>
              <w:t>th</w:t>
            </w:r>
            <w:r>
              <w:rPr>
                <w:rStyle w:val="None"/>
                <w:rFonts w:ascii="Arial" w:hAnsi="Arial"/>
                <w:shd w:val="nil" w:color="auto" w:fill="auto"/>
                <w:rtl w:val="0"/>
                <w:lang w:val="en-US"/>
              </w:rPr>
              <w:t xml:space="preserve">       6</w:t>
            </w:r>
            <w:r>
              <w:rPr>
                <w:rStyle w:val="None"/>
                <w:rFonts w:ascii="Arial" w:hAnsi="Arial"/>
                <w:shd w:val="nil" w:color="auto" w:fill="auto"/>
                <w:vertAlign w:val="superscript"/>
                <w:rtl w:val="0"/>
                <w:lang w:val="en-US"/>
              </w:rPr>
              <w:t>th</w:t>
            </w:r>
            <w:r>
              <w:rPr>
                <w:rStyle w:val="None"/>
                <w:rFonts w:ascii="Arial" w:hAnsi="Arial"/>
                <w:shd w:val="nil" w:color="auto" w:fill="auto"/>
                <w:rtl w:val="0"/>
                <w:lang w:val="en-US"/>
              </w:rPr>
              <w:t xml:space="preserve"> </w:t>
            </w:r>
            <w:r>
              <w:rPr>
                <w:rStyle w:val="None"/>
                <w:rFonts w:ascii="Arial" w:hAnsi="Arial"/>
                <w:b w:val="1"/>
                <w:bCs w:val="1"/>
                <w:shd w:val="nil" w:color="auto" w:fill="auto"/>
                <w:rtl w:val="0"/>
                <w:lang w:val="en-US"/>
              </w:rPr>
              <w:t xml:space="preserve">   </w:t>
            </w:r>
            <w:r>
              <w:rPr>
                <w:rStyle w:val="None"/>
                <w:rFonts w:ascii="Arial" w:hAnsi="Arial"/>
                <w:shd w:val="nil" w:color="auto" w:fill="auto"/>
                <w:rtl w:val="0"/>
                <w:lang w:val="en-US"/>
              </w:rPr>
              <w:t>module of the degree</w:t>
            </w:r>
          </w:p>
        </w:tc>
      </w:tr>
      <w:tr>
        <w:tblPrEx>
          <w:shd w:val="clear" w:color="auto" w:fill="cadfff"/>
        </w:tblPrEx>
        <w:trPr>
          <w:trHeight w:val="1547"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Body"/>
              <w:ind w:right="34"/>
              <w:rPr>
                <w:rStyle w:val="None"/>
                <w:rFonts w:ascii="Arial" w:cs="Arial" w:hAnsi="Arial" w:eastAsia="Arial"/>
                <w:sz w:val="22"/>
                <w:szCs w:val="22"/>
                <w:shd w:val="nil" w:color="auto" w:fill="auto"/>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I confirm that this is my original work and that I have adhered to the University policy on plagiarism.</w:t>
            </w:r>
          </w:p>
          <w:p>
            <w:pPr>
              <w:pStyle w:val="Body"/>
              <w:bidi w:val="0"/>
              <w:ind w:left="0" w:right="34" w:firstLine="0"/>
              <w:jc w:val="left"/>
              <w:rPr>
                <w:rStyle w:val="None"/>
                <w:rFonts w:ascii="Arial" w:cs="Arial" w:hAnsi="Arial" w:eastAsia="Arial"/>
                <w:b w:val="1"/>
                <w:bCs w:val="1"/>
                <w:sz w:val="22"/>
                <w:szCs w:val="22"/>
                <w:rtl w:val="0"/>
                <w:lang w:val="en-US"/>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Signed</w:t>
            </w:r>
            <w:r>
              <w:rPr>
                <w:rStyle w:val="None"/>
                <w:rFonts w:ascii="Arial" w:hAnsi="Arial"/>
                <w:sz w:val="22"/>
                <w:szCs w:val="22"/>
                <w:shd w:val="nil" w:color="auto" w:fill="auto"/>
                <w:rtl w:val="0"/>
                <w:lang w:val="en-US"/>
                <w14:textOutline w14:w="12700" w14:cap="flat">
                  <w14:noFill/>
                  <w14:miter w14:lim="400000"/>
                </w14:textOutline>
              </w:rPr>
              <w:t xml:space="preserve">: </w:t>
            </w:r>
            <w:r>
              <w:rPr>
                <w:rStyle w:val="None"/>
                <w:rFonts w:ascii="Arial" w:hAnsi="Arial"/>
                <w:b w:val="1"/>
                <w:bCs w:val="1"/>
                <w:sz w:val="22"/>
                <w:szCs w:val="22"/>
                <w:rtl w:val="0"/>
                <w:lang w:val="en-US"/>
                <w14:textOutline w14:w="12700" w14:cap="flat">
                  <w14:noFill/>
                  <w14:miter w14:lim="400000"/>
                </w14:textOutline>
              </w:rPr>
              <w:t>Thais Coca</w:t>
            </w:r>
          </w:p>
          <w:p>
            <w:pPr>
              <w:pStyle w:val="Body"/>
              <w:bidi w:val="0"/>
              <w:ind w:left="0" w:right="34" w:firstLine="0"/>
              <w:jc w:val="left"/>
              <w:rPr>
                <w:rStyle w:val="None"/>
                <w:rFonts w:ascii="Arial" w:cs="Arial" w:hAnsi="Arial" w:eastAsia="Arial"/>
                <w:b w:val="1"/>
                <w:bCs w:val="1"/>
                <w:sz w:val="22"/>
                <w:szCs w:val="22"/>
                <w:rtl w:val="0"/>
                <w:lang w:val="en-US"/>
                <w14:textOutline w14:w="12700" w14:cap="flat">
                  <w14:noFill/>
                  <w14:miter w14:lim="400000"/>
                </w14:textOutline>
              </w:rPr>
            </w:pPr>
          </w:p>
          <w:p>
            <w:pPr>
              <w:pStyle w:val="Body"/>
              <w:bidi w:val="0"/>
              <w:ind w:left="0" w:right="34" w:firstLine="0"/>
              <w:jc w:val="left"/>
              <w:rPr>
                <w:rStyle w:val="None"/>
                <w:rFonts w:ascii="Arial" w:cs="Arial" w:hAnsi="Arial" w:eastAsia="Arial"/>
                <w:sz w:val="22"/>
                <w:szCs w:val="22"/>
                <w:shd w:val="nil" w:color="auto" w:fill="auto"/>
                <w:rtl w:val="0"/>
                <w14:textOutline w14:w="12700" w14:cap="flat">
                  <w14:noFill/>
                  <w14:miter w14:lim="400000"/>
                </w14:textOutline>
              </w:rPr>
            </w:pPr>
            <w:r>
              <w:rPr>
                <w:rStyle w:val="None"/>
                <w:rFonts w:ascii="Arial" w:hAnsi="Arial"/>
                <w:sz w:val="24"/>
                <w:szCs w:val="24"/>
                <w:shd w:val="nil" w:color="auto" w:fill="auto"/>
                <w:rtl w:val="0"/>
                <w:lang w:val="en-US"/>
                <w14:textOutline w14:w="12700" w14:cap="flat">
                  <w14:noFill/>
                  <w14:miter w14:lim="400000"/>
                </w14:textOutline>
              </w:rPr>
              <w:t xml:space="preserve">Email submission:if you are submitting this form via email, please tick this box </w:t>
            </w:r>
            <w:r>
              <w:rPr>
                <w:rStyle w:val="None"/>
                <w:rFonts w:ascii="Arial" w:hAnsi="Arial" w:hint="default"/>
                <w:sz w:val="22"/>
                <w:szCs w:val="22"/>
                <w:shd w:val="nil" w:color="auto" w:fill="auto"/>
                <w:rtl w:val="0"/>
                <w:lang w:val="en-US"/>
                <w14:textOutline w14:w="12700" w14:cap="flat">
                  <w14:noFill/>
                  <w14:miter w14:lim="400000"/>
                </w14:textOutline>
              </w:rPr>
              <w:t>□</w:t>
            </w:r>
          </w:p>
          <w:p>
            <w:pPr>
              <w:pStyle w:val="Body"/>
              <w:bidi w:val="0"/>
              <w:ind w:left="0" w:right="34" w:firstLine="0"/>
              <w:jc w:val="left"/>
              <w:rPr>
                <w:rtl w:val="0"/>
              </w:rPr>
            </w:pPr>
            <w:r>
              <w:rPr>
                <w:rStyle w:val="None"/>
                <w:rFonts w:ascii="Calibri" w:hAnsi="Calibri"/>
                <w:b w:val="1"/>
                <w:bCs w:val="1"/>
                <w:shd w:val="nil" w:color="auto" w:fill="auto"/>
                <w:rtl w:val="0"/>
                <w:lang w:val="en-US"/>
                <w14:textOutline w14:w="12700" w14:cap="flat">
                  <w14:noFill/>
                  <w14:miter w14:lim="400000"/>
                </w14:textOutline>
              </w:rPr>
              <w:t>(as a substitute for your signature) to confirm that you agree to the above declaration.</w:t>
            </w:r>
          </w:p>
        </w:tc>
      </w:tr>
      <w:tr>
        <w:tblPrEx>
          <w:shd w:val="clear" w:color="auto" w:fill="cadfff"/>
        </w:tblPrEx>
        <w:trPr>
          <w:trHeight w:val="515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z w:val="24"/>
                <w:szCs w:val="24"/>
                <w:shd w:val="nil" w:color="auto" w:fill="auto"/>
                <w:lang w:val="en-US"/>
              </w:rPr>
            </w:pPr>
          </w:p>
          <w:p>
            <w:pPr>
              <w:pStyle w:val="Body A"/>
              <w:bidi w:val="0"/>
              <w:ind w:left="0" w:right="0" w:firstLine="0"/>
              <w:jc w:val="left"/>
              <w:rPr>
                <w:rStyle w:val="None"/>
                <w:rFonts w:ascii="Arial" w:cs="Arial" w:hAnsi="Arial" w:eastAsia="Arial"/>
                <w:sz w:val="24"/>
                <w:szCs w:val="24"/>
                <w:shd w:val="nil" w:color="auto" w:fill="auto"/>
                <w:rtl w:val="0"/>
              </w:rPr>
            </w:pPr>
            <w:r>
              <w:rPr>
                <w:rStyle w:val="None"/>
                <w:rFonts w:ascii="Arial" w:hAnsi="Arial"/>
                <w:b w:val="1"/>
                <w:bCs w:val="1"/>
                <w:sz w:val="24"/>
                <w:szCs w:val="24"/>
                <w:shd w:val="nil" w:color="auto" w:fill="auto"/>
                <w:rtl w:val="0"/>
                <w:lang w:val="en-US"/>
              </w:rPr>
              <w:t>Assignment Mark</w:t>
            </w:r>
          </w:p>
          <w:p>
            <w:pPr>
              <w:pStyle w:val="Body A"/>
              <w:rPr>
                <w:rStyle w:val="None"/>
                <w:rFonts w:ascii="Arial" w:cs="Arial" w:hAnsi="Arial" w:eastAsia="Arial"/>
                <w:sz w:val="20"/>
                <w:szCs w:val="20"/>
                <w:shd w:val="nil" w:color="auto" w:fill="auto"/>
                <w:lang w:val="en-US"/>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lang w:val="en-US"/>
              </w:rPr>
              <w:t>1</w:t>
            </w:r>
            <w:r>
              <w:rPr>
                <w:rStyle w:val="None"/>
                <w:rFonts w:ascii="Arial" w:hAnsi="Arial"/>
                <w:sz w:val="20"/>
                <w:szCs w:val="20"/>
                <w:shd w:val="nil" w:color="auto" w:fill="auto"/>
                <w:vertAlign w:val="superscript"/>
                <w:rtl w:val="0"/>
                <w:lang w:val="en-US"/>
              </w:rPr>
              <w:t>st</w:t>
            </w:r>
            <w:r>
              <w:rPr>
                <w:rStyle w:val="None"/>
                <w:rFonts w:ascii="Arial" w:hAnsi="Arial"/>
                <w:sz w:val="20"/>
                <w:szCs w:val="20"/>
                <w:shd w:val="nil" w:color="auto" w:fill="auto"/>
                <w:rtl w:val="0"/>
                <w:lang w:val="en-US"/>
              </w:rPr>
              <w:t xml:space="preserve"> Marker</w:t>
            </w:r>
            <w:r>
              <w:rPr>
                <w:rStyle w:val="None"/>
                <w:rFonts w:ascii="Arial" w:hAnsi="Arial" w:hint="default"/>
                <w:sz w:val="20"/>
                <w:szCs w:val="20"/>
                <w:shd w:val="nil" w:color="auto" w:fill="auto"/>
                <w:rtl w:val="0"/>
                <w:lang w:val="en-US"/>
              </w:rPr>
              <w:t>’</w:t>
            </w:r>
            <w:r>
              <w:rPr>
                <w:rStyle w:val="None"/>
                <w:rFonts w:ascii="Arial" w:hAnsi="Arial"/>
                <w:sz w:val="20"/>
                <w:szCs w:val="20"/>
                <w:shd w:val="nil" w:color="auto" w:fill="auto"/>
                <w:rtl w:val="0"/>
                <w:lang w:val="en-US"/>
              </w:rPr>
              <w:t>s Provisional mark</w:t>
              <w:tab/>
            </w:r>
          </w:p>
          <w:p>
            <w:pPr>
              <w:pStyle w:val="Body A"/>
              <w:rPr>
                <w:rStyle w:val="None"/>
                <w:rFonts w:ascii="Arial" w:cs="Arial" w:hAnsi="Arial" w:eastAsia="Arial"/>
                <w:sz w:val="20"/>
                <w:szCs w:val="20"/>
                <w:shd w:val="nil" w:color="auto" w:fill="auto"/>
                <w:lang w:val="en-US"/>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lang w:val="en-US"/>
              </w:rPr>
              <w:t>2</w:t>
            </w:r>
            <w:r>
              <w:rPr>
                <w:rStyle w:val="None"/>
                <w:rFonts w:ascii="Arial" w:hAnsi="Arial"/>
                <w:sz w:val="20"/>
                <w:szCs w:val="20"/>
                <w:shd w:val="nil" w:color="auto" w:fill="auto"/>
                <w:vertAlign w:val="superscript"/>
                <w:rtl w:val="0"/>
                <w:lang w:val="en-US"/>
              </w:rPr>
              <w:t>nd</w:t>
            </w:r>
            <w:r>
              <w:rPr>
                <w:rStyle w:val="None"/>
                <w:rFonts w:ascii="Arial" w:hAnsi="Arial"/>
                <w:sz w:val="20"/>
                <w:szCs w:val="20"/>
                <w:shd w:val="nil" w:color="auto" w:fill="auto"/>
                <w:rtl w:val="0"/>
                <w:lang w:val="en-US"/>
              </w:rPr>
              <w:t xml:space="preserve"> Marker</w:t>
            </w:r>
            <w:r>
              <w:rPr>
                <w:rStyle w:val="None"/>
                <w:rFonts w:ascii="Arial" w:hAnsi="Arial" w:hint="default"/>
                <w:sz w:val="20"/>
                <w:szCs w:val="20"/>
                <w:shd w:val="nil" w:color="auto" w:fill="auto"/>
                <w:rtl w:val="0"/>
                <w:lang w:val="en-US"/>
              </w:rPr>
              <w:t>’</w:t>
            </w:r>
            <w:r>
              <w:rPr>
                <w:rStyle w:val="None"/>
                <w:rFonts w:ascii="Arial" w:hAnsi="Arial"/>
                <w:sz w:val="20"/>
                <w:szCs w:val="20"/>
                <w:shd w:val="nil" w:color="auto" w:fill="auto"/>
                <w:rtl w:val="0"/>
                <w:lang w:val="en-US"/>
              </w:rPr>
              <w:t>s/Moderator</w:t>
            </w:r>
            <w:r>
              <w:rPr>
                <w:rStyle w:val="None"/>
                <w:rFonts w:ascii="Arial" w:hAnsi="Arial" w:hint="default"/>
                <w:sz w:val="20"/>
                <w:szCs w:val="20"/>
                <w:shd w:val="nil" w:color="auto" w:fill="auto"/>
                <w:rtl w:val="0"/>
                <w:lang w:val="en-US"/>
              </w:rPr>
              <w:t>’</w:t>
            </w:r>
            <w:r>
              <w:rPr>
                <w:rStyle w:val="None"/>
                <w:rFonts w:ascii="Arial" w:hAnsi="Arial"/>
                <w:sz w:val="20"/>
                <w:szCs w:val="20"/>
                <w:shd w:val="nil" w:color="auto" w:fill="auto"/>
                <w:rtl w:val="0"/>
                <w:lang w:val="en-US"/>
              </w:rPr>
              <w:t>s provisional mark</w:t>
              <w:tab/>
            </w:r>
          </w:p>
          <w:p>
            <w:pPr>
              <w:pStyle w:val="Body A"/>
              <w:rPr>
                <w:rStyle w:val="None"/>
                <w:rFonts w:ascii="Arial" w:cs="Arial" w:hAnsi="Arial" w:eastAsia="Arial"/>
                <w:sz w:val="20"/>
                <w:szCs w:val="20"/>
                <w:shd w:val="nil" w:color="auto" w:fill="auto"/>
                <w:lang w:val="en-US"/>
              </w:rPr>
            </w:pPr>
          </w:p>
          <w:p>
            <w:pPr>
              <w:pStyle w:val="Body A"/>
              <w:bidi w:val="0"/>
              <w:ind w:left="0" w:right="0" w:firstLine="0"/>
              <w:jc w:val="left"/>
              <w:rPr>
                <w:rStyle w:val="None"/>
                <w:rFonts w:ascii="Arial" w:cs="Arial" w:hAnsi="Arial" w:eastAsia="Arial"/>
                <w:sz w:val="20"/>
                <w:szCs w:val="20"/>
                <w:shd w:val="nil" w:color="auto" w:fill="auto"/>
                <w:rtl w:val="0"/>
              </w:rPr>
            </w:pPr>
            <w:r>
              <w:rPr>
                <w:rStyle w:val="None"/>
                <w:rFonts w:ascii="Arial" w:hAnsi="Arial"/>
                <w:sz w:val="20"/>
                <w:szCs w:val="20"/>
                <w:shd w:val="nil" w:color="auto" w:fill="auto"/>
                <w:rtl w:val="0"/>
                <w:lang w:val="en-US"/>
              </w:rPr>
              <w:t>External Examiner</w:t>
            </w:r>
            <w:r>
              <w:rPr>
                <w:rStyle w:val="None"/>
                <w:rFonts w:ascii="Arial" w:hAnsi="Arial" w:hint="default"/>
                <w:sz w:val="20"/>
                <w:szCs w:val="20"/>
                <w:shd w:val="nil" w:color="auto" w:fill="auto"/>
                <w:rtl w:val="0"/>
                <w:lang w:val="en-US"/>
              </w:rPr>
              <w:t>’</w:t>
            </w:r>
            <w:r>
              <w:rPr>
                <w:rStyle w:val="None"/>
                <w:rFonts w:ascii="Arial" w:hAnsi="Arial"/>
                <w:sz w:val="20"/>
                <w:szCs w:val="20"/>
                <w:shd w:val="nil" w:color="auto" w:fill="auto"/>
                <w:rtl w:val="0"/>
                <w:lang w:val="en-US"/>
              </w:rPr>
              <w:t>s mark (if relevant)</w:t>
              <w:tab/>
            </w:r>
          </w:p>
          <w:p>
            <w:pPr>
              <w:pStyle w:val="Body A"/>
              <w:rPr>
                <w:rStyle w:val="None"/>
                <w:rFonts w:ascii="Arial" w:cs="Arial" w:hAnsi="Arial" w:eastAsia="Arial"/>
                <w:sz w:val="20"/>
                <w:szCs w:val="20"/>
                <w:shd w:val="nil" w:color="auto" w:fill="auto"/>
                <w:lang w:val="en-US"/>
              </w:rPr>
            </w:pPr>
          </w:p>
          <w:p>
            <w:pPr>
              <w:pStyle w:val="Body A"/>
              <w:bidi w:val="0"/>
              <w:ind w:left="0" w:right="0" w:firstLine="0"/>
              <w:jc w:val="left"/>
              <w:rPr>
                <w:rStyle w:val="None"/>
                <w:rFonts w:ascii="Arial" w:cs="Arial" w:hAnsi="Arial" w:eastAsia="Arial"/>
                <w:b w:val="1"/>
                <w:bCs w:val="1"/>
                <w:sz w:val="20"/>
                <w:szCs w:val="20"/>
                <w:shd w:val="nil" w:color="auto" w:fill="auto"/>
                <w:rtl w:val="0"/>
              </w:rPr>
            </w:pPr>
            <w:r>
              <w:rPr>
                <w:rStyle w:val="None"/>
                <w:rFonts w:ascii="Arial" w:hAnsi="Arial"/>
                <w:b w:val="1"/>
                <w:bCs w:val="1"/>
                <w:sz w:val="20"/>
                <w:szCs w:val="20"/>
                <w:shd w:val="nil" w:color="auto" w:fill="auto"/>
                <w:rtl w:val="0"/>
                <w:lang w:val="en-US"/>
              </w:rPr>
              <w:t>Final Mark</w:t>
            </w:r>
          </w:p>
          <w:p>
            <w:pPr>
              <w:pStyle w:val="Body A"/>
              <w:bidi w:val="0"/>
              <w:ind w:left="0" w:right="0" w:firstLine="0"/>
              <w:jc w:val="left"/>
              <w:rPr>
                <w:rStyle w:val="None"/>
                <w:rFonts w:ascii="Arial" w:cs="Arial" w:hAnsi="Arial" w:eastAsia="Arial"/>
                <w:b w:val="1"/>
                <w:bCs w:val="1"/>
                <w:sz w:val="20"/>
                <w:szCs w:val="20"/>
                <w:shd w:val="nil" w:color="auto" w:fill="auto"/>
                <w:rtl w:val="0"/>
              </w:rPr>
            </w:pPr>
            <w:r>
              <w:rPr>
                <w:rStyle w:val="None"/>
                <w:rFonts w:ascii="Arial" w:cs="Arial" w:hAnsi="Arial" w:eastAsia="Arial"/>
                <w:b w:val="1"/>
                <w:bCs w:val="1"/>
                <w:sz w:val="20"/>
                <w:szCs w:val="20"/>
                <w:shd w:val="nil" w:color="auto" w:fill="auto"/>
              </w:rPr>
              <w:tab/>
            </w:r>
          </w:p>
          <w:p>
            <w:pPr>
              <w:pStyle w:val="Body"/>
              <w:ind w:left="142" w:right="34" w:firstLine="0"/>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bidi w:val="0"/>
              <w:ind w:left="142" w:right="34" w:firstLine="0"/>
              <w:jc w:val="left"/>
              <w:rPr>
                <w:rStyle w:val="None"/>
                <w:rFonts w:ascii="Arial" w:cs="Arial" w:hAnsi="Arial" w:eastAsia="Arial"/>
                <w:sz w:val="22"/>
                <w:szCs w:val="22"/>
                <w:shd w:val="nil" w:color="auto" w:fill="auto"/>
                <w:rtl w:val="0"/>
                <w14:textOutline w14:w="12700" w14:cap="flat">
                  <w14:noFill/>
                  <w14:miter w14:lim="400000"/>
                </w14:textOutline>
              </w:rPr>
            </w:pPr>
            <w:r>
              <w:rPr>
                <w:rStyle w:val="None"/>
                <w:rFonts w:ascii="Arial" w:hAnsi="Arial"/>
                <w:b w:val="1"/>
                <w:bCs w:val="1"/>
                <w:sz w:val="22"/>
                <w:szCs w:val="22"/>
                <w:shd w:val="nil" w:color="auto" w:fill="auto"/>
                <w:rtl w:val="0"/>
                <w:lang w:val="en-US"/>
                <w14:textOutline w14:w="12700" w14:cap="flat">
                  <w14:noFill/>
                  <w14:miter w14:lim="400000"/>
                </w14:textOutline>
              </w:rPr>
              <w:t>NB.</w:t>
            </w:r>
            <w:r>
              <w:rPr>
                <w:rStyle w:val="None"/>
                <w:rFonts w:ascii="Arial" w:hAnsi="Arial"/>
                <w:sz w:val="22"/>
                <w:szCs w:val="22"/>
                <w:shd w:val="nil" w:color="auto" w:fill="auto"/>
                <w:rtl w:val="0"/>
                <w:lang w:val="en-US"/>
                <w14:textOutline w14:w="12700" w14:cap="flat">
                  <w14:noFill/>
                  <w14:miter w14:lim="400000"/>
                </w14:textOutline>
              </w:rPr>
              <w:t xml:space="preserve">  All marks are provisional until confirmed by the Final Examination Board.</w:t>
            </w: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bidi w:val="0"/>
              <w:ind w:left="0" w:right="0" w:firstLine="0"/>
              <w:jc w:val="left"/>
              <w:rPr>
                <w:rStyle w:val="None"/>
                <w:rFonts w:ascii="Arial" w:cs="Arial" w:hAnsi="Arial" w:eastAsia="Arial"/>
                <w:b w:val="1"/>
                <w:bCs w:val="1"/>
                <w:sz w:val="22"/>
                <w:szCs w:val="22"/>
                <w:shd w:val="nil" w:color="auto" w:fill="auto"/>
                <w:rtl w:val="0"/>
                <w14:textOutline w14:w="12700" w14:cap="flat">
                  <w14:noFill/>
                  <w14:miter w14:lim="400000"/>
                </w14:textOutline>
              </w:rPr>
            </w:pPr>
            <w:r>
              <w:rPr>
                <w:rStyle w:val="None"/>
                <w:rFonts w:ascii="Arial" w:hAnsi="Arial"/>
                <w:b w:val="1"/>
                <w:bCs w:val="1"/>
                <w:sz w:val="22"/>
                <w:szCs w:val="22"/>
                <w:shd w:val="nil" w:color="auto" w:fill="auto"/>
                <w:rtl w:val="0"/>
                <w:lang w:val="en-US"/>
                <w14:textOutline w14:w="12700" w14:cap="flat">
                  <w14:noFill/>
                  <w14:miter w14:lim="400000"/>
                </w14:textOutline>
              </w:rPr>
              <w:t>For completion by Marker 1 :</w:t>
            </w:r>
          </w:p>
          <w:p>
            <w:pPr>
              <w:pStyle w:val="Body"/>
              <w:bidi w:val="0"/>
              <w:spacing w:before="100" w:after="100"/>
              <w:ind w:left="0" w:right="0" w:firstLine="0"/>
              <w:jc w:val="left"/>
              <w:rPr>
                <w:rtl w:val="0"/>
              </w:rPr>
            </w:pPr>
            <w:r>
              <w:rPr>
                <w:rStyle w:val="None"/>
                <w:rFonts w:ascii="Arial" w:hAnsi="Arial"/>
                <w:sz w:val="22"/>
                <w:szCs w:val="22"/>
                <w:shd w:val="nil" w:color="auto" w:fill="auto"/>
                <w:rtl w:val="0"/>
                <w:lang w:val="en-US"/>
                <w14:textOutline w14:w="12700" w14:cap="flat">
                  <w14:noFill/>
                  <w14:miter w14:lim="400000"/>
                </w14:textOutline>
              </w:rPr>
              <w:t>Comments:</w:t>
            </w:r>
          </w:p>
        </w:tc>
      </w:tr>
      <w:tr>
        <w:tblPrEx>
          <w:shd w:val="clear" w:color="auto" w:fill="cadfff"/>
        </w:tblPrEx>
        <w:trPr>
          <w:trHeight w:val="34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Body"/>
              <w:spacing w:before="100" w:after="100"/>
              <w:ind w:left="142" w:right="34" w:firstLine="0"/>
            </w:pPr>
            <w:r>
              <w:rPr>
                <w:rStyle w:val="None"/>
                <w:rFonts w:ascii="Arial" w:hAnsi="Arial"/>
                <w:sz w:val="22"/>
                <w:szCs w:val="22"/>
                <w:shd w:val="nil" w:color="auto" w:fill="auto"/>
                <w:rtl w:val="0"/>
                <w:lang w:val="en-US"/>
                <w14:textOutline w14:w="12700" w14:cap="flat">
                  <w14:noFill/>
                  <w14:miter w14:lim="400000"/>
                </w14:textOutline>
              </w:rPr>
              <w:t>Marker</w:t>
            </w:r>
            <w:r>
              <w:rPr>
                <w:rStyle w:val="None"/>
                <w:rFonts w:ascii="Arial" w:hAnsi="Arial" w:hint="default"/>
                <w:sz w:val="22"/>
                <w:szCs w:val="22"/>
                <w:shd w:val="nil" w:color="auto" w:fill="auto"/>
                <w:rtl w:val="0"/>
                <w:lang w:val="en-US"/>
                <w14:textOutline w14:w="12700" w14:cap="flat">
                  <w14:noFill/>
                  <w14:miter w14:lim="400000"/>
                </w14:textOutline>
              </w:rPr>
              <w:t>’</w:t>
            </w:r>
            <w:r>
              <w:rPr>
                <w:rStyle w:val="None"/>
                <w:rFonts w:ascii="Arial" w:hAnsi="Arial"/>
                <w:sz w:val="22"/>
                <w:szCs w:val="22"/>
                <w:shd w:val="nil" w:color="auto" w:fill="auto"/>
                <w:rtl w:val="0"/>
                <w:lang w:val="en-US"/>
                <w14:textOutline w14:w="12700" w14:cap="flat">
                  <w14:noFill/>
                  <w14:miter w14:lim="400000"/>
                </w14:textOutline>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pStyle w:val="Body"/>
              <w:spacing w:before="100" w:after="100"/>
              <w:ind w:left="142" w:right="34" w:firstLine="0"/>
            </w:pPr>
            <w:r>
              <w:rPr>
                <w:rStyle w:val="None"/>
                <w:rFonts w:ascii="Arial" w:hAnsi="Arial"/>
                <w:sz w:val="22"/>
                <w:szCs w:val="22"/>
                <w:shd w:val="nil" w:color="auto" w:fill="auto"/>
                <w:rtl w:val="0"/>
                <w:lang w:val="en-US"/>
                <w14:textOutline w14:w="12700" w14:cap="flat">
                  <w14:noFill/>
                  <w14:miter w14:lim="400000"/>
                </w14:textOutline>
              </w:rPr>
              <w:t>Date:</w:t>
            </w:r>
          </w:p>
        </w:tc>
      </w:tr>
      <w:tr>
        <w:tblPrEx>
          <w:shd w:val="clear" w:color="auto" w:fill="cadfff"/>
        </w:tblPrEx>
        <w:trPr>
          <w:trHeight w:val="385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Style w:val="None"/>
                <w:rFonts w:ascii="Arial" w:cs="Arial" w:hAnsi="Arial" w:eastAsia="Arial"/>
                <w:i w:val="1"/>
                <w:iCs w:val="1"/>
                <w:sz w:val="22"/>
                <w:szCs w:val="22"/>
                <w:shd w:val="nil" w:color="auto" w:fill="auto"/>
                <w:lang w:val="en-US"/>
                <w14:textOutline w14:w="12700" w14:cap="flat">
                  <w14:noFill/>
                  <w14:miter w14:lim="400000"/>
                </w14:textOutline>
              </w:rPr>
            </w:pPr>
          </w:p>
          <w:p>
            <w:pPr>
              <w:pStyle w:val="Body"/>
              <w:bidi w:val="0"/>
              <w:ind w:left="0" w:right="0" w:firstLine="0"/>
              <w:jc w:val="left"/>
              <w:rPr>
                <w:rStyle w:val="None"/>
                <w:rFonts w:ascii="Arial" w:cs="Arial" w:hAnsi="Arial" w:eastAsia="Arial"/>
                <w:b w:val="1"/>
                <w:bCs w:val="1"/>
                <w:sz w:val="22"/>
                <w:szCs w:val="22"/>
                <w:shd w:val="nil" w:color="auto" w:fill="auto"/>
                <w:rtl w:val="0"/>
                <w14:textOutline w14:w="12700" w14:cap="flat">
                  <w14:noFill/>
                  <w14:miter w14:lim="400000"/>
                </w14:textOutline>
              </w:rPr>
            </w:pPr>
            <w:r>
              <w:rPr>
                <w:rStyle w:val="None"/>
                <w:rFonts w:ascii="Arial" w:hAnsi="Arial"/>
                <w:b w:val="1"/>
                <w:bCs w:val="1"/>
                <w:sz w:val="22"/>
                <w:szCs w:val="22"/>
                <w:shd w:val="nil" w:color="auto" w:fill="auto"/>
                <w:rtl w:val="0"/>
                <w:lang w:val="en-US"/>
                <w14:textOutline w14:w="12700" w14:cap="flat">
                  <w14:noFill/>
                  <w14:miter w14:lim="400000"/>
                </w14:textOutline>
              </w:rPr>
              <w:t>For completion by Marker 2/Moderator:</w:t>
            </w:r>
          </w:p>
          <w:p>
            <w:pPr>
              <w:pStyle w:val="Body"/>
              <w:rPr>
                <w:rStyle w:val="None"/>
                <w:rFonts w:ascii="Arial" w:cs="Arial" w:hAnsi="Arial" w:eastAsia="Arial"/>
                <w:b w:val="1"/>
                <w:bCs w:val="1"/>
                <w:sz w:val="22"/>
                <w:szCs w:val="22"/>
                <w:shd w:val="nil" w:color="auto" w:fill="auto"/>
                <w:lang w:val="en-US"/>
                <w14:textOutline w14:w="12700" w14:cap="flat">
                  <w14:noFill/>
                  <w14:miter w14:lim="400000"/>
                </w14:textOutline>
              </w:rPr>
            </w:pPr>
          </w:p>
          <w:p>
            <w:pPr>
              <w:pStyle w:val="Body"/>
              <w:bidi w:val="0"/>
              <w:ind w:left="0" w:right="0" w:firstLine="0"/>
              <w:jc w:val="left"/>
              <w:rPr>
                <w:rStyle w:val="None"/>
                <w:rFonts w:ascii="Arial" w:cs="Arial" w:hAnsi="Arial" w:eastAsia="Arial"/>
                <w:sz w:val="22"/>
                <w:szCs w:val="22"/>
                <w:shd w:val="nil" w:color="auto" w:fill="auto"/>
                <w:rtl w:val="0"/>
                <w14:textOutline w14:w="12700" w14:cap="flat">
                  <w14:noFill/>
                  <w14:miter w14:lim="400000"/>
                </w14:textOutline>
              </w:rPr>
            </w:pPr>
            <w:r>
              <w:rPr>
                <w:rStyle w:val="None"/>
                <w:rFonts w:ascii="Arial" w:hAnsi="Arial"/>
                <w:sz w:val="22"/>
                <w:szCs w:val="22"/>
                <w:shd w:val="nil" w:color="auto" w:fill="auto"/>
                <w:rtl w:val="0"/>
                <w:lang w:val="en-US"/>
                <w14:textOutline w14:w="12700" w14:cap="flat">
                  <w14:noFill/>
                  <w14:miter w14:lim="400000"/>
                </w14:textOutline>
              </w:rPr>
              <w:t>Comments:</w:t>
            </w: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pPr>
            <w:r>
              <w:rPr>
                <w:rStyle w:val="None"/>
                <w:rFonts w:ascii="Arial" w:cs="Arial" w:hAnsi="Arial" w:eastAsia="Arial"/>
                <w:sz w:val="22"/>
                <w:szCs w:val="22"/>
                <w:shd w:val="nil" w:color="auto" w:fill="auto"/>
                <w:lang w:val="en-US"/>
                <w14:textOutline w14:w="12700" w14:cap="flat">
                  <w14:noFill/>
                  <w14:miter w14:lim="400000"/>
                </w14:textOutline>
              </w:rPr>
            </w:r>
          </w:p>
        </w:tc>
      </w:tr>
      <w:tr>
        <w:tblPrEx>
          <w:shd w:val="clear" w:color="auto" w:fill="cadfff"/>
        </w:tblPrEx>
        <w:trPr>
          <w:trHeight w:val="57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14:textOutline w14:w="12700" w14:cap="flat">
                  <w14:noFill/>
                  <w14:miter w14:lim="400000"/>
                </w14:textOutline>
              </w:rPr>
              <w:t>Marker</w:t>
            </w:r>
            <w:r>
              <w:rPr>
                <w:rStyle w:val="None"/>
                <w:rFonts w:ascii="Arial" w:hAnsi="Arial" w:hint="default"/>
                <w:sz w:val="22"/>
                <w:szCs w:val="22"/>
                <w:shd w:val="nil" w:color="auto" w:fill="auto"/>
                <w:rtl w:val="0"/>
                <w:lang w:val="en-US"/>
                <w14:textOutline w14:w="12700" w14:cap="flat">
                  <w14:noFill/>
                  <w14:miter w14:lim="400000"/>
                </w14:textOutline>
              </w:rPr>
              <w:t>’</w:t>
            </w:r>
            <w:r>
              <w:rPr>
                <w:rStyle w:val="None"/>
                <w:rFonts w:ascii="Arial" w:hAnsi="Arial"/>
                <w:sz w:val="22"/>
                <w:szCs w:val="22"/>
                <w:shd w:val="nil" w:color="auto" w:fill="auto"/>
                <w:rtl w:val="0"/>
                <w:lang w:val="en-US"/>
                <w14:textOutline w14:w="12700" w14:cap="flat">
                  <w14:noFill/>
                  <w14:miter w14:lim="400000"/>
                </w14:textOutline>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14:textOutline w14:w="12700" w14:cap="flat">
                  <w14:noFill/>
                  <w14:miter w14:lim="400000"/>
                </w14:textOutline>
              </w:rPr>
              <w:t>Date:</w:t>
            </w:r>
          </w:p>
        </w:tc>
      </w:tr>
      <w:tr>
        <w:tblPrEx>
          <w:shd w:val="clear" w:color="auto" w:fill="cadfff"/>
        </w:tblPrEx>
        <w:trPr>
          <w:trHeight w:val="289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shd w:val="nil" w:color="auto" w:fill="auto"/>
              </w:rPr>
            </w:pPr>
            <w:r>
              <w:rPr>
                <w:rStyle w:val="None"/>
                <w:rFonts w:ascii="Arial" w:hAnsi="Arial"/>
                <w:b w:val="1"/>
                <w:bCs w:val="1"/>
                <w:shd w:val="nil" w:color="auto" w:fill="auto"/>
                <w:rtl w:val="0"/>
                <w:lang w:val="en-US"/>
              </w:rPr>
              <w:t>External Examiner</w:t>
            </w:r>
            <w:r>
              <w:rPr>
                <w:rStyle w:val="None"/>
                <w:rFonts w:ascii="Arial" w:hAnsi="Arial" w:hint="default"/>
                <w:b w:val="1"/>
                <w:bCs w:val="1"/>
                <w:shd w:val="nil" w:color="auto" w:fill="auto"/>
                <w:rtl w:val="0"/>
                <w:lang w:val="en-US"/>
              </w:rPr>
              <w:t>’</w:t>
            </w:r>
            <w:r>
              <w:rPr>
                <w:rStyle w:val="None"/>
                <w:rFonts w:ascii="Arial" w:hAnsi="Arial"/>
                <w:b w:val="1"/>
                <w:bCs w:val="1"/>
                <w:shd w:val="nil" w:color="auto" w:fill="auto"/>
                <w:rtl w:val="0"/>
                <w:lang w:val="en-US"/>
              </w:rPr>
              <w:t>s comments (if relevant)</w:t>
            </w: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rPr>
                <w:rStyle w:val="None"/>
                <w:rFonts w:ascii="Arial" w:cs="Arial" w:hAnsi="Arial" w:eastAsia="Arial"/>
                <w:sz w:val="22"/>
                <w:szCs w:val="22"/>
                <w:shd w:val="nil" w:color="auto" w:fill="auto"/>
                <w:lang w:val="en-US"/>
                <w14:textOutline w14:w="12700" w14:cap="flat">
                  <w14:noFill/>
                  <w14:miter w14:lim="400000"/>
                </w14:textOutline>
              </w:rPr>
            </w:pPr>
          </w:p>
          <w:p>
            <w:pPr>
              <w:pStyle w:val="Body"/>
            </w:pPr>
            <w:r>
              <w:rPr>
                <w:rStyle w:val="None"/>
                <w:rFonts w:ascii="Arial" w:cs="Arial" w:hAnsi="Arial" w:eastAsia="Arial"/>
                <w:sz w:val="22"/>
                <w:szCs w:val="22"/>
                <w:shd w:val="nil" w:color="auto" w:fill="auto"/>
                <w:lang w:val="en-US"/>
                <w14:textOutline w14:w="12700" w14:cap="flat">
                  <w14:noFill/>
                  <w14:miter w14:lim="400000"/>
                </w14:textOutline>
              </w:rPr>
            </w:r>
          </w:p>
        </w:tc>
      </w:tr>
      <w:tr>
        <w:tblPrEx>
          <w:shd w:val="clear" w:color="auto" w:fill="cadfff"/>
        </w:tblPrEx>
        <w:trPr>
          <w:trHeight w:val="57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External Examiner</w:t>
            </w:r>
            <w:r>
              <w:rPr>
                <w:rStyle w:val="None"/>
                <w:rFonts w:ascii="Arial" w:hAnsi="Arial" w:hint="default"/>
                <w:shd w:val="nil" w:color="auto" w:fill="auto"/>
                <w:rtl w:val="0"/>
                <w:lang w:val="en-US"/>
              </w:rPr>
              <w:t>’</w:t>
            </w:r>
            <w:r>
              <w:rPr>
                <w:rStyle w:val="None"/>
                <w:rFonts w:ascii="Arial" w:hAnsi="Arial"/>
                <w:shd w:val="nil" w:color="auto" w:fill="auto"/>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hd w:val="nil" w:color="auto" w:fill="auto"/>
                <w:rtl w:val="0"/>
                <w:lang w:val="en-US"/>
              </w:rPr>
              <w:t>Date:</w:t>
            </w:r>
          </w:p>
        </w:tc>
      </w:tr>
    </w:tbl>
    <w:p>
      <w:pPr>
        <w:pStyle w:val="Footnote"/>
        <w:widowControl w:val="0"/>
        <w:ind w:left="108" w:hanging="108"/>
      </w:pPr>
      <w:r>
        <w:rPr>
          <w:rFonts w:ascii="Cambria" w:cs="Cambria" w:hAnsi="Cambria" w:eastAsia="Cambria"/>
          <w:sz w:val="20"/>
          <w:szCs w:val="20"/>
        </w:rPr>
      </w:r>
    </w:p>
    <w:sectPr>
      <w:headerReference w:type="default" r:id="rId5"/>
      <w:footerReference w:type="default" r:id="rId6"/>
      <w:pgSz w:w="11900" w:h="16840" w:orient="portrait"/>
      <w:pgMar w:top="1134" w:right="1134" w:bottom="1134" w:left="1134" w:header="709" w:footer="85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Palatino">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jc w:val="both"/>
      </w:pPr>
      <w:r>
        <w:rPr>
          <w:rFonts w:ascii="Palatino" w:cs="Palatino" w:hAnsi="Palatino" w:eastAsia="Palatino"/>
          <w:sz w:val="14"/>
          <w:szCs w:val="14"/>
          <w:vertAlign w:val="superscript"/>
        </w:rPr>
        <w:footnoteRef/>
      </w:r>
      <w:r>
        <w:rPr>
          <w:rFonts w:ascii="Palatino" w:hAnsi="Palatino"/>
          <w:sz w:val="14"/>
          <w:szCs w:val="14"/>
          <w:rtl w:val="0"/>
          <w:lang w:val="en-US"/>
        </w:rPr>
        <w:t xml:space="preserve">Duane W. Hamacher and Ray P. Norris, edited by Clive N. Ruggles, </w:t>
      </w:r>
      <w:r>
        <w:rPr>
          <w:rFonts w:ascii="Palatino" w:hAnsi="Palatino" w:hint="default"/>
          <w:sz w:val="14"/>
          <w:szCs w:val="14"/>
          <w:rtl w:val="0"/>
          <w:lang w:val="en-US"/>
        </w:rPr>
        <w:t>‘</w:t>
      </w:r>
      <w:r>
        <w:rPr>
          <w:rFonts w:ascii="Palatino" w:hAnsi="Palatino"/>
          <w:sz w:val="14"/>
          <w:szCs w:val="14"/>
          <w:rtl w:val="0"/>
          <w:lang w:val="en-US"/>
        </w:rPr>
        <w:t>Bridging The Gap</w:t>
      </w:r>
      <w:r>
        <w:rPr>
          <w:rFonts w:ascii="Palatino" w:hAnsi="Palatino" w:hint="default"/>
          <w:sz w:val="14"/>
          <w:szCs w:val="14"/>
          <w:rtl w:val="0"/>
          <w:lang w:val="en-US"/>
        </w:rPr>
        <w:t xml:space="preserve">’ </w:t>
      </w:r>
      <w:r>
        <w:rPr>
          <w:rFonts w:ascii="Palatino" w:hAnsi="Palatino"/>
          <w:sz w:val="14"/>
          <w:szCs w:val="14"/>
          <w:rtl w:val="0"/>
          <w:lang w:val="en-US"/>
        </w:rPr>
        <w:t>Through Australian Cultural Astronomy</w:t>
      </w:r>
      <w:r>
        <w:rPr>
          <w:rFonts w:ascii="Palatino" w:hAnsi="Palatino" w:hint="default"/>
          <w:sz w:val="14"/>
          <w:szCs w:val="14"/>
          <w:rtl w:val="0"/>
          <w:lang w:val="en-US"/>
        </w:rPr>
        <w:t xml:space="preserve">’ </w:t>
      </w:r>
      <w:r>
        <w:rPr>
          <w:rFonts w:ascii="Palatino" w:hAnsi="Palatino"/>
          <w:sz w:val="14"/>
          <w:szCs w:val="14"/>
          <w:rtl w:val="0"/>
          <w:lang w:val="en-US"/>
        </w:rPr>
        <w:t>(from the Proceedings IAU Symposium S278, International Astronomical Union, 2011</w:t>
      </w:r>
      <w:r>
        <w:rPr>
          <w:rFonts w:ascii="Palatino" w:hAnsi="Palatino"/>
          <w:i w:val="1"/>
          <w:iCs w:val="1"/>
          <w:sz w:val="14"/>
          <w:szCs w:val="14"/>
          <w:rtl w:val="0"/>
          <w:lang w:val="en-US"/>
        </w:rPr>
        <w:t xml:space="preserve">). </w:t>
      </w:r>
      <w:r>
        <w:rPr>
          <w:rFonts w:ascii="Palatino" w:hAnsi="Palatino" w:hint="default"/>
          <w:i w:val="1"/>
          <w:iCs w:val="1"/>
          <w:sz w:val="14"/>
          <w:szCs w:val="14"/>
          <w:rtl w:val="0"/>
          <w:lang w:val="en-US"/>
        </w:rPr>
        <w:t>‘</w:t>
      </w:r>
      <w:r>
        <w:rPr>
          <w:rFonts w:ascii="Palatino" w:hAnsi="Palatino"/>
          <w:i w:val="1"/>
          <w:iCs w:val="1"/>
          <w:sz w:val="14"/>
          <w:szCs w:val="14"/>
          <w:rtl w:val="0"/>
          <w:lang w:val="en-US"/>
        </w:rPr>
        <w:t xml:space="preserve">Oxford Ix' International Symposium on Archaeoastronomy, </w:t>
      </w:r>
      <w:r>
        <w:rPr>
          <w:rFonts w:ascii="Palatino" w:hAnsi="Palatino"/>
          <w:sz w:val="14"/>
          <w:szCs w:val="14"/>
          <w:rtl w:val="0"/>
          <w:lang w:val="en-US"/>
        </w:rPr>
        <w:t>pp. 282-290.</w:t>
      </w:r>
    </w:p>
  </w:footnote>
  <w:footnote w:id="2">
    <w:p>
      <w:pPr>
        <w:pStyle w:val="Footnote"/>
        <w:jc w:val="both"/>
      </w:pPr>
      <w:r>
        <w:rPr>
          <w:rFonts w:ascii="Palatino" w:cs="Palatino" w:hAnsi="Palatino" w:eastAsia="Palatino"/>
          <w:sz w:val="14"/>
          <w:szCs w:val="14"/>
          <w:vertAlign w:val="superscript"/>
        </w:rPr>
        <w:footnoteRef/>
      </w:r>
      <w:r>
        <w:rPr>
          <w:rFonts w:ascii="Palatino" w:hAnsi="Palatino"/>
          <w:sz w:val="14"/>
          <w:szCs w:val="14"/>
          <w:rtl w:val="0"/>
          <w:lang w:val="en-US"/>
        </w:rPr>
        <w:t xml:space="preserve"> Raymond Head,</w:t>
      </w:r>
      <w:r>
        <w:rPr>
          <w:rFonts w:ascii="Palatino" w:hAnsi="Palatino" w:hint="default"/>
          <w:sz w:val="14"/>
          <w:szCs w:val="14"/>
          <w:rtl w:val="1"/>
        </w:rPr>
        <w:t xml:space="preserve"> ‘</w:t>
      </w:r>
      <w:r>
        <w:rPr>
          <w:rFonts w:ascii="Palatino" w:hAnsi="Palatino"/>
          <w:sz w:val="14"/>
          <w:szCs w:val="14"/>
          <w:rtl w:val="0"/>
          <w:lang w:val="en-US"/>
        </w:rPr>
        <w:t xml:space="preserve">Holst - Astrology and Modernism in </w:t>
      </w:r>
      <w:r>
        <w:rPr>
          <w:rFonts w:ascii="Palatino" w:hAnsi="Palatino" w:hint="default"/>
          <w:sz w:val="14"/>
          <w:szCs w:val="14"/>
          <w:rtl w:val="1"/>
        </w:rPr>
        <w:t>‘</w:t>
      </w:r>
      <w:r>
        <w:rPr>
          <w:rFonts w:ascii="Palatino" w:hAnsi="Palatino"/>
          <w:sz w:val="14"/>
          <w:szCs w:val="14"/>
          <w:rtl w:val="0"/>
          <w:lang w:val="en-US"/>
        </w:rPr>
        <w:t>The Planets</w:t>
      </w:r>
      <w:r>
        <w:rPr>
          <w:rFonts w:ascii="Palatino" w:hAnsi="Palatino" w:hint="default"/>
          <w:sz w:val="14"/>
          <w:szCs w:val="14"/>
          <w:rtl w:val="1"/>
        </w:rPr>
        <w:t>’</w:t>
      </w:r>
      <w:r>
        <w:rPr>
          <w:rFonts w:ascii="Palatino" w:hAnsi="Palatino"/>
          <w:sz w:val="14"/>
          <w:szCs w:val="14"/>
          <w:rtl w:val="0"/>
        </w:rPr>
        <w:t xml:space="preserve">, </w:t>
      </w:r>
      <w:r>
        <w:rPr>
          <w:rFonts w:ascii="Palatino" w:hAnsi="Palatino"/>
          <w:i w:val="1"/>
          <w:iCs w:val="1"/>
          <w:sz w:val="14"/>
          <w:szCs w:val="14"/>
          <w:rtl w:val="0"/>
          <w:lang w:val="it-IT"/>
        </w:rPr>
        <w:t>Tempo</w:t>
      </w:r>
      <w:r>
        <w:rPr>
          <w:rFonts w:ascii="Palatino" w:hAnsi="Palatino"/>
          <w:sz w:val="14"/>
          <w:szCs w:val="14"/>
          <w:rtl w:val="0"/>
          <w:lang w:val="en-US"/>
        </w:rPr>
        <w:t>, New Series, n</w:t>
      </w:r>
      <w:r>
        <w:rPr>
          <w:rFonts w:ascii="Palatino" w:hAnsi="Palatino" w:hint="default"/>
          <w:sz w:val="14"/>
          <w:szCs w:val="14"/>
          <w:rtl w:val="0"/>
          <w:lang w:val="en-US"/>
        </w:rPr>
        <w:t xml:space="preserve">º </w:t>
      </w:r>
      <w:r>
        <w:rPr>
          <w:rFonts w:ascii="Palatino" w:hAnsi="Palatino"/>
          <w:sz w:val="14"/>
          <w:szCs w:val="14"/>
          <w:rtl w:val="0"/>
        </w:rPr>
        <w:t>187</w:t>
      </w:r>
      <w:r>
        <w:rPr>
          <w:rFonts w:ascii="Palatino" w:hAnsi="Palatino"/>
          <w:sz w:val="14"/>
          <w:szCs w:val="14"/>
          <w:rtl w:val="0"/>
          <w:lang w:val="en-US"/>
        </w:rPr>
        <w:t>,</w:t>
      </w:r>
      <w:r>
        <w:rPr>
          <w:rFonts w:ascii="Palatino" w:hAnsi="Palatino"/>
          <w:sz w:val="14"/>
          <w:szCs w:val="14"/>
          <w:rtl w:val="0"/>
        </w:rPr>
        <w:t xml:space="preserve"> </w:t>
      </w:r>
      <w:r>
        <w:rPr>
          <w:rFonts w:ascii="Palatino" w:hAnsi="Palatino"/>
          <w:sz w:val="14"/>
          <w:szCs w:val="14"/>
          <w:rtl w:val="0"/>
          <w:lang w:val="en-US"/>
        </w:rPr>
        <w:t>d</w:t>
      </w:r>
      <w:r>
        <w:rPr>
          <w:rFonts w:ascii="Palatino" w:hAnsi="Palatino"/>
          <w:sz w:val="14"/>
          <w:szCs w:val="14"/>
          <w:rtl w:val="0"/>
        </w:rPr>
        <w:t>ec. 1993, pp.15-22</w:t>
      </w:r>
      <w:r>
        <w:rPr>
          <w:rFonts w:ascii="Palatino" w:hAnsi="Palatino"/>
          <w:sz w:val="14"/>
          <w:szCs w:val="14"/>
          <w:rtl w:val="0"/>
          <w:lang w:val="en-US"/>
        </w:rPr>
        <w:t>.</w:t>
      </w:r>
    </w:p>
  </w:footnote>
  <w:footnote w:id="3">
    <w:p>
      <w:pPr>
        <w:pStyle w:val="Footnote"/>
        <w:jc w:val="both"/>
      </w:pPr>
      <w:r>
        <w:rPr>
          <w:rFonts w:ascii="Palatino" w:cs="Palatino" w:hAnsi="Palatino" w:eastAsia="Palatino"/>
          <w:sz w:val="14"/>
          <w:szCs w:val="14"/>
          <w:vertAlign w:val="superscript"/>
        </w:rPr>
        <w:footnoteRef/>
      </w:r>
      <w:r>
        <w:rPr>
          <w:rFonts w:ascii="Palatino" w:hAnsi="Palatino"/>
          <w:sz w:val="14"/>
          <w:szCs w:val="14"/>
          <w:rtl w:val="0"/>
        </w:rPr>
        <w:t xml:space="preserve"> </w:t>
      </w:r>
      <w:r>
        <w:rPr>
          <w:rFonts w:ascii="Palatino" w:hAnsi="Palatino"/>
          <w:sz w:val="14"/>
          <w:szCs w:val="14"/>
          <w:rtl w:val="0"/>
          <w:lang w:val="en-US"/>
        </w:rPr>
        <w:t xml:space="preserve">The International Society for Archeoastronomy and Astronomy in Culture, </w:t>
      </w:r>
      <w:r>
        <w:rPr>
          <w:rFonts w:ascii="Palatino" w:hAnsi="Palatino"/>
          <w:i w:val="1"/>
          <w:iCs w:val="1"/>
          <w:sz w:val="14"/>
          <w:szCs w:val="14"/>
          <w:rtl w:val="0"/>
          <w:lang w:val="en-US"/>
        </w:rPr>
        <w:t xml:space="preserve">The </w:t>
      </w:r>
      <w:r>
        <w:rPr>
          <w:rFonts w:ascii="Palatino" w:hAnsi="Palatino" w:hint="default"/>
          <w:i w:val="1"/>
          <w:iCs w:val="1"/>
          <w:sz w:val="14"/>
          <w:szCs w:val="14"/>
          <w:rtl w:val="0"/>
          <w:lang w:val="en-US"/>
        </w:rPr>
        <w:t>‘</w:t>
      </w:r>
      <w:r>
        <w:rPr>
          <w:rFonts w:ascii="Palatino" w:hAnsi="Palatino"/>
          <w:i w:val="1"/>
          <w:iCs w:val="1"/>
          <w:sz w:val="14"/>
          <w:szCs w:val="14"/>
          <w:rtl w:val="0"/>
          <w:lang w:val="en-US"/>
        </w:rPr>
        <w:t>Oxford</w:t>
      </w:r>
      <w:r>
        <w:rPr>
          <w:rFonts w:ascii="Palatino" w:hAnsi="Palatino" w:hint="default"/>
          <w:i w:val="1"/>
          <w:iCs w:val="1"/>
          <w:sz w:val="14"/>
          <w:szCs w:val="14"/>
          <w:rtl w:val="0"/>
          <w:lang w:val="en-US"/>
        </w:rPr>
        <w:t xml:space="preserve">’ </w:t>
      </w:r>
      <w:r>
        <w:rPr>
          <w:rFonts w:ascii="Palatino" w:hAnsi="Palatino"/>
          <w:i w:val="1"/>
          <w:iCs w:val="1"/>
          <w:sz w:val="14"/>
          <w:szCs w:val="14"/>
          <w:rtl w:val="0"/>
          <w:lang w:val="en-US"/>
        </w:rPr>
        <w:t xml:space="preserve">International Symposia on Archeoastronomy </w:t>
      </w:r>
      <w:r>
        <w:rPr>
          <w:rFonts w:ascii="Palatino" w:hAnsi="Palatino"/>
          <w:i w:val="1"/>
          <w:iCs w:val="1"/>
          <w:sz w:val="14"/>
          <w:szCs w:val="14"/>
          <w:rtl w:val="0"/>
        </w:rPr>
        <w:t xml:space="preserve">(nov. 2009) </w:t>
      </w:r>
      <w:r>
        <w:rPr>
          <w:rFonts w:ascii="Palatino" w:hAnsi="Palatino"/>
          <w:sz w:val="14"/>
          <w:szCs w:val="14"/>
          <w:rtl w:val="0"/>
          <w:lang w:val="en-US"/>
        </w:rPr>
        <w:t>&lt;</w:t>
      </w:r>
      <w:r>
        <w:rPr>
          <w:rStyle w:val="Hyperlink.0"/>
          <w:rFonts w:ascii="Palatino" w:cs="Palatino" w:hAnsi="Palatino" w:eastAsia="Palatino"/>
          <w:sz w:val="14"/>
          <w:szCs w:val="14"/>
        </w:rPr>
        <w:fldChar w:fldCharType="begin" w:fldLock="0"/>
      </w:r>
      <w:r>
        <w:rPr>
          <w:rStyle w:val="Hyperlink.0"/>
          <w:rFonts w:ascii="Palatino" w:cs="Palatino" w:hAnsi="Palatino" w:eastAsia="Palatino"/>
          <w:sz w:val="14"/>
          <w:szCs w:val="14"/>
        </w:rPr>
        <w:instrText xml:space="preserve"> HYPERLINK "https://www.le.ac.uk/has/isaac/oxfords.html"</w:instrText>
      </w:r>
      <w:r>
        <w:rPr>
          <w:rStyle w:val="Hyperlink.0"/>
          <w:rFonts w:ascii="Palatino" w:cs="Palatino" w:hAnsi="Palatino" w:eastAsia="Palatino"/>
          <w:sz w:val="14"/>
          <w:szCs w:val="14"/>
        </w:rPr>
        <w:fldChar w:fldCharType="separate" w:fldLock="0"/>
      </w:r>
      <w:r>
        <w:rPr>
          <w:rStyle w:val="Hyperlink.0"/>
          <w:rFonts w:ascii="Palatino" w:hAnsi="Palatino"/>
          <w:sz w:val="14"/>
          <w:szCs w:val="14"/>
          <w:rtl w:val="0"/>
        </w:rPr>
        <w:t>https://www.le.ac.uk/has/isaac/oxfords.html</w:t>
      </w:r>
      <w:r>
        <w:rPr>
          <w:rFonts w:ascii="Palatino" w:cs="Palatino" w:hAnsi="Palatino" w:eastAsia="Palatino"/>
          <w:sz w:val="14"/>
          <w:szCs w:val="14"/>
        </w:rPr>
        <w:fldChar w:fldCharType="end" w:fldLock="0"/>
      </w:r>
      <w:r>
        <w:rPr>
          <w:rStyle w:val="None"/>
          <w:rFonts w:ascii="Palatino" w:hAnsi="Palatino"/>
          <w:sz w:val="14"/>
          <w:szCs w:val="14"/>
          <w:rtl w:val="0"/>
          <w:lang w:val="en-US"/>
        </w:rPr>
        <w:t>&gt; [accessed 28 October 2021].</w:t>
      </w:r>
    </w:p>
  </w:footnote>
  <w:footnote w:id="4">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Roslyn Haynes cited by Hamacher and Norris, </w:t>
      </w:r>
      <w:r>
        <w:rPr>
          <w:rStyle w:val="None"/>
          <w:rFonts w:ascii="Palatino" w:hAnsi="Palatino" w:hint="default"/>
          <w:sz w:val="14"/>
          <w:szCs w:val="14"/>
          <w:rtl w:val="0"/>
          <w:lang w:val="en-US"/>
        </w:rPr>
        <w:t>‘</w:t>
      </w:r>
      <w:r>
        <w:rPr>
          <w:rStyle w:val="None"/>
          <w:rFonts w:ascii="Palatino" w:hAnsi="Palatino"/>
          <w:sz w:val="14"/>
          <w:szCs w:val="14"/>
          <w:rtl w:val="0"/>
          <w:lang w:val="en-US"/>
        </w:rPr>
        <w:t>Bridging The Gap</w:t>
      </w:r>
      <w:r>
        <w:rPr>
          <w:rStyle w:val="None"/>
          <w:rFonts w:ascii="Palatino" w:hAnsi="Palatino" w:hint="default"/>
          <w:sz w:val="14"/>
          <w:szCs w:val="14"/>
          <w:rtl w:val="0"/>
          <w:lang w:val="en-US"/>
        </w:rPr>
        <w:t>’</w:t>
      </w:r>
      <w:r>
        <w:rPr>
          <w:rStyle w:val="None"/>
          <w:rFonts w:ascii="Palatino" w:hAnsi="Palatino"/>
          <w:sz w:val="14"/>
          <w:szCs w:val="14"/>
          <w:rtl w:val="0"/>
          <w:lang w:val="en-US"/>
        </w:rPr>
        <w:t>, p. 282.</w:t>
      </w:r>
    </w:p>
  </w:footnote>
  <w:footnote w:id="5">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The Planetary Society, </w:t>
      </w:r>
      <w:r>
        <w:rPr>
          <w:rStyle w:val="None"/>
          <w:rFonts w:ascii="Palatino" w:hAnsi="Palatino"/>
          <w:i w:val="1"/>
          <w:iCs w:val="1"/>
          <w:sz w:val="14"/>
          <w:szCs w:val="14"/>
          <w:rtl w:val="0"/>
          <w:lang w:val="en-US"/>
        </w:rPr>
        <w:t>Duane W. Hamacher &lt;</w:t>
      </w:r>
      <w:r>
        <w:rPr>
          <w:rStyle w:val="Hyperlink.1"/>
          <w:rFonts w:ascii="Palatino" w:cs="Palatino" w:hAnsi="Palatino" w:eastAsia="Palatino"/>
          <w:sz w:val="14"/>
          <w:szCs w:val="14"/>
        </w:rPr>
        <w:fldChar w:fldCharType="begin" w:fldLock="0"/>
      </w:r>
      <w:r>
        <w:rPr>
          <w:rStyle w:val="Hyperlink.1"/>
          <w:rFonts w:ascii="Palatino" w:cs="Palatino" w:hAnsi="Palatino" w:eastAsia="Palatino"/>
          <w:sz w:val="14"/>
          <w:szCs w:val="14"/>
        </w:rPr>
        <w:instrText xml:space="preserve"> HYPERLINK "https://www.planetary.org/profiles/duane-w-hamacher-2"</w:instrText>
      </w:r>
      <w:r>
        <w:rPr>
          <w:rStyle w:val="Hyperlink.1"/>
          <w:rFonts w:ascii="Palatino" w:cs="Palatino" w:hAnsi="Palatino" w:eastAsia="Palatino"/>
          <w:sz w:val="14"/>
          <w:szCs w:val="14"/>
        </w:rPr>
        <w:fldChar w:fldCharType="separate" w:fldLock="0"/>
      </w:r>
      <w:r>
        <w:rPr>
          <w:rStyle w:val="Hyperlink.1"/>
          <w:rFonts w:ascii="Palatino" w:hAnsi="Palatino"/>
          <w:sz w:val="14"/>
          <w:szCs w:val="14"/>
          <w:rtl w:val="0"/>
          <w:lang w:val="en-US"/>
        </w:rPr>
        <w:t>https://www.planetary.org/profiles/duane-w-hamacher-2</w:t>
      </w:r>
      <w:r>
        <w:rPr>
          <w:rFonts w:ascii="Palatino" w:cs="Palatino" w:hAnsi="Palatino" w:eastAsia="Palatino"/>
          <w:sz w:val="14"/>
          <w:szCs w:val="14"/>
        </w:rPr>
        <w:fldChar w:fldCharType="end" w:fldLock="0"/>
      </w:r>
      <w:r>
        <w:rPr>
          <w:rStyle w:val="None"/>
          <w:rFonts w:ascii="Palatino" w:hAnsi="Palatino"/>
          <w:sz w:val="14"/>
          <w:szCs w:val="14"/>
          <w:rtl w:val="0"/>
          <w:lang w:val="en-US"/>
        </w:rPr>
        <w:t xml:space="preserve">&gt; [accessed 18 October 2021]. </w:t>
      </w:r>
    </w:p>
  </w:footnote>
  <w:footnote w:id="6">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Fonts w:ascii="Palatino" w:hAnsi="Palatino"/>
          <w:sz w:val="14"/>
          <w:szCs w:val="14"/>
          <w:rtl w:val="0"/>
          <w:lang w:val="en-US"/>
        </w:rPr>
        <w:t xml:space="preserve">International Astronomical Union, </w:t>
      </w:r>
      <w:r>
        <w:rPr>
          <w:rStyle w:val="None"/>
          <w:rFonts w:ascii="Palatino" w:hAnsi="Palatino"/>
          <w:i w:val="1"/>
          <w:iCs w:val="1"/>
          <w:sz w:val="14"/>
          <w:szCs w:val="14"/>
          <w:rtl w:val="0"/>
          <w:lang w:val="en-US"/>
        </w:rPr>
        <w:t xml:space="preserve">About the IAU </w:t>
      </w:r>
      <w:r>
        <w:rPr>
          <w:rFonts w:ascii="Palatino" w:hAnsi="Palatino"/>
          <w:sz w:val="14"/>
          <w:szCs w:val="14"/>
          <w:rtl w:val="0"/>
          <w:lang w:val="en-US"/>
        </w:rPr>
        <w:t>&lt;</w:t>
      </w:r>
      <w:r>
        <w:rPr>
          <w:rFonts w:ascii="Palatino" w:hAnsi="Palatino"/>
          <w:sz w:val="14"/>
          <w:szCs w:val="14"/>
          <w:rtl w:val="0"/>
          <w:lang w:val="en-US"/>
        </w:rPr>
        <w:t>https://www.iau.org/administration/about/</w:t>
      </w:r>
      <w:r>
        <w:rPr>
          <w:rFonts w:ascii="Palatino" w:hAnsi="Palatino"/>
          <w:sz w:val="14"/>
          <w:szCs w:val="14"/>
          <w:rtl w:val="0"/>
          <w:lang w:val="en-US"/>
        </w:rPr>
        <w:t>&gt; [accessed 04 November 2021].</w:t>
      </w:r>
    </w:p>
  </w:footnote>
  <w:footnote w:id="7">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Australia Telescope National Facility, </w:t>
      </w:r>
      <w:r>
        <w:rPr>
          <w:rStyle w:val="None"/>
          <w:rFonts w:ascii="Palatino" w:hAnsi="Palatino"/>
          <w:i w:val="1"/>
          <w:iCs w:val="1"/>
          <w:sz w:val="14"/>
          <w:szCs w:val="14"/>
          <w:rtl w:val="0"/>
          <w:lang w:val="en-US"/>
        </w:rPr>
        <w:t>Ray Norris</w:t>
      </w:r>
      <w:r>
        <w:rPr>
          <w:rStyle w:val="None"/>
          <w:rFonts w:ascii="Palatino" w:hAnsi="Palatino"/>
          <w:sz w:val="14"/>
          <w:szCs w:val="14"/>
          <w:rtl w:val="0"/>
          <w:lang w:val="en-US"/>
        </w:rPr>
        <w:t xml:space="preserve"> &lt;</w:t>
      </w:r>
      <w:r>
        <w:rPr>
          <w:rStyle w:val="Hyperlink.1"/>
          <w:rFonts w:ascii="Palatino" w:cs="Palatino" w:hAnsi="Palatino" w:eastAsia="Palatino"/>
          <w:sz w:val="14"/>
          <w:szCs w:val="14"/>
        </w:rPr>
        <w:fldChar w:fldCharType="begin" w:fldLock="0"/>
      </w:r>
      <w:r>
        <w:rPr>
          <w:rStyle w:val="Hyperlink.1"/>
          <w:rFonts w:ascii="Palatino" w:cs="Palatino" w:hAnsi="Palatino" w:eastAsia="Palatino"/>
          <w:sz w:val="14"/>
          <w:szCs w:val="14"/>
        </w:rPr>
        <w:instrText xml:space="preserve"> HYPERLINK "https://www.atnf.csiro.au/people/Ray.Norris/outreach/informal_bio.htm"</w:instrText>
      </w:r>
      <w:r>
        <w:rPr>
          <w:rStyle w:val="Hyperlink.1"/>
          <w:rFonts w:ascii="Palatino" w:cs="Palatino" w:hAnsi="Palatino" w:eastAsia="Palatino"/>
          <w:sz w:val="14"/>
          <w:szCs w:val="14"/>
        </w:rPr>
        <w:fldChar w:fldCharType="separate" w:fldLock="0"/>
      </w:r>
      <w:r>
        <w:rPr>
          <w:rStyle w:val="Hyperlink.1"/>
          <w:rFonts w:ascii="Palatino" w:hAnsi="Palatino"/>
          <w:sz w:val="14"/>
          <w:szCs w:val="14"/>
          <w:rtl w:val="0"/>
          <w:lang w:val="en-US"/>
        </w:rPr>
        <w:t>https://www.atnf.csiro.au/people/Ray.Norris/outreach/informal_bio.htm</w:t>
      </w:r>
      <w:r>
        <w:rPr>
          <w:rFonts w:ascii="Palatino" w:cs="Palatino" w:hAnsi="Palatino" w:eastAsia="Palatino"/>
          <w:sz w:val="14"/>
          <w:szCs w:val="14"/>
        </w:rPr>
        <w:fldChar w:fldCharType="end" w:fldLock="0"/>
      </w:r>
      <w:r>
        <w:rPr>
          <w:rStyle w:val="None"/>
          <w:rFonts w:ascii="Palatino" w:hAnsi="Palatino"/>
          <w:sz w:val="14"/>
          <w:szCs w:val="14"/>
          <w:rtl w:val="0"/>
          <w:lang w:val="en-US"/>
        </w:rPr>
        <w:t>&gt; [accessed 18 October 2021].</w:t>
      </w:r>
    </w:p>
  </w:footnote>
  <w:footnote w:id="8">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Wikipedia, </w:t>
      </w:r>
      <w:r>
        <w:rPr>
          <w:rStyle w:val="None"/>
          <w:rFonts w:ascii="Palatino" w:hAnsi="Palatino"/>
          <w:i w:val="1"/>
          <w:iCs w:val="1"/>
          <w:sz w:val="14"/>
          <w:szCs w:val="14"/>
          <w:rtl w:val="0"/>
          <w:lang w:val="en-US"/>
        </w:rPr>
        <w:t>Ray Norris (astrophysicist)</w:t>
      </w:r>
      <w:r>
        <w:rPr>
          <w:rStyle w:val="None"/>
          <w:rFonts w:ascii="Palatino" w:hAnsi="Palatino"/>
          <w:sz w:val="14"/>
          <w:szCs w:val="14"/>
          <w:rtl w:val="0"/>
          <w:lang w:val="en-US"/>
        </w:rPr>
        <w:t xml:space="preserve"> &lt;</w:t>
      </w:r>
      <w:r>
        <w:rPr>
          <w:rStyle w:val="Hyperlink.1"/>
          <w:rFonts w:ascii="Palatino" w:cs="Palatino" w:hAnsi="Palatino" w:eastAsia="Palatino"/>
          <w:sz w:val="14"/>
          <w:szCs w:val="14"/>
        </w:rPr>
        <w:fldChar w:fldCharType="begin" w:fldLock="0"/>
      </w:r>
      <w:r>
        <w:rPr>
          <w:rStyle w:val="Hyperlink.1"/>
          <w:rFonts w:ascii="Palatino" w:cs="Palatino" w:hAnsi="Palatino" w:eastAsia="Palatino"/>
          <w:sz w:val="14"/>
          <w:szCs w:val="14"/>
        </w:rPr>
        <w:instrText xml:space="preserve"> HYPERLINK "https://en.wikipedia.org/wiki/Ray_Norris_(astrophysicist)"</w:instrText>
      </w:r>
      <w:r>
        <w:rPr>
          <w:rStyle w:val="Hyperlink.1"/>
          <w:rFonts w:ascii="Palatino" w:cs="Palatino" w:hAnsi="Palatino" w:eastAsia="Palatino"/>
          <w:sz w:val="14"/>
          <w:szCs w:val="14"/>
        </w:rPr>
        <w:fldChar w:fldCharType="separate" w:fldLock="0"/>
      </w:r>
      <w:r>
        <w:rPr>
          <w:rStyle w:val="Hyperlink.1"/>
          <w:rFonts w:ascii="Palatino" w:hAnsi="Palatino"/>
          <w:sz w:val="14"/>
          <w:szCs w:val="14"/>
          <w:rtl w:val="0"/>
          <w:lang w:val="en-US"/>
        </w:rPr>
        <w:t>https://en.wikipedia.org/wiki/Ray_Norris_(astrophysicist)</w:t>
      </w:r>
      <w:r>
        <w:rPr>
          <w:rFonts w:ascii="Palatino" w:cs="Palatino" w:hAnsi="Palatino" w:eastAsia="Palatino"/>
          <w:sz w:val="14"/>
          <w:szCs w:val="14"/>
        </w:rPr>
        <w:fldChar w:fldCharType="end" w:fldLock="0"/>
      </w:r>
      <w:r>
        <w:rPr>
          <w:rStyle w:val="None"/>
          <w:rFonts w:ascii="Palatino" w:hAnsi="Palatino"/>
          <w:sz w:val="14"/>
          <w:szCs w:val="14"/>
          <w:rtl w:val="0"/>
          <w:lang w:val="en-US"/>
        </w:rPr>
        <w:t>&gt; [accessed 18 October 2021].</w:t>
      </w:r>
    </w:p>
  </w:footnote>
  <w:footnote w:id="9">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Raymond Head, </w:t>
      </w:r>
      <w:r>
        <w:rPr>
          <w:rStyle w:val="None"/>
          <w:rFonts w:ascii="Palatino" w:hAnsi="Palatino"/>
          <w:i w:val="1"/>
          <w:iCs w:val="1"/>
          <w:sz w:val="14"/>
          <w:szCs w:val="14"/>
          <w:rtl w:val="0"/>
          <w:lang w:val="en-US"/>
        </w:rPr>
        <w:t>Biography</w:t>
      </w:r>
      <w:r>
        <w:rPr>
          <w:rStyle w:val="None"/>
          <w:rFonts w:ascii="Palatino" w:hAnsi="Palatino"/>
          <w:sz w:val="14"/>
          <w:szCs w:val="14"/>
          <w:rtl w:val="0"/>
          <w:lang w:val="en-US"/>
        </w:rPr>
        <w:t xml:space="preserve"> (2021) &lt;</w:t>
      </w:r>
      <w:r>
        <w:rPr>
          <w:rStyle w:val="Hyperlink.1"/>
          <w:rFonts w:ascii="Palatino" w:cs="Palatino" w:hAnsi="Palatino" w:eastAsia="Palatino"/>
          <w:sz w:val="14"/>
          <w:szCs w:val="14"/>
        </w:rPr>
        <w:fldChar w:fldCharType="begin" w:fldLock="0"/>
      </w:r>
      <w:r>
        <w:rPr>
          <w:rStyle w:val="Hyperlink.1"/>
          <w:rFonts w:ascii="Palatino" w:cs="Palatino" w:hAnsi="Palatino" w:eastAsia="Palatino"/>
          <w:sz w:val="14"/>
          <w:szCs w:val="14"/>
        </w:rPr>
        <w:instrText xml:space="preserve"> HYPERLINK "https://raymondhead.com/biography"</w:instrText>
      </w:r>
      <w:r>
        <w:rPr>
          <w:rStyle w:val="Hyperlink.1"/>
          <w:rFonts w:ascii="Palatino" w:cs="Palatino" w:hAnsi="Palatino" w:eastAsia="Palatino"/>
          <w:sz w:val="14"/>
          <w:szCs w:val="14"/>
        </w:rPr>
        <w:fldChar w:fldCharType="separate" w:fldLock="0"/>
      </w:r>
      <w:r>
        <w:rPr>
          <w:rStyle w:val="Hyperlink.1"/>
          <w:rFonts w:ascii="Palatino" w:hAnsi="Palatino"/>
          <w:sz w:val="14"/>
          <w:szCs w:val="14"/>
          <w:rtl w:val="0"/>
          <w:lang w:val="en-US"/>
        </w:rPr>
        <w:t>https://raymondhead.com/biography</w:t>
      </w:r>
      <w:r>
        <w:rPr>
          <w:rFonts w:ascii="Palatino" w:cs="Palatino" w:hAnsi="Palatino" w:eastAsia="Palatino"/>
          <w:sz w:val="14"/>
          <w:szCs w:val="14"/>
        </w:rPr>
        <w:fldChar w:fldCharType="end" w:fldLock="0"/>
      </w:r>
      <w:r>
        <w:rPr>
          <w:rStyle w:val="None"/>
          <w:rFonts w:ascii="Palatino" w:hAnsi="Palatino"/>
          <w:sz w:val="14"/>
          <w:szCs w:val="14"/>
          <w:rtl w:val="0"/>
          <w:lang w:val="en-US"/>
        </w:rPr>
        <w:t>&gt;</w:t>
      </w:r>
      <w:r>
        <w:rPr>
          <w:rStyle w:val="None"/>
          <w:rFonts w:ascii="Palatino" w:hAnsi="Palatino"/>
          <w:sz w:val="14"/>
          <w:szCs w:val="14"/>
          <w:rtl w:val="0"/>
          <w:lang w:val="en-US"/>
        </w:rPr>
        <w:t xml:space="preserve"> </w:t>
      </w:r>
      <w:r>
        <w:rPr>
          <w:rStyle w:val="None"/>
          <w:rFonts w:ascii="Palatino" w:hAnsi="Palatino"/>
          <w:sz w:val="14"/>
          <w:szCs w:val="14"/>
          <w:rtl w:val="0"/>
          <w:lang w:val="en-US"/>
        </w:rPr>
        <w:t>[accessed 18 October 2021]</w:t>
      </w:r>
      <w:r>
        <w:rPr>
          <w:rStyle w:val="None"/>
          <w:rFonts w:ascii="Palatino" w:hAnsi="Palatino"/>
          <w:sz w:val="14"/>
          <w:szCs w:val="14"/>
          <w:rtl w:val="0"/>
          <w:lang w:val="en-US"/>
        </w:rPr>
        <w:t>.</w:t>
      </w:r>
    </w:p>
  </w:footnote>
  <w:footnote w:id="10">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Fonts w:ascii="Palatino" w:hAnsi="Palatino"/>
          <w:sz w:val="14"/>
          <w:szCs w:val="14"/>
          <w:rtl w:val="0"/>
          <w:lang w:val="en-US"/>
        </w:rPr>
        <w:t xml:space="preserve">Cambridge University Press, </w:t>
      </w:r>
      <w:r>
        <w:rPr>
          <w:rStyle w:val="None"/>
          <w:rFonts w:ascii="Palatino" w:hAnsi="Palatino"/>
          <w:i w:val="1"/>
          <w:iCs w:val="1"/>
          <w:sz w:val="14"/>
          <w:szCs w:val="14"/>
          <w:rtl w:val="0"/>
          <w:lang w:val="en-US"/>
        </w:rPr>
        <w:t xml:space="preserve">Tempo </w:t>
      </w:r>
      <w:r>
        <w:rPr>
          <w:rFonts w:ascii="Palatino" w:hAnsi="Palatino"/>
          <w:sz w:val="14"/>
          <w:szCs w:val="14"/>
          <w:rtl w:val="0"/>
          <w:lang w:val="en-US"/>
        </w:rPr>
        <w:t>&lt;</w:t>
      </w:r>
      <w:r>
        <w:rPr>
          <w:rFonts w:ascii="Palatino" w:hAnsi="Palatino"/>
          <w:sz w:val="14"/>
          <w:szCs w:val="14"/>
          <w:rtl w:val="0"/>
          <w:lang w:val="en-US"/>
        </w:rPr>
        <w:t>https://www.cambridge.org/core/journals/tempo</w:t>
      </w:r>
      <w:r>
        <w:rPr>
          <w:rFonts w:ascii="Palatino" w:hAnsi="Palatino"/>
          <w:sz w:val="14"/>
          <w:szCs w:val="14"/>
          <w:rtl w:val="0"/>
          <w:lang w:val="en-US"/>
        </w:rPr>
        <w:t>&gt; [accessed 18 October 2021].</w:t>
      </w:r>
    </w:p>
  </w:footnote>
  <w:footnote w:id="11">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Cambridge University Press, </w:t>
      </w:r>
      <w:r>
        <w:rPr>
          <w:rStyle w:val="None"/>
          <w:rFonts w:ascii="Palatino" w:hAnsi="Palatino"/>
          <w:i w:val="1"/>
          <w:iCs w:val="1"/>
          <w:sz w:val="14"/>
          <w:szCs w:val="14"/>
          <w:rtl w:val="0"/>
          <w:lang w:val="en-US"/>
        </w:rPr>
        <w:t xml:space="preserve">What We Publish </w:t>
      </w:r>
      <w:r>
        <w:rPr>
          <w:rStyle w:val="None"/>
          <w:rFonts w:ascii="Palatino" w:hAnsi="Palatino"/>
          <w:sz w:val="14"/>
          <w:szCs w:val="14"/>
          <w:rtl w:val="0"/>
          <w:lang w:val="en-US"/>
        </w:rPr>
        <w:t>(2021) &lt;</w:t>
      </w:r>
      <w:r>
        <w:rPr>
          <w:rStyle w:val="Hyperlink.1"/>
          <w:rFonts w:ascii="Palatino" w:cs="Palatino" w:hAnsi="Palatino" w:eastAsia="Palatino"/>
          <w:sz w:val="14"/>
          <w:szCs w:val="14"/>
        </w:rPr>
        <w:fldChar w:fldCharType="begin" w:fldLock="0"/>
      </w:r>
      <w:r>
        <w:rPr>
          <w:rStyle w:val="Hyperlink.1"/>
          <w:rFonts w:ascii="Palatino" w:cs="Palatino" w:hAnsi="Palatino" w:eastAsia="Palatino"/>
          <w:sz w:val="14"/>
          <w:szCs w:val="14"/>
        </w:rPr>
        <w:instrText xml:space="preserve"> HYPERLINK "https://www.cambridge.org/core/what-we-publish"</w:instrText>
      </w:r>
      <w:r>
        <w:rPr>
          <w:rStyle w:val="Hyperlink.1"/>
          <w:rFonts w:ascii="Palatino" w:cs="Palatino" w:hAnsi="Palatino" w:eastAsia="Palatino"/>
          <w:sz w:val="14"/>
          <w:szCs w:val="14"/>
        </w:rPr>
        <w:fldChar w:fldCharType="separate" w:fldLock="0"/>
      </w:r>
      <w:r>
        <w:rPr>
          <w:rStyle w:val="Hyperlink.1"/>
          <w:rFonts w:ascii="Palatino" w:hAnsi="Palatino"/>
          <w:sz w:val="14"/>
          <w:szCs w:val="14"/>
          <w:rtl w:val="0"/>
          <w:lang w:val="en-US"/>
        </w:rPr>
        <w:t>https://www.cambridge.org/core/what-we-publish</w:t>
      </w:r>
      <w:r>
        <w:rPr>
          <w:rFonts w:ascii="Palatino" w:cs="Palatino" w:hAnsi="Palatino" w:eastAsia="Palatino"/>
          <w:sz w:val="14"/>
          <w:szCs w:val="14"/>
        </w:rPr>
        <w:fldChar w:fldCharType="end" w:fldLock="0"/>
      </w:r>
      <w:r>
        <w:rPr>
          <w:rStyle w:val="None"/>
          <w:rFonts w:ascii="Palatino" w:hAnsi="Palatino"/>
          <w:sz w:val="14"/>
          <w:szCs w:val="14"/>
          <w:rtl w:val="0"/>
          <w:lang w:val="en-US"/>
        </w:rPr>
        <w:t>&gt;</w:t>
      </w:r>
      <w:r>
        <w:rPr>
          <w:rStyle w:val="None"/>
          <w:rFonts w:ascii="Palatino" w:hAnsi="Palatino"/>
          <w:sz w:val="14"/>
          <w:szCs w:val="14"/>
          <w:rtl w:val="0"/>
          <w:lang w:val="en-US"/>
        </w:rPr>
        <w:t xml:space="preserve"> </w:t>
      </w:r>
      <w:r>
        <w:rPr>
          <w:rStyle w:val="None"/>
          <w:rFonts w:ascii="Palatino" w:hAnsi="Palatino"/>
          <w:sz w:val="14"/>
          <w:szCs w:val="14"/>
          <w:rtl w:val="0"/>
          <w:lang w:val="en-US"/>
        </w:rPr>
        <w:t>[accessed 18 October 2021].</w:t>
      </w:r>
    </w:p>
  </w:footnote>
  <w:footnote w:id="12">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Hamacher</w:t>
      </w:r>
      <w:r>
        <w:rPr>
          <w:rStyle w:val="None"/>
          <w:rFonts w:ascii="Palatino" w:hAnsi="Palatino"/>
          <w:sz w:val="14"/>
          <w:szCs w:val="14"/>
          <w:rtl w:val="0"/>
          <w:lang w:val="en-US"/>
        </w:rPr>
        <w:t xml:space="preserve"> </w:t>
      </w:r>
      <w:r>
        <w:rPr>
          <w:rStyle w:val="None"/>
          <w:rFonts w:ascii="Palatino" w:hAnsi="Palatino"/>
          <w:sz w:val="14"/>
          <w:szCs w:val="14"/>
          <w:rtl w:val="0"/>
          <w:lang w:val="en-US"/>
        </w:rPr>
        <w:t>and Norris</w:t>
      </w:r>
      <w:r>
        <w:rPr>
          <w:rStyle w:val="None"/>
          <w:rFonts w:ascii="Palatino" w:hAnsi="Palatino"/>
          <w:sz w:val="14"/>
          <w:szCs w:val="14"/>
          <w:rtl w:val="0"/>
          <w:lang w:val="en-US"/>
        </w:rPr>
        <w:t>,</w:t>
      </w:r>
      <w:r>
        <w:rPr>
          <w:rStyle w:val="None"/>
          <w:rFonts w:ascii="Palatino" w:hAnsi="Palatino"/>
          <w:sz w:val="14"/>
          <w:szCs w:val="14"/>
          <w:rtl w:val="0"/>
          <w:lang w:val="en-US"/>
        </w:rPr>
        <w:t xml:space="preserve"> p.282.</w:t>
      </w:r>
    </w:p>
  </w:footnote>
  <w:footnote w:id="13">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Head</w:t>
      </w:r>
      <w:r>
        <w:rPr>
          <w:rStyle w:val="None"/>
          <w:rFonts w:ascii="Palatino" w:hAnsi="Palatino"/>
          <w:sz w:val="14"/>
          <w:szCs w:val="14"/>
          <w:rtl w:val="0"/>
          <w:lang w:val="it-IT"/>
        </w:rPr>
        <w:t>, p</w:t>
      </w:r>
      <w:r>
        <w:rPr>
          <w:rStyle w:val="None"/>
          <w:rFonts w:ascii="Palatino" w:hAnsi="Palatino"/>
          <w:sz w:val="14"/>
          <w:szCs w:val="14"/>
          <w:rtl w:val="0"/>
          <w:lang w:val="en-US"/>
        </w:rPr>
        <w:t>. 15.</w:t>
      </w:r>
    </w:p>
  </w:footnote>
  <w:footnote w:id="14">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Nicholas Campion, </w:t>
      </w:r>
      <w:r>
        <w:rPr>
          <w:rStyle w:val="None"/>
          <w:rFonts w:ascii="Palatino" w:hAnsi="Palatino"/>
          <w:i w:val="1"/>
          <w:iCs w:val="1"/>
          <w:sz w:val="14"/>
          <w:szCs w:val="14"/>
          <w:rtl w:val="0"/>
          <w:lang w:val="en-US"/>
        </w:rPr>
        <w:t>Astrology and Cosmology in the World Religions</w:t>
      </w:r>
      <w:r>
        <w:rPr>
          <w:rStyle w:val="None"/>
          <w:rFonts w:ascii="Palatino" w:hAnsi="Palatino"/>
          <w:sz w:val="14"/>
          <w:szCs w:val="14"/>
          <w:rtl w:val="0"/>
          <w:lang w:val="en-US"/>
        </w:rPr>
        <w:t xml:space="preserve"> (NYU Press, 2012), </w:t>
      </w:r>
      <w:r>
        <w:rPr>
          <w:rStyle w:val="None"/>
          <w:rFonts w:ascii="Palatino" w:hAnsi="Palatino"/>
          <w:sz w:val="14"/>
          <w:szCs w:val="14"/>
          <w:rtl w:val="0"/>
          <w:lang w:val="en-US"/>
        </w:rPr>
        <w:t xml:space="preserve"> p.2.</w:t>
      </w:r>
    </w:p>
  </w:footnote>
  <w:footnote w:id="15">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Raymond Williams, </w:t>
      </w:r>
      <w:r>
        <w:rPr>
          <w:rStyle w:val="None"/>
          <w:rFonts w:ascii="Palatino" w:hAnsi="Palatino" w:hint="default"/>
          <w:sz w:val="14"/>
          <w:szCs w:val="14"/>
          <w:rtl w:val="0"/>
          <w:lang w:val="en-US"/>
        </w:rPr>
        <w:t>‘</w:t>
      </w:r>
      <w:r>
        <w:rPr>
          <w:rStyle w:val="None"/>
          <w:rFonts w:ascii="Palatino" w:hAnsi="Palatino"/>
          <w:sz w:val="14"/>
          <w:szCs w:val="14"/>
          <w:rtl w:val="0"/>
          <w:lang w:val="en-US"/>
        </w:rPr>
        <w:t>Culture</w:t>
      </w:r>
      <w:r>
        <w:rPr>
          <w:rStyle w:val="None"/>
          <w:rFonts w:ascii="Palatino" w:hAnsi="Palatino" w:hint="default"/>
          <w:sz w:val="14"/>
          <w:szCs w:val="14"/>
          <w:rtl w:val="0"/>
          <w:lang w:val="en-US"/>
        </w:rPr>
        <w:t>’</w:t>
      </w:r>
      <w:r>
        <w:rPr>
          <w:rStyle w:val="None"/>
          <w:rFonts w:ascii="Palatino" w:hAnsi="Palatino"/>
          <w:sz w:val="14"/>
          <w:szCs w:val="14"/>
          <w:rtl w:val="0"/>
          <w:lang w:val="en-US"/>
        </w:rPr>
        <w:t>,</w:t>
      </w:r>
      <w:r>
        <w:rPr>
          <w:rStyle w:val="None"/>
          <w:rFonts w:ascii="Palatino" w:hAnsi="Palatino"/>
          <w:i w:val="1"/>
          <w:iCs w:val="1"/>
          <w:sz w:val="14"/>
          <w:szCs w:val="14"/>
          <w:rtl w:val="0"/>
          <w:lang w:val="en-US"/>
        </w:rPr>
        <w:t xml:space="preserve"> </w:t>
      </w:r>
      <w:r>
        <w:rPr>
          <w:rStyle w:val="None"/>
          <w:rFonts w:ascii="Palatino" w:hAnsi="Palatino"/>
          <w:sz w:val="14"/>
          <w:szCs w:val="14"/>
          <w:rtl w:val="0"/>
          <w:lang w:val="en-US"/>
        </w:rPr>
        <w:t xml:space="preserve">in </w:t>
      </w:r>
      <w:r>
        <w:rPr>
          <w:rStyle w:val="None"/>
          <w:rFonts w:ascii="Palatino" w:hAnsi="Palatino"/>
          <w:i w:val="1"/>
          <w:iCs w:val="1"/>
          <w:sz w:val="14"/>
          <w:szCs w:val="14"/>
          <w:rtl w:val="0"/>
          <w:lang w:val="en-US"/>
        </w:rPr>
        <w:t>Keywords</w:t>
      </w:r>
      <w:r>
        <w:rPr>
          <w:rStyle w:val="None"/>
          <w:rFonts w:ascii="Palatino" w:hAnsi="Palatino"/>
          <w:i w:val="1"/>
          <w:iCs w:val="1"/>
          <w:sz w:val="14"/>
          <w:szCs w:val="14"/>
          <w:rtl w:val="0"/>
          <w:lang w:val="en-US"/>
        </w:rPr>
        <w:t xml:space="preserve">, </w:t>
      </w:r>
      <w:r>
        <w:rPr>
          <w:rStyle w:val="None"/>
          <w:rFonts w:ascii="Palatino" w:hAnsi="Palatino"/>
          <w:sz w:val="14"/>
          <w:szCs w:val="14"/>
          <w:rtl w:val="0"/>
          <w:lang w:val="en-US"/>
        </w:rPr>
        <w:t>2nd edn.</w:t>
      </w:r>
      <w:r>
        <w:rPr>
          <w:rStyle w:val="None"/>
          <w:rFonts w:ascii="Palatino" w:hAnsi="Palatino"/>
          <w:i w:val="1"/>
          <w:iCs w:val="1"/>
          <w:sz w:val="14"/>
          <w:szCs w:val="14"/>
          <w:rtl w:val="0"/>
          <w:lang w:val="en-US"/>
        </w:rPr>
        <w:t xml:space="preserve"> </w:t>
      </w:r>
      <w:r>
        <w:rPr>
          <w:rStyle w:val="None"/>
          <w:rFonts w:ascii="Palatino" w:hAnsi="Palatino"/>
          <w:sz w:val="14"/>
          <w:szCs w:val="14"/>
          <w:rtl w:val="0"/>
          <w:lang w:val="en-US"/>
        </w:rPr>
        <w:t>(New York: Oxford University Press, 1983),</w:t>
      </w:r>
      <w:r>
        <w:rPr>
          <w:rStyle w:val="None"/>
          <w:rFonts w:ascii="Palatino" w:hAnsi="Palatino"/>
          <w:sz w:val="14"/>
          <w:szCs w:val="14"/>
          <w:rtl w:val="0"/>
          <w:lang w:val="en-US"/>
        </w:rPr>
        <w:t xml:space="preserve"> p. 89.</w:t>
      </w:r>
    </w:p>
  </w:footnote>
  <w:footnote w:id="16">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Hamacher</w:t>
      </w:r>
      <w:r>
        <w:rPr>
          <w:rStyle w:val="None"/>
          <w:rFonts w:ascii="Palatino" w:hAnsi="Palatino"/>
          <w:sz w:val="14"/>
          <w:szCs w:val="14"/>
          <w:rtl w:val="0"/>
          <w:lang w:val="en-US"/>
        </w:rPr>
        <w:t xml:space="preserve"> </w:t>
      </w:r>
      <w:r>
        <w:rPr>
          <w:rStyle w:val="None"/>
          <w:rFonts w:ascii="Palatino" w:hAnsi="Palatino"/>
          <w:sz w:val="14"/>
          <w:szCs w:val="14"/>
          <w:rtl w:val="0"/>
          <w:lang w:val="en-US"/>
        </w:rPr>
        <w:t>and Norris</w:t>
      </w:r>
      <w:r>
        <w:rPr>
          <w:rStyle w:val="None"/>
          <w:rFonts w:ascii="Palatino" w:hAnsi="Palatino"/>
          <w:sz w:val="14"/>
          <w:szCs w:val="14"/>
          <w:rtl w:val="0"/>
          <w:lang w:val="en-US"/>
        </w:rPr>
        <w:t>,</w:t>
      </w:r>
      <w:r>
        <w:rPr>
          <w:rStyle w:val="None"/>
          <w:rFonts w:ascii="Palatino" w:hAnsi="Palatino"/>
          <w:sz w:val="14"/>
          <w:szCs w:val="14"/>
          <w:rtl w:val="0"/>
          <w:lang w:val="en-US"/>
        </w:rPr>
        <w:t xml:space="preserve"> p.28</w:t>
      </w:r>
      <w:r>
        <w:rPr>
          <w:rStyle w:val="None"/>
          <w:rFonts w:ascii="Palatino" w:hAnsi="Palatino"/>
          <w:sz w:val="14"/>
          <w:szCs w:val="14"/>
          <w:rtl w:val="0"/>
          <w:lang w:val="en-US"/>
        </w:rPr>
        <w:t>3.</w:t>
      </w:r>
    </w:p>
  </w:footnote>
  <w:footnote w:id="17">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Campion, p. 25.</w:t>
      </w:r>
    </w:p>
  </w:footnote>
  <w:footnote w:id="18">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Duane Hamacher and Ray Norris, The Astronomy of Aboriginal Australia</w:t>
      </w:r>
      <w:r>
        <w:rPr>
          <w:rStyle w:val="None"/>
          <w:rFonts w:ascii="Palatino" w:hAnsi="Palatino"/>
          <w:sz w:val="14"/>
          <w:szCs w:val="14"/>
          <w:rtl w:val="0"/>
          <w:lang w:val="en-US"/>
        </w:rPr>
        <w:t xml:space="preserve">, in </w:t>
      </w:r>
      <w:r>
        <w:rPr>
          <w:rStyle w:val="None"/>
          <w:rFonts w:ascii="Palatino" w:hAnsi="Palatino"/>
          <w:i w:val="1"/>
          <w:iCs w:val="1"/>
          <w:sz w:val="14"/>
          <w:szCs w:val="14"/>
          <w:rtl w:val="0"/>
          <w:lang w:val="en-US"/>
        </w:rPr>
        <w:t xml:space="preserve">Proceedings of the International Astronomical Union S260, </w:t>
      </w:r>
      <w:r>
        <w:rPr>
          <w:rStyle w:val="None"/>
          <w:rFonts w:ascii="Palatino" w:hAnsi="Palatino"/>
          <w:sz w:val="14"/>
          <w:szCs w:val="14"/>
          <w:rtl w:val="0"/>
          <w:lang w:val="en-US"/>
        </w:rPr>
        <w:t>edited by D. Valls-Gabaud and A. Boksenberg: International Astronomical Union, 2009, pp. 39-47.</w:t>
      </w:r>
    </w:p>
  </w:footnote>
  <w:footnote w:id="19">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Hamacher</w:t>
      </w:r>
      <w:r>
        <w:rPr>
          <w:rStyle w:val="None"/>
          <w:rFonts w:ascii="Palatino" w:hAnsi="Palatino"/>
          <w:sz w:val="14"/>
          <w:szCs w:val="14"/>
          <w:rtl w:val="0"/>
          <w:lang w:val="en-US"/>
        </w:rPr>
        <w:t xml:space="preserve"> </w:t>
      </w:r>
      <w:r>
        <w:rPr>
          <w:rStyle w:val="None"/>
          <w:rFonts w:ascii="Palatino" w:hAnsi="Palatino"/>
          <w:sz w:val="14"/>
          <w:szCs w:val="14"/>
          <w:rtl w:val="0"/>
          <w:lang w:val="en-US"/>
        </w:rPr>
        <w:t>and Norris, p.288.</w:t>
      </w:r>
    </w:p>
  </w:footnote>
  <w:footnote w:id="20">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Campion, p.190.</w:t>
      </w:r>
    </w:p>
  </w:footnote>
  <w:footnote w:id="21">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Raymond Head, </w:t>
      </w:r>
      <w:r>
        <w:rPr>
          <w:rStyle w:val="None"/>
          <w:rFonts w:ascii="Palatino" w:hAnsi="Palatino"/>
          <w:i w:val="1"/>
          <w:iCs w:val="1"/>
          <w:sz w:val="14"/>
          <w:szCs w:val="14"/>
          <w:rtl w:val="0"/>
          <w:lang w:val="en-US"/>
        </w:rPr>
        <w:t>Gustav Holst: The Planets Suite: New Light on a Famous Work</w:t>
      </w:r>
      <w:r>
        <w:rPr>
          <w:rStyle w:val="None"/>
          <w:rFonts w:ascii="Palatino" w:hAnsi="Palatino"/>
          <w:sz w:val="14"/>
          <w:szCs w:val="14"/>
          <w:rtl w:val="0"/>
          <w:lang w:val="en-US"/>
        </w:rPr>
        <w:t xml:space="preserve"> (2021) &lt;https://raymondhead.com/gustav-holst-planets&gt;</w:t>
      </w:r>
      <w:r>
        <w:rPr>
          <w:rStyle w:val="None"/>
          <w:rFonts w:ascii="Palatino" w:hAnsi="Palatino"/>
          <w:sz w:val="14"/>
          <w:szCs w:val="14"/>
          <w:rtl w:val="0"/>
          <w:lang w:val="en-US"/>
        </w:rPr>
        <w:t xml:space="preserve"> [accessed 18 October 2021].</w:t>
      </w:r>
    </w:p>
  </w:footnote>
  <w:footnote w:id="22">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Head, p. 17.</w:t>
      </w:r>
    </w:p>
  </w:footnote>
  <w:footnote w:id="23">
    <w:p>
      <w:pPr>
        <w:pStyle w:val="Footnote"/>
        <w:jc w:val="both"/>
      </w:pPr>
      <w:r>
        <w:rPr>
          <w:rStyle w:val="None"/>
          <w:rFonts w:ascii="Palatino" w:cs="Palatino" w:hAnsi="Palatino" w:eastAsia="Palatino"/>
          <w:sz w:val="14"/>
          <w:szCs w:val="14"/>
          <w:vertAlign w:val="superscript"/>
        </w:rPr>
        <w:footnoteRef/>
      </w:r>
      <w:r>
        <w:rPr>
          <w:rFonts w:ascii="Palatino" w:hAnsi="Palatino"/>
          <w:sz w:val="14"/>
          <w:szCs w:val="14"/>
          <w:rtl w:val="0"/>
        </w:rPr>
        <w:t xml:space="preserve"> </w:t>
      </w:r>
      <w:r>
        <w:rPr>
          <w:rStyle w:val="None"/>
          <w:rFonts w:ascii="Palatino" w:hAnsi="Palatino"/>
          <w:sz w:val="14"/>
          <w:szCs w:val="14"/>
          <w:rtl w:val="0"/>
          <w:lang w:val="en-US"/>
        </w:rPr>
        <w:t xml:space="preserve">Nicholas Campion, </w:t>
      </w:r>
      <w:r>
        <w:rPr>
          <w:rStyle w:val="None"/>
          <w:rFonts w:ascii="Palatino" w:hAnsi="Palatino"/>
          <w:sz w:val="14"/>
          <w:szCs w:val="14"/>
          <w:rtl w:val="0"/>
          <w:lang w:val="en-US"/>
        </w:rPr>
        <w:t xml:space="preserve">New Age Astrology in </w:t>
      </w:r>
      <w:r>
        <w:rPr>
          <w:rStyle w:val="None"/>
          <w:rFonts w:ascii="Palatino" w:hAnsi="Palatino"/>
          <w:i w:val="1"/>
          <w:iCs w:val="1"/>
          <w:sz w:val="14"/>
          <w:szCs w:val="14"/>
          <w:rtl w:val="0"/>
          <w:lang w:val="en-US"/>
        </w:rPr>
        <w:t>Prophecy, Cosmology and New Age Movement</w:t>
      </w:r>
      <w:r>
        <w:rPr>
          <w:rStyle w:val="None"/>
          <w:rFonts w:ascii="Palatino" w:hAnsi="Palatino"/>
          <w:sz w:val="14"/>
          <w:szCs w:val="14"/>
          <w:rtl w:val="0"/>
          <w:lang w:val="en-US"/>
        </w:rPr>
        <w:t>, p. 111.</w:t>
      </w:r>
    </w:p>
  </w:footnote>
  <w:footnote w:id="24">
    <w:p>
      <w:pPr>
        <w:pStyle w:val="Footnote"/>
        <w:jc w:val="both"/>
      </w:pPr>
      <w:r>
        <w:rPr>
          <w:rStyle w:val="None"/>
          <w:rFonts w:ascii="Palatino" w:cs="Palatino" w:hAnsi="Palatino" w:eastAsia="Palatino"/>
          <w:sz w:val="14"/>
          <w:szCs w:val="14"/>
          <w:vertAlign w:val="superscript"/>
        </w:rPr>
        <w:footnoteRef/>
      </w:r>
      <w:r>
        <w:rPr>
          <w:rStyle w:val="None"/>
          <w:rFonts w:ascii="Palatino" w:hAnsi="Palatino"/>
          <w:sz w:val="14"/>
          <w:szCs w:val="14"/>
          <w:rtl w:val="0"/>
          <w:lang w:val="en-US"/>
        </w:rPr>
        <w:t xml:space="preserve"> Head</w:t>
      </w:r>
      <w:r>
        <w:rPr>
          <w:rStyle w:val="None"/>
          <w:rFonts w:ascii="Palatino" w:hAnsi="Palatino"/>
          <w:i w:val="1"/>
          <w:iCs w:val="1"/>
          <w:sz w:val="14"/>
          <w:szCs w:val="14"/>
          <w:rtl w:val="0"/>
          <w:lang w:val="en-US"/>
        </w:rPr>
        <w:t xml:space="preserve">, </w:t>
      </w:r>
      <w:r>
        <w:rPr>
          <w:rStyle w:val="None"/>
          <w:rFonts w:ascii="Palatino" w:hAnsi="Palatino"/>
          <w:sz w:val="14"/>
          <w:szCs w:val="14"/>
          <w:rtl w:val="0"/>
          <w:lang w:val="en-US"/>
        </w:rPr>
        <w:t>p. 21.</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rPr>
        <w:rFonts w:ascii="Cambria" w:hAnsi="Cambria"/>
        <w:sz w:val="22"/>
        <w:szCs w:val="22"/>
        <w:rtl w:val="0"/>
        <w:lang w:val="en-US"/>
      </w:rPr>
      <w:t>Thais Coca 2014856</w:t>
      <w:tab/>
      <w:tab/>
      <w:t xml:space="preserve">Page </w:t>
    </w:r>
    <w:r>
      <w:rPr>
        <w:rFonts w:ascii="Cambria" w:cs="Cambria" w:hAnsi="Cambria" w:eastAsia="Cambria"/>
        <w:sz w:val="22"/>
        <w:szCs w:val="22"/>
      </w:rPr>
      <w:fldChar w:fldCharType="begin" w:fldLock="0"/>
    </w:r>
    <w:r>
      <w:rPr>
        <w:rFonts w:ascii="Cambria" w:cs="Cambria" w:hAnsi="Cambria" w:eastAsia="Cambria"/>
        <w:sz w:val="22"/>
        <w:szCs w:val="22"/>
      </w:rPr>
      <w:instrText xml:space="preserve"> PAGE </w:instrText>
    </w:r>
    <w:r>
      <w:rPr>
        <w:rFonts w:ascii="Cambria" w:cs="Cambria" w:hAnsi="Cambria" w:eastAsia="Cambria"/>
        <w:sz w:val="22"/>
        <w:szCs w:val="22"/>
      </w:rPr>
      <w:fldChar w:fldCharType="separate" w:fldLock="0"/>
    </w:r>
    <w:r>
      <w:rPr>
        <w:rFonts w:ascii="Cambria" w:cs="Cambria" w:hAnsi="Cambria" w:eastAsia="Cambria"/>
        <w:sz w:val="22"/>
        <w:szCs w:val="22"/>
      </w:rPr>
      <w:t>1</w:t>
    </w:r>
    <w:r>
      <w:rPr>
        <w:rFonts w:ascii="Cambria" w:cs="Cambria" w:hAnsi="Cambria" w:eastAsia="Cambria"/>
        <w:sz w:val="22"/>
        <w:szCs w:val="22"/>
      </w:rPr>
      <w:fldChar w:fldCharType="end" w:fldLock="0"/>
    </w:r>
    <w:r>
      <w:rPr>
        <w:rFonts w:ascii="Cambria" w:hAnsi="Cambria"/>
        <w:sz w:val="22"/>
        <w:szCs w:val="22"/>
        <w:rtl w:val="0"/>
        <w:lang w:val="en-US"/>
      </w:rPr>
      <w:t xml:space="preserve"> of </w:t>
    </w:r>
    <w:r>
      <w:rPr>
        <w:rFonts w:ascii="Cambria" w:cs="Cambria" w:hAnsi="Cambria" w:eastAsia="Cambria"/>
        <w:sz w:val="22"/>
        <w:szCs w:val="22"/>
      </w:rPr>
      <w:fldChar w:fldCharType="begin" w:fldLock="0"/>
    </w:r>
    <w:r>
      <w:rPr>
        <w:rFonts w:ascii="Cambria" w:cs="Cambria" w:hAnsi="Cambria" w:eastAsia="Cambria"/>
        <w:sz w:val="22"/>
        <w:szCs w:val="22"/>
      </w:rPr>
      <w:instrText xml:space="preserve"> NUMPAGES </w:instrText>
    </w:r>
    <w:r>
      <w:rPr>
        <w:rFonts w:ascii="Cambria" w:cs="Cambria" w:hAnsi="Cambria" w:eastAsia="Cambria"/>
        <w:sz w:val="22"/>
        <w:szCs w:val="22"/>
      </w:rPr>
      <w:fldChar w:fldCharType="separate" w:fldLock="0"/>
    </w:r>
    <w:r>
      <w:rPr>
        <w:rFonts w:ascii="Cambria" w:cs="Cambria" w:hAnsi="Cambria" w:eastAsia="Cambria"/>
        <w:sz w:val="22"/>
        <w:szCs w:val="22"/>
      </w:rPr>
      <w:t>8</w:t>
    </w:r>
    <w:r>
      <w:rPr>
        <w:rFonts w:ascii="Cambria" w:cs="Cambria" w:hAnsi="Cambria" w:eastAsia="Cambria"/>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Body A 1">
    <w:name w:val="Body A 1"/>
    <w:next w:val="Body A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mbria" w:cs="Cambria" w:hAnsi="Cambria" w:eastAsia="Cambria"/>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u w:val="single"/>
    </w:rPr>
  </w:style>
  <w:style w:type="character" w:styleId="Hyperlink.1">
    <w:name w:val="Hyperlink.1"/>
    <w:basedOn w:val="None"/>
    <w:next w:val="Hyperlink.1"/>
    <w:rPr>
      <w:u w:val="single"/>
      <w:lang w:val="en-US"/>
    </w:rPr>
  </w:style>
  <w:style w:type="character" w:styleId="Hyperlink.2">
    <w:name w:val="Hyperlink.2"/>
    <w:basedOn w:val="Hyperlink"/>
    <w:next w:val="Hyperlink.2"/>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