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174FB1" w14:textId="1366559F" w:rsidR="009B3C95" w:rsidRPr="005465E0" w:rsidRDefault="009B3C95" w:rsidP="00DC5888">
      <w:pPr>
        <w:spacing w:line="360" w:lineRule="auto"/>
        <w:jc w:val="center"/>
        <w:rPr>
          <w:rFonts w:ascii="Baskerville" w:hAnsi="Baskerville"/>
          <w:b/>
          <w:bCs/>
          <w:sz w:val="28"/>
          <w:szCs w:val="28"/>
        </w:rPr>
      </w:pPr>
      <w:r w:rsidRPr="005465E0">
        <w:rPr>
          <w:rFonts w:ascii="Baskerville" w:hAnsi="Baskerville"/>
          <w:b/>
          <w:bCs/>
          <w:sz w:val="28"/>
          <w:szCs w:val="28"/>
        </w:rPr>
        <w:t xml:space="preserve">Detail from the mosaic with Roger II receiving the crown from Christ, </w:t>
      </w:r>
      <w:proofErr w:type="spellStart"/>
      <w:r w:rsidRPr="005465E0">
        <w:rPr>
          <w:rFonts w:ascii="Baskerville" w:hAnsi="Baskerville"/>
          <w:b/>
          <w:bCs/>
          <w:sz w:val="28"/>
          <w:szCs w:val="28"/>
        </w:rPr>
        <w:t>Martorana</w:t>
      </w:r>
      <w:proofErr w:type="spellEnd"/>
      <w:r w:rsidRPr="005465E0">
        <w:rPr>
          <w:rFonts w:ascii="Baskerville" w:hAnsi="Baskerville"/>
          <w:b/>
          <w:bCs/>
          <w:sz w:val="28"/>
          <w:szCs w:val="28"/>
        </w:rPr>
        <w:t>, Palermo</w:t>
      </w:r>
    </w:p>
    <w:p w14:paraId="58CE6C65" w14:textId="57EF7786" w:rsidR="009B3C95" w:rsidRPr="005465E0" w:rsidRDefault="009B3C95" w:rsidP="00DC5888">
      <w:pPr>
        <w:spacing w:line="360" w:lineRule="auto"/>
        <w:jc w:val="both"/>
        <w:rPr>
          <w:rFonts w:ascii="Baskerville" w:hAnsi="Baskerville"/>
        </w:rPr>
      </w:pPr>
    </w:p>
    <w:p w14:paraId="2FFC73EF" w14:textId="77777777" w:rsidR="000A141B" w:rsidRPr="005465E0" w:rsidRDefault="00DC5888" w:rsidP="000A141B">
      <w:pPr>
        <w:pStyle w:val="p3"/>
        <w:spacing w:line="360" w:lineRule="auto"/>
        <w:ind w:firstLine="720"/>
        <w:jc w:val="both"/>
        <w:rPr>
          <w:rStyle w:val="s2"/>
          <w:rFonts w:ascii="Baskerville" w:hAnsi="Baskerville"/>
          <w:sz w:val="24"/>
          <w:szCs w:val="24"/>
        </w:rPr>
      </w:pPr>
      <w:r w:rsidRPr="005465E0">
        <w:rPr>
          <w:rStyle w:val="s2"/>
          <w:rFonts w:ascii="Baskerville" w:hAnsi="Baskerville"/>
          <w:sz w:val="24"/>
          <w:szCs w:val="24"/>
        </w:rPr>
        <w:t xml:space="preserve">Roger II, King of Sicily, is immortalised in this golden mosaic as it captures him in the unfulfilled pursuit of the crown of an Emperor. Despite this being the coronation of a </w:t>
      </w:r>
      <w:r w:rsidR="001066FE" w:rsidRPr="005465E0">
        <w:rPr>
          <w:rStyle w:val="s2"/>
          <w:rFonts w:ascii="Baskerville" w:hAnsi="Baskerville"/>
          <w:sz w:val="24"/>
          <w:szCs w:val="24"/>
        </w:rPr>
        <w:t>K</w:t>
      </w:r>
      <w:r w:rsidRPr="005465E0">
        <w:rPr>
          <w:rStyle w:val="s2"/>
          <w:rFonts w:ascii="Baskerville" w:hAnsi="Baskerville"/>
          <w:sz w:val="24"/>
          <w:szCs w:val="24"/>
        </w:rPr>
        <w:t xml:space="preserve">ing, Roger is depicted being crowned by Christ - imagery reserved largely for Emperors. Marked by juxtapositions similar to this, the work effectively encapsulates the complexities of the journey taken from Roger’s inauspicious beginnings, born in 1095, </w:t>
      </w:r>
      <w:r w:rsidR="006C319F" w:rsidRPr="005465E0">
        <w:rPr>
          <w:rStyle w:val="s2"/>
          <w:rFonts w:ascii="Baskerville" w:hAnsi="Baskerville"/>
          <w:sz w:val="24"/>
          <w:szCs w:val="24"/>
        </w:rPr>
        <w:t xml:space="preserve">to </w:t>
      </w:r>
      <w:r w:rsidRPr="005465E0">
        <w:rPr>
          <w:rStyle w:val="s2"/>
          <w:rFonts w:ascii="Baskerville" w:hAnsi="Baskerville"/>
          <w:sz w:val="24"/>
          <w:szCs w:val="24"/>
        </w:rPr>
        <w:t>his extraordinary end, dying in 1154.</w:t>
      </w:r>
      <w:r w:rsidR="006C319F" w:rsidRPr="005465E0">
        <w:rPr>
          <w:rStyle w:val="FootnoteReference"/>
          <w:rFonts w:ascii="Baskerville" w:hAnsi="Baskerville"/>
          <w:sz w:val="24"/>
          <w:szCs w:val="24"/>
        </w:rPr>
        <w:footnoteReference w:id="1"/>
      </w:r>
      <w:r w:rsidRPr="005465E0">
        <w:rPr>
          <w:rStyle w:val="s2"/>
          <w:rFonts w:ascii="Baskerville" w:hAnsi="Baskerville"/>
          <w:sz w:val="24"/>
          <w:szCs w:val="24"/>
        </w:rPr>
        <w:t xml:space="preserve"> </w:t>
      </w:r>
      <w:r w:rsidR="006C319F" w:rsidRPr="005465E0">
        <w:rPr>
          <w:rStyle w:val="s2"/>
          <w:rFonts w:ascii="Baskerville" w:hAnsi="Baskerville"/>
          <w:sz w:val="24"/>
          <w:szCs w:val="24"/>
        </w:rPr>
        <w:t xml:space="preserve">Located in the </w:t>
      </w:r>
      <w:r w:rsidR="006C319F" w:rsidRPr="005465E0">
        <w:rPr>
          <w:rStyle w:val="s2"/>
          <w:rFonts w:ascii="Baskerville" w:hAnsi="Baskerville"/>
          <w:i/>
          <w:iCs/>
          <w:sz w:val="24"/>
          <w:szCs w:val="24"/>
        </w:rPr>
        <w:t xml:space="preserve">Santa Maria </w:t>
      </w:r>
      <w:proofErr w:type="spellStart"/>
      <w:r w:rsidR="006C319F" w:rsidRPr="005465E0">
        <w:rPr>
          <w:rStyle w:val="s2"/>
          <w:rFonts w:ascii="Baskerville" w:hAnsi="Baskerville"/>
          <w:i/>
          <w:iCs/>
          <w:sz w:val="24"/>
          <w:szCs w:val="24"/>
        </w:rPr>
        <w:t>dell'Ammiraglio</w:t>
      </w:r>
      <w:proofErr w:type="spellEnd"/>
      <w:r w:rsidR="006C319F" w:rsidRPr="005465E0">
        <w:rPr>
          <w:rStyle w:val="s2"/>
          <w:rFonts w:ascii="Baskerville" w:hAnsi="Baskerville"/>
          <w:sz w:val="24"/>
          <w:szCs w:val="24"/>
        </w:rPr>
        <w:t xml:space="preserve">, </w:t>
      </w:r>
      <w:r w:rsidR="0021457C" w:rsidRPr="005465E0">
        <w:rPr>
          <w:rStyle w:val="s2"/>
          <w:rFonts w:ascii="Baskerville" w:hAnsi="Baskerville"/>
          <w:sz w:val="24"/>
          <w:szCs w:val="24"/>
        </w:rPr>
        <w:t xml:space="preserve">a Greek-orthodox church founded by </w:t>
      </w:r>
      <w:r w:rsidR="006C319F" w:rsidRPr="005465E0">
        <w:rPr>
          <w:rStyle w:val="s2"/>
          <w:rFonts w:ascii="Baskerville" w:hAnsi="Baskerville"/>
          <w:sz w:val="24"/>
          <w:szCs w:val="24"/>
        </w:rPr>
        <w:t>George of Antioch</w:t>
      </w:r>
      <w:r w:rsidR="00074C9C" w:rsidRPr="005465E0">
        <w:rPr>
          <w:rStyle w:val="s2"/>
          <w:rFonts w:ascii="Baskerville" w:hAnsi="Baskerville"/>
          <w:sz w:val="24"/>
          <w:szCs w:val="24"/>
        </w:rPr>
        <w:t xml:space="preserve"> in the 12</w:t>
      </w:r>
      <w:r w:rsidR="00074C9C" w:rsidRPr="005465E0">
        <w:rPr>
          <w:rStyle w:val="s2"/>
          <w:rFonts w:ascii="Baskerville" w:hAnsi="Baskerville"/>
          <w:sz w:val="24"/>
          <w:szCs w:val="24"/>
          <w:vertAlign w:val="superscript"/>
        </w:rPr>
        <w:t>th</w:t>
      </w:r>
      <w:r w:rsidR="00074C9C" w:rsidRPr="005465E0">
        <w:rPr>
          <w:rStyle w:val="s2"/>
          <w:rFonts w:ascii="Baskerville" w:hAnsi="Baskerville"/>
          <w:sz w:val="24"/>
          <w:szCs w:val="24"/>
        </w:rPr>
        <w:t xml:space="preserve"> century</w:t>
      </w:r>
      <w:r w:rsidR="0021457C" w:rsidRPr="005465E0">
        <w:rPr>
          <w:rStyle w:val="s2"/>
          <w:rFonts w:ascii="Baskerville" w:hAnsi="Baskerville"/>
          <w:sz w:val="24"/>
          <w:szCs w:val="24"/>
        </w:rPr>
        <w:t>,</w:t>
      </w:r>
      <w:r w:rsidR="00A471BF" w:rsidRPr="005465E0">
        <w:rPr>
          <w:rStyle w:val="FootnoteReference"/>
          <w:rFonts w:ascii="Baskerville" w:hAnsi="Baskerville"/>
          <w:sz w:val="24"/>
          <w:szCs w:val="24"/>
        </w:rPr>
        <w:footnoteReference w:id="2"/>
      </w:r>
      <w:r w:rsidR="0021457C" w:rsidRPr="005465E0">
        <w:rPr>
          <w:rStyle w:val="s2"/>
          <w:rFonts w:ascii="Baskerville" w:hAnsi="Baskerville"/>
          <w:sz w:val="24"/>
          <w:szCs w:val="24"/>
        </w:rPr>
        <w:t xml:space="preserve"> </w:t>
      </w:r>
      <w:r w:rsidR="00A471BF" w:rsidRPr="005465E0">
        <w:rPr>
          <w:rStyle w:val="s2"/>
          <w:rFonts w:ascii="Baskerville" w:hAnsi="Baskerville"/>
          <w:sz w:val="24"/>
          <w:szCs w:val="24"/>
        </w:rPr>
        <w:t>‘specific and very old Byzantine precedents’</w:t>
      </w:r>
      <w:r w:rsidR="001A5F45" w:rsidRPr="005465E0">
        <w:rPr>
          <w:rStyle w:val="FootnoteReference"/>
          <w:rFonts w:ascii="Baskerville" w:hAnsi="Baskerville"/>
          <w:sz w:val="24"/>
          <w:szCs w:val="24"/>
        </w:rPr>
        <w:footnoteReference w:id="3"/>
      </w:r>
      <w:r w:rsidR="00A471BF" w:rsidRPr="005465E0">
        <w:rPr>
          <w:rStyle w:val="s2"/>
          <w:rFonts w:ascii="Baskerville" w:hAnsi="Baskerville"/>
          <w:sz w:val="24"/>
          <w:szCs w:val="24"/>
        </w:rPr>
        <w:t xml:space="preserve"> are </w:t>
      </w:r>
      <w:r w:rsidR="001A5F45" w:rsidRPr="005465E0">
        <w:rPr>
          <w:rStyle w:val="s2"/>
          <w:rFonts w:ascii="Baskerville" w:hAnsi="Baskerville"/>
          <w:sz w:val="24"/>
          <w:szCs w:val="24"/>
        </w:rPr>
        <w:t xml:space="preserve">likely </w:t>
      </w:r>
      <w:r w:rsidR="00A471BF" w:rsidRPr="005465E0">
        <w:rPr>
          <w:rStyle w:val="s2"/>
          <w:rFonts w:ascii="Baskerville" w:hAnsi="Baskerville"/>
          <w:sz w:val="24"/>
          <w:szCs w:val="24"/>
        </w:rPr>
        <w:t xml:space="preserve">employed </w:t>
      </w:r>
      <w:r w:rsidR="001A5F45" w:rsidRPr="005465E0">
        <w:rPr>
          <w:rStyle w:val="s2"/>
          <w:rFonts w:ascii="Baskerville" w:hAnsi="Baskerville"/>
          <w:sz w:val="24"/>
          <w:szCs w:val="24"/>
        </w:rPr>
        <w:t>in this work to make it an iconographic symbol</w:t>
      </w:r>
      <w:r w:rsidR="00A471BF" w:rsidRPr="005465E0">
        <w:rPr>
          <w:rStyle w:val="s2"/>
          <w:rFonts w:ascii="Baskerville" w:hAnsi="Baskerville"/>
          <w:sz w:val="24"/>
          <w:szCs w:val="24"/>
        </w:rPr>
        <w:t xml:space="preserve"> of tricultural peac</w:t>
      </w:r>
      <w:r w:rsidR="001A5F45" w:rsidRPr="005465E0">
        <w:rPr>
          <w:rStyle w:val="s2"/>
          <w:rFonts w:ascii="Baskerville" w:hAnsi="Baskerville"/>
          <w:sz w:val="24"/>
          <w:szCs w:val="24"/>
        </w:rPr>
        <w:t>e</w:t>
      </w:r>
      <w:r w:rsidR="00A471BF" w:rsidRPr="005465E0">
        <w:rPr>
          <w:rStyle w:val="s2"/>
          <w:rFonts w:ascii="Baskerville" w:hAnsi="Baskerville"/>
          <w:sz w:val="24"/>
          <w:szCs w:val="24"/>
        </w:rPr>
        <w:t xml:space="preserve">. </w:t>
      </w:r>
      <w:r w:rsidR="00EF2575" w:rsidRPr="005465E0">
        <w:rPr>
          <w:rStyle w:val="s2"/>
          <w:rFonts w:ascii="Baskerville" w:hAnsi="Baskerville"/>
          <w:sz w:val="24"/>
          <w:szCs w:val="24"/>
        </w:rPr>
        <w:t>Following the conquest of Sicily by Roger II’s father and uncle, a land which had been ruled by Muslims for 2</w:t>
      </w:r>
      <w:r w:rsidR="000A141B" w:rsidRPr="005465E0">
        <w:rPr>
          <w:rStyle w:val="s2"/>
          <w:rFonts w:ascii="Baskerville" w:hAnsi="Baskerville"/>
          <w:sz w:val="24"/>
          <w:szCs w:val="24"/>
        </w:rPr>
        <w:t>5</w:t>
      </w:r>
      <w:r w:rsidR="00EF2575" w:rsidRPr="005465E0">
        <w:rPr>
          <w:rStyle w:val="s2"/>
          <w:rFonts w:ascii="Baskerville" w:hAnsi="Baskerville"/>
          <w:sz w:val="24"/>
          <w:szCs w:val="24"/>
        </w:rPr>
        <w:t>0 years prior to this, there were great cultural divides that Roger II had to overcome in order to rule a united Kingdom.</w:t>
      </w:r>
      <w:r w:rsidR="000A141B" w:rsidRPr="005465E0">
        <w:rPr>
          <w:rStyle w:val="FootnoteReference"/>
          <w:rFonts w:ascii="Baskerville" w:hAnsi="Baskerville"/>
          <w:sz w:val="24"/>
          <w:szCs w:val="24"/>
        </w:rPr>
        <w:footnoteReference w:id="4"/>
      </w:r>
      <w:r w:rsidR="00EF2575" w:rsidRPr="005465E0">
        <w:rPr>
          <w:rStyle w:val="s2"/>
          <w:rFonts w:ascii="Baskerville" w:hAnsi="Baskerville"/>
          <w:sz w:val="24"/>
          <w:szCs w:val="24"/>
        </w:rPr>
        <w:t xml:space="preserve"> Despite there being much debate over the efficaciousness of this, many like Robert Bartlett have concluded that it was a ‘relatively tolerant’ society.</w:t>
      </w:r>
      <w:r w:rsidR="00EF2575" w:rsidRPr="005465E0">
        <w:rPr>
          <w:rStyle w:val="FootnoteReference"/>
          <w:rFonts w:ascii="Baskerville" w:hAnsi="Baskerville"/>
          <w:sz w:val="24"/>
          <w:szCs w:val="24"/>
        </w:rPr>
        <w:footnoteReference w:id="5"/>
      </w:r>
      <w:r w:rsidR="00EF2575" w:rsidRPr="005465E0">
        <w:rPr>
          <w:rStyle w:val="s2"/>
          <w:rFonts w:ascii="Baskerville" w:hAnsi="Baskerville"/>
          <w:sz w:val="24"/>
          <w:szCs w:val="24"/>
        </w:rPr>
        <w:t xml:space="preserve"> </w:t>
      </w:r>
      <w:r w:rsidR="00EF2575" w:rsidRPr="005465E0">
        <w:rPr>
          <w:rStyle w:val="s2"/>
          <w:rFonts w:ascii="Baskerville" w:hAnsi="Baskerville"/>
          <w:sz w:val="24"/>
          <w:szCs w:val="24"/>
        </w:rPr>
        <w:t xml:space="preserve">A concerted effort is clearly being made by George of Antioch, Roger II’s </w:t>
      </w:r>
      <w:proofErr w:type="spellStart"/>
      <w:r w:rsidR="00EF6042" w:rsidRPr="005465E0">
        <w:rPr>
          <w:rStyle w:val="s2"/>
          <w:rFonts w:ascii="Baskerville" w:hAnsi="Baskerville"/>
          <w:i/>
          <w:iCs/>
          <w:sz w:val="24"/>
          <w:szCs w:val="24"/>
        </w:rPr>
        <w:t>ammiratus</w:t>
      </w:r>
      <w:proofErr w:type="spellEnd"/>
      <w:r w:rsidR="00EF6042" w:rsidRPr="005465E0">
        <w:rPr>
          <w:rStyle w:val="s2"/>
          <w:rFonts w:ascii="Baskerville" w:hAnsi="Baskerville"/>
          <w:i/>
          <w:iCs/>
          <w:sz w:val="24"/>
          <w:szCs w:val="24"/>
        </w:rPr>
        <w:t xml:space="preserve"> </w:t>
      </w:r>
      <w:proofErr w:type="spellStart"/>
      <w:r w:rsidR="00EF6042" w:rsidRPr="005465E0">
        <w:rPr>
          <w:rStyle w:val="s2"/>
          <w:rFonts w:ascii="Baskerville" w:hAnsi="Baskerville"/>
          <w:i/>
          <w:iCs/>
          <w:sz w:val="24"/>
          <w:szCs w:val="24"/>
        </w:rPr>
        <w:t>ammiratorum</w:t>
      </w:r>
      <w:proofErr w:type="spellEnd"/>
      <w:r w:rsidR="00EF6042" w:rsidRPr="005465E0">
        <w:rPr>
          <w:rStyle w:val="s2"/>
          <w:rFonts w:ascii="Baskerville" w:hAnsi="Baskerville"/>
          <w:sz w:val="24"/>
          <w:szCs w:val="24"/>
        </w:rPr>
        <w:t xml:space="preserve"> or emir of emirs – his effective second in command due to George’s legendary naval achievements, to take inspiration from the interior opulence of the </w:t>
      </w:r>
      <w:r w:rsidR="00EF6042" w:rsidRPr="005465E0">
        <w:rPr>
          <w:rStyle w:val="s2"/>
          <w:rFonts w:ascii="Baskerville" w:hAnsi="Baskerville"/>
          <w:sz w:val="24"/>
          <w:szCs w:val="24"/>
        </w:rPr>
        <w:t xml:space="preserve">Norman royal chapel: </w:t>
      </w:r>
      <w:r w:rsidR="00EF6042" w:rsidRPr="005465E0">
        <w:rPr>
          <w:rStyle w:val="s2"/>
          <w:rFonts w:ascii="Baskerville" w:hAnsi="Baskerville"/>
          <w:i/>
          <w:iCs/>
          <w:sz w:val="24"/>
          <w:szCs w:val="24"/>
        </w:rPr>
        <w:t>Cappella Palatino</w:t>
      </w:r>
      <w:r w:rsidR="00EF6042" w:rsidRPr="005465E0">
        <w:rPr>
          <w:rStyle w:val="s2"/>
          <w:rFonts w:ascii="Baskerville" w:hAnsi="Baskerville"/>
          <w:i/>
          <w:iCs/>
          <w:sz w:val="24"/>
          <w:szCs w:val="24"/>
        </w:rPr>
        <w:t xml:space="preserve">. </w:t>
      </w:r>
      <w:r w:rsidR="00EF6042" w:rsidRPr="005465E0">
        <w:rPr>
          <w:rStyle w:val="s2"/>
          <w:rFonts w:ascii="Baskerville" w:hAnsi="Baskerville"/>
          <w:sz w:val="24"/>
          <w:szCs w:val="24"/>
        </w:rPr>
        <w:t xml:space="preserve">Commissioned by Roger II, it is unsurprising that such efforts are taken by George to portray characters </w:t>
      </w:r>
      <w:r w:rsidR="000F198D" w:rsidRPr="005465E0">
        <w:rPr>
          <w:rStyle w:val="s2"/>
          <w:rFonts w:ascii="Baskerville" w:hAnsi="Baskerville"/>
          <w:sz w:val="24"/>
          <w:szCs w:val="24"/>
        </w:rPr>
        <w:t xml:space="preserve">with similar cultural – specifically Byzantine – physiology and in similar attire. Moreover, </w:t>
      </w:r>
      <w:r w:rsidR="00EF2575" w:rsidRPr="005465E0">
        <w:rPr>
          <w:rStyle w:val="s2"/>
          <w:rFonts w:ascii="Baskerville" w:hAnsi="Baskerville"/>
          <w:sz w:val="24"/>
          <w:szCs w:val="24"/>
        </w:rPr>
        <w:t xml:space="preserve">despite the façade </w:t>
      </w:r>
      <w:r w:rsidR="000F198D" w:rsidRPr="005465E0">
        <w:rPr>
          <w:rStyle w:val="s2"/>
          <w:rFonts w:ascii="Baskerville" w:hAnsi="Baskerville"/>
          <w:sz w:val="24"/>
          <w:szCs w:val="24"/>
        </w:rPr>
        <w:t xml:space="preserve">of the </w:t>
      </w:r>
      <w:r w:rsidR="000F198D" w:rsidRPr="005465E0">
        <w:rPr>
          <w:rStyle w:val="s2"/>
          <w:rFonts w:ascii="Baskerville" w:hAnsi="Baskerville"/>
          <w:i/>
          <w:iCs/>
          <w:sz w:val="24"/>
          <w:szCs w:val="24"/>
        </w:rPr>
        <w:t xml:space="preserve">Santa Maria </w:t>
      </w:r>
      <w:proofErr w:type="spellStart"/>
      <w:r w:rsidR="000F198D" w:rsidRPr="005465E0">
        <w:rPr>
          <w:rStyle w:val="s2"/>
          <w:rFonts w:ascii="Baskerville" w:hAnsi="Baskerville"/>
          <w:i/>
          <w:iCs/>
          <w:sz w:val="24"/>
          <w:szCs w:val="24"/>
        </w:rPr>
        <w:t>dell'Ammiraglio</w:t>
      </w:r>
      <w:proofErr w:type="spellEnd"/>
      <w:r w:rsidR="000F198D" w:rsidRPr="005465E0">
        <w:rPr>
          <w:rStyle w:val="s2"/>
          <w:rFonts w:ascii="Baskerville" w:hAnsi="Baskerville"/>
          <w:sz w:val="24"/>
          <w:szCs w:val="24"/>
        </w:rPr>
        <w:t xml:space="preserve"> </w:t>
      </w:r>
      <w:r w:rsidR="00EF2575" w:rsidRPr="005465E0">
        <w:rPr>
          <w:rStyle w:val="s2"/>
          <w:rFonts w:ascii="Baskerville" w:hAnsi="Baskerville"/>
          <w:sz w:val="24"/>
          <w:szCs w:val="24"/>
        </w:rPr>
        <w:t xml:space="preserve">appearing to be of an unassuming Spanish baroque </w:t>
      </w:r>
      <w:r w:rsidR="000F198D" w:rsidRPr="005465E0">
        <w:rPr>
          <w:rStyle w:val="s2"/>
          <w:rFonts w:ascii="Baskerville" w:hAnsi="Baskerville"/>
          <w:sz w:val="24"/>
          <w:szCs w:val="24"/>
        </w:rPr>
        <w:t>design</w:t>
      </w:r>
      <w:r w:rsidR="00EF2575" w:rsidRPr="005465E0">
        <w:rPr>
          <w:rStyle w:val="s2"/>
          <w:rFonts w:ascii="Baskerville" w:hAnsi="Baskerville"/>
          <w:sz w:val="24"/>
          <w:szCs w:val="24"/>
        </w:rPr>
        <w:t xml:space="preserve">, the </w:t>
      </w:r>
      <w:r w:rsidR="000F198D" w:rsidRPr="005465E0">
        <w:rPr>
          <w:rStyle w:val="s2"/>
          <w:rFonts w:ascii="Baskerville" w:hAnsi="Baskerville"/>
          <w:sz w:val="24"/>
          <w:szCs w:val="24"/>
        </w:rPr>
        <w:t xml:space="preserve">internal </w:t>
      </w:r>
      <w:r w:rsidR="00EF2575" w:rsidRPr="005465E0">
        <w:rPr>
          <w:rStyle w:val="s2"/>
          <w:rFonts w:ascii="Baskerville" w:hAnsi="Baskerville"/>
          <w:sz w:val="24"/>
          <w:szCs w:val="24"/>
        </w:rPr>
        <w:t xml:space="preserve">ceiling is marked by </w:t>
      </w:r>
      <w:r w:rsidR="00EF2575" w:rsidRPr="005465E0">
        <w:rPr>
          <w:rStyle w:val="s2"/>
          <w:rFonts w:ascii="Baskerville" w:hAnsi="Baskerville"/>
          <w:i/>
          <w:iCs/>
          <w:sz w:val="24"/>
          <w:szCs w:val="24"/>
        </w:rPr>
        <w:t>muqarna</w:t>
      </w:r>
      <w:r w:rsidR="00EF2575" w:rsidRPr="005465E0">
        <w:rPr>
          <w:rStyle w:val="s2"/>
          <w:rFonts w:ascii="Baskerville" w:hAnsi="Baskerville"/>
          <w:i/>
          <w:iCs/>
          <w:sz w:val="24"/>
          <w:szCs w:val="24"/>
        </w:rPr>
        <w:t>s</w:t>
      </w:r>
      <w:r w:rsidR="00EF2575" w:rsidRPr="005465E0">
        <w:rPr>
          <w:rStyle w:val="s2"/>
          <w:rFonts w:ascii="Baskerville" w:hAnsi="Baskerville"/>
          <w:sz w:val="24"/>
          <w:szCs w:val="24"/>
        </w:rPr>
        <w:t xml:space="preserve"> – a traditionally Arabian style of architecture creating a honeycomb-like effect.</w:t>
      </w:r>
      <w:r w:rsidR="000F198D" w:rsidRPr="005465E0">
        <w:rPr>
          <w:rStyle w:val="FootnoteReference"/>
          <w:rFonts w:ascii="Baskerville" w:hAnsi="Baskerville"/>
          <w:sz w:val="24"/>
          <w:szCs w:val="24"/>
        </w:rPr>
        <w:footnoteReference w:id="6"/>
      </w:r>
      <w:r w:rsidR="00EF2575" w:rsidRPr="005465E0">
        <w:rPr>
          <w:rStyle w:val="s2"/>
          <w:rFonts w:ascii="Baskerville" w:hAnsi="Baskerville"/>
          <w:sz w:val="24"/>
          <w:szCs w:val="24"/>
        </w:rPr>
        <w:t xml:space="preserve"> </w:t>
      </w:r>
      <w:r w:rsidR="000F198D" w:rsidRPr="005465E0">
        <w:rPr>
          <w:rStyle w:val="s2"/>
          <w:rFonts w:ascii="Baskerville" w:hAnsi="Baskerville"/>
          <w:sz w:val="24"/>
          <w:szCs w:val="24"/>
        </w:rPr>
        <w:t xml:space="preserve">This emulation may, in part, be a sign of respect of the heights that Roger II reached and the debt of gratitude that George feels he owes for his position and wealth. However, it may be argued that in both instances the intention goes further and attempts to present the Kingdom of Sicily as a land of harmonic </w:t>
      </w:r>
      <w:r w:rsidR="000F198D" w:rsidRPr="005465E0">
        <w:rPr>
          <w:rStyle w:val="s2"/>
          <w:rFonts w:ascii="Baskerville" w:hAnsi="Baskerville"/>
          <w:sz w:val="24"/>
          <w:szCs w:val="24"/>
        </w:rPr>
        <w:lastRenderedPageBreak/>
        <w:t xml:space="preserve">multiculturalism. Whether this was the </w:t>
      </w:r>
      <w:r w:rsidR="000A141B" w:rsidRPr="005465E0">
        <w:rPr>
          <w:rStyle w:val="s2"/>
          <w:rFonts w:ascii="Baskerville" w:hAnsi="Baskerville"/>
          <w:sz w:val="24"/>
          <w:szCs w:val="24"/>
        </w:rPr>
        <w:t xml:space="preserve">true </w:t>
      </w:r>
      <w:r w:rsidR="000F198D" w:rsidRPr="005465E0">
        <w:rPr>
          <w:rStyle w:val="s2"/>
          <w:rFonts w:ascii="Baskerville" w:hAnsi="Baskerville"/>
          <w:sz w:val="24"/>
          <w:szCs w:val="24"/>
        </w:rPr>
        <w:t>legacy that Roger ruled for</w:t>
      </w:r>
      <w:r w:rsidR="000A141B" w:rsidRPr="005465E0">
        <w:rPr>
          <w:rStyle w:val="s2"/>
          <w:rFonts w:ascii="Baskerville" w:hAnsi="Baskerville"/>
          <w:sz w:val="24"/>
          <w:szCs w:val="24"/>
        </w:rPr>
        <w:t xml:space="preserve">, superseding his temporal ambitions, or he was unable to escape his greedy, </w:t>
      </w:r>
      <w:proofErr w:type="spellStart"/>
      <w:r w:rsidR="000A141B" w:rsidRPr="005465E0">
        <w:rPr>
          <w:rStyle w:val="s2"/>
          <w:rFonts w:ascii="Baskerville" w:hAnsi="Baskerville"/>
          <w:sz w:val="24"/>
          <w:szCs w:val="24"/>
        </w:rPr>
        <w:t>viking</w:t>
      </w:r>
      <w:proofErr w:type="spellEnd"/>
      <w:r w:rsidR="000A141B" w:rsidRPr="005465E0">
        <w:rPr>
          <w:rStyle w:val="s2"/>
          <w:rFonts w:ascii="Baskerville" w:hAnsi="Baskerville"/>
          <w:sz w:val="24"/>
          <w:szCs w:val="24"/>
        </w:rPr>
        <w:t xml:space="preserve"> predilections and therefore painted over his shame of unfulfilled visions with gold – will be determined by a close exploration of this mosaic.</w:t>
      </w:r>
    </w:p>
    <w:p w14:paraId="0C844298" w14:textId="77777777" w:rsidR="000A141B" w:rsidRPr="005465E0" w:rsidRDefault="000A141B" w:rsidP="000A141B">
      <w:pPr>
        <w:pStyle w:val="p3"/>
        <w:spacing w:line="360" w:lineRule="auto"/>
        <w:ind w:firstLine="720"/>
        <w:jc w:val="both"/>
        <w:rPr>
          <w:rStyle w:val="s2"/>
          <w:rFonts w:ascii="Baskerville" w:hAnsi="Baskerville"/>
          <w:sz w:val="24"/>
          <w:szCs w:val="24"/>
        </w:rPr>
      </w:pPr>
    </w:p>
    <w:p w14:paraId="33BDB912" w14:textId="77777777" w:rsidR="00390CF5" w:rsidRDefault="000A141B" w:rsidP="00390CF5">
      <w:pPr>
        <w:pStyle w:val="p3"/>
        <w:spacing w:line="360" w:lineRule="auto"/>
        <w:ind w:firstLine="720"/>
        <w:jc w:val="both"/>
        <w:rPr>
          <w:rFonts w:ascii="Baskerville" w:hAnsi="Baskerville"/>
          <w:sz w:val="24"/>
          <w:szCs w:val="24"/>
        </w:rPr>
      </w:pPr>
      <w:r w:rsidRPr="005465E0">
        <w:rPr>
          <w:rFonts w:ascii="Baskerville" w:hAnsi="Baskerville"/>
          <w:sz w:val="24"/>
          <w:szCs w:val="24"/>
        </w:rPr>
        <w:t xml:space="preserve">Gold is the colour of the ideological war paint worn by the </w:t>
      </w:r>
      <w:r w:rsidRPr="005465E0">
        <w:rPr>
          <w:rFonts w:ascii="Baskerville" w:hAnsi="Baskerville"/>
          <w:sz w:val="24"/>
          <w:szCs w:val="24"/>
        </w:rPr>
        <w:t>N</w:t>
      </w:r>
      <w:r w:rsidRPr="005465E0">
        <w:rPr>
          <w:rFonts w:ascii="Baskerville" w:hAnsi="Baskerville"/>
          <w:sz w:val="24"/>
          <w:szCs w:val="24"/>
        </w:rPr>
        <w:t>ormans in</w:t>
      </w:r>
      <w:r w:rsidR="005465E0">
        <w:rPr>
          <w:rFonts w:ascii="Baskerville" w:hAnsi="Baskerville"/>
          <w:sz w:val="24"/>
          <w:szCs w:val="24"/>
        </w:rPr>
        <w:t xml:space="preserve"> their</w:t>
      </w:r>
      <w:r w:rsidRPr="005465E0">
        <w:rPr>
          <w:rFonts w:ascii="Baskerville" w:hAnsi="Baskerville"/>
          <w:sz w:val="24"/>
          <w:szCs w:val="24"/>
        </w:rPr>
        <w:t xml:space="preserve"> assertion of dominance in Palermo.</w:t>
      </w:r>
      <w:r w:rsidRPr="005465E0">
        <w:rPr>
          <w:rFonts w:ascii="Baskerville" w:hAnsi="Baskerville"/>
          <w:sz w:val="24"/>
          <w:szCs w:val="24"/>
        </w:rPr>
        <w:t xml:space="preserve"> </w:t>
      </w:r>
      <w:r w:rsidR="005465E0" w:rsidRPr="005465E0">
        <w:rPr>
          <w:rFonts w:ascii="Baskerville" w:hAnsi="Baskerville"/>
          <w:sz w:val="24"/>
          <w:szCs w:val="24"/>
        </w:rPr>
        <w:t xml:space="preserve">Umberto </w:t>
      </w:r>
      <w:proofErr w:type="spellStart"/>
      <w:r w:rsidR="005465E0" w:rsidRPr="005465E0">
        <w:rPr>
          <w:rFonts w:ascii="Baskerville" w:hAnsi="Baskerville"/>
          <w:sz w:val="24"/>
          <w:szCs w:val="24"/>
        </w:rPr>
        <w:t>Rizzitano</w:t>
      </w:r>
      <w:proofErr w:type="spellEnd"/>
      <w:r w:rsidR="005465E0" w:rsidRPr="005465E0">
        <w:rPr>
          <w:rFonts w:ascii="Baskerville" w:hAnsi="Baskerville"/>
          <w:sz w:val="24"/>
          <w:szCs w:val="24"/>
        </w:rPr>
        <w:t xml:space="preserve"> and Francesco Giunta </w:t>
      </w:r>
      <w:r w:rsidR="005465E0">
        <w:rPr>
          <w:rFonts w:ascii="Baskerville" w:hAnsi="Baskerville"/>
          <w:sz w:val="24"/>
          <w:szCs w:val="24"/>
        </w:rPr>
        <w:t xml:space="preserve">propose that Sicily under Norman conquest was a ‘land without </w:t>
      </w:r>
      <w:proofErr w:type="gramStart"/>
      <w:r w:rsidR="005465E0">
        <w:rPr>
          <w:rFonts w:ascii="Baskerville" w:hAnsi="Baskerville"/>
          <w:sz w:val="24"/>
          <w:szCs w:val="24"/>
        </w:rPr>
        <w:t>crusaders’</w:t>
      </w:r>
      <w:proofErr w:type="gramEnd"/>
      <w:r w:rsidR="005465E0">
        <w:rPr>
          <w:rFonts w:ascii="Baskerville" w:hAnsi="Baskerville"/>
          <w:sz w:val="24"/>
          <w:szCs w:val="24"/>
        </w:rPr>
        <w:t xml:space="preserve">. </w:t>
      </w:r>
      <w:r w:rsidR="00D921E7">
        <w:rPr>
          <w:rFonts w:ascii="Baskerville" w:hAnsi="Baskerville"/>
          <w:sz w:val="24"/>
          <w:szCs w:val="24"/>
        </w:rPr>
        <w:t>By</w:t>
      </w:r>
      <w:r w:rsidR="005465E0">
        <w:rPr>
          <w:rFonts w:ascii="Baskerville" w:hAnsi="Baskerville"/>
          <w:sz w:val="24"/>
          <w:szCs w:val="24"/>
        </w:rPr>
        <w:t xml:space="preserve"> interacting with the idea of crusades and religious war, despite their idealised depiction of Roger II having reached a ‘peaceful solution’ with Sicily’s ethnically diverse inhabitants, </w:t>
      </w:r>
      <w:proofErr w:type="spellStart"/>
      <w:r w:rsidR="005465E0">
        <w:rPr>
          <w:rFonts w:ascii="Baskerville" w:hAnsi="Baskerville"/>
          <w:sz w:val="24"/>
          <w:szCs w:val="24"/>
        </w:rPr>
        <w:t>Rizzitano</w:t>
      </w:r>
      <w:proofErr w:type="spellEnd"/>
      <w:r w:rsidR="005465E0">
        <w:rPr>
          <w:rFonts w:ascii="Baskerville" w:hAnsi="Baskerville"/>
          <w:sz w:val="24"/>
          <w:szCs w:val="24"/>
        </w:rPr>
        <w:t xml:space="preserve"> and Giunta unconsciously play with the idea of tensions between polarised religious identities.</w:t>
      </w:r>
      <w:r w:rsidR="005465E0">
        <w:rPr>
          <w:rStyle w:val="FootnoteReference"/>
          <w:rFonts w:ascii="Baskerville" w:hAnsi="Baskerville"/>
          <w:sz w:val="24"/>
          <w:szCs w:val="24"/>
        </w:rPr>
        <w:footnoteReference w:id="7"/>
      </w:r>
      <w:r w:rsidR="005465E0">
        <w:rPr>
          <w:rFonts w:ascii="Baskerville" w:hAnsi="Baskerville"/>
          <w:sz w:val="24"/>
          <w:szCs w:val="24"/>
        </w:rPr>
        <w:t xml:space="preserve"> Furthermore, upon Roger’s ascension to the position of Count of Sicily in 1105</w:t>
      </w:r>
      <w:r w:rsidR="00D921E7">
        <w:rPr>
          <w:rFonts w:ascii="Baskerville" w:hAnsi="Baskerville"/>
          <w:sz w:val="24"/>
          <w:szCs w:val="24"/>
        </w:rPr>
        <w:t>,</w:t>
      </w:r>
      <w:r w:rsidR="00D921E7">
        <w:rPr>
          <w:rStyle w:val="FootnoteReference"/>
          <w:rFonts w:ascii="Baskerville" w:hAnsi="Baskerville"/>
          <w:sz w:val="24"/>
          <w:szCs w:val="24"/>
        </w:rPr>
        <w:footnoteReference w:id="8"/>
      </w:r>
      <w:r w:rsidR="00D921E7">
        <w:rPr>
          <w:rFonts w:ascii="Baskerville" w:hAnsi="Baskerville"/>
          <w:sz w:val="24"/>
          <w:szCs w:val="24"/>
        </w:rPr>
        <w:t xml:space="preserve"> approximately ten years after the First Crusade was called by Pope Urban II,</w:t>
      </w:r>
      <w:r w:rsidR="00D921E7">
        <w:rPr>
          <w:rStyle w:val="FootnoteReference"/>
          <w:rFonts w:ascii="Baskerville" w:hAnsi="Baskerville"/>
          <w:sz w:val="24"/>
          <w:szCs w:val="24"/>
        </w:rPr>
        <w:footnoteReference w:id="9"/>
      </w:r>
      <w:r w:rsidR="00D921E7">
        <w:rPr>
          <w:rFonts w:ascii="Baskerville" w:hAnsi="Baskerville"/>
          <w:sz w:val="24"/>
          <w:szCs w:val="24"/>
        </w:rPr>
        <w:t xml:space="preserve"> it is unrealistic to imagine that different people were coexisting equitably on the same piece of land. Nevertheless, by employing ‘Byzantine [artistic] precedents’, in the form of Roger and Christ’s long noses and faces</w:t>
      </w:r>
      <w:r w:rsidR="00C27691">
        <w:rPr>
          <w:rFonts w:ascii="Baskerville" w:hAnsi="Baskerville"/>
          <w:sz w:val="24"/>
          <w:szCs w:val="24"/>
        </w:rPr>
        <w:t>, the mosaic is attempting to bridge the cultural divide by showing an awareness and appreciation of Eastern religious depictions. According to E</w:t>
      </w:r>
      <w:r w:rsidR="0094747C">
        <w:rPr>
          <w:rFonts w:ascii="Baskerville" w:hAnsi="Baskerville"/>
          <w:sz w:val="24"/>
          <w:szCs w:val="24"/>
        </w:rPr>
        <w:t>l</w:t>
      </w:r>
      <w:r w:rsidR="00C27691">
        <w:rPr>
          <w:rFonts w:ascii="Baskerville" w:hAnsi="Baskerville"/>
          <w:sz w:val="24"/>
          <w:szCs w:val="24"/>
        </w:rPr>
        <w:t xml:space="preserve">len Hurst, Byzantine orthodoxy </w:t>
      </w:r>
      <w:r w:rsidR="0094747C">
        <w:rPr>
          <w:rFonts w:ascii="Baskerville" w:hAnsi="Baskerville"/>
          <w:sz w:val="24"/>
          <w:szCs w:val="24"/>
        </w:rPr>
        <w:t>saw the icons as acting as a ‘spiritual gateway’.</w:t>
      </w:r>
      <w:r w:rsidR="0094747C">
        <w:rPr>
          <w:rStyle w:val="FootnoteReference"/>
          <w:rFonts w:ascii="Baskerville" w:hAnsi="Baskerville"/>
          <w:sz w:val="24"/>
          <w:szCs w:val="24"/>
        </w:rPr>
        <w:footnoteReference w:id="10"/>
      </w:r>
      <w:r w:rsidR="0094747C">
        <w:rPr>
          <w:rFonts w:ascii="Baskerville" w:hAnsi="Baskerville"/>
          <w:sz w:val="24"/>
          <w:szCs w:val="24"/>
        </w:rPr>
        <w:t xml:space="preserve"> It appears that the use of this style was perhaps more than just a political statement, however, as the devoutly Christian Normans regularly went on pilgrimage to the shrine of the Archangel Michael who was said to have walked in a cave in Monte Gargano and consequently by touching the door to the shrine pilgrims were connecting with an entrance to heaven.</w:t>
      </w:r>
      <w:r w:rsidR="0094747C">
        <w:rPr>
          <w:rStyle w:val="FootnoteReference"/>
          <w:rFonts w:ascii="Baskerville" w:hAnsi="Baskerville"/>
          <w:sz w:val="24"/>
          <w:szCs w:val="24"/>
        </w:rPr>
        <w:footnoteReference w:id="11"/>
      </w:r>
      <w:r w:rsidR="0094747C">
        <w:rPr>
          <w:rFonts w:ascii="Baskerville" w:hAnsi="Baskerville"/>
          <w:sz w:val="24"/>
          <w:szCs w:val="24"/>
        </w:rPr>
        <w:t xml:space="preserve"> Bartlett suggests that as part of settling in a conquered land, ‘adaptation to [the] local society’ was a characteristic act by the Normans. However, local</w:t>
      </w:r>
      <w:r w:rsidR="00B8251B">
        <w:rPr>
          <w:rFonts w:ascii="Baskerville" w:hAnsi="Baskerville"/>
          <w:sz w:val="24"/>
          <w:szCs w:val="24"/>
        </w:rPr>
        <w:t>,</w:t>
      </w:r>
      <w:r w:rsidR="0094747C">
        <w:rPr>
          <w:rFonts w:ascii="Baskerville" w:hAnsi="Baskerville"/>
          <w:sz w:val="24"/>
          <w:szCs w:val="24"/>
        </w:rPr>
        <w:t xml:space="preserve"> contemporary</w:t>
      </w:r>
      <w:r w:rsidR="00B8251B">
        <w:rPr>
          <w:rFonts w:ascii="Baskerville" w:hAnsi="Baskerville"/>
          <w:sz w:val="24"/>
          <w:szCs w:val="24"/>
        </w:rPr>
        <w:t>,</w:t>
      </w:r>
      <w:r w:rsidR="0094747C">
        <w:rPr>
          <w:rFonts w:ascii="Baskerville" w:hAnsi="Baskerville"/>
          <w:sz w:val="24"/>
          <w:szCs w:val="24"/>
        </w:rPr>
        <w:t xml:space="preserve"> Arabi</w:t>
      </w:r>
      <w:r w:rsidR="00B8251B">
        <w:rPr>
          <w:rFonts w:ascii="Baskerville" w:hAnsi="Baskerville"/>
          <w:sz w:val="24"/>
          <w:szCs w:val="24"/>
        </w:rPr>
        <w:t>an</w:t>
      </w:r>
      <w:r w:rsidR="0094747C">
        <w:rPr>
          <w:rFonts w:ascii="Baskerville" w:hAnsi="Baskerville"/>
          <w:sz w:val="24"/>
          <w:szCs w:val="24"/>
        </w:rPr>
        <w:t xml:space="preserve"> scholar </w:t>
      </w:r>
      <w:r w:rsidR="00B8251B" w:rsidRPr="00B8251B">
        <w:rPr>
          <w:rFonts w:ascii="Baskerville" w:hAnsi="Baskerville"/>
          <w:i/>
          <w:iCs/>
          <w:sz w:val="24"/>
          <w:szCs w:val="24"/>
        </w:rPr>
        <w:t>Ibn al-</w:t>
      </w:r>
      <w:proofErr w:type="spellStart"/>
      <w:r w:rsidR="00B8251B" w:rsidRPr="00B8251B">
        <w:rPr>
          <w:rFonts w:ascii="Baskerville" w:hAnsi="Baskerville"/>
          <w:i/>
          <w:iCs/>
          <w:sz w:val="24"/>
          <w:szCs w:val="24"/>
        </w:rPr>
        <w:t>AthÈr</w:t>
      </w:r>
      <w:proofErr w:type="spellEnd"/>
      <w:r w:rsidR="00B8251B">
        <w:rPr>
          <w:rFonts w:ascii="Baskerville" w:hAnsi="Baskerville"/>
          <w:sz w:val="24"/>
          <w:szCs w:val="24"/>
        </w:rPr>
        <w:t xml:space="preserve"> went </w:t>
      </w:r>
      <w:r w:rsidR="0094747C">
        <w:rPr>
          <w:rFonts w:ascii="Baskerville" w:hAnsi="Baskerville"/>
          <w:sz w:val="24"/>
          <w:szCs w:val="24"/>
        </w:rPr>
        <w:t xml:space="preserve">further </w:t>
      </w:r>
      <w:r w:rsidR="00B8251B">
        <w:rPr>
          <w:rFonts w:ascii="Baskerville" w:hAnsi="Baskerville"/>
          <w:sz w:val="24"/>
          <w:szCs w:val="24"/>
        </w:rPr>
        <w:t>when recording the rumour which insinuated that Roger had become a Muslim by taking guidance from a Muslim sage, and was therefore ‘</w:t>
      </w:r>
      <w:r w:rsidR="00B8251B" w:rsidRPr="00B8251B">
        <w:rPr>
          <w:rFonts w:ascii="Baskerville" w:hAnsi="Baskerville"/>
          <w:sz w:val="24"/>
          <w:szCs w:val="24"/>
        </w:rPr>
        <w:t>indebted to the religion of justice [</w:t>
      </w:r>
      <w:proofErr w:type="gramStart"/>
      <w:r w:rsidR="00B8251B" w:rsidRPr="00B8251B">
        <w:rPr>
          <w:rFonts w:ascii="Baskerville" w:hAnsi="Baskerville"/>
          <w:sz w:val="24"/>
          <w:szCs w:val="24"/>
        </w:rPr>
        <w:t>i.e.</w:t>
      </w:r>
      <w:proofErr w:type="gramEnd"/>
      <w:r w:rsidR="00B8251B" w:rsidRPr="00B8251B">
        <w:rPr>
          <w:rFonts w:ascii="Baskerville" w:hAnsi="Baskerville"/>
          <w:sz w:val="24"/>
          <w:szCs w:val="24"/>
        </w:rPr>
        <w:t xml:space="preserve"> Islam]’</w:t>
      </w:r>
      <w:r w:rsidR="00B8251B">
        <w:rPr>
          <w:rFonts w:ascii="Baskerville" w:hAnsi="Baskerville"/>
          <w:sz w:val="24"/>
          <w:szCs w:val="24"/>
        </w:rPr>
        <w:t>.</w:t>
      </w:r>
      <w:r w:rsidR="00B8251B">
        <w:rPr>
          <w:rStyle w:val="FootnoteReference"/>
          <w:rFonts w:ascii="Baskerville" w:hAnsi="Baskerville"/>
          <w:sz w:val="24"/>
          <w:szCs w:val="24"/>
        </w:rPr>
        <w:footnoteReference w:id="12"/>
      </w:r>
      <w:r w:rsidR="00B8251B">
        <w:rPr>
          <w:rFonts w:ascii="Baskerville" w:hAnsi="Baskerville"/>
          <w:sz w:val="24"/>
          <w:szCs w:val="24"/>
        </w:rPr>
        <w:t xml:space="preserve"> </w:t>
      </w:r>
    </w:p>
    <w:p w14:paraId="74CA124A" w14:textId="77777777" w:rsidR="00390CF5" w:rsidRDefault="00390CF5" w:rsidP="00390CF5">
      <w:pPr>
        <w:pStyle w:val="p3"/>
        <w:spacing w:line="360" w:lineRule="auto"/>
        <w:ind w:firstLine="720"/>
        <w:jc w:val="both"/>
        <w:rPr>
          <w:rFonts w:ascii="Baskerville" w:hAnsi="Baskerville"/>
          <w:sz w:val="24"/>
          <w:szCs w:val="24"/>
        </w:rPr>
      </w:pPr>
    </w:p>
    <w:p w14:paraId="58F0154C" w14:textId="77777777" w:rsidR="00D22A2A" w:rsidRDefault="00B8251B" w:rsidP="00390CF5">
      <w:pPr>
        <w:pStyle w:val="p3"/>
        <w:spacing w:line="360" w:lineRule="auto"/>
        <w:ind w:firstLine="720"/>
        <w:jc w:val="both"/>
        <w:rPr>
          <w:rFonts w:ascii="Baskerville" w:hAnsi="Baskerville"/>
          <w:sz w:val="24"/>
          <w:szCs w:val="24"/>
        </w:rPr>
      </w:pPr>
      <w:r>
        <w:rPr>
          <w:rFonts w:ascii="Baskerville" w:hAnsi="Baskerville"/>
          <w:sz w:val="24"/>
          <w:szCs w:val="24"/>
        </w:rPr>
        <w:t xml:space="preserve">As Roger was so keen to highlight his peaceable, diplomatic, accepting nature a ruler this rumour may have been started by him. This is evidenced by the Byzantine style toga and crown worn by Roger, but more particularly the </w:t>
      </w:r>
      <w:proofErr w:type="spellStart"/>
      <w:r w:rsidRPr="00B8251B">
        <w:rPr>
          <w:rFonts w:ascii="Baskerville" w:hAnsi="Baskerville"/>
          <w:i/>
          <w:iCs/>
          <w:sz w:val="24"/>
          <w:szCs w:val="24"/>
        </w:rPr>
        <w:t>pendoulia</w:t>
      </w:r>
      <w:proofErr w:type="spellEnd"/>
      <w:r>
        <w:rPr>
          <w:rFonts w:ascii="Baskerville" w:hAnsi="Baskerville"/>
          <w:sz w:val="24"/>
          <w:szCs w:val="24"/>
        </w:rPr>
        <w:t xml:space="preserve"> which trail behind his head and come from the crown. The style is archetypal of Eastern headdress and remarkably similar to </w:t>
      </w:r>
      <w:r w:rsidR="00390CF5">
        <w:rPr>
          <w:rFonts w:ascii="Baskerville" w:hAnsi="Baskerville"/>
          <w:sz w:val="24"/>
          <w:szCs w:val="24"/>
        </w:rPr>
        <w:t>that of the Empress Constanza of Aragon, given the stones which embellish the top.</w:t>
      </w:r>
      <w:r w:rsidR="00390CF5">
        <w:rPr>
          <w:rStyle w:val="FootnoteReference"/>
          <w:rFonts w:ascii="Baskerville" w:hAnsi="Baskerville"/>
          <w:sz w:val="24"/>
          <w:szCs w:val="24"/>
        </w:rPr>
        <w:footnoteReference w:id="13"/>
      </w:r>
      <w:r w:rsidR="00390CF5">
        <w:rPr>
          <w:rFonts w:ascii="Baskerville" w:hAnsi="Baskerville"/>
          <w:sz w:val="24"/>
          <w:szCs w:val="24"/>
        </w:rPr>
        <w:t xml:space="preserve"> Although the similarity strikes with a woman’s crown, it is nonetheless that of an Empress. The station of its owner is clearly intentional as Roger mimics the idea of ascending from his position of King, which he achieved in 1130, to Emperor by being crowned by Christ. It clear that it is the Christian saviour, and not the more typical Pope, in part due to his levitational depiction, but also Christ’s halo being beatific and saintly. Yet, the </w:t>
      </w:r>
      <w:r w:rsidR="00D22A2A">
        <w:rPr>
          <w:rFonts w:ascii="Baskerville" w:hAnsi="Baskerville"/>
          <w:sz w:val="24"/>
          <w:szCs w:val="24"/>
        </w:rPr>
        <w:t xml:space="preserve">block black enrobing of Christ compared with the decadent adorning of Roger, given the connotations of gold often being light and righteousness, it would be easy to confuse the two in their positions. In fact, it may be argued that George of Antioch commissioned this work in part to paint his King as a profligate ruler, yet not out of spite, but in order to highlight his dominance over the landscape – as the physical presence of this </w:t>
      </w:r>
      <w:proofErr w:type="spellStart"/>
      <w:r w:rsidR="00D22A2A">
        <w:rPr>
          <w:rFonts w:ascii="Baskerville" w:hAnsi="Baskerville"/>
          <w:sz w:val="24"/>
          <w:szCs w:val="24"/>
        </w:rPr>
        <w:t>Chuch</w:t>
      </w:r>
      <w:proofErr w:type="spellEnd"/>
      <w:r w:rsidR="00D22A2A">
        <w:rPr>
          <w:rFonts w:ascii="Baskerville" w:hAnsi="Baskerville"/>
          <w:sz w:val="24"/>
          <w:szCs w:val="24"/>
        </w:rPr>
        <w:t xml:space="preserve"> does. </w:t>
      </w:r>
    </w:p>
    <w:p w14:paraId="4C5A63AC" w14:textId="77777777" w:rsidR="00D22A2A" w:rsidRDefault="00D22A2A" w:rsidP="00390CF5">
      <w:pPr>
        <w:pStyle w:val="p3"/>
        <w:spacing w:line="360" w:lineRule="auto"/>
        <w:ind w:firstLine="720"/>
        <w:jc w:val="both"/>
        <w:rPr>
          <w:rFonts w:ascii="Baskerville" w:hAnsi="Baskerville"/>
          <w:sz w:val="24"/>
          <w:szCs w:val="24"/>
        </w:rPr>
      </w:pPr>
      <w:r>
        <w:rPr>
          <w:rFonts w:ascii="Baskerville" w:hAnsi="Baskerville"/>
          <w:sz w:val="24"/>
          <w:szCs w:val="24"/>
        </w:rPr>
        <w:t xml:space="preserve">  </w:t>
      </w:r>
    </w:p>
    <w:p w14:paraId="295A4AF2" w14:textId="7354A6A6" w:rsidR="00390CF5" w:rsidRDefault="00D22A2A" w:rsidP="00390CF5">
      <w:pPr>
        <w:pStyle w:val="p3"/>
        <w:spacing w:line="360" w:lineRule="auto"/>
        <w:ind w:firstLine="720"/>
        <w:jc w:val="both"/>
        <w:rPr>
          <w:rFonts w:ascii="Baskerville" w:hAnsi="Baskerville"/>
          <w:sz w:val="24"/>
          <w:szCs w:val="24"/>
        </w:rPr>
      </w:pPr>
      <w:r>
        <w:rPr>
          <w:rFonts w:ascii="Baskerville" w:hAnsi="Baskerville"/>
          <w:sz w:val="24"/>
          <w:szCs w:val="24"/>
        </w:rPr>
        <w:t xml:space="preserve"> </w:t>
      </w:r>
      <w:r w:rsidR="00390CF5">
        <w:rPr>
          <w:rFonts w:ascii="Baskerville" w:hAnsi="Baskerville"/>
          <w:sz w:val="24"/>
          <w:szCs w:val="24"/>
        </w:rPr>
        <w:t>The gold background, onto which Christ is positioned, with its glass layer refracting the light and illuminating the dark ages with the promise of eternal salvation, however, is less innocent than it appears.</w:t>
      </w:r>
      <w:r>
        <w:rPr>
          <w:rFonts w:ascii="Baskerville" w:hAnsi="Baskerville"/>
          <w:sz w:val="24"/>
          <w:szCs w:val="24"/>
        </w:rPr>
        <w:t xml:space="preserve"> Although surrounding a depiction of Christ as a </w:t>
      </w:r>
      <w:proofErr w:type="spellStart"/>
      <w:r w:rsidRPr="00D22A2A">
        <w:rPr>
          <w:rFonts w:ascii="Baskerville" w:hAnsi="Baskerville"/>
          <w:i/>
          <w:iCs/>
          <w:sz w:val="24"/>
          <w:szCs w:val="24"/>
        </w:rPr>
        <w:t>pakaranthos</w:t>
      </w:r>
      <w:proofErr w:type="spellEnd"/>
      <w:r>
        <w:rPr>
          <w:rFonts w:ascii="Baskerville" w:hAnsi="Baskerville"/>
          <w:sz w:val="24"/>
          <w:szCs w:val="24"/>
        </w:rPr>
        <w:t>, in the traditional Byzantine style further along in the Church, are Arabic letters to show a cultural peace – Roger’s name ‘</w:t>
      </w:r>
      <w:proofErr w:type="spellStart"/>
      <w:r w:rsidRPr="00D22A2A">
        <w:rPr>
          <w:rFonts w:ascii="Baskerville" w:hAnsi="Baskerville"/>
          <w:i/>
          <w:iCs/>
          <w:sz w:val="24"/>
          <w:szCs w:val="24"/>
        </w:rPr>
        <w:t>Rogerios</w:t>
      </w:r>
      <w:proofErr w:type="spellEnd"/>
      <w:r w:rsidRPr="00D22A2A">
        <w:rPr>
          <w:rFonts w:ascii="Baskerville" w:hAnsi="Baskerville"/>
          <w:i/>
          <w:iCs/>
          <w:sz w:val="24"/>
          <w:szCs w:val="24"/>
        </w:rPr>
        <w:t xml:space="preserve"> Rex</w:t>
      </w:r>
      <w:r>
        <w:rPr>
          <w:rFonts w:ascii="Baskerville" w:hAnsi="Baskerville"/>
          <w:sz w:val="24"/>
          <w:szCs w:val="24"/>
        </w:rPr>
        <w:t>’, or King Roger, in Greek letters on the image showing his coronation on Christmas Day 1130 truly depict which language took precedence. Visually, the lion crushing the neck of the camel – the lion symbolising the Normans and the camel the Arabs – on Roger’s coronation mantle reinforce this.</w:t>
      </w:r>
      <w:r>
        <w:rPr>
          <w:rStyle w:val="FootnoteReference"/>
          <w:rFonts w:ascii="Baskerville" w:hAnsi="Baskerville"/>
          <w:sz w:val="24"/>
          <w:szCs w:val="24"/>
        </w:rPr>
        <w:footnoteReference w:id="14"/>
      </w:r>
      <w:r>
        <w:rPr>
          <w:rFonts w:ascii="Baskerville" w:hAnsi="Baskerville"/>
          <w:sz w:val="24"/>
          <w:szCs w:val="24"/>
        </w:rPr>
        <w:t xml:space="preserve"> However, what is most convincing </w:t>
      </w:r>
      <w:r w:rsidR="002F4463">
        <w:rPr>
          <w:rFonts w:ascii="Baskerville" w:hAnsi="Baskerville"/>
          <w:sz w:val="24"/>
          <w:szCs w:val="24"/>
        </w:rPr>
        <w:t xml:space="preserve">are the vertical columns in the three national languages, Greek, Latin and Arabic, of Sicily in the </w:t>
      </w:r>
      <w:r w:rsidR="002F4463" w:rsidRPr="002F4463">
        <w:rPr>
          <w:rFonts w:ascii="Baskerville" w:hAnsi="Baskerville"/>
          <w:i/>
          <w:iCs/>
          <w:sz w:val="24"/>
          <w:szCs w:val="24"/>
        </w:rPr>
        <w:t>Harley Psalter</w:t>
      </w:r>
      <w:r w:rsidR="002F4463">
        <w:rPr>
          <w:rFonts w:ascii="Baskerville" w:hAnsi="Baskerville"/>
          <w:sz w:val="24"/>
          <w:szCs w:val="24"/>
        </w:rPr>
        <w:t xml:space="preserve">. In which, Latin takes the central position leading scholars like Alex </w:t>
      </w:r>
      <w:proofErr w:type="spellStart"/>
      <w:r w:rsidR="002F4463">
        <w:rPr>
          <w:rFonts w:ascii="Baskerville" w:hAnsi="Baskerville"/>
          <w:sz w:val="24"/>
          <w:szCs w:val="24"/>
        </w:rPr>
        <w:t>Meltcafe</w:t>
      </w:r>
      <w:proofErr w:type="spellEnd"/>
      <w:r w:rsidR="002F4463">
        <w:rPr>
          <w:rFonts w:ascii="Baskerville" w:hAnsi="Baskerville"/>
          <w:sz w:val="24"/>
          <w:szCs w:val="24"/>
        </w:rPr>
        <w:t xml:space="preserve"> to propose that the ‘King’s </w:t>
      </w:r>
      <w:r w:rsidR="002F4463" w:rsidRPr="002F4463">
        <w:rPr>
          <w:rFonts w:ascii="Baskerville" w:hAnsi="Baskerville"/>
          <w:sz w:val="24"/>
          <w:szCs w:val="24"/>
        </w:rPr>
        <w:t>indicating that the kingdom’s peoples were royally perceived as distinct and unequal</w:t>
      </w:r>
      <w:r w:rsidR="002F4463">
        <w:rPr>
          <w:rFonts w:ascii="Baskerville" w:hAnsi="Baskerville"/>
          <w:sz w:val="24"/>
          <w:szCs w:val="24"/>
        </w:rPr>
        <w:t>’.</w:t>
      </w:r>
      <w:r w:rsidR="002F4463">
        <w:rPr>
          <w:rStyle w:val="FootnoteReference"/>
          <w:rFonts w:ascii="Baskerville" w:hAnsi="Baskerville"/>
          <w:sz w:val="24"/>
          <w:szCs w:val="24"/>
        </w:rPr>
        <w:footnoteReference w:id="15"/>
      </w:r>
    </w:p>
    <w:p w14:paraId="476DE2AD" w14:textId="118A1A81" w:rsidR="002F4463" w:rsidRDefault="002F4463" w:rsidP="00390CF5">
      <w:pPr>
        <w:pStyle w:val="p3"/>
        <w:spacing w:line="360" w:lineRule="auto"/>
        <w:ind w:firstLine="720"/>
        <w:jc w:val="both"/>
        <w:rPr>
          <w:rFonts w:ascii="Baskerville" w:hAnsi="Baskerville"/>
          <w:sz w:val="24"/>
          <w:szCs w:val="24"/>
        </w:rPr>
      </w:pPr>
    </w:p>
    <w:p w14:paraId="7A27856D" w14:textId="0A6E939F" w:rsidR="002F4463" w:rsidRDefault="002F4463" w:rsidP="00390CF5">
      <w:pPr>
        <w:pStyle w:val="p3"/>
        <w:spacing w:line="360" w:lineRule="auto"/>
        <w:ind w:firstLine="720"/>
        <w:jc w:val="both"/>
        <w:rPr>
          <w:rFonts w:ascii="Baskerville" w:hAnsi="Baskerville"/>
          <w:sz w:val="24"/>
          <w:szCs w:val="24"/>
        </w:rPr>
      </w:pPr>
      <w:r>
        <w:rPr>
          <w:rFonts w:ascii="Baskerville" w:hAnsi="Baskerville"/>
          <w:sz w:val="24"/>
          <w:szCs w:val="24"/>
        </w:rPr>
        <w:lastRenderedPageBreak/>
        <w:t>Evidently, despite trying to depict a country at peace the gold mosaic fails to masque the cracks of an empire ruled by a somewhat diplomatic, but ultimately oppressive ruler called Roger II.</w:t>
      </w:r>
    </w:p>
    <w:p w14:paraId="559CE134" w14:textId="7E78767B" w:rsidR="00390CF5" w:rsidRDefault="00390CF5" w:rsidP="00390CF5">
      <w:pPr>
        <w:pStyle w:val="p3"/>
        <w:spacing w:line="360" w:lineRule="auto"/>
        <w:ind w:firstLine="720"/>
        <w:jc w:val="both"/>
        <w:rPr>
          <w:rFonts w:ascii="Baskerville" w:hAnsi="Baskerville"/>
          <w:sz w:val="24"/>
          <w:szCs w:val="24"/>
        </w:rPr>
      </w:pPr>
    </w:p>
    <w:p w14:paraId="188EC7AD" w14:textId="77777777" w:rsidR="00D37A5C" w:rsidRDefault="00D37A5C" w:rsidP="00DC5888">
      <w:pPr>
        <w:spacing w:line="360" w:lineRule="auto"/>
        <w:jc w:val="both"/>
        <w:rPr>
          <w:rFonts w:ascii="Baskerville" w:hAnsi="Baskerville"/>
        </w:rPr>
      </w:pPr>
      <w:r>
        <w:rPr>
          <w:rFonts w:ascii="Baskerville" w:hAnsi="Baskerville"/>
        </w:rPr>
        <w:t>Bibliography</w:t>
      </w:r>
    </w:p>
    <w:p w14:paraId="5D9064B4" w14:textId="77777777" w:rsidR="00D37A5C" w:rsidRDefault="00D37A5C" w:rsidP="00DC5888">
      <w:pPr>
        <w:spacing w:line="360" w:lineRule="auto"/>
        <w:jc w:val="both"/>
        <w:rPr>
          <w:rFonts w:ascii="Baskerville" w:hAnsi="Baskerville"/>
        </w:rPr>
      </w:pPr>
    </w:p>
    <w:p w14:paraId="7E4551A5" w14:textId="40F1D486" w:rsidR="00EF2575" w:rsidRDefault="00EF2575" w:rsidP="00DC5888">
      <w:pPr>
        <w:spacing w:line="360" w:lineRule="auto"/>
        <w:jc w:val="both"/>
      </w:pPr>
      <w:r w:rsidRPr="005465E0">
        <w:rPr>
          <w:rFonts w:ascii="Baskerville" w:hAnsi="Baskerville"/>
        </w:rPr>
        <w:t xml:space="preserve"> </w:t>
      </w:r>
      <w:r w:rsidR="00D37A5C" w:rsidRPr="00D37A5C">
        <w:t>Alex Metcalfe</w:t>
      </w:r>
      <w:r w:rsidR="00D37A5C">
        <w:t xml:space="preserve">, </w:t>
      </w:r>
      <w:r w:rsidR="00D37A5C" w:rsidRPr="00D37A5C">
        <w:t>The Muslims of medieval Italy</w:t>
      </w:r>
      <w:r w:rsidR="00D37A5C">
        <w:t>, (2009) p. 248</w:t>
      </w:r>
    </w:p>
    <w:p w14:paraId="1872DDB1" w14:textId="2E35EFB3" w:rsidR="00D37A5C" w:rsidRDefault="00D37A5C" w:rsidP="00DC5888">
      <w:pPr>
        <w:spacing w:line="360" w:lineRule="auto"/>
        <w:jc w:val="both"/>
      </w:pPr>
      <w:hyperlink r:id="rId7" w:history="1">
        <w:r w:rsidRPr="001C0341">
          <w:rPr>
            <w:rStyle w:val="Hyperlink"/>
          </w:rPr>
          <w:t>http://www.unarosadoro.com/gioiegioielli/officinae15.jpg</w:t>
        </w:r>
      </w:hyperlink>
    </w:p>
    <w:p w14:paraId="46A91C4B" w14:textId="77777777" w:rsidR="00D37A5C" w:rsidRDefault="00D37A5C" w:rsidP="00D37A5C">
      <w:pPr>
        <w:pStyle w:val="FootnoteText"/>
      </w:pPr>
      <w:r>
        <w:t xml:space="preserve">Robert Bartlett, </w:t>
      </w:r>
      <w:hyperlink r:id="rId8" w:history="1">
        <w:r w:rsidRPr="001C0341">
          <w:rPr>
            <w:rStyle w:val="Hyperlink"/>
          </w:rPr>
          <w:t>https://www.bbc.co.uk/iplayer/episode/b00thpzb/the-normans-3-normans-of-the-south</w:t>
        </w:r>
      </w:hyperlink>
      <w:r>
        <w:t xml:space="preserve"> [</w:t>
      </w:r>
      <w:proofErr w:type="spellStart"/>
      <w:r>
        <w:t>Accesssed</w:t>
      </w:r>
      <w:proofErr w:type="spellEnd"/>
      <w:r>
        <w:t xml:space="preserve"> 20 April 2021].</w:t>
      </w:r>
    </w:p>
    <w:p w14:paraId="66397E24" w14:textId="5A04AB74" w:rsidR="00D37A5C" w:rsidRDefault="00D37A5C" w:rsidP="00DC5888">
      <w:pPr>
        <w:spacing w:line="360" w:lineRule="auto"/>
        <w:jc w:val="both"/>
        <w:rPr>
          <w:rFonts w:ascii="Baskerville" w:hAnsi="Baskerville"/>
        </w:rPr>
      </w:pPr>
    </w:p>
    <w:p w14:paraId="26CDA160" w14:textId="77777777" w:rsidR="00D37A5C" w:rsidRDefault="00D37A5C" w:rsidP="00D37A5C">
      <w:pPr>
        <w:pStyle w:val="FootnoteText"/>
      </w:pPr>
      <w:r>
        <w:rPr>
          <w:rFonts w:ascii="Baskerville" w:hAnsi="Baskerville"/>
        </w:rPr>
        <w:t xml:space="preserve">Britannica, </w:t>
      </w:r>
      <w:r>
        <w:rPr>
          <w:rFonts w:ascii="Baskerville" w:hAnsi="Baskerville"/>
          <w:i/>
          <w:iCs/>
        </w:rPr>
        <w:t xml:space="preserve">Roger II: King of Sicily </w:t>
      </w:r>
      <w:r>
        <w:rPr>
          <w:rFonts w:ascii="Baskerville" w:hAnsi="Baskerville"/>
        </w:rPr>
        <w:t xml:space="preserve">&lt; </w:t>
      </w:r>
      <w:hyperlink r:id="rId9" w:history="1">
        <w:r w:rsidRPr="001C0341">
          <w:rPr>
            <w:rStyle w:val="Hyperlink"/>
            <w:rFonts w:ascii="Baskerville" w:hAnsi="Baskerville"/>
          </w:rPr>
          <w:t>https://www.britannica.com/biography/Roger-II</w:t>
        </w:r>
      </w:hyperlink>
      <w:r>
        <w:rPr>
          <w:rFonts w:ascii="Baskerville" w:hAnsi="Baskerville"/>
        </w:rPr>
        <w:t xml:space="preserve"> &gt; [Accessed 19 April 2021].</w:t>
      </w:r>
    </w:p>
    <w:p w14:paraId="00325AAF" w14:textId="39B4A363" w:rsidR="00D37A5C" w:rsidRPr="005465E0" w:rsidRDefault="00D37A5C" w:rsidP="00D37A5C">
      <w:pPr>
        <w:spacing w:line="360" w:lineRule="auto"/>
        <w:jc w:val="both"/>
        <w:rPr>
          <w:rFonts w:ascii="Baskerville" w:hAnsi="Baskerville"/>
        </w:rPr>
      </w:pPr>
      <w:r>
        <w:rPr>
          <w:rStyle w:val="FootnoteReference"/>
        </w:rPr>
        <w:footnoteRef/>
      </w:r>
      <w:r>
        <w:t xml:space="preserve"> T</w:t>
      </w:r>
      <w:r w:rsidRPr="00D37A5C">
        <w:rPr>
          <w:i/>
          <w:iCs/>
          <w:sz w:val="20"/>
          <w:szCs w:val="20"/>
        </w:rPr>
        <w:t>he Norman Kingdom of Sicily and the Crusades</w:t>
      </w:r>
      <w:r w:rsidRPr="00D37A5C">
        <w:rPr>
          <w:sz w:val="20"/>
          <w:szCs w:val="20"/>
        </w:rPr>
        <w:t xml:space="preserve">, Helene </w:t>
      </w:r>
      <w:proofErr w:type="spellStart"/>
      <w:r w:rsidRPr="00D37A5C">
        <w:rPr>
          <w:sz w:val="20"/>
          <w:szCs w:val="20"/>
        </w:rPr>
        <w:t>Wieruszowski</w:t>
      </w:r>
      <w:proofErr w:type="spellEnd"/>
      <w:r w:rsidRPr="00D37A5C">
        <w:rPr>
          <w:sz w:val="20"/>
          <w:szCs w:val="20"/>
        </w:rPr>
        <w:t>, </w:t>
      </w:r>
      <w:r w:rsidRPr="00D37A5C">
        <w:rPr>
          <w:i/>
          <w:iCs/>
          <w:sz w:val="20"/>
          <w:szCs w:val="20"/>
        </w:rPr>
        <w:t>The Later Crusades, 1189-1311</w:t>
      </w:r>
      <w:r w:rsidRPr="00D37A5C">
        <w:rPr>
          <w:sz w:val="20"/>
          <w:szCs w:val="20"/>
        </w:rPr>
        <w:t xml:space="preserve">, Vol. II, </w:t>
      </w:r>
      <w:proofErr w:type="spellStart"/>
      <w:proofErr w:type="gramStart"/>
      <w:r w:rsidRPr="00D37A5C">
        <w:rPr>
          <w:sz w:val="20"/>
          <w:szCs w:val="20"/>
        </w:rPr>
        <w:t>ed.Kenneth</w:t>
      </w:r>
      <w:proofErr w:type="spellEnd"/>
      <w:proofErr w:type="gramEnd"/>
      <w:r w:rsidRPr="00D37A5C">
        <w:rPr>
          <w:sz w:val="20"/>
          <w:szCs w:val="20"/>
        </w:rPr>
        <w:t xml:space="preserve"> M. </w:t>
      </w:r>
      <w:proofErr w:type="spellStart"/>
      <w:r w:rsidRPr="00D37A5C">
        <w:rPr>
          <w:sz w:val="20"/>
          <w:szCs w:val="20"/>
        </w:rPr>
        <w:t>Setton</w:t>
      </w:r>
      <w:proofErr w:type="spellEnd"/>
      <w:r w:rsidRPr="00D37A5C">
        <w:rPr>
          <w:sz w:val="20"/>
          <w:szCs w:val="20"/>
        </w:rPr>
        <w:t>, Robert Lee Wolff, Harry W. Hazard, (The University of Wisconsin Press, 1969), 19.</w:t>
      </w:r>
    </w:p>
    <w:sectPr w:rsidR="00D37A5C" w:rsidRPr="005465E0">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7B72BB" w14:textId="77777777" w:rsidR="00077BFA" w:rsidRDefault="00077BFA" w:rsidP="00DC5888">
      <w:r>
        <w:separator/>
      </w:r>
    </w:p>
  </w:endnote>
  <w:endnote w:type="continuationSeparator" w:id="0">
    <w:p w14:paraId="2381F622" w14:textId="77777777" w:rsidR="00077BFA" w:rsidRDefault="00077BFA" w:rsidP="00DC5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notTrueType/>
    <w:pitch w:val="default"/>
  </w:font>
  <w:font w:name=".SFUI-Bold">
    <w:altName w:val="Cambria"/>
    <w:panose1 w:val="020B0604020202020204"/>
    <w:charset w:val="00"/>
    <w:family w:val="roman"/>
    <w:notTrueType/>
    <w:pitch w:val="default"/>
  </w:font>
  <w:font w:name=".SFUI-Regular">
    <w:altName w:val="Cambria"/>
    <w:panose1 w:val="020B0604020202020204"/>
    <w:charset w:val="00"/>
    <w:family w:val="roman"/>
    <w:notTrueType/>
    <w:pitch w:val="default"/>
  </w:font>
  <w:font w:name="Baskerville">
    <w:altName w:val="﷽﷽﷽﷽﷽﷽﷽﷽lle"/>
    <w:panose1 w:val="02020502070401020303"/>
    <w:charset w:val="00"/>
    <w:family w:val="roman"/>
    <w:pitch w:val="variable"/>
    <w:sig w:usb0="80000067" w:usb1="02000000"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69135343"/>
      <w:docPartObj>
        <w:docPartGallery w:val="Page Numbers (Bottom of Page)"/>
        <w:docPartUnique/>
      </w:docPartObj>
    </w:sdtPr>
    <w:sdtEndPr>
      <w:rPr>
        <w:rStyle w:val="PageNumber"/>
      </w:rPr>
    </w:sdtEndPr>
    <w:sdtContent>
      <w:p w14:paraId="3F73C309" w14:textId="522AB462" w:rsidR="00DC5888" w:rsidRDefault="00DC5888" w:rsidP="001C03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B8FAA0" w14:textId="77777777" w:rsidR="00DC5888" w:rsidRDefault="00DC5888" w:rsidP="00DC58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1811112"/>
      <w:docPartObj>
        <w:docPartGallery w:val="Page Numbers (Bottom of Page)"/>
        <w:docPartUnique/>
      </w:docPartObj>
    </w:sdtPr>
    <w:sdtEndPr>
      <w:rPr>
        <w:rStyle w:val="PageNumber"/>
      </w:rPr>
    </w:sdtEndPr>
    <w:sdtContent>
      <w:p w14:paraId="533802C2" w14:textId="4515EC06" w:rsidR="00DC5888" w:rsidRDefault="00DC5888" w:rsidP="001C03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4222A6" w14:textId="77777777" w:rsidR="00DC5888" w:rsidRDefault="00DC5888" w:rsidP="00DC58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E3B4FC" w14:textId="77777777" w:rsidR="00077BFA" w:rsidRDefault="00077BFA" w:rsidP="00DC5888">
      <w:r>
        <w:separator/>
      </w:r>
    </w:p>
  </w:footnote>
  <w:footnote w:type="continuationSeparator" w:id="0">
    <w:p w14:paraId="3494BE5C" w14:textId="77777777" w:rsidR="00077BFA" w:rsidRDefault="00077BFA" w:rsidP="00DC5888">
      <w:r>
        <w:continuationSeparator/>
      </w:r>
    </w:p>
  </w:footnote>
  <w:footnote w:id="1">
    <w:p w14:paraId="48D7469C" w14:textId="17D708D4" w:rsidR="006C319F" w:rsidRDefault="006C319F">
      <w:pPr>
        <w:pStyle w:val="FootnoteText"/>
      </w:pPr>
      <w:r>
        <w:rPr>
          <w:rStyle w:val="FootnoteReference"/>
        </w:rPr>
        <w:footnoteRef/>
      </w:r>
      <w:r>
        <w:t xml:space="preserve"> </w:t>
      </w:r>
      <w:r>
        <w:rPr>
          <w:rFonts w:ascii="Baskerville" w:hAnsi="Baskerville"/>
        </w:rPr>
        <w:t xml:space="preserve">Britannica, </w:t>
      </w:r>
      <w:r>
        <w:rPr>
          <w:rFonts w:ascii="Baskerville" w:hAnsi="Baskerville"/>
          <w:i/>
          <w:iCs/>
        </w:rPr>
        <w:t xml:space="preserve">Roger II: King of Sicily </w:t>
      </w:r>
      <w:r>
        <w:rPr>
          <w:rFonts w:ascii="Baskerville" w:hAnsi="Baskerville"/>
        </w:rPr>
        <w:t xml:space="preserve">&lt; </w:t>
      </w:r>
      <w:hyperlink r:id="rId1" w:history="1">
        <w:r w:rsidRPr="001C0341">
          <w:rPr>
            <w:rStyle w:val="Hyperlink"/>
            <w:rFonts w:ascii="Baskerville" w:hAnsi="Baskerville"/>
          </w:rPr>
          <w:t>https://www.britannica.com/biography/Roger-II</w:t>
        </w:r>
      </w:hyperlink>
      <w:r>
        <w:rPr>
          <w:rFonts w:ascii="Baskerville" w:hAnsi="Baskerville"/>
        </w:rPr>
        <w:t xml:space="preserve"> &gt; [Accessed 19 April 2021].</w:t>
      </w:r>
    </w:p>
  </w:footnote>
  <w:footnote w:id="2">
    <w:p w14:paraId="697F1DD6" w14:textId="6E6EFD76" w:rsidR="00A471BF" w:rsidRDefault="00A471BF">
      <w:pPr>
        <w:pStyle w:val="FootnoteText"/>
      </w:pPr>
      <w:r>
        <w:rPr>
          <w:rStyle w:val="FootnoteReference"/>
        </w:rPr>
        <w:footnoteRef/>
      </w:r>
      <w:r>
        <w:t xml:space="preserve"> </w:t>
      </w:r>
      <w:r w:rsidR="00D37A5C">
        <w:t>T</w:t>
      </w:r>
      <w:r w:rsidR="00D37A5C" w:rsidRPr="00D37A5C">
        <w:rPr>
          <w:i/>
          <w:iCs/>
        </w:rPr>
        <w:t>he Norman Kingdom of Sicily and the Crusades</w:t>
      </w:r>
      <w:r w:rsidR="00D37A5C" w:rsidRPr="00D37A5C">
        <w:t xml:space="preserve">, Helene </w:t>
      </w:r>
      <w:proofErr w:type="spellStart"/>
      <w:r w:rsidR="00D37A5C" w:rsidRPr="00D37A5C">
        <w:t>Wieruszowski</w:t>
      </w:r>
      <w:proofErr w:type="spellEnd"/>
      <w:r w:rsidR="00D37A5C" w:rsidRPr="00D37A5C">
        <w:t>, </w:t>
      </w:r>
      <w:r w:rsidR="00D37A5C" w:rsidRPr="00D37A5C">
        <w:rPr>
          <w:i/>
          <w:iCs/>
        </w:rPr>
        <w:t>The Later Crusades, 1189-1311</w:t>
      </w:r>
      <w:r w:rsidR="00D37A5C" w:rsidRPr="00D37A5C">
        <w:t xml:space="preserve">, Vol. II, </w:t>
      </w:r>
      <w:proofErr w:type="spellStart"/>
      <w:proofErr w:type="gramStart"/>
      <w:r w:rsidR="00D37A5C" w:rsidRPr="00D37A5C">
        <w:t>ed.Kenneth</w:t>
      </w:r>
      <w:proofErr w:type="spellEnd"/>
      <w:proofErr w:type="gramEnd"/>
      <w:r w:rsidR="00D37A5C" w:rsidRPr="00D37A5C">
        <w:t xml:space="preserve"> M. </w:t>
      </w:r>
      <w:proofErr w:type="spellStart"/>
      <w:r w:rsidR="00D37A5C" w:rsidRPr="00D37A5C">
        <w:t>Setton</w:t>
      </w:r>
      <w:proofErr w:type="spellEnd"/>
      <w:r w:rsidR="00D37A5C" w:rsidRPr="00D37A5C">
        <w:t>, Robert Lee Wolff, Harry W. Hazard, (The University of Wisconsin Press, 1969), 19.</w:t>
      </w:r>
    </w:p>
  </w:footnote>
  <w:footnote w:id="3">
    <w:p w14:paraId="7EEEAE03" w14:textId="7921C439" w:rsidR="001A5F45" w:rsidRDefault="001A5F45">
      <w:pPr>
        <w:pStyle w:val="FootnoteText"/>
      </w:pPr>
      <w:r>
        <w:rPr>
          <w:rStyle w:val="FootnoteReference"/>
        </w:rPr>
        <w:footnoteRef/>
      </w:r>
      <w:r>
        <w:t xml:space="preserve"> </w:t>
      </w:r>
      <w:r w:rsidR="00D37A5C" w:rsidRPr="00D37A5C">
        <w:t>Alex Metcalfe</w:t>
      </w:r>
      <w:r w:rsidR="00D37A5C">
        <w:t xml:space="preserve">, </w:t>
      </w:r>
      <w:r w:rsidR="00D37A5C" w:rsidRPr="00D37A5C">
        <w:t>The Muslims of medieval Italy</w:t>
      </w:r>
      <w:r w:rsidR="00D37A5C">
        <w:t>, (2009) p</w:t>
      </w:r>
      <w:r>
        <w:t>. 237</w:t>
      </w:r>
      <w:r w:rsidR="00D37A5C">
        <w:t>.</w:t>
      </w:r>
    </w:p>
  </w:footnote>
  <w:footnote w:id="4">
    <w:p w14:paraId="4D7106FC" w14:textId="5F1F7E40" w:rsidR="000A141B" w:rsidRDefault="000A141B">
      <w:pPr>
        <w:pStyle w:val="FootnoteText"/>
      </w:pPr>
      <w:r>
        <w:rPr>
          <w:rStyle w:val="FootnoteReference"/>
        </w:rPr>
        <w:footnoteRef/>
      </w:r>
      <w:r>
        <w:t xml:space="preserve"> Robert </w:t>
      </w:r>
      <w:r w:rsidR="00D37A5C">
        <w:t>B</w:t>
      </w:r>
      <w:r>
        <w:t>artlett</w:t>
      </w:r>
      <w:r w:rsidR="00D37A5C">
        <w:t xml:space="preserve">, </w:t>
      </w:r>
      <w:hyperlink r:id="rId2" w:history="1">
        <w:r w:rsidR="00D37A5C" w:rsidRPr="001C0341">
          <w:rPr>
            <w:rStyle w:val="Hyperlink"/>
          </w:rPr>
          <w:t>https://www.bbc.co.uk/iplayer/episode/b00thpzb/the-normans-3-normans-of-the-south</w:t>
        </w:r>
      </w:hyperlink>
      <w:r w:rsidR="00D37A5C">
        <w:t xml:space="preserve"> [</w:t>
      </w:r>
      <w:proofErr w:type="spellStart"/>
      <w:r w:rsidR="00D37A5C">
        <w:t>Accesssed</w:t>
      </w:r>
      <w:proofErr w:type="spellEnd"/>
      <w:r w:rsidR="00D37A5C">
        <w:t xml:space="preserve"> 20 April 2021].</w:t>
      </w:r>
    </w:p>
  </w:footnote>
  <w:footnote w:id="5">
    <w:p w14:paraId="5CC02CA2" w14:textId="185851ED" w:rsidR="00EF2575" w:rsidRDefault="00EF2575">
      <w:pPr>
        <w:pStyle w:val="FootnoteText"/>
      </w:pPr>
      <w:r>
        <w:rPr>
          <w:rStyle w:val="FootnoteReference"/>
        </w:rPr>
        <w:footnoteRef/>
      </w:r>
      <w:r>
        <w:t xml:space="preserve"> </w:t>
      </w:r>
      <w:r w:rsidR="00D37A5C">
        <w:t xml:space="preserve">Robert Bartlett, </w:t>
      </w:r>
      <w:hyperlink r:id="rId3" w:history="1">
        <w:r w:rsidR="00D37A5C" w:rsidRPr="001C0341">
          <w:rPr>
            <w:rStyle w:val="Hyperlink"/>
          </w:rPr>
          <w:t>https://www.bbc.co.uk/iplayer/episode/b00thpzb/the-normans-3-normans-of-the-south</w:t>
        </w:r>
      </w:hyperlink>
      <w:r w:rsidR="00D37A5C">
        <w:t xml:space="preserve"> [</w:t>
      </w:r>
      <w:proofErr w:type="spellStart"/>
      <w:r w:rsidR="00D37A5C">
        <w:t>Accesssed</w:t>
      </w:r>
      <w:proofErr w:type="spellEnd"/>
      <w:r w:rsidR="00D37A5C">
        <w:t xml:space="preserve"> 20 April 2021].</w:t>
      </w:r>
    </w:p>
  </w:footnote>
  <w:footnote w:id="6">
    <w:p w14:paraId="515ABE63" w14:textId="65FAD5CB" w:rsidR="000F198D" w:rsidRDefault="000F198D">
      <w:pPr>
        <w:pStyle w:val="FootnoteText"/>
      </w:pPr>
      <w:r>
        <w:rPr>
          <w:rStyle w:val="FootnoteReference"/>
        </w:rPr>
        <w:footnoteRef/>
      </w:r>
      <w:r>
        <w:t xml:space="preserve"> </w:t>
      </w:r>
      <w:r w:rsidR="00D37A5C">
        <w:t xml:space="preserve">Robert Bartlett, </w:t>
      </w:r>
      <w:hyperlink r:id="rId4" w:history="1">
        <w:r w:rsidR="00D37A5C" w:rsidRPr="001C0341">
          <w:rPr>
            <w:rStyle w:val="Hyperlink"/>
          </w:rPr>
          <w:t>https://www.bbc.co.uk/iplayer/episode/b00thpzb/the-normans-3-normans-of-the-south</w:t>
        </w:r>
      </w:hyperlink>
      <w:r w:rsidR="00D37A5C">
        <w:t xml:space="preserve"> [</w:t>
      </w:r>
      <w:proofErr w:type="spellStart"/>
      <w:r w:rsidR="00D37A5C">
        <w:t>Accesssed</w:t>
      </w:r>
      <w:proofErr w:type="spellEnd"/>
      <w:r w:rsidR="00D37A5C">
        <w:t xml:space="preserve"> 20 April 2021].</w:t>
      </w:r>
    </w:p>
  </w:footnote>
  <w:footnote w:id="7">
    <w:p w14:paraId="61A83C61" w14:textId="62E8BF9C" w:rsidR="005465E0" w:rsidRDefault="005465E0">
      <w:pPr>
        <w:pStyle w:val="FootnoteText"/>
      </w:pPr>
      <w:r>
        <w:rPr>
          <w:rStyle w:val="FootnoteReference"/>
        </w:rPr>
        <w:footnoteRef/>
      </w:r>
      <w:r>
        <w:t xml:space="preserve"> </w:t>
      </w:r>
      <w:r w:rsidR="00D37A5C">
        <w:t xml:space="preserve">Robert Bartlett, </w:t>
      </w:r>
      <w:hyperlink r:id="rId5" w:history="1">
        <w:r w:rsidR="00D37A5C" w:rsidRPr="001C0341">
          <w:rPr>
            <w:rStyle w:val="Hyperlink"/>
          </w:rPr>
          <w:t>https://www.bbc.co.uk/iplayer/episode/b00thpzb/the-normans-3-normans-of-the-south</w:t>
        </w:r>
      </w:hyperlink>
      <w:r w:rsidR="00D37A5C">
        <w:t xml:space="preserve"> [</w:t>
      </w:r>
      <w:proofErr w:type="spellStart"/>
      <w:r w:rsidR="00D37A5C">
        <w:t>Accesssed</w:t>
      </w:r>
      <w:proofErr w:type="spellEnd"/>
      <w:r w:rsidR="00D37A5C">
        <w:t xml:space="preserve"> 20 April 2021].</w:t>
      </w:r>
    </w:p>
  </w:footnote>
  <w:footnote w:id="8">
    <w:p w14:paraId="43B19FF3" w14:textId="160BAEF9" w:rsidR="00D921E7" w:rsidRDefault="00D921E7">
      <w:pPr>
        <w:pStyle w:val="FootnoteText"/>
      </w:pPr>
      <w:r>
        <w:rPr>
          <w:rStyle w:val="FootnoteReference"/>
        </w:rPr>
        <w:footnoteRef/>
      </w:r>
      <w:r>
        <w:t xml:space="preserve"> </w:t>
      </w:r>
      <w:r w:rsidR="00D37A5C">
        <w:t xml:space="preserve">Robert Bartlett, </w:t>
      </w:r>
      <w:hyperlink r:id="rId6" w:history="1">
        <w:r w:rsidR="00D37A5C" w:rsidRPr="001C0341">
          <w:rPr>
            <w:rStyle w:val="Hyperlink"/>
          </w:rPr>
          <w:t>https://www.bbc.co.uk/iplayer/episode/b00thpzb/the-normans-3-normans-of-the-south</w:t>
        </w:r>
      </w:hyperlink>
      <w:r w:rsidR="00D37A5C">
        <w:t xml:space="preserve"> [</w:t>
      </w:r>
      <w:proofErr w:type="spellStart"/>
      <w:r w:rsidR="00D37A5C">
        <w:t>Accesssed</w:t>
      </w:r>
      <w:proofErr w:type="spellEnd"/>
      <w:r w:rsidR="00D37A5C">
        <w:t xml:space="preserve"> 20 April 2021].</w:t>
      </w:r>
    </w:p>
  </w:footnote>
  <w:footnote w:id="9">
    <w:p w14:paraId="2D7BE294" w14:textId="59443E21" w:rsidR="00D921E7" w:rsidRDefault="00D921E7">
      <w:pPr>
        <w:pStyle w:val="FootnoteText"/>
      </w:pPr>
      <w:r>
        <w:rPr>
          <w:rStyle w:val="FootnoteReference"/>
        </w:rPr>
        <w:footnoteRef/>
      </w:r>
      <w:r>
        <w:t xml:space="preserve"> </w:t>
      </w:r>
      <w:r w:rsidR="00D37A5C">
        <w:t xml:space="preserve">Robert Bartlett, </w:t>
      </w:r>
      <w:hyperlink r:id="rId7" w:history="1">
        <w:r w:rsidR="00D37A5C" w:rsidRPr="001C0341">
          <w:rPr>
            <w:rStyle w:val="Hyperlink"/>
          </w:rPr>
          <w:t>https://www.bbc.co.uk/iplayer/episode/b00thpzb/the-normans-3-normans-of-the-south</w:t>
        </w:r>
      </w:hyperlink>
      <w:r w:rsidR="00D37A5C">
        <w:t xml:space="preserve"> [</w:t>
      </w:r>
      <w:proofErr w:type="spellStart"/>
      <w:r w:rsidR="00D37A5C">
        <w:t>Accesssed</w:t>
      </w:r>
      <w:proofErr w:type="spellEnd"/>
      <w:r w:rsidR="00D37A5C">
        <w:t xml:space="preserve"> 20 April 2021].</w:t>
      </w:r>
    </w:p>
  </w:footnote>
  <w:footnote w:id="10">
    <w:p w14:paraId="6C865266" w14:textId="2A105041" w:rsidR="0094747C" w:rsidRDefault="0094747C">
      <w:pPr>
        <w:pStyle w:val="FootnoteText"/>
      </w:pPr>
      <w:r>
        <w:rPr>
          <w:rStyle w:val="FootnoteReference"/>
        </w:rPr>
        <w:footnoteRef/>
      </w:r>
      <w:r>
        <w:t xml:space="preserve"> </w:t>
      </w:r>
      <w:r w:rsidR="00D37A5C">
        <w:t xml:space="preserve">Robert Bartlett, </w:t>
      </w:r>
      <w:hyperlink r:id="rId8" w:history="1">
        <w:r w:rsidR="00D37A5C" w:rsidRPr="001C0341">
          <w:rPr>
            <w:rStyle w:val="Hyperlink"/>
          </w:rPr>
          <w:t>https://www.bbc.co.uk/iplayer/episode/b00thpzb/the-normans-3-normans-of-the-south</w:t>
        </w:r>
      </w:hyperlink>
      <w:r w:rsidR="00D37A5C">
        <w:t xml:space="preserve"> [</w:t>
      </w:r>
      <w:proofErr w:type="spellStart"/>
      <w:r w:rsidR="00D37A5C">
        <w:t>Accesssed</w:t>
      </w:r>
      <w:proofErr w:type="spellEnd"/>
      <w:r w:rsidR="00D37A5C">
        <w:t xml:space="preserve"> 20 April 2021].</w:t>
      </w:r>
    </w:p>
  </w:footnote>
  <w:footnote w:id="11">
    <w:p w14:paraId="1C9F8511" w14:textId="0E73A0A0" w:rsidR="0094747C" w:rsidRDefault="0094747C">
      <w:pPr>
        <w:pStyle w:val="FootnoteText"/>
      </w:pPr>
      <w:r>
        <w:rPr>
          <w:rStyle w:val="FootnoteReference"/>
        </w:rPr>
        <w:footnoteRef/>
      </w:r>
      <w:r>
        <w:t xml:space="preserve"> </w:t>
      </w:r>
      <w:r w:rsidR="00D37A5C">
        <w:t xml:space="preserve">Robert Bartlett, </w:t>
      </w:r>
      <w:hyperlink r:id="rId9" w:history="1">
        <w:r w:rsidR="00D37A5C" w:rsidRPr="001C0341">
          <w:rPr>
            <w:rStyle w:val="Hyperlink"/>
          </w:rPr>
          <w:t>https://www.bbc.co.uk/iplayer/episode/b00thpzb/the-normans-3-normans-of-the-south</w:t>
        </w:r>
      </w:hyperlink>
      <w:r w:rsidR="00D37A5C">
        <w:t xml:space="preserve"> [</w:t>
      </w:r>
      <w:proofErr w:type="spellStart"/>
      <w:r w:rsidR="00D37A5C">
        <w:t>Accesssed</w:t>
      </w:r>
      <w:proofErr w:type="spellEnd"/>
      <w:r w:rsidR="00D37A5C">
        <w:t xml:space="preserve"> 20 April 2021].</w:t>
      </w:r>
    </w:p>
  </w:footnote>
  <w:footnote w:id="12">
    <w:p w14:paraId="41BE048B" w14:textId="5AF199C8" w:rsidR="00B8251B" w:rsidRDefault="00B8251B">
      <w:pPr>
        <w:pStyle w:val="FootnoteText"/>
      </w:pPr>
      <w:r>
        <w:rPr>
          <w:rStyle w:val="FootnoteReference"/>
        </w:rPr>
        <w:footnoteRef/>
      </w:r>
      <w:r>
        <w:t xml:space="preserve"> </w:t>
      </w:r>
      <w:r w:rsidR="00D37A5C" w:rsidRPr="00D37A5C">
        <w:t>Alex Metcalfe</w:t>
      </w:r>
      <w:r w:rsidR="00D37A5C">
        <w:t xml:space="preserve">, </w:t>
      </w:r>
      <w:r w:rsidR="00D37A5C" w:rsidRPr="00D37A5C">
        <w:t>The Muslims of medieval Italy</w:t>
      </w:r>
      <w:r w:rsidR="00D37A5C">
        <w:t>, (2009) p</w:t>
      </w:r>
      <w:r>
        <w:t>.246</w:t>
      </w:r>
    </w:p>
  </w:footnote>
  <w:footnote w:id="13">
    <w:p w14:paraId="22BCC856" w14:textId="62813B3D" w:rsidR="00390CF5" w:rsidRDefault="00390CF5">
      <w:pPr>
        <w:pStyle w:val="FootnoteText"/>
      </w:pPr>
      <w:r>
        <w:rPr>
          <w:rStyle w:val="FootnoteReference"/>
        </w:rPr>
        <w:footnoteRef/>
      </w:r>
      <w:r>
        <w:t xml:space="preserve"> </w:t>
      </w:r>
      <w:hyperlink r:id="rId10" w:history="1">
        <w:r w:rsidRPr="001C0341">
          <w:rPr>
            <w:rStyle w:val="Hyperlink"/>
          </w:rPr>
          <w:t>http://www.unarosadoro.com/gioiegioielli/officinae15.jpg</w:t>
        </w:r>
      </w:hyperlink>
      <w:r>
        <w:t xml:space="preserve"> </w:t>
      </w:r>
    </w:p>
  </w:footnote>
  <w:footnote w:id="14">
    <w:p w14:paraId="12016CE5" w14:textId="7C45EAF8" w:rsidR="00D22A2A" w:rsidRDefault="00D22A2A">
      <w:pPr>
        <w:pStyle w:val="FootnoteText"/>
      </w:pPr>
      <w:r>
        <w:rPr>
          <w:rStyle w:val="FootnoteReference"/>
        </w:rPr>
        <w:footnoteRef/>
      </w:r>
      <w:r>
        <w:t xml:space="preserve"> </w:t>
      </w:r>
      <w:r w:rsidR="00D37A5C" w:rsidRPr="00D37A5C">
        <w:t>Alex Metcalfe</w:t>
      </w:r>
      <w:r w:rsidR="00D37A5C">
        <w:t xml:space="preserve">, </w:t>
      </w:r>
      <w:r w:rsidR="00D37A5C" w:rsidRPr="00D37A5C">
        <w:t>The Muslims of medieval Italy</w:t>
      </w:r>
      <w:r w:rsidR="00D37A5C">
        <w:t xml:space="preserve">, (2009) p. </w:t>
      </w:r>
      <w:r>
        <w:t>244</w:t>
      </w:r>
    </w:p>
  </w:footnote>
  <w:footnote w:id="15">
    <w:p w14:paraId="3A7B5971" w14:textId="4222073F" w:rsidR="002F4463" w:rsidRDefault="00D37A5C">
      <w:pPr>
        <w:pStyle w:val="FootnoteText"/>
      </w:pPr>
      <w:r>
        <w:rPr>
          <w:rStyle w:val="FootnoteReference"/>
        </w:rPr>
        <w:footnoteRef/>
      </w:r>
      <w:r>
        <w:t xml:space="preserve"> </w:t>
      </w:r>
      <w:r w:rsidRPr="00D37A5C">
        <w:t>Alex Metcalfe</w:t>
      </w:r>
      <w:r>
        <w:t xml:space="preserve">, </w:t>
      </w:r>
      <w:r w:rsidRPr="00D37A5C">
        <w:t>The Muslims of medieval Italy</w:t>
      </w:r>
      <w:r>
        <w:t xml:space="preserve">, (2009) p. </w:t>
      </w:r>
      <w:r w:rsidR="002F4463">
        <w:t>248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C95"/>
    <w:rsid w:val="00043FCF"/>
    <w:rsid w:val="00074C9C"/>
    <w:rsid w:val="00077BFA"/>
    <w:rsid w:val="000867AA"/>
    <w:rsid w:val="000A141B"/>
    <w:rsid w:val="000F198D"/>
    <w:rsid w:val="001066FE"/>
    <w:rsid w:val="00121EF4"/>
    <w:rsid w:val="001A5F45"/>
    <w:rsid w:val="001D1E4E"/>
    <w:rsid w:val="001E5300"/>
    <w:rsid w:val="0021457C"/>
    <w:rsid w:val="002F4463"/>
    <w:rsid w:val="00360D8D"/>
    <w:rsid w:val="003733B0"/>
    <w:rsid w:val="00390CF5"/>
    <w:rsid w:val="004707DF"/>
    <w:rsid w:val="004B6316"/>
    <w:rsid w:val="005465E0"/>
    <w:rsid w:val="005A794E"/>
    <w:rsid w:val="00642106"/>
    <w:rsid w:val="006635F1"/>
    <w:rsid w:val="006C319F"/>
    <w:rsid w:val="006C3DD6"/>
    <w:rsid w:val="00853688"/>
    <w:rsid w:val="0091506F"/>
    <w:rsid w:val="0094747C"/>
    <w:rsid w:val="009B3C95"/>
    <w:rsid w:val="00A471BF"/>
    <w:rsid w:val="00A867CA"/>
    <w:rsid w:val="00AB2105"/>
    <w:rsid w:val="00B714D2"/>
    <w:rsid w:val="00B8251B"/>
    <w:rsid w:val="00B82ECB"/>
    <w:rsid w:val="00B84A2E"/>
    <w:rsid w:val="00C27691"/>
    <w:rsid w:val="00C6021F"/>
    <w:rsid w:val="00D22A2A"/>
    <w:rsid w:val="00D37A5C"/>
    <w:rsid w:val="00D55062"/>
    <w:rsid w:val="00D64C10"/>
    <w:rsid w:val="00D921E7"/>
    <w:rsid w:val="00DC5888"/>
    <w:rsid w:val="00EF2575"/>
    <w:rsid w:val="00EF6042"/>
    <w:rsid w:val="00F77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2E0E448"/>
  <w15:chartTrackingRefBased/>
  <w15:docId w15:val="{A4B88316-34E1-5E4F-9F5D-99AE06591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3B0"/>
    <w:rPr>
      <w:color w:val="0563C1" w:themeColor="hyperlink"/>
      <w:u w:val="single"/>
    </w:rPr>
  </w:style>
  <w:style w:type="character" w:styleId="UnresolvedMention">
    <w:name w:val="Unresolved Mention"/>
    <w:basedOn w:val="DefaultParagraphFont"/>
    <w:uiPriority w:val="99"/>
    <w:semiHidden/>
    <w:unhideWhenUsed/>
    <w:rsid w:val="003733B0"/>
    <w:rPr>
      <w:color w:val="605E5C"/>
      <w:shd w:val="clear" w:color="auto" w:fill="E1DFDD"/>
    </w:rPr>
  </w:style>
  <w:style w:type="paragraph" w:customStyle="1" w:styleId="p1">
    <w:name w:val="p1"/>
    <w:basedOn w:val="Normal"/>
    <w:rsid w:val="00DC5888"/>
    <w:pPr>
      <w:spacing w:after="45"/>
    </w:pPr>
    <w:rPr>
      <w:rFonts w:ascii=".AppleSystemUIFont" w:eastAsia="Times New Roman" w:hAnsi=".AppleSystemUIFont" w:cs="Times New Roman"/>
      <w:sz w:val="42"/>
      <w:szCs w:val="42"/>
      <w:lang w:eastAsia="en-GB"/>
    </w:rPr>
  </w:style>
  <w:style w:type="paragraph" w:customStyle="1" w:styleId="p2">
    <w:name w:val="p2"/>
    <w:basedOn w:val="Normal"/>
    <w:rsid w:val="00DC5888"/>
    <w:rPr>
      <w:rFonts w:ascii=".AppleSystemUIFont" w:eastAsia="Times New Roman" w:hAnsi=".AppleSystemUIFont" w:cs="Times New Roman"/>
      <w:sz w:val="26"/>
      <w:szCs w:val="26"/>
      <w:lang w:eastAsia="en-GB"/>
    </w:rPr>
  </w:style>
  <w:style w:type="paragraph" w:customStyle="1" w:styleId="p3">
    <w:name w:val="p3"/>
    <w:basedOn w:val="Normal"/>
    <w:rsid w:val="00DC5888"/>
    <w:rPr>
      <w:rFonts w:ascii=".AppleSystemUIFont" w:eastAsia="Times New Roman" w:hAnsi=".AppleSystemUIFont" w:cs="Times New Roman"/>
      <w:sz w:val="26"/>
      <w:szCs w:val="26"/>
      <w:lang w:eastAsia="en-GB"/>
    </w:rPr>
  </w:style>
  <w:style w:type="character" w:customStyle="1" w:styleId="s1">
    <w:name w:val="s1"/>
    <w:basedOn w:val="DefaultParagraphFont"/>
    <w:rsid w:val="00DC5888"/>
    <w:rPr>
      <w:rFonts w:ascii=".SFUI-Bold" w:hAnsi=".SFUI-Bold" w:hint="default"/>
      <w:b/>
      <w:bCs/>
      <w:i w:val="0"/>
      <w:iCs w:val="0"/>
      <w:sz w:val="42"/>
      <w:szCs w:val="42"/>
    </w:rPr>
  </w:style>
  <w:style w:type="character" w:customStyle="1" w:styleId="s2">
    <w:name w:val="s2"/>
    <w:basedOn w:val="DefaultParagraphFont"/>
    <w:rsid w:val="00DC5888"/>
    <w:rPr>
      <w:rFonts w:ascii=".SFUI-Regular" w:hAnsi=".SFUI-Regular" w:hint="default"/>
      <w:b w:val="0"/>
      <w:bCs w:val="0"/>
      <w:i w:val="0"/>
      <w:iCs w:val="0"/>
      <w:sz w:val="26"/>
      <w:szCs w:val="26"/>
    </w:rPr>
  </w:style>
  <w:style w:type="character" w:customStyle="1" w:styleId="apple-converted-space">
    <w:name w:val="apple-converted-space"/>
    <w:basedOn w:val="DefaultParagraphFont"/>
    <w:rsid w:val="00DC5888"/>
  </w:style>
  <w:style w:type="paragraph" w:styleId="Footer">
    <w:name w:val="footer"/>
    <w:basedOn w:val="Normal"/>
    <w:link w:val="FooterChar"/>
    <w:uiPriority w:val="99"/>
    <w:unhideWhenUsed/>
    <w:rsid w:val="00DC5888"/>
    <w:pPr>
      <w:tabs>
        <w:tab w:val="center" w:pos="4513"/>
        <w:tab w:val="right" w:pos="9026"/>
      </w:tabs>
    </w:pPr>
  </w:style>
  <w:style w:type="character" w:customStyle="1" w:styleId="FooterChar">
    <w:name w:val="Footer Char"/>
    <w:basedOn w:val="DefaultParagraphFont"/>
    <w:link w:val="Footer"/>
    <w:uiPriority w:val="99"/>
    <w:rsid w:val="00DC5888"/>
  </w:style>
  <w:style w:type="character" w:styleId="PageNumber">
    <w:name w:val="page number"/>
    <w:basedOn w:val="DefaultParagraphFont"/>
    <w:uiPriority w:val="99"/>
    <w:semiHidden/>
    <w:unhideWhenUsed/>
    <w:rsid w:val="00DC5888"/>
  </w:style>
  <w:style w:type="paragraph" w:styleId="FootnoteText">
    <w:name w:val="footnote text"/>
    <w:basedOn w:val="Normal"/>
    <w:link w:val="FootnoteTextChar"/>
    <w:uiPriority w:val="99"/>
    <w:semiHidden/>
    <w:unhideWhenUsed/>
    <w:rsid w:val="006C319F"/>
    <w:rPr>
      <w:sz w:val="20"/>
      <w:szCs w:val="20"/>
    </w:rPr>
  </w:style>
  <w:style w:type="character" w:customStyle="1" w:styleId="FootnoteTextChar">
    <w:name w:val="Footnote Text Char"/>
    <w:basedOn w:val="DefaultParagraphFont"/>
    <w:link w:val="FootnoteText"/>
    <w:uiPriority w:val="99"/>
    <w:semiHidden/>
    <w:rsid w:val="006C319F"/>
    <w:rPr>
      <w:sz w:val="20"/>
      <w:szCs w:val="20"/>
    </w:rPr>
  </w:style>
  <w:style w:type="character" w:styleId="FootnoteReference">
    <w:name w:val="footnote reference"/>
    <w:basedOn w:val="DefaultParagraphFont"/>
    <w:uiPriority w:val="99"/>
    <w:semiHidden/>
    <w:unhideWhenUsed/>
    <w:rsid w:val="006C31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05903">
      <w:bodyDiv w:val="1"/>
      <w:marLeft w:val="0"/>
      <w:marRight w:val="0"/>
      <w:marTop w:val="0"/>
      <w:marBottom w:val="0"/>
      <w:divBdr>
        <w:top w:val="none" w:sz="0" w:space="0" w:color="auto"/>
        <w:left w:val="none" w:sz="0" w:space="0" w:color="auto"/>
        <w:bottom w:val="none" w:sz="0" w:space="0" w:color="auto"/>
        <w:right w:val="none" w:sz="0" w:space="0" w:color="auto"/>
      </w:divBdr>
      <w:divsChild>
        <w:div w:id="1265184054">
          <w:marLeft w:val="0"/>
          <w:marRight w:val="0"/>
          <w:marTop w:val="0"/>
          <w:marBottom w:val="0"/>
          <w:divBdr>
            <w:top w:val="none" w:sz="0" w:space="0" w:color="auto"/>
            <w:left w:val="none" w:sz="0" w:space="0" w:color="auto"/>
            <w:bottom w:val="none" w:sz="0" w:space="0" w:color="auto"/>
            <w:right w:val="none" w:sz="0" w:space="0" w:color="auto"/>
          </w:divBdr>
          <w:divsChild>
            <w:div w:id="1316764765">
              <w:marLeft w:val="0"/>
              <w:marRight w:val="0"/>
              <w:marTop w:val="0"/>
              <w:marBottom w:val="0"/>
              <w:divBdr>
                <w:top w:val="none" w:sz="0" w:space="0" w:color="auto"/>
                <w:left w:val="none" w:sz="0" w:space="0" w:color="auto"/>
                <w:bottom w:val="none" w:sz="0" w:space="0" w:color="auto"/>
                <w:right w:val="none" w:sz="0" w:space="0" w:color="auto"/>
              </w:divBdr>
              <w:divsChild>
                <w:div w:id="40476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6175">
      <w:bodyDiv w:val="1"/>
      <w:marLeft w:val="0"/>
      <w:marRight w:val="0"/>
      <w:marTop w:val="0"/>
      <w:marBottom w:val="0"/>
      <w:divBdr>
        <w:top w:val="none" w:sz="0" w:space="0" w:color="auto"/>
        <w:left w:val="none" w:sz="0" w:space="0" w:color="auto"/>
        <w:bottom w:val="none" w:sz="0" w:space="0" w:color="auto"/>
        <w:right w:val="none" w:sz="0" w:space="0" w:color="auto"/>
      </w:divBdr>
    </w:div>
    <w:div w:id="216362351">
      <w:bodyDiv w:val="1"/>
      <w:marLeft w:val="0"/>
      <w:marRight w:val="0"/>
      <w:marTop w:val="0"/>
      <w:marBottom w:val="0"/>
      <w:divBdr>
        <w:top w:val="none" w:sz="0" w:space="0" w:color="auto"/>
        <w:left w:val="none" w:sz="0" w:space="0" w:color="auto"/>
        <w:bottom w:val="none" w:sz="0" w:space="0" w:color="auto"/>
        <w:right w:val="none" w:sz="0" w:space="0" w:color="auto"/>
      </w:divBdr>
    </w:div>
    <w:div w:id="626468089">
      <w:bodyDiv w:val="1"/>
      <w:marLeft w:val="0"/>
      <w:marRight w:val="0"/>
      <w:marTop w:val="0"/>
      <w:marBottom w:val="0"/>
      <w:divBdr>
        <w:top w:val="none" w:sz="0" w:space="0" w:color="auto"/>
        <w:left w:val="none" w:sz="0" w:space="0" w:color="auto"/>
        <w:bottom w:val="none" w:sz="0" w:space="0" w:color="auto"/>
        <w:right w:val="none" w:sz="0" w:space="0" w:color="auto"/>
      </w:divBdr>
      <w:divsChild>
        <w:div w:id="1628856324">
          <w:marLeft w:val="0"/>
          <w:marRight w:val="0"/>
          <w:marTop w:val="0"/>
          <w:marBottom w:val="0"/>
          <w:divBdr>
            <w:top w:val="none" w:sz="0" w:space="0" w:color="auto"/>
            <w:left w:val="none" w:sz="0" w:space="0" w:color="auto"/>
            <w:bottom w:val="none" w:sz="0" w:space="0" w:color="auto"/>
            <w:right w:val="none" w:sz="0" w:space="0" w:color="auto"/>
          </w:divBdr>
          <w:divsChild>
            <w:div w:id="84215900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981421590">
      <w:bodyDiv w:val="1"/>
      <w:marLeft w:val="0"/>
      <w:marRight w:val="0"/>
      <w:marTop w:val="0"/>
      <w:marBottom w:val="0"/>
      <w:divBdr>
        <w:top w:val="none" w:sz="0" w:space="0" w:color="auto"/>
        <w:left w:val="none" w:sz="0" w:space="0" w:color="auto"/>
        <w:bottom w:val="none" w:sz="0" w:space="0" w:color="auto"/>
        <w:right w:val="none" w:sz="0" w:space="0" w:color="auto"/>
      </w:divBdr>
    </w:div>
    <w:div w:id="1361395185">
      <w:bodyDiv w:val="1"/>
      <w:marLeft w:val="0"/>
      <w:marRight w:val="0"/>
      <w:marTop w:val="0"/>
      <w:marBottom w:val="0"/>
      <w:divBdr>
        <w:top w:val="none" w:sz="0" w:space="0" w:color="auto"/>
        <w:left w:val="none" w:sz="0" w:space="0" w:color="auto"/>
        <w:bottom w:val="none" w:sz="0" w:space="0" w:color="auto"/>
        <w:right w:val="none" w:sz="0" w:space="0" w:color="auto"/>
      </w:divBdr>
    </w:div>
    <w:div w:id="1614899383">
      <w:bodyDiv w:val="1"/>
      <w:marLeft w:val="0"/>
      <w:marRight w:val="0"/>
      <w:marTop w:val="0"/>
      <w:marBottom w:val="0"/>
      <w:divBdr>
        <w:top w:val="none" w:sz="0" w:space="0" w:color="auto"/>
        <w:left w:val="none" w:sz="0" w:space="0" w:color="auto"/>
        <w:bottom w:val="none" w:sz="0" w:space="0" w:color="auto"/>
        <w:right w:val="none" w:sz="0" w:space="0" w:color="auto"/>
      </w:divBdr>
    </w:div>
    <w:div w:id="1986428354">
      <w:bodyDiv w:val="1"/>
      <w:marLeft w:val="0"/>
      <w:marRight w:val="0"/>
      <w:marTop w:val="0"/>
      <w:marBottom w:val="0"/>
      <w:divBdr>
        <w:top w:val="none" w:sz="0" w:space="0" w:color="auto"/>
        <w:left w:val="none" w:sz="0" w:space="0" w:color="auto"/>
        <w:bottom w:val="none" w:sz="0" w:space="0" w:color="auto"/>
        <w:right w:val="none" w:sz="0" w:space="0" w:color="auto"/>
      </w:divBdr>
      <w:divsChild>
        <w:div w:id="132065429">
          <w:marLeft w:val="0"/>
          <w:marRight w:val="0"/>
          <w:marTop w:val="0"/>
          <w:marBottom w:val="0"/>
          <w:divBdr>
            <w:top w:val="none" w:sz="0" w:space="0" w:color="auto"/>
            <w:left w:val="none" w:sz="0" w:space="0" w:color="auto"/>
            <w:bottom w:val="none" w:sz="0" w:space="0" w:color="auto"/>
            <w:right w:val="none" w:sz="0" w:space="0" w:color="auto"/>
          </w:divBdr>
          <w:divsChild>
            <w:div w:id="618415369">
              <w:marLeft w:val="0"/>
              <w:marRight w:val="0"/>
              <w:marTop w:val="0"/>
              <w:marBottom w:val="0"/>
              <w:divBdr>
                <w:top w:val="none" w:sz="0" w:space="0" w:color="auto"/>
                <w:left w:val="none" w:sz="0" w:space="0" w:color="auto"/>
                <w:bottom w:val="none" w:sz="0" w:space="0" w:color="auto"/>
                <w:right w:val="none" w:sz="0" w:space="0" w:color="auto"/>
              </w:divBdr>
              <w:divsChild>
                <w:div w:id="2217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4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iplayer/episode/b00thpzb/the-normans-3-normans-of-the-sout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narosadoro.com/gioiegioielli/officinae15.jp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ritannica.com/biography/Roger-II"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bc.co.uk/iplayer/episode/b00thpzb/the-normans-3-normans-of-the-south" TargetMode="External"/><Relationship Id="rId3" Type="http://schemas.openxmlformats.org/officeDocument/2006/relationships/hyperlink" Target="https://www.bbc.co.uk/iplayer/episode/b00thpzb/the-normans-3-normans-of-the-south" TargetMode="External"/><Relationship Id="rId7" Type="http://schemas.openxmlformats.org/officeDocument/2006/relationships/hyperlink" Target="https://www.bbc.co.uk/iplayer/episode/b00thpzb/the-normans-3-normans-of-the-south" TargetMode="External"/><Relationship Id="rId2" Type="http://schemas.openxmlformats.org/officeDocument/2006/relationships/hyperlink" Target="https://www.bbc.co.uk/iplayer/episode/b00thpzb/the-normans-3-normans-of-the-south" TargetMode="External"/><Relationship Id="rId1" Type="http://schemas.openxmlformats.org/officeDocument/2006/relationships/hyperlink" Target="https://www.britannica.com/biography/Roger-II" TargetMode="External"/><Relationship Id="rId6" Type="http://schemas.openxmlformats.org/officeDocument/2006/relationships/hyperlink" Target="https://www.bbc.co.uk/iplayer/episode/b00thpzb/the-normans-3-normans-of-the-south" TargetMode="External"/><Relationship Id="rId5" Type="http://schemas.openxmlformats.org/officeDocument/2006/relationships/hyperlink" Target="https://www.bbc.co.uk/iplayer/episode/b00thpzb/the-normans-3-normans-of-the-south" TargetMode="External"/><Relationship Id="rId10" Type="http://schemas.openxmlformats.org/officeDocument/2006/relationships/hyperlink" Target="http://www.unarosadoro.com/gioiegioielli/officinae15.jpg" TargetMode="External"/><Relationship Id="rId4" Type="http://schemas.openxmlformats.org/officeDocument/2006/relationships/hyperlink" Target="https://www.bbc.co.uk/iplayer/episode/b00thpzb/the-normans-3-normans-of-the-south" TargetMode="External"/><Relationship Id="rId9" Type="http://schemas.openxmlformats.org/officeDocument/2006/relationships/hyperlink" Target="https://www.bbc.co.uk/iplayer/episode/b00thpzb/the-normans-3-normans-of-the-sou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0CE63-16DD-3147-A2F7-3F0DCBF11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1266</TotalTime>
  <Pages>4</Pages>
  <Words>1168</Words>
  <Characters>6661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Patterson</dc:creator>
  <cp:keywords/>
  <dc:description/>
  <cp:lastModifiedBy>Niamh Patterson</cp:lastModifiedBy>
  <cp:revision>10</cp:revision>
  <dcterms:created xsi:type="dcterms:W3CDTF">2021-04-18T10:46:00Z</dcterms:created>
  <dcterms:modified xsi:type="dcterms:W3CDTF">2021-04-21T22:59:00Z</dcterms:modified>
</cp:coreProperties>
</file>