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B7918" w14:textId="64A2E3B5" w:rsidR="00734729" w:rsidRPr="005C70F7" w:rsidRDefault="00734729" w:rsidP="005C70F7">
      <w:pPr>
        <w:spacing w:before="100" w:beforeAutospacing="1" w:after="100" w:afterAutospacing="1" w:line="360" w:lineRule="auto"/>
        <w:jc w:val="both"/>
        <w:outlineLvl w:val="0"/>
        <w:rPr>
          <w:rFonts w:ascii="Arial" w:eastAsia="Times New Roman" w:hAnsi="Arial" w:cs="Arial"/>
          <w:b/>
          <w:bCs/>
          <w:kern w:val="36"/>
        </w:rPr>
      </w:pPr>
      <w:r w:rsidRPr="005C70F7">
        <w:rPr>
          <w:rFonts w:ascii="Arial" w:eastAsia="Times New Roman" w:hAnsi="Arial" w:cs="Arial"/>
          <w:b/>
          <w:bCs/>
          <w:kern w:val="36"/>
        </w:rPr>
        <w:t xml:space="preserve">Case Study </w:t>
      </w:r>
      <w:r w:rsidR="00BB2894" w:rsidRPr="005C70F7">
        <w:rPr>
          <w:rFonts w:ascii="Arial" w:eastAsia="Times New Roman" w:hAnsi="Arial" w:cs="Arial"/>
          <w:b/>
          <w:bCs/>
          <w:kern w:val="36"/>
        </w:rPr>
        <w:t>1:</w:t>
      </w:r>
      <w:r w:rsidRPr="005C70F7">
        <w:rPr>
          <w:rFonts w:ascii="Arial" w:eastAsia="Times New Roman" w:hAnsi="Arial" w:cs="Arial"/>
          <w:b/>
          <w:bCs/>
          <w:kern w:val="36"/>
        </w:rPr>
        <w:t xml:space="preserve"> Diabetes</w:t>
      </w:r>
    </w:p>
    <w:p w14:paraId="43716011" w14:textId="370AD1D3" w:rsidR="00734729" w:rsidRPr="005C70F7" w:rsidRDefault="00BB2894" w:rsidP="005C70F7">
      <w:pPr>
        <w:spacing w:before="100" w:beforeAutospacing="1" w:after="100" w:afterAutospacing="1" w:line="360" w:lineRule="auto"/>
        <w:jc w:val="both"/>
        <w:outlineLvl w:val="1"/>
        <w:rPr>
          <w:rFonts w:ascii="Arial" w:eastAsia="Times New Roman" w:hAnsi="Arial" w:cs="Arial"/>
          <w:color w:val="1F4E79" w:themeColor="accent5" w:themeShade="80"/>
        </w:rPr>
      </w:pPr>
      <w:r w:rsidRPr="005C70F7">
        <w:rPr>
          <w:rFonts w:ascii="Arial" w:eastAsia="Times New Roman" w:hAnsi="Arial" w:cs="Arial"/>
        </w:rPr>
        <w:t>A</w:t>
      </w:r>
      <w:r w:rsidR="00734729" w:rsidRPr="005C70F7">
        <w:rPr>
          <w:rFonts w:ascii="Arial" w:eastAsia="Times New Roman" w:hAnsi="Arial" w:cs="Arial"/>
        </w:rPr>
        <w:t xml:space="preserve">. </w:t>
      </w:r>
      <w:r w:rsidR="00734729" w:rsidRPr="005C70F7">
        <w:rPr>
          <w:rFonts w:ascii="Arial" w:eastAsia="Times New Roman" w:hAnsi="Arial" w:cs="Arial"/>
          <w:color w:val="1F4E79" w:themeColor="accent5" w:themeShade="80"/>
        </w:rPr>
        <w:t>Introduction</w:t>
      </w:r>
    </w:p>
    <w:p w14:paraId="0F80A1EF" w14:textId="77777777" w:rsidR="00C643CD" w:rsidRPr="005C70F7" w:rsidRDefault="00936804"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C643CD" w:rsidRPr="005C70F7">
        <w:rPr>
          <w:rFonts w:ascii="Arial" w:hAnsi="Arial" w:cs="Arial"/>
          <w:color w:val="1F4E79" w:themeColor="accent5" w:themeShade="80"/>
          <w:sz w:val="22"/>
          <w:szCs w:val="22"/>
        </w:rPr>
        <w:t>Diabetes is a chronic metabolic disorder where blood sugar levels are elevated because the body either does not produce enough insulin or cannot use it properly. Insulin helps move glucose from the bloodstream into cells for energy, and when this process is disrupted, glucose accumulates, causing hyperglycemia (Diabetes UK, 2024; NHS, 2025).</w:t>
      </w:r>
    </w:p>
    <w:p w14:paraId="54D0F503" w14:textId="1EAD3D01" w:rsidR="00C643CD" w:rsidRPr="00C643CD" w:rsidRDefault="00C643CD" w:rsidP="005C70F7">
      <w:p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eastAsia="Times New Roman" w:hAnsi="Arial" w:cs="Arial"/>
          <w:color w:val="1F4E79" w:themeColor="accent5" w:themeShade="80"/>
        </w:rPr>
        <w:tab/>
      </w:r>
      <w:r w:rsidRPr="00C643CD">
        <w:rPr>
          <w:rFonts w:ascii="Arial" w:eastAsia="Times New Roman" w:hAnsi="Arial" w:cs="Arial"/>
          <w:color w:val="1F4E79" w:themeColor="accent5" w:themeShade="80"/>
        </w:rPr>
        <w:t xml:space="preserve">This case study focuses on </w:t>
      </w:r>
      <w:r w:rsidRPr="00C643CD">
        <w:rPr>
          <w:rFonts w:ascii="Arial" w:eastAsia="Times New Roman" w:hAnsi="Arial" w:cs="Arial"/>
          <w:b/>
          <w:bCs/>
          <w:color w:val="1F4E79" w:themeColor="accent5" w:themeShade="80"/>
        </w:rPr>
        <w:t>Type 2 diabetes</w:t>
      </w:r>
      <w:r w:rsidRPr="00C643CD">
        <w:rPr>
          <w:rFonts w:ascii="Arial" w:eastAsia="Times New Roman" w:hAnsi="Arial" w:cs="Arial"/>
          <w:color w:val="1F4E79" w:themeColor="accent5" w:themeShade="80"/>
        </w:rPr>
        <w:t>, often linked to lifestyle factors such as poor diet, inactivity, and obesity. According to the IDF Diabetes Atlas (11th edition), an estimated 589 million adults were living with diabetes worldwide in 2024, projected to rise to 853 million by 2050 (IDF, 2025).</w:t>
      </w:r>
    </w:p>
    <w:p w14:paraId="58BF2D9F" w14:textId="77777777" w:rsidR="001B017F" w:rsidRDefault="00C643CD" w:rsidP="001B017F">
      <w:pPr>
        <w:spacing w:before="100" w:beforeAutospacing="1" w:after="100" w:afterAutospacing="1" w:line="360" w:lineRule="auto"/>
        <w:jc w:val="both"/>
      </w:pPr>
      <w:r w:rsidRPr="005C70F7">
        <w:rPr>
          <w:rFonts w:ascii="Arial" w:eastAsia="Times New Roman" w:hAnsi="Arial" w:cs="Arial"/>
          <w:color w:val="1F4E79" w:themeColor="accent5" w:themeShade="80"/>
        </w:rPr>
        <w:tab/>
      </w:r>
      <w:r w:rsidR="00524964" w:rsidRPr="005C70F7">
        <w:rPr>
          <w:rStyle w:val="Emphasis"/>
          <w:rFonts w:ascii="Arial" w:hAnsi="Arial" w:cs="Arial"/>
          <w:i w:val="0"/>
          <w:iCs w:val="0"/>
          <w:color w:val="1F4E79" w:themeColor="accent5" w:themeShade="80"/>
        </w:rPr>
        <w:t>Type 2 diabetes often develops gradually, so early detection is crucial. The condition not only affects individual health but also imposes significant economic costs on healthcare systems due to long-term complications such as cardiovascular disease, kidney dysfunction, and vision problems.</w:t>
      </w:r>
      <w:r w:rsidR="001B017F">
        <w:rPr>
          <w:rStyle w:val="Emphasis"/>
          <w:rFonts w:ascii="Arial" w:hAnsi="Arial" w:cs="Arial"/>
          <w:i w:val="0"/>
          <w:iCs w:val="0"/>
          <w:color w:val="1F4E79" w:themeColor="accent5" w:themeShade="80"/>
        </w:rPr>
        <w:t xml:space="preserve"> </w:t>
      </w:r>
      <w:r w:rsidR="001B017F" w:rsidRPr="001B017F">
        <w:rPr>
          <w:rFonts w:ascii="Arial" w:hAnsi="Arial" w:cs="Arial"/>
          <w:color w:val="1F4E79" w:themeColor="accent5" w:themeShade="80"/>
        </w:rPr>
        <w:t>This study examines</w:t>
      </w:r>
      <w:r w:rsidR="001B017F" w:rsidRPr="001B017F">
        <w:rPr>
          <w:rFonts w:ascii="Arial" w:hAnsi="Arial" w:cs="Arial"/>
          <w:b/>
          <w:bCs/>
          <w:color w:val="1F4E79" w:themeColor="accent5" w:themeShade="80"/>
        </w:rPr>
        <w:t xml:space="preserve"> </w:t>
      </w:r>
      <w:r w:rsidR="001B017F" w:rsidRPr="001B017F">
        <w:rPr>
          <w:rStyle w:val="Strong"/>
          <w:rFonts w:ascii="Arial" w:hAnsi="Arial" w:cs="Arial"/>
          <w:b w:val="0"/>
          <w:bCs w:val="0"/>
          <w:color w:val="1F4E79" w:themeColor="accent5" w:themeShade="80"/>
        </w:rPr>
        <w:t>blood sugar regulation, cellular metabolism, glucose monitoring, and lifestyle-based management strategies</w:t>
      </w:r>
      <w:r w:rsidR="001B017F" w:rsidRPr="001B017F">
        <w:rPr>
          <w:rFonts w:ascii="Arial" w:hAnsi="Arial" w:cs="Arial"/>
          <w:b/>
          <w:bCs/>
          <w:color w:val="1F4E79" w:themeColor="accent5" w:themeShade="80"/>
        </w:rPr>
        <w:t xml:space="preserve">, </w:t>
      </w:r>
      <w:r w:rsidR="001B017F" w:rsidRPr="001B017F">
        <w:rPr>
          <w:rFonts w:ascii="Arial" w:hAnsi="Arial" w:cs="Arial"/>
          <w:color w:val="1F4E79" w:themeColor="accent5" w:themeShade="80"/>
        </w:rPr>
        <w:t>linking physiological understanding to practical interventions.</w:t>
      </w:r>
    </w:p>
    <w:p w14:paraId="6DEEFF82" w14:textId="7017B672" w:rsidR="00734729" w:rsidRPr="005C70F7" w:rsidRDefault="00BB2894" w:rsidP="001B017F">
      <w:pPr>
        <w:spacing w:before="100" w:beforeAutospacing="1" w:after="100" w:afterAutospacing="1" w:line="360" w:lineRule="auto"/>
        <w:jc w:val="both"/>
        <w:rPr>
          <w:rFonts w:ascii="Arial" w:eastAsia="Times New Roman" w:hAnsi="Arial" w:cs="Arial"/>
        </w:rPr>
      </w:pPr>
      <w:r w:rsidRPr="005C70F7">
        <w:rPr>
          <w:rFonts w:ascii="Arial" w:eastAsia="Times New Roman" w:hAnsi="Arial" w:cs="Arial"/>
        </w:rPr>
        <w:t>B</w:t>
      </w:r>
      <w:r w:rsidR="00734729" w:rsidRPr="005C70F7">
        <w:rPr>
          <w:rFonts w:ascii="Arial" w:eastAsia="Times New Roman" w:hAnsi="Arial" w:cs="Arial"/>
        </w:rPr>
        <w:t>. Blood Sugar Regulation</w:t>
      </w:r>
    </w:p>
    <w:p w14:paraId="54E549C3" w14:textId="784EEF26" w:rsidR="00D36964" w:rsidRPr="005C70F7" w:rsidRDefault="00936804" w:rsidP="005C70F7">
      <w:p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eastAsia="Times New Roman" w:hAnsi="Arial" w:cs="Arial"/>
        </w:rPr>
        <w:tab/>
      </w:r>
      <w:r w:rsidR="00B62A86" w:rsidRPr="005C70F7">
        <w:rPr>
          <w:rFonts w:ascii="Arial" w:hAnsi="Arial" w:cs="Arial"/>
          <w:color w:val="1F4E79" w:themeColor="accent5" w:themeShade="80"/>
        </w:rPr>
        <w:t xml:space="preserve">Maintaining stable blood glucose levels is essential for energy supply and preventing complications. The </w:t>
      </w:r>
      <w:r w:rsidR="00B62A86" w:rsidRPr="005C70F7">
        <w:rPr>
          <w:rStyle w:val="Strong"/>
          <w:rFonts w:ascii="Arial" w:hAnsi="Arial" w:cs="Arial"/>
          <w:color w:val="1F4E79" w:themeColor="accent5" w:themeShade="80"/>
        </w:rPr>
        <w:t>pancreas</w:t>
      </w:r>
      <w:r w:rsidR="00B62A86" w:rsidRPr="005C70F7">
        <w:rPr>
          <w:rFonts w:ascii="Arial" w:hAnsi="Arial" w:cs="Arial"/>
          <w:color w:val="1F4E79" w:themeColor="accent5" w:themeShade="80"/>
        </w:rPr>
        <w:t xml:space="preserve"> regulates blood sugar by secreting insulin from β-cells and glucagon from α-cells in the islets of Langerhans (Röder et al., 2016)</w:t>
      </w:r>
    </w:p>
    <w:p w14:paraId="07977A4A" w14:textId="77777777" w:rsidR="00C93B7F" w:rsidRPr="005C70F7" w:rsidRDefault="00C93B7F" w:rsidP="005C70F7">
      <w:pPr>
        <w:pStyle w:val="ListParagraph"/>
        <w:numPr>
          <w:ilvl w:val="0"/>
          <w:numId w:val="10"/>
        </w:num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eastAsia="Times New Roman" w:hAnsi="Arial" w:cs="Arial"/>
          <w:b/>
          <w:bCs/>
          <w:color w:val="1F4E79" w:themeColor="accent5" w:themeShade="80"/>
        </w:rPr>
        <w:t>Insulin</w:t>
      </w:r>
      <w:r w:rsidRPr="005C70F7">
        <w:rPr>
          <w:rFonts w:ascii="Arial" w:eastAsia="Times New Roman" w:hAnsi="Arial" w:cs="Arial"/>
          <w:color w:val="1F4E79" w:themeColor="accent5" w:themeShade="80"/>
        </w:rPr>
        <w:t xml:space="preserve"> is released when blood glucose levels are high, particularly after meals, and facilitates glucose uptake by muscle and fat cells. In Type 2 diabetes, insulin resistance prevents effective glucose uptake, leading to elevated blood sugar levels (Röder et al., 2016; NCBI, 2022).</w:t>
      </w:r>
    </w:p>
    <w:p w14:paraId="743335F6" w14:textId="5BF4DC9E" w:rsidR="00C93B7F" w:rsidRPr="005C70F7" w:rsidRDefault="00C93B7F" w:rsidP="005C70F7">
      <w:pPr>
        <w:pStyle w:val="ListParagraph"/>
        <w:numPr>
          <w:ilvl w:val="0"/>
          <w:numId w:val="10"/>
        </w:num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eastAsia="Times New Roman" w:hAnsi="Arial" w:cs="Arial"/>
          <w:b/>
          <w:bCs/>
          <w:color w:val="1F4E79" w:themeColor="accent5" w:themeShade="80"/>
        </w:rPr>
        <w:t>Glucagon</w:t>
      </w:r>
      <w:r w:rsidRPr="005C70F7">
        <w:rPr>
          <w:rFonts w:ascii="Arial" w:eastAsia="Times New Roman" w:hAnsi="Arial" w:cs="Arial"/>
          <w:color w:val="1F4E79" w:themeColor="accent5" w:themeShade="80"/>
        </w:rPr>
        <w:t>, in contrast, is released during fasting or when blood sugar levels are low. It stimulates glucose production in the liver to maintain glucose homeostasis. Dysregulation of glucagon secretion can contribute to hyperglycemia in patients with Type 2 diabetes (Diabetes UK, 2024; NCBI, 2022).</w:t>
      </w:r>
    </w:p>
    <w:p w14:paraId="50BAE4C1" w14:textId="7EF76F66" w:rsidR="00B62A86" w:rsidRPr="005C70F7" w:rsidRDefault="007C5821"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lastRenderedPageBreak/>
        <w:tab/>
      </w:r>
      <w:r w:rsidR="00B62A86" w:rsidRPr="005C70F7">
        <w:rPr>
          <w:rFonts w:ascii="Arial" w:hAnsi="Arial" w:cs="Arial"/>
          <w:color w:val="1F4E79" w:themeColor="accent5" w:themeShade="80"/>
          <w:sz w:val="22"/>
          <w:szCs w:val="22"/>
        </w:rPr>
        <w:t xml:space="preserve">Other hormones such as </w:t>
      </w:r>
      <w:r w:rsidR="00B62A86" w:rsidRPr="005C70F7">
        <w:rPr>
          <w:rStyle w:val="Strong"/>
          <w:rFonts w:ascii="Arial" w:hAnsi="Arial" w:cs="Arial"/>
          <w:color w:val="1F4E79" w:themeColor="accent5" w:themeShade="80"/>
          <w:sz w:val="22"/>
          <w:szCs w:val="22"/>
        </w:rPr>
        <w:t xml:space="preserve">cortisol, epinephrine, growth hormone, and thyroid hormones </w:t>
      </w:r>
      <w:r w:rsidR="00B62A86" w:rsidRPr="005C70F7">
        <w:rPr>
          <w:rFonts w:ascii="Arial" w:hAnsi="Arial" w:cs="Arial"/>
          <w:color w:val="1F4E79" w:themeColor="accent5" w:themeShade="80"/>
          <w:sz w:val="22"/>
          <w:szCs w:val="22"/>
        </w:rPr>
        <w:t>also affect glucose metabolism. Chronic stress or illness can exacerbate hyperglycemia through elevated hormone levels, illustrating the complex endocrine interplay in T2D (Röder et al., 2016; NCBI, 2022).</w:t>
      </w:r>
    </w:p>
    <w:p w14:paraId="2CE68E44" w14:textId="7FABDAD7" w:rsidR="00B62A86" w:rsidRPr="005C70F7" w:rsidRDefault="00B62A8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t xml:space="preserve">Understanding these hormonal mechanisms provides the foundation for exploring </w:t>
      </w:r>
      <w:r w:rsidRPr="005C70F7">
        <w:rPr>
          <w:rStyle w:val="Strong"/>
          <w:rFonts w:ascii="Arial" w:hAnsi="Arial" w:cs="Arial"/>
          <w:color w:val="1F4E79" w:themeColor="accent5" w:themeShade="80"/>
          <w:sz w:val="22"/>
          <w:szCs w:val="22"/>
        </w:rPr>
        <w:t>cellular energy production</w:t>
      </w:r>
      <w:r w:rsidRPr="005C70F7">
        <w:rPr>
          <w:rFonts w:ascii="Arial" w:hAnsi="Arial" w:cs="Arial"/>
          <w:color w:val="1F4E79" w:themeColor="accent5" w:themeShade="80"/>
          <w:sz w:val="22"/>
          <w:szCs w:val="22"/>
        </w:rPr>
        <w:t xml:space="preserve"> and explaining why impaired glucose uptake leads to reduced ATP, fatigue, and other symptoms. It also sets the stage for targeted interventions that address both blood sugar control and energy metabolism.</w:t>
      </w:r>
    </w:p>
    <w:p w14:paraId="32041E62" w14:textId="23EC8B7D" w:rsidR="00734729" w:rsidRPr="005C70F7" w:rsidRDefault="00BB2894" w:rsidP="005C70F7">
      <w:pPr>
        <w:spacing w:before="100" w:beforeAutospacing="1" w:after="100" w:afterAutospacing="1" w:line="360" w:lineRule="auto"/>
        <w:jc w:val="both"/>
        <w:rPr>
          <w:rFonts w:ascii="Arial" w:eastAsia="Times New Roman" w:hAnsi="Arial" w:cs="Arial"/>
          <w:b/>
          <w:bCs/>
          <w:color w:val="1F4E79" w:themeColor="accent5" w:themeShade="80"/>
        </w:rPr>
      </w:pPr>
      <w:r w:rsidRPr="005C70F7">
        <w:rPr>
          <w:rFonts w:ascii="Arial" w:eastAsia="Times New Roman" w:hAnsi="Arial" w:cs="Arial"/>
          <w:b/>
          <w:bCs/>
        </w:rPr>
        <w:t>C</w:t>
      </w:r>
      <w:r w:rsidR="00734729" w:rsidRPr="005C70F7">
        <w:rPr>
          <w:rFonts w:ascii="Arial" w:eastAsia="Times New Roman" w:hAnsi="Arial" w:cs="Arial"/>
          <w:b/>
          <w:bCs/>
        </w:rPr>
        <w:t xml:space="preserve">. </w:t>
      </w:r>
      <w:r w:rsidR="00A36AED" w:rsidRPr="005C70F7">
        <w:rPr>
          <w:rFonts w:ascii="Arial" w:eastAsia="Times New Roman" w:hAnsi="Arial" w:cs="Arial"/>
          <w:b/>
          <w:bCs/>
          <w:color w:val="1F4E79" w:themeColor="accent5" w:themeShade="80"/>
        </w:rPr>
        <w:t>Cellular Metabolism</w:t>
      </w:r>
    </w:p>
    <w:p w14:paraId="5C3A1FD0" w14:textId="3CF09528" w:rsidR="00402458" w:rsidRPr="005C70F7" w:rsidRDefault="005D697C" w:rsidP="005C70F7">
      <w:pPr>
        <w:spacing w:before="100" w:beforeAutospacing="1" w:after="100" w:afterAutospacing="1" w:line="360" w:lineRule="auto"/>
        <w:jc w:val="both"/>
        <w:rPr>
          <w:rFonts w:ascii="Arial" w:hAnsi="Arial" w:cs="Arial"/>
        </w:rPr>
      </w:pPr>
      <w:r w:rsidRPr="005C70F7">
        <w:rPr>
          <w:rFonts w:ascii="Arial" w:hAnsi="Arial" w:cs="Arial"/>
          <w:color w:val="1F4E79" w:themeColor="accent5" w:themeShade="80"/>
        </w:rPr>
        <w:tab/>
      </w:r>
      <w:r w:rsidR="00402458" w:rsidRPr="005C70F7">
        <w:rPr>
          <w:rFonts w:ascii="Arial" w:hAnsi="Arial" w:cs="Arial"/>
          <w:color w:val="1F4E79" w:themeColor="accent5" w:themeShade="80"/>
        </w:rPr>
        <w:t xml:space="preserve">In Type 2 Diabetes, insulin resistance prevents glucose from entering cells effectively, impairing ATP production. Cellular metabolism encompasses </w:t>
      </w:r>
      <w:r w:rsidR="00402458" w:rsidRPr="005C70F7">
        <w:rPr>
          <w:rStyle w:val="Strong"/>
          <w:rFonts w:ascii="Arial" w:hAnsi="Arial" w:cs="Arial"/>
          <w:color w:val="1F4E79" w:themeColor="accent5" w:themeShade="80"/>
        </w:rPr>
        <w:t>catabolic reactions</w:t>
      </w:r>
      <w:r w:rsidR="00402458" w:rsidRPr="005C70F7">
        <w:rPr>
          <w:rFonts w:ascii="Arial" w:hAnsi="Arial" w:cs="Arial"/>
          <w:color w:val="1F4E79" w:themeColor="accent5" w:themeShade="80"/>
        </w:rPr>
        <w:t xml:space="preserve"> (breaking down nutrients for energy) and </w:t>
      </w:r>
      <w:r w:rsidR="00402458" w:rsidRPr="005C70F7">
        <w:rPr>
          <w:rStyle w:val="Strong"/>
          <w:rFonts w:ascii="Arial" w:hAnsi="Arial" w:cs="Arial"/>
          <w:color w:val="1F4E79" w:themeColor="accent5" w:themeShade="80"/>
        </w:rPr>
        <w:t>anabolic reactions</w:t>
      </w:r>
      <w:r w:rsidR="00402458" w:rsidRPr="005C70F7">
        <w:rPr>
          <w:rFonts w:ascii="Arial" w:hAnsi="Arial" w:cs="Arial"/>
          <w:color w:val="1F4E79" w:themeColor="accent5" w:themeShade="80"/>
        </w:rPr>
        <w:t xml:space="preserve"> (building essential molecules). Central to energy production is </w:t>
      </w:r>
      <w:r w:rsidR="00402458" w:rsidRPr="005C70F7">
        <w:rPr>
          <w:rStyle w:val="Strong"/>
          <w:rFonts w:ascii="Arial" w:hAnsi="Arial" w:cs="Arial"/>
          <w:color w:val="1F4E79" w:themeColor="accent5" w:themeShade="80"/>
        </w:rPr>
        <w:t>cellular respiration</w:t>
      </w:r>
      <w:r w:rsidR="00402458" w:rsidRPr="005C70F7">
        <w:rPr>
          <w:rFonts w:ascii="Arial" w:hAnsi="Arial" w:cs="Arial"/>
          <w:color w:val="1F4E79" w:themeColor="accent5" w:themeShade="80"/>
        </w:rPr>
        <w:t>, which occurs in three main stages (NCBI, 2022):</w:t>
      </w:r>
    </w:p>
    <w:p w14:paraId="75C9EA1F" w14:textId="6DB0867C" w:rsidR="00BB31FE" w:rsidRPr="005C70F7" w:rsidRDefault="00BB31FE" w:rsidP="005C70F7">
      <w:pPr>
        <w:pStyle w:val="ListParagraph"/>
        <w:numPr>
          <w:ilvl w:val="0"/>
          <w:numId w:val="7"/>
        </w:num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eastAsia="Times New Roman" w:hAnsi="Arial" w:cs="Arial"/>
          <w:color w:val="1F4E79" w:themeColor="accent5" w:themeShade="80"/>
        </w:rPr>
        <w:t xml:space="preserve">Glycolysis: Glucose is converted into pyruvate in the cytoplasm, producing a small amount of ATP and NADH. Even without oxygen, glycolysis occurs, but energy yield is limited. </w:t>
      </w:r>
    </w:p>
    <w:p w14:paraId="5E27A225" w14:textId="77777777" w:rsidR="00BB31FE" w:rsidRPr="005B16B3" w:rsidRDefault="00BB31FE" w:rsidP="005C70F7">
      <w:pPr>
        <w:numPr>
          <w:ilvl w:val="0"/>
          <w:numId w:val="7"/>
        </w:numPr>
        <w:spacing w:before="100" w:beforeAutospacing="1" w:after="100" w:afterAutospacing="1" w:line="360" w:lineRule="auto"/>
        <w:jc w:val="both"/>
        <w:rPr>
          <w:rFonts w:ascii="Arial" w:eastAsia="Times New Roman" w:hAnsi="Arial" w:cs="Arial"/>
          <w:color w:val="1F4E79" w:themeColor="accent5" w:themeShade="80"/>
        </w:rPr>
      </w:pPr>
      <w:r w:rsidRPr="005B16B3">
        <w:rPr>
          <w:rFonts w:ascii="Arial" w:eastAsia="Times New Roman" w:hAnsi="Arial" w:cs="Arial"/>
          <w:color w:val="1F4E79" w:themeColor="accent5" w:themeShade="80"/>
        </w:rPr>
        <w:t>Citric Acid Cycle (Krebs Cycle): Pyruvate enters the mitochondria and is converted to acetyl-CoA, generating NADH and FADH</w:t>
      </w:r>
      <w:r w:rsidRPr="005B16B3">
        <w:rPr>
          <w:rFonts w:ascii="Cambria Math" w:eastAsia="Times New Roman" w:hAnsi="Cambria Math" w:cs="Cambria Math"/>
          <w:color w:val="1F4E79" w:themeColor="accent5" w:themeShade="80"/>
        </w:rPr>
        <w:t>₂</w:t>
      </w:r>
      <w:r w:rsidRPr="005B16B3">
        <w:rPr>
          <w:rFonts w:ascii="Arial" w:eastAsia="Times New Roman" w:hAnsi="Arial" w:cs="Arial"/>
          <w:color w:val="1F4E79" w:themeColor="accent5" w:themeShade="80"/>
        </w:rPr>
        <w:t xml:space="preserve">, which carry electrons to the next stage. This step produces minimal ATP directly but is critical for energy transfer. </w:t>
      </w:r>
    </w:p>
    <w:p w14:paraId="5DC76C2E" w14:textId="77777777" w:rsidR="00402458" w:rsidRPr="005C70F7" w:rsidRDefault="00BB31FE" w:rsidP="005C70F7">
      <w:pPr>
        <w:numPr>
          <w:ilvl w:val="0"/>
          <w:numId w:val="7"/>
        </w:numPr>
        <w:spacing w:before="100" w:beforeAutospacing="1" w:after="100" w:afterAutospacing="1" w:line="360" w:lineRule="auto"/>
        <w:jc w:val="both"/>
        <w:rPr>
          <w:rFonts w:ascii="Arial" w:eastAsia="Times New Roman" w:hAnsi="Arial" w:cs="Arial"/>
          <w:color w:val="1F4E79" w:themeColor="accent5" w:themeShade="80"/>
        </w:rPr>
      </w:pPr>
      <w:r w:rsidRPr="005B16B3">
        <w:rPr>
          <w:rFonts w:ascii="Arial" w:eastAsia="Times New Roman" w:hAnsi="Arial" w:cs="Arial"/>
          <w:color w:val="1F4E79" w:themeColor="accent5" w:themeShade="80"/>
        </w:rPr>
        <w:t>Electron Transport Chain: Electrons from NADH and FADH</w:t>
      </w:r>
      <w:r w:rsidRPr="005B16B3">
        <w:rPr>
          <w:rFonts w:ascii="Cambria Math" w:eastAsia="Times New Roman" w:hAnsi="Cambria Math" w:cs="Cambria Math"/>
          <w:color w:val="1F4E79" w:themeColor="accent5" w:themeShade="80"/>
        </w:rPr>
        <w:t>₂</w:t>
      </w:r>
      <w:r w:rsidRPr="005B16B3">
        <w:rPr>
          <w:rFonts w:ascii="Arial" w:eastAsia="Times New Roman" w:hAnsi="Arial" w:cs="Arial"/>
          <w:color w:val="1F4E79" w:themeColor="accent5" w:themeShade="80"/>
        </w:rPr>
        <w:t xml:space="preserve"> move through mitochondrial membrane complexes, producing a proton gradient that drives ATP synthesis. Oxygen is the final electron acceptor, forming water. In Type 2 diabetes, glucose cannot enter cells efficiently due to insulin resistance, so ATP production is reduced despite high blood sugar.</w:t>
      </w:r>
    </w:p>
    <w:p w14:paraId="2DF1FC55" w14:textId="77777777" w:rsidR="00402458" w:rsidRPr="005C70F7" w:rsidRDefault="00BB31FE" w:rsidP="005C70F7">
      <w:pPr>
        <w:spacing w:before="100" w:beforeAutospacing="1" w:after="100" w:afterAutospacing="1" w:line="360" w:lineRule="auto"/>
        <w:jc w:val="both"/>
        <w:rPr>
          <w:rFonts w:ascii="Arial" w:eastAsia="Times New Roman" w:hAnsi="Arial" w:cs="Arial"/>
          <w:color w:val="1F4E79" w:themeColor="accent5" w:themeShade="80"/>
        </w:rPr>
      </w:pPr>
      <w:r w:rsidRPr="005B16B3">
        <w:rPr>
          <w:rFonts w:ascii="Arial" w:eastAsia="Times New Roman" w:hAnsi="Arial" w:cs="Arial"/>
          <w:color w:val="1F4E79" w:themeColor="accent5" w:themeShade="80"/>
        </w:rPr>
        <w:t xml:space="preserve"> </w:t>
      </w:r>
      <w:r w:rsidR="00402458" w:rsidRPr="005C70F7">
        <w:rPr>
          <w:rFonts w:ascii="Arial" w:eastAsia="Times New Roman" w:hAnsi="Arial" w:cs="Arial"/>
          <w:color w:val="1F4E79" w:themeColor="accent5" w:themeShade="80"/>
        </w:rPr>
        <w:tab/>
      </w:r>
      <w:r w:rsidR="00402458" w:rsidRPr="005C70F7">
        <w:rPr>
          <w:rFonts w:ascii="Arial" w:hAnsi="Arial" w:cs="Arial"/>
          <w:color w:val="1F4E79" w:themeColor="accent5" w:themeShade="80"/>
        </w:rPr>
        <w:t xml:space="preserve">In patients with Type 2 Diabetes, impaired glucose entry means </w:t>
      </w:r>
      <w:r w:rsidR="00402458" w:rsidRPr="005C70F7">
        <w:rPr>
          <w:rStyle w:val="Strong"/>
          <w:rFonts w:ascii="Arial" w:hAnsi="Arial" w:cs="Arial"/>
          <w:color w:val="1F4E79" w:themeColor="accent5" w:themeShade="80"/>
        </w:rPr>
        <w:t>cells cannot produce sufficient ATP</w:t>
      </w:r>
      <w:r w:rsidR="00402458" w:rsidRPr="005C70F7">
        <w:rPr>
          <w:rFonts w:ascii="Arial" w:hAnsi="Arial" w:cs="Arial"/>
          <w:color w:val="1F4E79" w:themeColor="accent5" w:themeShade="80"/>
        </w:rPr>
        <w:t>, despite high circulating glucose. Clinically, this explains symptoms such as fatigue, delayed wound healing, weakened immunity, and reduced physical performance.</w:t>
      </w:r>
    </w:p>
    <w:p w14:paraId="38DB8612" w14:textId="62B4E5AC" w:rsidR="00BB31FE" w:rsidRPr="005C70F7" w:rsidRDefault="00402458" w:rsidP="005C70F7">
      <w:pPr>
        <w:spacing w:before="100" w:beforeAutospacing="1" w:after="100" w:afterAutospacing="1" w:line="360" w:lineRule="auto"/>
        <w:jc w:val="both"/>
        <w:rPr>
          <w:rFonts w:ascii="Arial" w:hAnsi="Arial" w:cs="Arial"/>
          <w:color w:val="1F4E79" w:themeColor="accent5" w:themeShade="80"/>
        </w:rPr>
      </w:pPr>
      <w:r w:rsidRPr="005C70F7">
        <w:rPr>
          <w:rFonts w:ascii="Arial" w:eastAsia="Times New Roman" w:hAnsi="Arial" w:cs="Arial"/>
          <w:color w:val="1F4E79" w:themeColor="accent5" w:themeShade="80"/>
        </w:rPr>
        <w:tab/>
      </w:r>
      <w:r w:rsidR="00357E36" w:rsidRPr="005C70F7">
        <w:rPr>
          <w:rFonts w:ascii="Arial" w:hAnsi="Arial" w:cs="Arial"/>
          <w:color w:val="1F4E79" w:themeColor="accent5" w:themeShade="80"/>
        </w:rPr>
        <w:t>The diagram below (Figure 1) illustrates the stages of cellular respiration and how insulin resistance in Type 2 diabetes reduces ATP production.</w:t>
      </w:r>
    </w:p>
    <w:p w14:paraId="54201F9B" w14:textId="77777777" w:rsidR="005C70F7" w:rsidRDefault="005C70F7" w:rsidP="005C70F7">
      <w:pPr>
        <w:spacing w:before="100" w:beforeAutospacing="1" w:after="100" w:afterAutospacing="1" w:line="360" w:lineRule="auto"/>
        <w:jc w:val="both"/>
        <w:rPr>
          <w:rFonts w:ascii="Arial" w:hAnsi="Arial" w:cs="Arial"/>
          <w:color w:val="1F4E79" w:themeColor="accent5" w:themeShade="80"/>
        </w:rPr>
      </w:pPr>
    </w:p>
    <w:p w14:paraId="3D812F15" w14:textId="6E948E33" w:rsidR="00402458" w:rsidRPr="005B16B3" w:rsidRDefault="00402458" w:rsidP="005C70F7">
      <w:p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hAnsi="Arial" w:cs="Arial"/>
          <w:noProof/>
        </w:rPr>
        <w:lastRenderedPageBreak/>
        <w:drawing>
          <wp:anchor distT="0" distB="0" distL="114300" distR="114300" simplePos="0" relativeHeight="251659264" behindDoc="0" locked="0" layoutInCell="1" allowOverlap="1" wp14:anchorId="50F7266A" wp14:editId="27454171">
            <wp:simplePos x="0" y="0"/>
            <wp:positionH relativeFrom="column">
              <wp:posOffset>92581</wp:posOffset>
            </wp:positionH>
            <wp:positionV relativeFrom="paragraph">
              <wp:posOffset>232410</wp:posOffset>
            </wp:positionV>
            <wp:extent cx="5786431" cy="2557145"/>
            <wp:effectExtent l="0" t="0" r="5080" b="0"/>
            <wp:wrapNone/>
            <wp:docPr id="1" name="Picture 1" descr="Cellular Re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lular Respir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86431" cy="2557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DBF401" w14:textId="3C6E69EB" w:rsidR="00734729" w:rsidRPr="005C70F7" w:rsidRDefault="00734729" w:rsidP="005C70F7">
      <w:pPr>
        <w:pStyle w:val="NormalWeb"/>
        <w:spacing w:line="360" w:lineRule="auto"/>
        <w:jc w:val="both"/>
        <w:rPr>
          <w:rFonts w:ascii="Arial" w:hAnsi="Arial" w:cs="Arial"/>
          <w:sz w:val="22"/>
          <w:szCs w:val="22"/>
        </w:rPr>
      </w:pPr>
    </w:p>
    <w:p w14:paraId="4D5DC2A0" w14:textId="29C3C107" w:rsidR="004F327F" w:rsidRPr="005C70F7" w:rsidRDefault="004F327F" w:rsidP="005C70F7">
      <w:pPr>
        <w:spacing w:before="100" w:beforeAutospacing="1" w:after="100" w:afterAutospacing="1" w:line="360" w:lineRule="auto"/>
        <w:ind w:left="720"/>
        <w:jc w:val="both"/>
        <w:rPr>
          <w:rFonts w:ascii="Arial" w:eastAsia="Times New Roman" w:hAnsi="Arial" w:cs="Arial"/>
        </w:rPr>
      </w:pPr>
    </w:p>
    <w:p w14:paraId="12144B86" w14:textId="78AA738E" w:rsidR="00734729" w:rsidRPr="005C70F7" w:rsidRDefault="00734729" w:rsidP="005C70F7">
      <w:pPr>
        <w:spacing w:before="100" w:beforeAutospacing="1" w:after="100" w:afterAutospacing="1" w:line="360" w:lineRule="auto"/>
        <w:ind w:left="720"/>
        <w:jc w:val="both"/>
        <w:rPr>
          <w:rFonts w:ascii="Arial" w:eastAsia="Times New Roman" w:hAnsi="Arial" w:cs="Arial"/>
        </w:rPr>
      </w:pPr>
    </w:p>
    <w:p w14:paraId="74D42864" w14:textId="1C498B46" w:rsidR="00734729" w:rsidRPr="005C70F7" w:rsidRDefault="00734729" w:rsidP="005C70F7">
      <w:pPr>
        <w:spacing w:before="100" w:beforeAutospacing="1" w:after="100" w:afterAutospacing="1" w:line="360" w:lineRule="auto"/>
        <w:ind w:left="720"/>
        <w:jc w:val="both"/>
        <w:rPr>
          <w:rFonts w:ascii="Arial" w:eastAsia="Times New Roman" w:hAnsi="Arial" w:cs="Arial"/>
        </w:rPr>
      </w:pPr>
    </w:p>
    <w:p w14:paraId="4F7EAAC6" w14:textId="0CAAC050" w:rsidR="00734729" w:rsidRPr="005C70F7" w:rsidRDefault="00734729" w:rsidP="005C70F7">
      <w:pPr>
        <w:spacing w:before="100" w:beforeAutospacing="1" w:after="100" w:afterAutospacing="1" w:line="360" w:lineRule="auto"/>
        <w:ind w:left="720"/>
        <w:jc w:val="both"/>
        <w:rPr>
          <w:rFonts w:ascii="Arial" w:eastAsia="Times New Roman" w:hAnsi="Arial" w:cs="Arial"/>
        </w:rPr>
      </w:pPr>
    </w:p>
    <w:p w14:paraId="79FE918F" w14:textId="77777777" w:rsidR="00825531" w:rsidRPr="005C70F7" w:rsidRDefault="00825531" w:rsidP="005C70F7">
      <w:pPr>
        <w:spacing w:before="100" w:beforeAutospacing="1" w:after="100" w:afterAutospacing="1" w:line="360" w:lineRule="auto"/>
        <w:jc w:val="both"/>
        <w:rPr>
          <w:rFonts w:ascii="Arial" w:eastAsia="Times New Roman" w:hAnsi="Arial" w:cs="Arial"/>
        </w:rPr>
      </w:pPr>
    </w:p>
    <w:p w14:paraId="1509A84E" w14:textId="57913DD9" w:rsidR="00936804" w:rsidRPr="005C70F7" w:rsidRDefault="00DB66E2" w:rsidP="005C70F7">
      <w:pPr>
        <w:spacing w:before="100" w:beforeAutospacing="1" w:after="100" w:afterAutospacing="1" w:line="360" w:lineRule="auto"/>
        <w:jc w:val="both"/>
        <w:rPr>
          <w:rFonts w:ascii="Arial" w:hAnsi="Arial" w:cs="Arial"/>
        </w:rPr>
      </w:pPr>
      <w:r w:rsidRPr="005C70F7">
        <w:rPr>
          <w:rStyle w:val="Strong"/>
          <w:rFonts w:ascii="Arial" w:hAnsi="Arial" w:cs="Arial"/>
          <w:b w:val="0"/>
          <w:bCs w:val="0"/>
        </w:rPr>
        <w:t>Figure 1.</w:t>
      </w:r>
      <w:r w:rsidRPr="005C70F7">
        <w:rPr>
          <w:rFonts w:ascii="Arial" w:hAnsi="Arial" w:cs="Arial"/>
        </w:rPr>
        <w:t xml:space="preserve"> Stages of cellular respiration showing how glucose and oxygen are used to produce ATP through glycolysis, the Krebs cycle, and the electron transport chain.</w:t>
      </w:r>
      <w:r w:rsidRPr="005C70F7">
        <w:rPr>
          <w:rFonts w:ascii="Arial" w:hAnsi="Arial" w:cs="Arial"/>
        </w:rPr>
        <w:br/>
      </w:r>
      <w:r w:rsidRPr="005C70F7">
        <w:rPr>
          <w:rStyle w:val="Strong"/>
          <w:rFonts w:ascii="Arial" w:hAnsi="Arial" w:cs="Arial"/>
          <w:b w:val="0"/>
          <w:bCs w:val="0"/>
        </w:rPr>
        <w:t>Source:</w:t>
      </w:r>
      <w:r w:rsidRPr="005C70F7">
        <w:rPr>
          <w:rFonts w:ascii="Arial" w:hAnsi="Arial" w:cs="Arial"/>
        </w:rPr>
        <w:t xml:space="preserve"> Adapted from NCBI (2022).</w:t>
      </w:r>
    </w:p>
    <w:p w14:paraId="3A4C1DDE" w14:textId="0CD1BF60" w:rsidR="00BB31FE" w:rsidRPr="005C70F7" w:rsidRDefault="00BB31FE" w:rsidP="005C70F7">
      <w:pPr>
        <w:spacing w:before="100" w:beforeAutospacing="1" w:after="100" w:afterAutospacing="1" w:line="360" w:lineRule="auto"/>
        <w:jc w:val="both"/>
        <w:rPr>
          <w:rFonts w:ascii="Arial" w:eastAsia="Times New Roman" w:hAnsi="Arial" w:cs="Arial"/>
          <w:color w:val="1F4E79" w:themeColor="accent5" w:themeShade="80"/>
        </w:rPr>
      </w:pPr>
      <w:r w:rsidRPr="005C70F7">
        <w:rPr>
          <w:rFonts w:ascii="Arial" w:eastAsia="Times New Roman" w:hAnsi="Arial" w:cs="Arial"/>
        </w:rPr>
        <w:tab/>
      </w:r>
      <w:r w:rsidR="00357E36" w:rsidRPr="005C70F7">
        <w:rPr>
          <w:rFonts w:ascii="Arial" w:hAnsi="Arial" w:cs="Arial"/>
          <w:color w:val="1F4E79" w:themeColor="accent5" w:themeShade="80"/>
        </w:rPr>
        <w:t xml:space="preserve">These metabolic insights directly justify </w:t>
      </w:r>
      <w:r w:rsidR="00357E36" w:rsidRPr="005C70F7">
        <w:rPr>
          <w:rStyle w:val="Strong"/>
          <w:rFonts w:ascii="Arial" w:hAnsi="Arial" w:cs="Arial"/>
          <w:color w:val="1F4E79" w:themeColor="accent5" w:themeShade="80"/>
        </w:rPr>
        <w:t>blood sugar monitoring</w:t>
      </w:r>
      <w:r w:rsidR="00357E36" w:rsidRPr="005C70F7">
        <w:rPr>
          <w:rFonts w:ascii="Arial" w:hAnsi="Arial" w:cs="Arial"/>
          <w:color w:val="1F4E79" w:themeColor="accent5" w:themeShade="80"/>
        </w:rPr>
        <w:t xml:space="preserve"> and lifestyle interventions, as addressing insulin resistance and improving cellular energy is central to effective management.</w:t>
      </w:r>
    </w:p>
    <w:p w14:paraId="3A0EE481" w14:textId="40BC0532" w:rsidR="00734729" w:rsidRPr="005C70F7" w:rsidRDefault="00BB2894" w:rsidP="005C70F7">
      <w:pPr>
        <w:spacing w:before="100" w:beforeAutospacing="1" w:after="100" w:afterAutospacing="1" w:line="360" w:lineRule="auto"/>
        <w:jc w:val="both"/>
        <w:outlineLvl w:val="1"/>
        <w:rPr>
          <w:rFonts w:ascii="Arial" w:eastAsia="Times New Roman" w:hAnsi="Arial" w:cs="Arial"/>
        </w:rPr>
      </w:pPr>
      <w:r w:rsidRPr="005C70F7">
        <w:rPr>
          <w:rFonts w:ascii="Arial" w:eastAsia="Times New Roman" w:hAnsi="Arial" w:cs="Arial"/>
        </w:rPr>
        <w:t>D</w:t>
      </w:r>
      <w:r w:rsidR="00734729" w:rsidRPr="005C70F7">
        <w:rPr>
          <w:rFonts w:ascii="Arial" w:eastAsia="Times New Roman" w:hAnsi="Arial" w:cs="Arial"/>
        </w:rPr>
        <w:t>. Recording and Tracking Blood Sugar Levels</w:t>
      </w:r>
    </w:p>
    <w:p w14:paraId="2480FB35" w14:textId="77777777" w:rsidR="00AE2530" w:rsidRPr="005C70F7" w:rsidRDefault="005D697C" w:rsidP="005C70F7">
      <w:pPr>
        <w:pStyle w:val="NormalWeb"/>
        <w:spacing w:line="360" w:lineRule="auto"/>
        <w:jc w:val="both"/>
        <w:rPr>
          <w:rFonts w:ascii="Arial" w:hAnsi="Arial" w:cs="Arial"/>
          <w:sz w:val="22"/>
          <w:szCs w:val="22"/>
        </w:rPr>
      </w:pPr>
      <w:r w:rsidRPr="005C70F7">
        <w:rPr>
          <w:rFonts w:ascii="Arial" w:hAnsi="Arial" w:cs="Arial"/>
          <w:sz w:val="22"/>
          <w:szCs w:val="22"/>
        </w:rPr>
        <w:tab/>
      </w:r>
      <w:r w:rsidR="00E13A30" w:rsidRPr="005C70F7">
        <w:rPr>
          <w:rFonts w:ascii="Arial" w:hAnsi="Arial" w:cs="Arial"/>
          <w:sz w:val="22"/>
          <w:szCs w:val="22"/>
        </w:rPr>
        <w:t xml:space="preserve">Monitoring blood sugar is critical for effective Type 2 diabetes management, providing information about the body’s responses to food intake, physical activity, stress, and medication. </w:t>
      </w:r>
      <w:r w:rsidR="00AE2530" w:rsidRPr="005C70F7">
        <w:rPr>
          <w:rStyle w:val="Strong"/>
          <w:rFonts w:ascii="Arial" w:hAnsi="Arial" w:cs="Arial"/>
          <w:b w:val="0"/>
          <w:bCs w:val="0"/>
          <w:sz w:val="22"/>
          <w:szCs w:val="22"/>
        </w:rPr>
        <w:t>I</w:t>
      </w:r>
      <w:r w:rsidR="00AE2530" w:rsidRPr="005C70F7">
        <w:rPr>
          <w:rStyle w:val="Strong"/>
          <w:rFonts w:ascii="Arial" w:hAnsi="Arial" w:cs="Arial"/>
          <w:b w:val="0"/>
          <w:bCs w:val="0"/>
          <w:color w:val="1F4E79" w:themeColor="accent5" w:themeShade="80"/>
          <w:sz w:val="22"/>
          <w:szCs w:val="22"/>
        </w:rPr>
        <w:t>n this case study, regular tracking helps identify patterns, allowing patients and healthcare providers to make changes to keep blood sugar within a safe range and reduce the risk of hypoglycemia (low blood sugar) and hyperglycemia (high blood sugar)</w:t>
      </w:r>
      <w:r w:rsidR="00AE2530" w:rsidRPr="005C70F7">
        <w:rPr>
          <w:rFonts w:ascii="Arial" w:hAnsi="Arial" w:cs="Arial"/>
          <w:color w:val="1F4E79" w:themeColor="accent5" w:themeShade="80"/>
          <w:sz w:val="22"/>
          <w:szCs w:val="22"/>
        </w:rPr>
        <w:t xml:space="preserve"> (NCBI, 2020a).</w:t>
      </w:r>
    </w:p>
    <w:p w14:paraId="4A55283D" w14:textId="1FCC145E" w:rsidR="00E13A30" w:rsidRPr="005C70F7" w:rsidRDefault="00E676C5" w:rsidP="005C70F7">
      <w:pPr>
        <w:pStyle w:val="NormalWeb"/>
        <w:spacing w:line="360" w:lineRule="auto"/>
        <w:jc w:val="both"/>
        <w:rPr>
          <w:rFonts w:ascii="Arial" w:hAnsi="Arial" w:cs="Arial"/>
          <w:sz w:val="22"/>
          <w:szCs w:val="22"/>
        </w:rPr>
      </w:pPr>
      <w:r w:rsidRPr="005C70F7">
        <w:rPr>
          <w:rFonts w:ascii="Arial" w:hAnsi="Arial" w:cs="Arial"/>
          <w:sz w:val="22"/>
          <w:szCs w:val="22"/>
        </w:rPr>
        <w:tab/>
      </w:r>
      <w:r w:rsidR="0054378E" w:rsidRPr="005C70F7">
        <w:rPr>
          <w:rFonts w:ascii="Arial" w:hAnsi="Arial" w:cs="Arial"/>
          <w:color w:val="1F4E79" w:themeColor="accent5" w:themeShade="80"/>
          <w:sz w:val="22"/>
          <w:szCs w:val="22"/>
        </w:rPr>
        <w:t>Furthermore,</w:t>
      </w:r>
      <w:r w:rsidR="0054378E" w:rsidRPr="005C70F7">
        <w:rPr>
          <w:rFonts w:ascii="Arial" w:hAnsi="Arial" w:cs="Arial"/>
          <w:sz w:val="22"/>
          <w:szCs w:val="22"/>
        </w:rPr>
        <w:t xml:space="preserve"> </w:t>
      </w:r>
      <w:r w:rsidR="00B71425" w:rsidRPr="005C70F7">
        <w:rPr>
          <w:rFonts w:ascii="Arial" w:hAnsi="Arial" w:cs="Arial"/>
          <w:sz w:val="22"/>
          <w:szCs w:val="22"/>
        </w:rPr>
        <w:t>c</w:t>
      </w:r>
      <w:r w:rsidR="00E13A30" w:rsidRPr="005C70F7">
        <w:rPr>
          <w:rFonts w:ascii="Arial" w:hAnsi="Arial" w:cs="Arial"/>
          <w:sz w:val="22"/>
          <w:szCs w:val="22"/>
        </w:rPr>
        <w:t>onsistent blood glucose monitoring also enables evaluation of treatment effectiveness, including dietary interventions, physical activity routines, and medication schedules. By observing daily fluctuations, patients can detect trends that may require adjustments in therapy or lifestyle. This proactive approach helps prevent acute complications, such as dangerously high or low blood sugar levels, and supports safer day-to-day management (NCBI, 2020a).</w:t>
      </w:r>
    </w:p>
    <w:p w14:paraId="3FF58DF1" w14:textId="076ED156" w:rsidR="00E13A30" w:rsidRPr="005C70F7" w:rsidRDefault="00CE43AD" w:rsidP="005C70F7">
      <w:pPr>
        <w:spacing w:before="100" w:beforeAutospacing="1" w:after="100" w:afterAutospacing="1" w:line="360" w:lineRule="auto"/>
        <w:jc w:val="both"/>
        <w:rPr>
          <w:rFonts w:ascii="Arial" w:eastAsia="Times New Roman" w:hAnsi="Arial" w:cs="Arial"/>
        </w:rPr>
      </w:pPr>
      <w:r w:rsidRPr="005C70F7">
        <w:rPr>
          <w:rFonts w:ascii="Arial" w:eastAsia="Times New Roman" w:hAnsi="Arial" w:cs="Arial"/>
        </w:rPr>
        <w:lastRenderedPageBreak/>
        <w:tab/>
      </w:r>
      <w:r w:rsidR="00E13A30" w:rsidRPr="005C70F7">
        <w:rPr>
          <w:rFonts w:ascii="Arial" w:eastAsia="Times New Roman" w:hAnsi="Arial" w:cs="Arial"/>
        </w:rPr>
        <w:t>To illustrate recommended monitoring practices and the type of information obtained at different times of day, please see the tables below</w:t>
      </w:r>
      <w:r w:rsidRPr="005C70F7">
        <w:rPr>
          <w:rFonts w:ascii="Arial" w:eastAsia="Times New Roman" w:hAnsi="Arial" w:cs="Arial"/>
        </w:rPr>
        <w:t>.</w:t>
      </w:r>
    </w:p>
    <w:tbl>
      <w:tblPr>
        <w:tblStyle w:val="TableGrid"/>
        <w:tblpPr w:leftFromText="180" w:rightFromText="180" w:vertAnchor="text" w:horzAnchor="margin" w:tblpY="377"/>
        <w:tblW w:w="0" w:type="auto"/>
        <w:tblLook w:val="04A0" w:firstRow="1" w:lastRow="0" w:firstColumn="1" w:lastColumn="0" w:noHBand="0" w:noVBand="1"/>
      </w:tblPr>
      <w:tblGrid>
        <w:gridCol w:w="2695"/>
        <w:gridCol w:w="1159"/>
        <w:gridCol w:w="3551"/>
        <w:gridCol w:w="1945"/>
      </w:tblGrid>
      <w:tr w:rsidR="00D55AF1" w:rsidRPr="005C70F7" w14:paraId="3AED7182" w14:textId="77777777" w:rsidTr="00D55AF1">
        <w:trPr>
          <w:trHeight w:val="532"/>
        </w:trPr>
        <w:tc>
          <w:tcPr>
            <w:tcW w:w="2695" w:type="dxa"/>
            <w:hideMark/>
          </w:tcPr>
          <w:p w14:paraId="0841AD9A"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Treatment Regimen</w:t>
            </w:r>
          </w:p>
        </w:tc>
        <w:tc>
          <w:tcPr>
            <w:tcW w:w="1159" w:type="dxa"/>
            <w:hideMark/>
          </w:tcPr>
          <w:p w14:paraId="5AAD9016"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Type 1 Diabetes</w:t>
            </w:r>
          </w:p>
        </w:tc>
        <w:tc>
          <w:tcPr>
            <w:tcW w:w="3551" w:type="dxa"/>
            <w:hideMark/>
          </w:tcPr>
          <w:p w14:paraId="4F7D7D19"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Type 2 Diabetes</w:t>
            </w:r>
          </w:p>
        </w:tc>
        <w:tc>
          <w:tcPr>
            <w:tcW w:w="0" w:type="auto"/>
            <w:hideMark/>
          </w:tcPr>
          <w:p w14:paraId="1C351182"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Gestational Diabetes (GDM)</w:t>
            </w:r>
          </w:p>
        </w:tc>
      </w:tr>
      <w:tr w:rsidR="00825531" w:rsidRPr="005C70F7" w14:paraId="0F08186C" w14:textId="77777777" w:rsidTr="00D55AF1">
        <w:trPr>
          <w:trHeight w:val="1288"/>
        </w:trPr>
        <w:tc>
          <w:tcPr>
            <w:tcW w:w="2695" w:type="dxa"/>
            <w:hideMark/>
          </w:tcPr>
          <w:p w14:paraId="4228546E"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Regimens without insulin, sulfonylurea, or meglitinide</w:t>
            </w:r>
          </w:p>
        </w:tc>
        <w:tc>
          <w:tcPr>
            <w:tcW w:w="1159" w:type="dxa"/>
            <w:hideMark/>
          </w:tcPr>
          <w:p w14:paraId="203BCF63"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N/A</w:t>
            </w:r>
          </w:p>
        </w:tc>
        <w:tc>
          <w:tcPr>
            <w:tcW w:w="3551" w:type="dxa"/>
            <w:hideMark/>
          </w:tcPr>
          <w:p w14:paraId="318FD11F"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Usually not recommended; consider during treatment changes, hyperglycemia, or acute illness</w:t>
            </w:r>
          </w:p>
        </w:tc>
        <w:tc>
          <w:tcPr>
            <w:tcW w:w="0" w:type="auto"/>
            <w:hideMark/>
          </w:tcPr>
          <w:p w14:paraId="75566907"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4 times/day until optimal control, then 1–2/day</w:t>
            </w:r>
          </w:p>
        </w:tc>
      </w:tr>
      <w:tr w:rsidR="00825531" w:rsidRPr="005C70F7" w14:paraId="0AEBA7B2" w14:textId="77777777" w:rsidTr="00D55AF1">
        <w:trPr>
          <w:trHeight w:val="1117"/>
        </w:trPr>
        <w:tc>
          <w:tcPr>
            <w:tcW w:w="2695" w:type="dxa"/>
            <w:hideMark/>
          </w:tcPr>
          <w:p w14:paraId="449DA9D8"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Regimens with sulfonylurea, meglitinide, or basal insulin</w:t>
            </w:r>
          </w:p>
        </w:tc>
        <w:tc>
          <w:tcPr>
            <w:tcW w:w="1159" w:type="dxa"/>
            <w:hideMark/>
          </w:tcPr>
          <w:p w14:paraId="6F89AFAA"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N/A</w:t>
            </w:r>
          </w:p>
        </w:tc>
        <w:tc>
          <w:tcPr>
            <w:tcW w:w="3551" w:type="dxa"/>
            <w:hideMark/>
          </w:tcPr>
          <w:p w14:paraId="1024F1B1"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As needed for hypo/hyperglycemia, during illness, or treatment changes</w:t>
            </w:r>
          </w:p>
        </w:tc>
        <w:tc>
          <w:tcPr>
            <w:tcW w:w="0" w:type="auto"/>
            <w:hideMark/>
          </w:tcPr>
          <w:p w14:paraId="7458BA30"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4 times/day until optimal control, then 1–2/day</w:t>
            </w:r>
          </w:p>
        </w:tc>
      </w:tr>
      <w:tr w:rsidR="00825531" w:rsidRPr="005C70F7" w14:paraId="4B099657" w14:textId="77777777" w:rsidTr="00D55AF1">
        <w:tc>
          <w:tcPr>
            <w:tcW w:w="2695" w:type="dxa"/>
            <w:hideMark/>
          </w:tcPr>
          <w:p w14:paraId="0D8D0CA4"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Basal-bolus insulin regimen</w:t>
            </w:r>
          </w:p>
        </w:tc>
        <w:tc>
          <w:tcPr>
            <w:tcW w:w="1159" w:type="dxa"/>
            <w:hideMark/>
          </w:tcPr>
          <w:p w14:paraId="772AB329"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4–10 times/day</w:t>
            </w:r>
          </w:p>
        </w:tc>
        <w:tc>
          <w:tcPr>
            <w:tcW w:w="3551" w:type="dxa"/>
            <w:hideMark/>
          </w:tcPr>
          <w:p w14:paraId="3C2825F4"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Up to 6–10 times/day</w:t>
            </w:r>
          </w:p>
        </w:tc>
        <w:tc>
          <w:tcPr>
            <w:tcW w:w="0" w:type="auto"/>
            <w:hideMark/>
          </w:tcPr>
          <w:p w14:paraId="6B44D76E" w14:textId="77777777" w:rsidR="00825531" w:rsidRPr="005C70F7" w:rsidRDefault="00825531" w:rsidP="005C70F7">
            <w:pPr>
              <w:spacing w:line="360" w:lineRule="auto"/>
              <w:rPr>
                <w:rFonts w:ascii="Arial" w:eastAsia="Times New Roman" w:hAnsi="Arial" w:cs="Arial"/>
              </w:rPr>
            </w:pPr>
            <w:r w:rsidRPr="005C70F7">
              <w:rPr>
                <w:rFonts w:ascii="Arial" w:eastAsia="Times New Roman" w:hAnsi="Arial" w:cs="Arial"/>
              </w:rPr>
              <w:t>4–10 times/day</w:t>
            </w:r>
          </w:p>
        </w:tc>
      </w:tr>
    </w:tbl>
    <w:p w14:paraId="09DD53A9" w14:textId="49D9595A" w:rsidR="00825531" w:rsidRPr="005C70F7" w:rsidRDefault="009B5350" w:rsidP="005C70F7">
      <w:pPr>
        <w:spacing w:before="100" w:beforeAutospacing="1" w:after="100" w:afterAutospacing="1" w:line="360" w:lineRule="auto"/>
        <w:jc w:val="both"/>
        <w:rPr>
          <w:rFonts w:ascii="Arial" w:eastAsia="Times New Roman" w:hAnsi="Arial" w:cs="Arial"/>
        </w:rPr>
      </w:pPr>
      <w:r w:rsidRPr="005C70F7">
        <w:rPr>
          <w:rStyle w:val="Strong"/>
          <w:rFonts w:ascii="Arial" w:hAnsi="Arial" w:cs="Arial"/>
          <w:b w:val="0"/>
          <w:bCs w:val="0"/>
        </w:rPr>
        <w:t>Table 1.</w:t>
      </w:r>
      <w:r w:rsidRPr="005C70F7">
        <w:rPr>
          <w:rFonts w:ascii="Arial" w:hAnsi="Arial" w:cs="Arial"/>
        </w:rPr>
        <w:t xml:space="preserve"> Blood Glucose Monitoring (BGM) Frequency by Diabetes Type and Treatment Regimen</w:t>
      </w:r>
    </w:p>
    <w:p w14:paraId="15B66236" w14:textId="10E2755B" w:rsidR="00D55AF1" w:rsidRPr="005C70F7" w:rsidRDefault="00CE43AD" w:rsidP="005C70F7">
      <w:pPr>
        <w:spacing w:before="100" w:beforeAutospacing="1" w:after="100" w:afterAutospacing="1" w:line="360" w:lineRule="auto"/>
        <w:jc w:val="both"/>
        <w:rPr>
          <w:rFonts w:ascii="Arial" w:eastAsia="Times New Roman" w:hAnsi="Arial" w:cs="Arial"/>
          <w:i/>
          <w:iCs/>
        </w:rPr>
      </w:pPr>
      <w:r w:rsidRPr="005C70F7">
        <w:rPr>
          <w:rFonts w:ascii="Arial" w:eastAsia="Times New Roman" w:hAnsi="Arial" w:cs="Arial"/>
        </w:rPr>
        <w:t xml:space="preserve">Source: </w:t>
      </w:r>
      <w:r w:rsidRPr="005C70F7">
        <w:rPr>
          <w:rFonts w:ascii="Arial" w:eastAsia="Times New Roman" w:hAnsi="Arial" w:cs="Arial"/>
          <w:i/>
          <w:iCs/>
        </w:rPr>
        <w:t>Adapted from NCBI, 2020b</w:t>
      </w:r>
    </w:p>
    <w:tbl>
      <w:tblPr>
        <w:tblStyle w:val="TableGrid"/>
        <w:tblpPr w:leftFromText="180" w:rightFromText="180" w:vertAnchor="text" w:horzAnchor="margin" w:tblpY="442"/>
        <w:tblW w:w="0" w:type="auto"/>
        <w:tblLook w:val="04A0" w:firstRow="1" w:lastRow="0" w:firstColumn="1" w:lastColumn="0" w:noHBand="0" w:noVBand="1"/>
      </w:tblPr>
      <w:tblGrid>
        <w:gridCol w:w="1615"/>
        <w:gridCol w:w="7735"/>
      </w:tblGrid>
      <w:tr w:rsidR="00D55AF1" w:rsidRPr="005C70F7" w14:paraId="1BBA7D62" w14:textId="77777777" w:rsidTr="00D55AF1">
        <w:trPr>
          <w:trHeight w:val="170"/>
        </w:trPr>
        <w:tc>
          <w:tcPr>
            <w:tcW w:w="1615" w:type="dxa"/>
            <w:hideMark/>
          </w:tcPr>
          <w:p w14:paraId="591ADE68"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Time of BGM</w:t>
            </w:r>
          </w:p>
        </w:tc>
        <w:tc>
          <w:tcPr>
            <w:tcW w:w="7735" w:type="dxa"/>
            <w:hideMark/>
          </w:tcPr>
          <w:p w14:paraId="76D31ADD" w14:textId="77777777" w:rsidR="00D55AF1" w:rsidRPr="005C70F7" w:rsidRDefault="00D55AF1" w:rsidP="005C70F7">
            <w:pPr>
              <w:spacing w:line="360" w:lineRule="auto"/>
              <w:jc w:val="center"/>
              <w:rPr>
                <w:rFonts w:ascii="Arial" w:eastAsia="Times New Roman" w:hAnsi="Arial" w:cs="Arial"/>
              </w:rPr>
            </w:pPr>
            <w:r w:rsidRPr="005C70F7">
              <w:rPr>
                <w:rFonts w:ascii="Arial" w:eastAsia="Times New Roman" w:hAnsi="Arial" w:cs="Arial"/>
              </w:rPr>
              <w:t>Data Use</w:t>
            </w:r>
          </w:p>
        </w:tc>
      </w:tr>
      <w:tr w:rsidR="00D55AF1" w:rsidRPr="005C70F7" w14:paraId="4BB6D256" w14:textId="77777777" w:rsidTr="00D55AF1">
        <w:trPr>
          <w:trHeight w:val="503"/>
        </w:trPr>
        <w:tc>
          <w:tcPr>
            <w:tcW w:w="1615" w:type="dxa"/>
            <w:hideMark/>
          </w:tcPr>
          <w:p w14:paraId="5C68DE0F"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Fasting</w:t>
            </w:r>
          </w:p>
        </w:tc>
        <w:tc>
          <w:tcPr>
            <w:tcW w:w="7735" w:type="dxa"/>
            <w:hideMark/>
          </w:tcPr>
          <w:p w14:paraId="3E1BCDE6"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Evaluate evening medication, basal insulin dose, previous activity, dawn phenomenon, nocturnal rebound</w:t>
            </w:r>
          </w:p>
        </w:tc>
      </w:tr>
      <w:tr w:rsidR="00D55AF1" w:rsidRPr="005C70F7" w14:paraId="09B64D12" w14:textId="77777777" w:rsidTr="00D55AF1">
        <w:tc>
          <w:tcPr>
            <w:tcW w:w="1615" w:type="dxa"/>
            <w:hideMark/>
          </w:tcPr>
          <w:p w14:paraId="3FB008A8"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Before Meals</w:t>
            </w:r>
          </w:p>
        </w:tc>
        <w:tc>
          <w:tcPr>
            <w:tcW w:w="7735" w:type="dxa"/>
            <w:hideMark/>
          </w:tcPr>
          <w:p w14:paraId="5F48DF95"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Assess basal insulin needs</w:t>
            </w:r>
          </w:p>
        </w:tc>
      </w:tr>
      <w:tr w:rsidR="00D55AF1" w:rsidRPr="005C70F7" w14:paraId="2E2F6C7C" w14:textId="77777777" w:rsidTr="00D55AF1">
        <w:tc>
          <w:tcPr>
            <w:tcW w:w="1615" w:type="dxa"/>
            <w:hideMark/>
          </w:tcPr>
          <w:p w14:paraId="31B75B45"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After Meals</w:t>
            </w:r>
          </w:p>
        </w:tc>
        <w:tc>
          <w:tcPr>
            <w:tcW w:w="7735" w:type="dxa"/>
            <w:hideMark/>
          </w:tcPr>
          <w:p w14:paraId="62353497"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Assess mealtime insulin needs, meal composition, insulin timing</w:t>
            </w:r>
          </w:p>
        </w:tc>
      </w:tr>
      <w:tr w:rsidR="00D55AF1" w:rsidRPr="005C70F7" w14:paraId="02A4CA77" w14:textId="77777777" w:rsidTr="00D55AF1">
        <w:trPr>
          <w:trHeight w:val="57"/>
        </w:trPr>
        <w:tc>
          <w:tcPr>
            <w:tcW w:w="1615" w:type="dxa"/>
            <w:hideMark/>
          </w:tcPr>
          <w:p w14:paraId="6C618C8A"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Bedtime</w:t>
            </w:r>
          </w:p>
        </w:tc>
        <w:tc>
          <w:tcPr>
            <w:tcW w:w="7735" w:type="dxa"/>
            <w:hideMark/>
          </w:tcPr>
          <w:p w14:paraId="75596C83"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Assess pre-dinner medication, dinner/snacks, evening activity</w:t>
            </w:r>
          </w:p>
        </w:tc>
      </w:tr>
      <w:tr w:rsidR="00D55AF1" w:rsidRPr="005C70F7" w14:paraId="1E5AD523" w14:textId="77777777" w:rsidTr="00D55AF1">
        <w:tc>
          <w:tcPr>
            <w:tcW w:w="1615" w:type="dxa"/>
            <w:hideMark/>
          </w:tcPr>
          <w:p w14:paraId="06F7E7DD"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2:00 a.m.</w:t>
            </w:r>
          </w:p>
        </w:tc>
        <w:tc>
          <w:tcPr>
            <w:tcW w:w="7735" w:type="dxa"/>
            <w:hideMark/>
          </w:tcPr>
          <w:p w14:paraId="6F86B857" w14:textId="77777777" w:rsidR="00D55AF1" w:rsidRPr="005C70F7" w:rsidRDefault="00D55AF1" w:rsidP="005C70F7">
            <w:pPr>
              <w:spacing w:line="360" w:lineRule="auto"/>
              <w:jc w:val="both"/>
              <w:rPr>
                <w:rFonts w:ascii="Arial" w:eastAsia="Times New Roman" w:hAnsi="Arial" w:cs="Arial"/>
              </w:rPr>
            </w:pPr>
            <w:r w:rsidRPr="005C70F7">
              <w:rPr>
                <w:rFonts w:ascii="Arial" w:eastAsia="Times New Roman" w:hAnsi="Arial" w:cs="Arial"/>
              </w:rPr>
              <w:t>Identify overnight hypoglycemia</w:t>
            </w:r>
          </w:p>
        </w:tc>
      </w:tr>
    </w:tbl>
    <w:p w14:paraId="7EA502FD" w14:textId="075DB071" w:rsidR="00734729" w:rsidRPr="005C70F7" w:rsidRDefault="00734729" w:rsidP="005C70F7">
      <w:pPr>
        <w:spacing w:before="100" w:beforeAutospacing="1" w:after="100" w:afterAutospacing="1" w:line="360" w:lineRule="auto"/>
        <w:jc w:val="both"/>
        <w:rPr>
          <w:rFonts w:ascii="Arial" w:eastAsia="Times New Roman" w:hAnsi="Arial" w:cs="Arial"/>
        </w:rPr>
      </w:pPr>
      <w:r w:rsidRPr="005C70F7">
        <w:rPr>
          <w:rFonts w:ascii="Arial" w:eastAsia="Times New Roman" w:hAnsi="Arial" w:cs="Arial"/>
        </w:rPr>
        <w:t xml:space="preserve">Table 2 – </w:t>
      </w:r>
      <w:r w:rsidR="00CE43AD" w:rsidRPr="005C70F7">
        <w:rPr>
          <w:rFonts w:ascii="Arial" w:hAnsi="Arial" w:cs="Arial"/>
        </w:rPr>
        <w:t>Information Obtained from Blood Glucose Monitoring at Different Times of Day</w:t>
      </w:r>
    </w:p>
    <w:p w14:paraId="659AB11D" w14:textId="14FE43BE" w:rsidR="00936804" w:rsidRPr="005C70F7" w:rsidRDefault="001522EF" w:rsidP="005C70F7">
      <w:pPr>
        <w:spacing w:before="100" w:beforeAutospacing="1" w:after="100" w:afterAutospacing="1" w:line="360" w:lineRule="auto"/>
        <w:jc w:val="both"/>
        <w:rPr>
          <w:rFonts w:ascii="Arial" w:eastAsia="Times New Roman" w:hAnsi="Arial" w:cs="Arial"/>
        </w:rPr>
      </w:pPr>
      <w:r w:rsidRPr="005C70F7">
        <w:rPr>
          <w:rFonts w:ascii="Arial" w:eastAsia="Times New Roman" w:hAnsi="Arial" w:cs="Arial"/>
        </w:rPr>
        <w:t xml:space="preserve">Source: </w:t>
      </w:r>
      <w:r w:rsidR="009B5350" w:rsidRPr="005C70F7">
        <w:rPr>
          <w:rFonts w:ascii="Arial" w:eastAsia="Times New Roman" w:hAnsi="Arial" w:cs="Arial"/>
        </w:rPr>
        <w:t>Adapted from NCBI, 2020c</w:t>
      </w:r>
    </w:p>
    <w:p w14:paraId="32FB437B" w14:textId="77777777" w:rsidR="00357E36" w:rsidRPr="005C70F7" w:rsidRDefault="00936804" w:rsidP="005C70F7">
      <w:pPr>
        <w:spacing w:before="100" w:beforeAutospacing="1" w:after="100" w:afterAutospacing="1" w:line="360" w:lineRule="auto"/>
        <w:jc w:val="both"/>
        <w:rPr>
          <w:rFonts w:ascii="Arial" w:hAnsi="Arial" w:cs="Arial"/>
        </w:rPr>
      </w:pPr>
      <w:r w:rsidRPr="005C70F7">
        <w:rPr>
          <w:rFonts w:ascii="Arial" w:eastAsia="Times New Roman" w:hAnsi="Arial" w:cs="Arial"/>
        </w:rPr>
        <w:tab/>
      </w:r>
      <w:r w:rsidR="0087539E" w:rsidRPr="005C70F7">
        <w:rPr>
          <w:rFonts w:ascii="Arial" w:hAnsi="Arial" w:cs="Arial"/>
        </w:rPr>
        <w:t xml:space="preserve">Recording glucose enables patients to interpret readings, recognize deviations, and take proactive steps for effective control. </w:t>
      </w:r>
      <w:r w:rsidR="0087539E" w:rsidRPr="005C70F7">
        <w:rPr>
          <w:rStyle w:val="Strong"/>
          <w:rFonts w:ascii="Arial" w:hAnsi="Arial" w:cs="Arial"/>
          <w:b w:val="0"/>
          <w:bCs w:val="0"/>
        </w:rPr>
        <w:t>Knowing one’s current glucose reading and being able to examine and better understand glucose patterns enables people with diabetes to adjust their food intake, physical activity, and medications to achieve their glycemic goals</w:t>
      </w:r>
      <w:r w:rsidR="0087539E" w:rsidRPr="005C70F7">
        <w:rPr>
          <w:rFonts w:ascii="Arial" w:hAnsi="Arial" w:cs="Arial"/>
        </w:rPr>
        <w:t xml:space="preserve"> and supports informed decisions that can improve long</w:t>
      </w:r>
      <w:r w:rsidR="0087539E" w:rsidRPr="005C70F7">
        <w:rPr>
          <w:rFonts w:ascii="Arial" w:hAnsi="Arial" w:cs="Arial"/>
        </w:rPr>
        <w:noBreakHyphen/>
        <w:t>term management outcomes (NCBI, 2020a)</w:t>
      </w:r>
      <w:r w:rsidR="00146B56" w:rsidRPr="005C70F7">
        <w:rPr>
          <w:rFonts w:ascii="Arial" w:hAnsi="Arial" w:cs="Arial"/>
        </w:rPr>
        <w:t xml:space="preserve">. </w:t>
      </w:r>
    </w:p>
    <w:p w14:paraId="2B509BA2" w14:textId="6C589B19" w:rsidR="00EC0163" w:rsidRPr="005C70F7" w:rsidRDefault="00357E36" w:rsidP="005C70F7">
      <w:pPr>
        <w:spacing w:before="100" w:beforeAutospacing="1" w:after="100" w:afterAutospacing="1" w:line="360" w:lineRule="auto"/>
        <w:jc w:val="both"/>
        <w:rPr>
          <w:rFonts w:ascii="Arial" w:hAnsi="Arial" w:cs="Arial"/>
        </w:rPr>
      </w:pPr>
      <w:r w:rsidRPr="005C70F7">
        <w:rPr>
          <w:rFonts w:ascii="Arial" w:hAnsi="Arial" w:cs="Arial"/>
        </w:rPr>
        <w:lastRenderedPageBreak/>
        <w:tab/>
      </w:r>
      <w:r w:rsidR="00EC0163" w:rsidRPr="005C70F7">
        <w:rPr>
          <w:rFonts w:ascii="Arial" w:hAnsi="Arial" w:cs="Arial"/>
          <w:color w:val="1F4E79" w:themeColor="accent5" w:themeShade="80"/>
        </w:rPr>
        <w:t xml:space="preserve">This monitoring also reinforces lifestyle interventions, supporting behavior changes that are critical for Type 2 diabetes management </w:t>
      </w:r>
      <w:r w:rsidR="00EC0163" w:rsidRPr="005C70F7">
        <w:rPr>
          <w:rFonts w:ascii="Arial" w:hAnsi="Arial" w:cs="Arial"/>
        </w:rPr>
        <w:t>and linking directly to the recommendations discussed in the next section (NCBI, 2020a)</w:t>
      </w:r>
    </w:p>
    <w:p w14:paraId="6EEAA1AE" w14:textId="69598BAF" w:rsidR="00734729" w:rsidRPr="005C70F7" w:rsidRDefault="00BB2894" w:rsidP="005C70F7">
      <w:pPr>
        <w:spacing w:before="100" w:beforeAutospacing="1" w:after="100" w:afterAutospacing="1" w:line="360" w:lineRule="auto"/>
        <w:jc w:val="both"/>
        <w:rPr>
          <w:rFonts w:ascii="Arial" w:eastAsia="Times New Roman" w:hAnsi="Arial" w:cs="Arial"/>
        </w:rPr>
      </w:pPr>
      <w:r w:rsidRPr="005C70F7">
        <w:rPr>
          <w:rFonts w:ascii="Arial" w:eastAsia="Times New Roman" w:hAnsi="Arial" w:cs="Arial"/>
        </w:rPr>
        <w:t>E</w:t>
      </w:r>
      <w:r w:rsidR="00734729" w:rsidRPr="005C70F7">
        <w:rPr>
          <w:rFonts w:ascii="Arial" w:eastAsia="Times New Roman" w:hAnsi="Arial" w:cs="Arial"/>
        </w:rPr>
        <w:t>. Recommendations for Type 2 Diabetes</w:t>
      </w:r>
    </w:p>
    <w:p w14:paraId="2160C676" w14:textId="77777777" w:rsidR="000C4650" w:rsidRPr="005C70F7" w:rsidRDefault="00734729"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C4650" w:rsidRPr="005C70F7">
        <w:rPr>
          <w:rFonts w:ascii="Arial" w:hAnsi="Arial" w:cs="Arial"/>
          <w:color w:val="1F4E79" w:themeColor="accent5" w:themeShade="80"/>
          <w:sz w:val="22"/>
          <w:szCs w:val="22"/>
        </w:rPr>
        <w:t>Effective management of Type 2 diabetes in this case study must be tailored to address the physiological and metabolic challenges identified earlier. As demonstrated in Sections B and C, the patient’s insulin resistance and dysregulated glucagon release lead to elevated blood glucose and reduced ATP production, which contribute to fatigue, delayed wound healing, and other health risks. These underlying mechanisms indicate that interventions cannot focus solely on lowering blood sugar—they must also enhance insulin sensitivity, improve cellular energy utilization, and prevent long-term complications.</w:t>
      </w:r>
    </w:p>
    <w:p w14:paraId="78D7E734" w14:textId="1B8919DC" w:rsidR="000B25C4" w:rsidRPr="005C70F7" w:rsidRDefault="000C4650"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t xml:space="preserve">Regular blood glucose monitoring, discussed in Section D, provides critical feedback that links these physiological concerns to practical management strategies. By tracking glucose fluctuations throughout the day, the patient and healthcare team can identify patterns that inform the timing and intensity of physical activity, dietary adjustments, and medication dosing. This integration of monitoring with lifestyle and pharmacological interventions ensures that each recommendation is </w:t>
      </w:r>
      <w:r w:rsidRPr="005C70F7">
        <w:rPr>
          <w:rStyle w:val="Strong"/>
          <w:rFonts w:ascii="Arial" w:hAnsi="Arial" w:cs="Arial"/>
          <w:color w:val="1F4E79" w:themeColor="accent5" w:themeShade="80"/>
          <w:sz w:val="22"/>
          <w:szCs w:val="22"/>
        </w:rPr>
        <w:t>personalized, evidence-based, and directly relevant</w:t>
      </w:r>
      <w:r w:rsidRPr="005C70F7">
        <w:rPr>
          <w:rFonts w:ascii="Arial" w:hAnsi="Arial" w:cs="Arial"/>
          <w:color w:val="1F4E79" w:themeColor="accent5" w:themeShade="80"/>
          <w:sz w:val="22"/>
          <w:szCs w:val="22"/>
        </w:rPr>
        <w:t xml:space="preserve"> to the patient’s metabolic needs, supporting safer and more effective management (NCBI, 2020a; CDC, 2024).</w:t>
      </w:r>
    </w:p>
    <w:p w14:paraId="0DCDAD1B"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t>1. Physical Activity</w:t>
      </w:r>
    </w:p>
    <w:p w14:paraId="2EB17AB6" w14:textId="2F89E0B3" w:rsidR="000B25C4" w:rsidRDefault="00B75236" w:rsidP="00482B13">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Regular physical activity enhances insulin sensitivity and promotes glucose uptake by skeletal muscles independently of insulin. Current UK and international guidelines recommend at least </w:t>
      </w:r>
      <w:r w:rsidR="000B25C4" w:rsidRPr="005C70F7">
        <w:rPr>
          <w:rStyle w:val="Strong"/>
          <w:rFonts w:ascii="Arial" w:hAnsi="Arial" w:cs="Arial"/>
          <w:color w:val="1F4E79" w:themeColor="accent5" w:themeShade="80"/>
          <w:sz w:val="22"/>
          <w:szCs w:val="22"/>
        </w:rPr>
        <w:t>150 minutes per week of moderate-intensity aerobic activity</w:t>
      </w:r>
      <w:r w:rsidR="000B25C4" w:rsidRPr="005C70F7">
        <w:rPr>
          <w:rFonts w:ascii="Arial" w:hAnsi="Arial" w:cs="Arial"/>
          <w:color w:val="1F4E79" w:themeColor="accent5" w:themeShade="80"/>
          <w:sz w:val="22"/>
          <w:szCs w:val="22"/>
        </w:rPr>
        <w:t xml:space="preserve"> (such as brisk walking, cycling, or swimming) combined with </w:t>
      </w:r>
      <w:r w:rsidR="000B25C4" w:rsidRPr="005C70F7">
        <w:rPr>
          <w:rStyle w:val="Strong"/>
          <w:rFonts w:ascii="Arial" w:hAnsi="Arial" w:cs="Arial"/>
          <w:color w:val="1F4E79" w:themeColor="accent5" w:themeShade="80"/>
          <w:sz w:val="22"/>
          <w:szCs w:val="22"/>
        </w:rPr>
        <w:t>resistance training two to three times weekly</w:t>
      </w:r>
      <w:r w:rsidR="000B25C4" w:rsidRPr="005C70F7">
        <w:rPr>
          <w:rFonts w:ascii="Arial" w:hAnsi="Arial" w:cs="Arial"/>
          <w:color w:val="1F4E79" w:themeColor="accent5" w:themeShade="80"/>
          <w:sz w:val="22"/>
          <w:szCs w:val="22"/>
        </w:rPr>
        <w:t>. Activity performed after meals can help blunt postprandial glucose spikes, supporting overall metabolic control. Promoting a combination of aerobic and resistance exercise is essential for maintaining weight, improving cardiovascular health, and enhancing insulin sensitivity (CDC, 2024; NCBI, 2020a).</w:t>
      </w:r>
    </w:p>
    <w:p w14:paraId="577E04D9" w14:textId="188CE029" w:rsidR="00482B13" w:rsidRDefault="00482B13" w:rsidP="00482B13">
      <w:pPr>
        <w:pStyle w:val="NormalWeb"/>
        <w:spacing w:line="360" w:lineRule="auto"/>
        <w:jc w:val="both"/>
        <w:rPr>
          <w:rFonts w:ascii="Arial" w:hAnsi="Arial" w:cs="Arial"/>
          <w:color w:val="1F4E79" w:themeColor="accent5" w:themeShade="80"/>
          <w:sz w:val="22"/>
          <w:szCs w:val="22"/>
        </w:rPr>
      </w:pPr>
    </w:p>
    <w:p w14:paraId="6F804AE0" w14:textId="77777777" w:rsidR="00482B13" w:rsidRPr="005C70F7" w:rsidRDefault="00482B13" w:rsidP="00482B13">
      <w:pPr>
        <w:pStyle w:val="NormalWeb"/>
        <w:spacing w:line="360" w:lineRule="auto"/>
        <w:jc w:val="both"/>
        <w:rPr>
          <w:rFonts w:ascii="Arial" w:hAnsi="Arial" w:cs="Arial"/>
          <w:color w:val="1F4E79" w:themeColor="accent5" w:themeShade="80"/>
          <w:sz w:val="22"/>
          <w:szCs w:val="22"/>
        </w:rPr>
      </w:pPr>
    </w:p>
    <w:p w14:paraId="69BD5BA0"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lastRenderedPageBreak/>
        <w:t>2. Healthy Eating and Meal Planning</w:t>
      </w:r>
    </w:p>
    <w:p w14:paraId="2070FC38" w14:textId="5871F635" w:rsidR="000B25C4" w:rsidRPr="005C70F7" w:rsidRDefault="00B7523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A balanced diet is central to effective diabetes management. Patients are encouraged to consume </w:t>
      </w:r>
      <w:r w:rsidR="000B25C4" w:rsidRPr="005C70F7">
        <w:rPr>
          <w:rStyle w:val="Strong"/>
          <w:rFonts w:ascii="Arial" w:hAnsi="Arial" w:cs="Arial"/>
          <w:color w:val="1F4E79" w:themeColor="accent5" w:themeShade="80"/>
          <w:sz w:val="22"/>
          <w:szCs w:val="22"/>
        </w:rPr>
        <w:t>vegetables, whole grains, lean proteins, and low-glycemic carbohydrates</w:t>
      </w:r>
      <w:r w:rsidR="000B25C4" w:rsidRPr="005C70F7">
        <w:rPr>
          <w:rFonts w:ascii="Arial" w:hAnsi="Arial" w:cs="Arial"/>
          <w:color w:val="1F4E79" w:themeColor="accent5" w:themeShade="80"/>
          <w:sz w:val="22"/>
          <w:szCs w:val="22"/>
        </w:rPr>
        <w:t xml:space="preserve"> to maintain stable blood glucose levels. Regular meal timing, portion control, and carbohydrate awareness help manage fluctuations in glucose. Linking dietary habits with </w:t>
      </w:r>
      <w:r w:rsidR="000B25C4" w:rsidRPr="005C70F7">
        <w:rPr>
          <w:rStyle w:val="Strong"/>
          <w:rFonts w:ascii="Arial" w:hAnsi="Arial" w:cs="Arial"/>
          <w:color w:val="1F4E79" w:themeColor="accent5" w:themeShade="80"/>
          <w:sz w:val="22"/>
          <w:szCs w:val="22"/>
        </w:rPr>
        <w:t>blood glucose monitoring</w:t>
      </w:r>
      <w:r w:rsidR="000B25C4" w:rsidRPr="005C70F7">
        <w:rPr>
          <w:rFonts w:ascii="Arial" w:hAnsi="Arial" w:cs="Arial"/>
          <w:color w:val="1F4E79" w:themeColor="accent5" w:themeShade="80"/>
          <w:sz w:val="22"/>
          <w:szCs w:val="22"/>
        </w:rPr>
        <w:t xml:space="preserve"> allows individuals to identify patterns and make informed adjustments, empowering patients to self-manage their condition safely (NCBI, 2020a).</w:t>
      </w:r>
    </w:p>
    <w:p w14:paraId="2988A3D2" w14:textId="11111C28" w:rsidR="000B25C4" w:rsidRPr="005C70F7" w:rsidRDefault="000B25C4" w:rsidP="005C70F7">
      <w:pPr>
        <w:spacing w:line="360" w:lineRule="auto"/>
        <w:jc w:val="both"/>
        <w:rPr>
          <w:rFonts w:ascii="Arial" w:hAnsi="Arial" w:cs="Arial"/>
          <w:color w:val="1F4E79" w:themeColor="accent5" w:themeShade="80"/>
        </w:rPr>
      </w:pPr>
    </w:p>
    <w:p w14:paraId="7A0180F5"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t>3. Medication and Clinical Management</w:t>
      </w:r>
    </w:p>
    <w:p w14:paraId="26BD36C2" w14:textId="26FF3AA1" w:rsidR="000B25C4" w:rsidRPr="005C70F7" w:rsidRDefault="00B7523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For many individuals, lifestyle changes alone are insufficient, and </w:t>
      </w:r>
      <w:r w:rsidR="000B25C4" w:rsidRPr="005C70F7">
        <w:rPr>
          <w:rStyle w:val="Strong"/>
          <w:rFonts w:ascii="Arial" w:hAnsi="Arial" w:cs="Arial"/>
          <w:color w:val="1F4E79" w:themeColor="accent5" w:themeShade="80"/>
          <w:sz w:val="22"/>
          <w:szCs w:val="22"/>
        </w:rPr>
        <w:t>pharmacological interventions</w:t>
      </w:r>
      <w:r w:rsidR="000B25C4" w:rsidRPr="005C70F7">
        <w:rPr>
          <w:rFonts w:ascii="Arial" w:hAnsi="Arial" w:cs="Arial"/>
          <w:color w:val="1F4E79" w:themeColor="accent5" w:themeShade="80"/>
          <w:sz w:val="22"/>
          <w:szCs w:val="22"/>
        </w:rPr>
        <w:t xml:space="preserve"> are essential. Oral medications such as </w:t>
      </w:r>
      <w:r w:rsidR="000B25C4" w:rsidRPr="005C70F7">
        <w:rPr>
          <w:rStyle w:val="Strong"/>
          <w:rFonts w:ascii="Arial" w:hAnsi="Arial" w:cs="Arial"/>
          <w:color w:val="1F4E79" w:themeColor="accent5" w:themeShade="80"/>
          <w:sz w:val="22"/>
          <w:szCs w:val="22"/>
        </w:rPr>
        <w:t>metformin</w:t>
      </w:r>
      <w:r w:rsidR="000B25C4" w:rsidRPr="005C70F7">
        <w:rPr>
          <w:rFonts w:ascii="Arial" w:hAnsi="Arial" w:cs="Arial"/>
          <w:color w:val="1F4E79" w:themeColor="accent5" w:themeShade="80"/>
          <w:sz w:val="22"/>
          <w:szCs w:val="22"/>
        </w:rPr>
        <w:t>, sulfonylureas, or newer classes like SGLT2 inhibitors or GLP</w:t>
      </w:r>
      <w:r w:rsidR="000B25C4" w:rsidRPr="005C70F7">
        <w:rPr>
          <w:rFonts w:ascii="Arial" w:hAnsi="Arial" w:cs="Arial"/>
          <w:color w:val="1F4E79" w:themeColor="accent5" w:themeShade="80"/>
          <w:sz w:val="22"/>
          <w:szCs w:val="22"/>
        </w:rPr>
        <w:noBreakHyphen/>
        <w:t xml:space="preserve">1 receptor agonists may be prescribed depending on glycemic control, comorbidities, and patient preferences. In some cases, </w:t>
      </w:r>
      <w:r w:rsidR="000B25C4" w:rsidRPr="005C70F7">
        <w:rPr>
          <w:rStyle w:val="Strong"/>
          <w:rFonts w:ascii="Arial" w:hAnsi="Arial" w:cs="Arial"/>
          <w:color w:val="1F4E79" w:themeColor="accent5" w:themeShade="80"/>
          <w:sz w:val="22"/>
          <w:szCs w:val="22"/>
        </w:rPr>
        <w:t>insulin therapy</w:t>
      </w:r>
      <w:r w:rsidR="000B25C4" w:rsidRPr="005C70F7">
        <w:rPr>
          <w:rFonts w:ascii="Arial" w:hAnsi="Arial" w:cs="Arial"/>
          <w:color w:val="1F4E79" w:themeColor="accent5" w:themeShade="80"/>
          <w:sz w:val="22"/>
          <w:szCs w:val="22"/>
        </w:rPr>
        <w:t xml:space="preserve"> may be necessary. Regular clinical follow-up ensures proper dosing, monitors for side effects, and adjusts treatment as the disease progresses. Adherence to prescribed medication regimens is critical for preventing long-term complications such as cardiovascular disease, kidney dysfunction, and neuropathy (NHS, 2025; Diabetes UK, 2025).</w:t>
      </w:r>
    </w:p>
    <w:p w14:paraId="43EA7EC7" w14:textId="2878F121" w:rsidR="000B25C4" w:rsidRPr="005C70F7" w:rsidRDefault="000B25C4" w:rsidP="005C70F7">
      <w:pPr>
        <w:spacing w:line="360" w:lineRule="auto"/>
        <w:jc w:val="both"/>
        <w:rPr>
          <w:rFonts w:ascii="Arial" w:hAnsi="Arial" w:cs="Arial"/>
          <w:color w:val="1F4E79" w:themeColor="accent5" w:themeShade="80"/>
        </w:rPr>
      </w:pPr>
    </w:p>
    <w:p w14:paraId="160E6B04"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t>4. Self-Monitoring of Blood Glucose (SMBG)</w:t>
      </w:r>
    </w:p>
    <w:p w14:paraId="422C404F" w14:textId="42C75322" w:rsidR="000B25C4" w:rsidRPr="005C70F7" w:rsidRDefault="00B7523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Monitoring blood glucose levels is crucial for understanding daily fluctuations and guiding treatment decisions. Patients should perform </w:t>
      </w:r>
      <w:r w:rsidR="000B25C4" w:rsidRPr="005C70F7">
        <w:rPr>
          <w:rStyle w:val="Strong"/>
          <w:rFonts w:ascii="Arial" w:hAnsi="Arial" w:cs="Arial"/>
          <w:color w:val="1F4E79" w:themeColor="accent5" w:themeShade="80"/>
          <w:sz w:val="22"/>
          <w:szCs w:val="22"/>
        </w:rPr>
        <w:t>regular SMBG</w:t>
      </w:r>
      <w:r w:rsidR="000B25C4" w:rsidRPr="005C70F7">
        <w:rPr>
          <w:rFonts w:ascii="Arial" w:hAnsi="Arial" w:cs="Arial"/>
          <w:color w:val="1F4E79" w:themeColor="accent5" w:themeShade="80"/>
          <w:sz w:val="22"/>
          <w:szCs w:val="22"/>
        </w:rPr>
        <w:t xml:space="preserve"> as advised by their healthcare team, particularly before and after meals, at bedtime, and during periods of illness or stress. Data from SMBG allows for timely adjustments to diet, physical activity, and medication, reducing the risk of hypo- and hyperglycemia. Continuous glucose monitoring (CGM) may also be recommended for certain patients for more precise real-time insights (NCBI, 2020a; NHS, 2025).</w:t>
      </w:r>
    </w:p>
    <w:p w14:paraId="36ABF7F5" w14:textId="27C5663E" w:rsidR="000B25C4" w:rsidRDefault="000B25C4" w:rsidP="005C70F7">
      <w:pPr>
        <w:spacing w:line="360" w:lineRule="auto"/>
        <w:jc w:val="both"/>
        <w:rPr>
          <w:rFonts w:ascii="Arial" w:hAnsi="Arial" w:cs="Arial"/>
          <w:color w:val="1F4E79" w:themeColor="accent5" w:themeShade="80"/>
        </w:rPr>
      </w:pPr>
    </w:p>
    <w:p w14:paraId="5AF01D88" w14:textId="77777777" w:rsidR="00482B13" w:rsidRPr="005C70F7" w:rsidRDefault="00482B13" w:rsidP="005C70F7">
      <w:pPr>
        <w:spacing w:line="360" w:lineRule="auto"/>
        <w:jc w:val="both"/>
        <w:rPr>
          <w:rFonts w:ascii="Arial" w:hAnsi="Arial" w:cs="Arial"/>
          <w:color w:val="1F4E79" w:themeColor="accent5" w:themeShade="80"/>
        </w:rPr>
      </w:pPr>
    </w:p>
    <w:p w14:paraId="7E5442FF"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lastRenderedPageBreak/>
        <w:t>5. Structured Programs and Education</w:t>
      </w:r>
    </w:p>
    <w:p w14:paraId="019B3E68" w14:textId="1E325FA4" w:rsidR="000B25C4" w:rsidRPr="005C70F7" w:rsidRDefault="00B7523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Structured programs, such as the </w:t>
      </w:r>
      <w:r w:rsidR="000B25C4" w:rsidRPr="005C70F7">
        <w:rPr>
          <w:rStyle w:val="Strong"/>
          <w:rFonts w:ascii="Arial" w:hAnsi="Arial" w:cs="Arial"/>
          <w:color w:val="1F4E79" w:themeColor="accent5" w:themeShade="80"/>
          <w:sz w:val="22"/>
          <w:szCs w:val="22"/>
        </w:rPr>
        <w:t xml:space="preserve">NHS Diabetes Prevention </w:t>
      </w:r>
      <w:proofErr w:type="spellStart"/>
      <w:r w:rsidR="000B25C4" w:rsidRPr="005C70F7">
        <w:rPr>
          <w:rStyle w:val="Strong"/>
          <w:rFonts w:ascii="Arial" w:hAnsi="Arial" w:cs="Arial"/>
          <w:color w:val="1F4E79" w:themeColor="accent5" w:themeShade="80"/>
          <w:sz w:val="22"/>
          <w:szCs w:val="22"/>
        </w:rPr>
        <w:t>Programme</w:t>
      </w:r>
      <w:proofErr w:type="spellEnd"/>
      <w:r w:rsidR="000B25C4" w:rsidRPr="005C70F7">
        <w:rPr>
          <w:rStyle w:val="Strong"/>
          <w:rFonts w:ascii="Arial" w:hAnsi="Arial" w:cs="Arial"/>
          <w:color w:val="1F4E79" w:themeColor="accent5" w:themeShade="80"/>
          <w:sz w:val="22"/>
          <w:szCs w:val="22"/>
        </w:rPr>
        <w:t xml:space="preserve"> (NHS DPP)</w:t>
      </w:r>
      <w:r w:rsidR="000B25C4" w:rsidRPr="005C70F7">
        <w:rPr>
          <w:rFonts w:ascii="Arial" w:hAnsi="Arial" w:cs="Arial"/>
          <w:color w:val="1F4E79" w:themeColor="accent5" w:themeShade="80"/>
          <w:sz w:val="22"/>
          <w:szCs w:val="22"/>
        </w:rPr>
        <w:t xml:space="preserve"> and Diabetes UK education courses, provide patients with knowledge, skills, and behavioral support to manage Type 2 diabetes effectively. Patient education emphasizes nutrition, physical activity, monitoring, and problem-solving skills, enabling individuals to take an </w:t>
      </w:r>
      <w:r w:rsidR="000B25C4" w:rsidRPr="005C70F7">
        <w:rPr>
          <w:rStyle w:val="Strong"/>
          <w:rFonts w:ascii="Arial" w:hAnsi="Arial" w:cs="Arial"/>
          <w:color w:val="1F4E79" w:themeColor="accent5" w:themeShade="80"/>
          <w:sz w:val="22"/>
          <w:szCs w:val="22"/>
        </w:rPr>
        <w:t>active role in self-management</w:t>
      </w:r>
      <w:r w:rsidR="000B25C4" w:rsidRPr="005C70F7">
        <w:rPr>
          <w:rFonts w:ascii="Arial" w:hAnsi="Arial" w:cs="Arial"/>
          <w:color w:val="1F4E79" w:themeColor="accent5" w:themeShade="80"/>
          <w:sz w:val="22"/>
          <w:szCs w:val="22"/>
        </w:rPr>
        <w:t>. Regular participation in these programs has been shown to improve glycemic control, increase adherence to lifestyle and medication regimens, and reduce long-term complications (CDC, 2024; Diabetes UK, 2025).</w:t>
      </w:r>
    </w:p>
    <w:p w14:paraId="3BB5C25F" w14:textId="0D8BC869" w:rsidR="000B25C4" w:rsidRPr="005C70F7" w:rsidRDefault="000B25C4" w:rsidP="005C70F7">
      <w:pPr>
        <w:spacing w:line="360" w:lineRule="auto"/>
        <w:jc w:val="both"/>
        <w:rPr>
          <w:rFonts w:ascii="Arial" w:hAnsi="Arial" w:cs="Arial"/>
          <w:color w:val="1F4E79" w:themeColor="accent5" w:themeShade="80"/>
        </w:rPr>
      </w:pPr>
    </w:p>
    <w:p w14:paraId="46EE7EE5"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t>6. Psychosocial Support and Addressing Barriers</w:t>
      </w:r>
    </w:p>
    <w:p w14:paraId="4686E7F7" w14:textId="39276E46" w:rsidR="000B25C4" w:rsidRPr="005C70F7" w:rsidRDefault="00B7523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Patients with Type 2 diabetes may face psychosocial challenges such as stress, anxiety, depression, or limited access to resources. Barriers to adherence, including financial constraints, time limitations, or lack of motivation, must be addressed through </w:t>
      </w:r>
      <w:r w:rsidR="000B25C4" w:rsidRPr="005C70F7">
        <w:rPr>
          <w:rStyle w:val="Strong"/>
          <w:rFonts w:ascii="Arial" w:hAnsi="Arial" w:cs="Arial"/>
          <w:color w:val="1F4E79" w:themeColor="accent5" w:themeShade="80"/>
          <w:sz w:val="22"/>
          <w:szCs w:val="22"/>
        </w:rPr>
        <w:t>individualized care plans</w:t>
      </w:r>
      <w:r w:rsidR="000B25C4" w:rsidRPr="005C70F7">
        <w:rPr>
          <w:rFonts w:ascii="Arial" w:hAnsi="Arial" w:cs="Arial"/>
          <w:color w:val="1F4E79" w:themeColor="accent5" w:themeShade="80"/>
          <w:sz w:val="22"/>
          <w:szCs w:val="22"/>
        </w:rPr>
        <w:t>, support from healthcare professionals, and community-based programs. Peer mentoring, counselling, and group support can improve motivation and adherence while reducing the emotional burden of living with a chronic condition (NCBI, 2020a; Diabetes UK, 2025).</w:t>
      </w:r>
    </w:p>
    <w:p w14:paraId="407DC13A" w14:textId="46940F9A" w:rsidR="000B25C4" w:rsidRPr="005C70F7" w:rsidRDefault="000B25C4" w:rsidP="005C70F7">
      <w:pPr>
        <w:spacing w:line="360" w:lineRule="auto"/>
        <w:jc w:val="both"/>
        <w:rPr>
          <w:rFonts w:ascii="Arial" w:hAnsi="Arial" w:cs="Arial"/>
          <w:color w:val="1F4E79" w:themeColor="accent5" w:themeShade="80"/>
        </w:rPr>
      </w:pPr>
    </w:p>
    <w:p w14:paraId="336AA763" w14:textId="77777777" w:rsidR="000B25C4" w:rsidRPr="005C70F7" w:rsidRDefault="000B25C4"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t>7. Emergency Preparedness</w:t>
      </w:r>
    </w:p>
    <w:p w14:paraId="1DA44839" w14:textId="38BE396A" w:rsidR="000B25C4" w:rsidRPr="005C70F7" w:rsidRDefault="00B75236"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0B25C4" w:rsidRPr="005C70F7">
        <w:rPr>
          <w:rFonts w:ascii="Arial" w:hAnsi="Arial" w:cs="Arial"/>
          <w:color w:val="1F4E79" w:themeColor="accent5" w:themeShade="80"/>
          <w:sz w:val="22"/>
          <w:szCs w:val="22"/>
        </w:rPr>
        <w:t xml:space="preserve">Patients should be educated on </w:t>
      </w:r>
      <w:r w:rsidR="000B25C4" w:rsidRPr="005C70F7">
        <w:rPr>
          <w:rStyle w:val="Strong"/>
          <w:rFonts w:ascii="Arial" w:hAnsi="Arial" w:cs="Arial"/>
          <w:color w:val="1F4E79" w:themeColor="accent5" w:themeShade="80"/>
          <w:sz w:val="22"/>
          <w:szCs w:val="22"/>
        </w:rPr>
        <w:t>diabetes emergencies</w:t>
      </w:r>
      <w:r w:rsidR="000B25C4" w:rsidRPr="005C70F7">
        <w:rPr>
          <w:rFonts w:ascii="Arial" w:hAnsi="Arial" w:cs="Arial"/>
          <w:color w:val="1F4E79" w:themeColor="accent5" w:themeShade="80"/>
          <w:sz w:val="22"/>
          <w:szCs w:val="22"/>
        </w:rPr>
        <w:t xml:space="preserve">, including hypoglycemia, hyperglycemia, and diabetic ketoacidosis. For severe or life-threatening situations, UK patients should contact </w:t>
      </w:r>
      <w:r w:rsidR="000B25C4" w:rsidRPr="005C70F7">
        <w:rPr>
          <w:rStyle w:val="Strong"/>
          <w:rFonts w:ascii="Arial" w:hAnsi="Arial" w:cs="Arial"/>
          <w:color w:val="1F4E79" w:themeColor="accent5" w:themeShade="80"/>
          <w:sz w:val="22"/>
          <w:szCs w:val="22"/>
        </w:rPr>
        <w:t>NHS 111</w:t>
      </w:r>
      <w:r w:rsidR="000B25C4" w:rsidRPr="005C70F7">
        <w:rPr>
          <w:rFonts w:ascii="Arial" w:hAnsi="Arial" w:cs="Arial"/>
          <w:color w:val="1F4E79" w:themeColor="accent5" w:themeShade="80"/>
          <w:sz w:val="22"/>
          <w:szCs w:val="22"/>
        </w:rPr>
        <w:t xml:space="preserve"> or </w:t>
      </w:r>
      <w:r w:rsidR="000B25C4" w:rsidRPr="005C70F7">
        <w:rPr>
          <w:rStyle w:val="Strong"/>
          <w:rFonts w:ascii="Arial" w:hAnsi="Arial" w:cs="Arial"/>
          <w:color w:val="1F4E79" w:themeColor="accent5" w:themeShade="80"/>
          <w:sz w:val="22"/>
          <w:szCs w:val="22"/>
        </w:rPr>
        <w:t>call 999</w:t>
      </w:r>
      <w:r w:rsidR="000B25C4" w:rsidRPr="005C70F7">
        <w:rPr>
          <w:rFonts w:ascii="Arial" w:hAnsi="Arial" w:cs="Arial"/>
          <w:color w:val="1F4E79" w:themeColor="accent5" w:themeShade="80"/>
          <w:sz w:val="22"/>
          <w:szCs w:val="22"/>
        </w:rPr>
        <w:t>. Knowledge of first aid steps, such as providing fast-acting sugar for hypoglycemia, is essential for patient safety and can prevent severe complications (British Red Cross, 2025). Incorporating emergency preparedness into patient education strengthens self-management and ensures safety in everyday life.</w:t>
      </w:r>
    </w:p>
    <w:p w14:paraId="42738295" w14:textId="48A9CF69" w:rsidR="000B25C4" w:rsidRDefault="000B25C4" w:rsidP="005C70F7">
      <w:pPr>
        <w:spacing w:line="360" w:lineRule="auto"/>
        <w:jc w:val="both"/>
        <w:rPr>
          <w:rFonts w:ascii="Arial" w:hAnsi="Arial" w:cs="Arial"/>
          <w:color w:val="1F4E79" w:themeColor="accent5" w:themeShade="80"/>
        </w:rPr>
      </w:pPr>
    </w:p>
    <w:p w14:paraId="3586C34A" w14:textId="0DFEC70D" w:rsidR="00482B13" w:rsidRDefault="00482B13" w:rsidP="005C70F7">
      <w:pPr>
        <w:spacing w:line="360" w:lineRule="auto"/>
        <w:jc w:val="both"/>
        <w:rPr>
          <w:rFonts w:ascii="Arial" w:hAnsi="Arial" w:cs="Arial"/>
          <w:color w:val="1F4E79" w:themeColor="accent5" w:themeShade="80"/>
        </w:rPr>
      </w:pPr>
    </w:p>
    <w:p w14:paraId="0226F70C" w14:textId="77777777" w:rsidR="00482B13" w:rsidRPr="005C70F7" w:rsidRDefault="00482B13" w:rsidP="005C70F7">
      <w:pPr>
        <w:spacing w:line="360" w:lineRule="auto"/>
        <w:jc w:val="both"/>
        <w:rPr>
          <w:rFonts w:ascii="Arial" w:hAnsi="Arial" w:cs="Arial"/>
          <w:color w:val="1F4E79" w:themeColor="accent5" w:themeShade="80"/>
        </w:rPr>
      </w:pPr>
    </w:p>
    <w:p w14:paraId="1C483BC4" w14:textId="77777777" w:rsidR="005C70F7" w:rsidRPr="005C70F7" w:rsidRDefault="000B25C4" w:rsidP="005C70F7">
      <w:pPr>
        <w:pStyle w:val="Heading3"/>
        <w:spacing w:line="360" w:lineRule="auto"/>
        <w:jc w:val="both"/>
        <w:rPr>
          <w:rStyle w:val="Strong"/>
          <w:rFonts w:ascii="Arial" w:hAnsi="Arial" w:cs="Arial"/>
          <w:b/>
          <w:bCs/>
          <w:color w:val="1F4E79" w:themeColor="accent5" w:themeShade="80"/>
          <w:sz w:val="22"/>
          <w:szCs w:val="22"/>
        </w:rPr>
      </w:pPr>
      <w:r w:rsidRPr="005C70F7">
        <w:rPr>
          <w:rStyle w:val="Strong"/>
          <w:rFonts w:ascii="Arial" w:hAnsi="Arial" w:cs="Arial"/>
          <w:b/>
          <w:bCs/>
          <w:color w:val="1F4E79" w:themeColor="accent5" w:themeShade="80"/>
          <w:sz w:val="22"/>
          <w:szCs w:val="22"/>
        </w:rPr>
        <w:lastRenderedPageBreak/>
        <w:t>8. Daily Management and Integration</w:t>
      </w:r>
    </w:p>
    <w:p w14:paraId="3CADCD96" w14:textId="1A29801C" w:rsidR="005C70F7" w:rsidRPr="005C70F7" w:rsidRDefault="005C70F7" w:rsidP="005C70F7">
      <w:pPr>
        <w:pStyle w:val="Heading3"/>
        <w:spacing w:line="360" w:lineRule="auto"/>
        <w:jc w:val="both"/>
        <w:rPr>
          <w:rFonts w:ascii="Arial" w:hAnsi="Arial" w:cs="Arial"/>
          <w:color w:val="1F4E79" w:themeColor="accent5" w:themeShade="80"/>
          <w:sz w:val="22"/>
          <w:szCs w:val="22"/>
        </w:rPr>
      </w:pPr>
      <w:r w:rsidRPr="005C70F7">
        <w:rPr>
          <w:rStyle w:val="Strong"/>
          <w:rFonts w:ascii="Arial" w:hAnsi="Arial" w:cs="Arial"/>
          <w:b/>
          <w:bCs/>
          <w:color w:val="1F4E79" w:themeColor="accent5" w:themeShade="80"/>
          <w:sz w:val="22"/>
          <w:szCs w:val="22"/>
        </w:rPr>
        <w:tab/>
      </w:r>
      <w:r w:rsidRPr="005C70F7">
        <w:rPr>
          <w:rFonts w:ascii="Arial" w:hAnsi="Arial" w:cs="Arial"/>
          <w:color w:val="1F4E79" w:themeColor="accent5" w:themeShade="80"/>
          <w:sz w:val="22"/>
          <w:szCs w:val="22"/>
        </w:rPr>
        <w:t xml:space="preserve">Integrating all strategies into daily routines ensures stable blood glucose levels, reduces complications, and improves quality of life. Combining lifestyle interventions, medication adherence, monitoring, education, psychosocial support, and emergency preparedness creates a holistic and patient-centered management plan. Regular engagement with healthcare professionals ensures interventions remain practical, effective, and sustainable over the long term. This approach aligns with the case study’s focus on integrating physiology, blood glucose monitoring, and personalized interventions to achieve optimal patient outcomes (NCBI, 2020a; CDC, 2024; Diabetes UK, 2025). </w:t>
      </w:r>
    </w:p>
    <w:p w14:paraId="6CB7CE09" w14:textId="72B4BA60" w:rsidR="00734729" w:rsidRPr="005C70F7" w:rsidRDefault="00BB2894" w:rsidP="005C70F7">
      <w:pPr>
        <w:pStyle w:val="NormalWeb"/>
        <w:spacing w:line="360" w:lineRule="auto"/>
        <w:jc w:val="both"/>
        <w:rPr>
          <w:rFonts w:ascii="Arial" w:hAnsi="Arial" w:cs="Arial"/>
          <w:sz w:val="22"/>
          <w:szCs w:val="22"/>
        </w:rPr>
      </w:pPr>
      <w:r w:rsidRPr="005C70F7">
        <w:rPr>
          <w:rFonts w:ascii="Arial" w:hAnsi="Arial" w:cs="Arial"/>
          <w:sz w:val="22"/>
          <w:szCs w:val="22"/>
        </w:rPr>
        <w:t>F</w:t>
      </w:r>
      <w:r w:rsidR="00734729" w:rsidRPr="005C70F7">
        <w:rPr>
          <w:rFonts w:ascii="Arial" w:hAnsi="Arial" w:cs="Arial"/>
          <w:sz w:val="22"/>
          <w:szCs w:val="22"/>
        </w:rPr>
        <w:t>. Conclusion</w:t>
      </w:r>
    </w:p>
    <w:p w14:paraId="35C0C37E" w14:textId="77777777" w:rsidR="005C70F7" w:rsidRPr="005C70F7" w:rsidRDefault="005D697C"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r>
      <w:r w:rsidR="005C70F7" w:rsidRPr="005C70F7">
        <w:rPr>
          <w:rFonts w:ascii="Arial" w:hAnsi="Arial" w:cs="Arial"/>
          <w:color w:val="1F4E79" w:themeColor="accent5" w:themeShade="80"/>
          <w:sz w:val="22"/>
          <w:szCs w:val="22"/>
        </w:rPr>
        <w:t xml:space="preserve">This case study demonstrates that effective management of Type 2 diabetes requires a clear understanding of </w:t>
      </w:r>
      <w:r w:rsidR="005C70F7" w:rsidRPr="005C70F7">
        <w:rPr>
          <w:rStyle w:val="Strong"/>
          <w:rFonts w:ascii="Arial" w:hAnsi="Arial" w:cs="Arial"/>
          <w:color w:val="1F4E79" w:themeColor="accent5" w:themeShade="80"/>
          <w:sz w:val="22"/>
          <w:szCs w:val="22"/>
        </w:rPr>
        <w:t>blood sugar regulation, cellular metabolism, and patient-centered interventions</w:t>
      </w:r>
      <w:r w:rsidR="005C70F7" w:rsidRPr="005C70F7">
        <w:rPr>
          <w:rFonts w:ascii="Arial" w:hAnsi="Arial" w:cs="Arial"/>
          <w:color w:val="1F4E79" w:themeColor="accent5" w:themeShade="80"/>
          <w:sz w:val="22"/>
          <w:szCs w:val="22"/>
        </w:rPr>
        <w:t>. Maintaining the balance of insulin and glucagon, supporting metabolic efficiency, and using regular blood glucose monitoring form the foundation for informed self-management and guide personalized treatment decisions (NCBI, 2020a; Diabetes UK, 2025).</w:t>
      </w:r>
    </w:p>
    <w:p w14:paraId="3F189A68" w14:textId="20ECE40A" w:rsidR="005C70F7" w:rsidRPr="005C70F7" w:rsidRDefault="005C70F7"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t xml:space="preserve">Effective management extends beyond medication alone. </w:t>
      </w:r>
      <w:r w:rsidRPr="005C70F7">
        <w:rPr>
          <w:rStyle w:val="Strong"/>
          <w:rFonts w:ascii="Arial" w:hAnsi="Arial" w:cs="Arial"/>
          <w:color w:val="1F4E79" w:themeColor="accent5" w:themeShade="80"/>
          <w:sz w:val="22"/>
          <w:szCs w:val="22"/>
        </w:rPr>
        <w:t>Integrating lifestyle modifications, structured education, psychosocial support, and proactive monitoring</w:t>
      </w:r>
      <w:r w:rsidRPr="005C70F7">
        <w:rPr>
          <w:rFonts w:ascii="Arial" w:hAnsi="Arial" w:cs="Arial"/>
          <w:color w:val="1F4E79" w:themeColor="accent5" w:themeShade="80"/>
          <w:sz w:val="22"/>
          <w:szCs w:val="22"/>
        </w:rPr>
        <w:t xml:space="preserve"> empowers patients to maintain glycemic control, reduce cardiovascular and metabolic risks, and improve overall quality of life. Linking monitoring data with tailored interventions ensures that treatment strategies are responsive to the patient’s metabolic and behavioral needs (CDC, 2024; Zhang et al., 2023).</w:t>
      </w:r>
    </w:p>
    <w:p w14:paraId="2DE85542" w14:textId="084DF557" w:rsidR="005C70F7" w:rsidRPr="005C70F7" w:rsidRDefault="005C70F7" w:rsidP="005C70F7">
      <w:pPr>
        <w:pStyle w:val="NormalWeb"/>
        <w:spacing w:line="360" w:lineRule="auto"/>
        <w:jc w:val="both"/>
        <w:rPr>
          <w:rFonts w:ascii="Arial" w:hAnsi="Arial" w:cs="Arial"/>
          <w:color w:val="1F4E79" w:themeColor="accent5" w:themeShade="80"/>
          <w:sz w:val="22"/>
          <w:szCs w:val="22"/>
        </w:rPr>
      </w:pPr>
      <w:r w:rsidRPr="005C70F7">
        <w:rPr>
          <w:rFonts w:ascii="Arial" w:hAnsi="Arial" w:cs="Arial"/>
          <w:color w:val="1F4E79" w:themeColor="accent5" w:themeShade="80"/>
          <w:sz w:val="22"/>
          <w:szCs w:val="22"/>
        </w:rPr>
        <w:tab/>
        <w:t xml:space="preserve">A </w:t>
      </w:r>
      <w:r w:rsidRPr="005C70F7">
        <w:rPr>
          <w:rStyle w:val="Strong"/>
          <w:rFonts w:ascii="Arial" w:hAnsi="Arial" w:cs="Arial"/>
          <w:color w:val="1F4E79" w:themeColor="accent5" w:themeShade="80"/>
          <w:sz w:val="22"/>
          <w:szCs w:val="22"/>
        </w:rPr>
        <w:t>holistic and continuous approach</w:t>
      </w:r>
      <w:r w:rsidRPr="005C70F7">
        <w:rPr>
          <w:rFonts w:ascii="Arial" w:hAnsi="Arial" w:cs="Arial"/>
          <w:color w:val="1F4E79" w:themeColor="accent5" w:themeShade="80"/>
          <w:sz w:val="22"/>
          <w:szCs w:val="22"/>
        </w:rPr>
        <w:t xml:space="preserve">, combining physiological understanding, monitoring, and </w:t>
      </w:r>
      <w:proofErr w:type="spellStart"/>
      <w:r w:rsidR="00C212DA">
        <w:rPr>
          <w:rFonts w:ascii="Arial" w:hAnsi="Arial" w:cs="Arial"/>
          <w:color w:val="1F4E79" w:themeColor="accent5" w:themeShade="80"/>
          <w:sz w:val="22"/>
          <w:szCs w:val="22"/>
        </w:rPr>
        <w:t>behavioural</w:t>
      </w:r>
      <w:proofErr w:type="spellEnd"/>
      <w:r w:rsidRPr="005C70F7">
        <w:rPr>
          <w:rFonts w:ascii="Arial" w:hAnsi="Arial" w:cs="Arial"/>
          <w:color w:val="1F4E79" w:themeColor="accent5" w:themeShade="80"/>
          <w:sz w:val="22"/>
          <w:szCs w:val="22"/>
        </w:rPr>
        <w:t xml:space="preserve"> strategies, forms the cornerstone of successful Type 2 diabetes care. With consistent effort, professional guidance, and patient empowerment, individuals can achieve sustainable glycemic control, prevent complications, and maintain healthier, more independent lives (NCBI, 2020a; </w:t>
      </w:r>
      <w:r w:rsidR="00C212DA" w:rsidRPr="005C70F7">
        <w:rPr>
          <w:rFonts w:ascii="Arial" w:hAnsi="Arial" w:cs="Arial"/>
          <w:color w:val="1F4E79" w:themeColor="accent5" w:themeShade="80"/>
          <w:sz w:val="22"/>
          <w:szCs w:val="22"/>
        </w:rPr>
        <w:t>Amer Kamp</w:t>
      </w:r>
      <w:r w:rsidRPr="005C70F7">
        <w:rPr>
          <w:rFonts w:ascii="Arial" w:hAnsi="Arial" w:cs="Arial"/>
          <w:color w:val="1F4E79" w:themeColor="accent5" w:themeShade="80"/>
          <w:sz w:val="22"/>
          <w:szCs w:val="22"/>
        </w:rPr>
        <w:t xml:space="preserve"> et al., 2025; Zhang et al., 2023).</w:t>
      </w:r>
    </w:p>
    <w:p w14:paraId="298793BC" w14:textId="2ECBCBF4" w:rsidR="00A65E72" w:rsidRDefault="00A65E72" w:rsidP="005C70F7">
      <w:pPr>
        <w:pStyle w:val="NormalWeb"/>
        <w:spacing w:line="360" w:lineRule="auto"/>
        <w:jc w:val="both"/>
        <w:rPr>
          <w:rFonts w:ascii="Arial" w:hAnsi="Arial" w:cs="Arial"/>
          <w:color w:val="1F4E79" w:themeColor="accent5" w:themeShade="80"/>
          <w:sz w:val="22"/>
          <w:szCs w:val="22"/>
        </w:rPr>
      </w:pPr>
    </w:p>
    <w:p w14:paraId="40406774" w14:textId="01CDB1D9" w:rsidR="005C70F7" w:rsidRDefault="005C70F7" w:rsidP="005C70F7">
      <w:pPr>
        <w:pStyle w:val="NormalWeb"/>
        <w:spacing w:line="360" w:lineRule="auto"/>
        <w:jc w:val="both"/>
        <w:rPr>
          <w:rFonts w:ascii="Arial" w:hAnsi="Arial" w:cs="Arial"/>
          <w:color w:val="1F4E79" w:themeColor="accent5" w:themeShade="80"/>
          <w:sz w:val="22"/>
          <w:szCs w:val="22"/>
        </w:rPr>
      </w:pPr>
    </w:p>
    <w:p w14:paraId="4B2C8A1A" w14:textId="758B4561" w:rsidR="005C70F7" w:rsidRDefault="005C70F7" w:rsidP="005C70F7">
      <w:pPr>
        <w:pStyle w:val="NormalWeb"/>
        <w:spacing w:line="360" w:lineRule="auto"/>
        <w:jc w:val="both"/>
        <w:rPr>
          <w:rFonts w:ascii="Arial" w:hAnsi="Arial" w:cs="Arial"/>
          <w:color w:val="1F4E79" w:themeColor="accent5" w:themeShade="80"/>
          <w:sz w:val="22"/>
          <w:szCs w:val="22"/>
        </w:rPr>
      </w:pPr>
      <w:r>
        <w:rPr>
          <w:rFonts w:ascii="Arial" w:hAnsi="Arial" w:cs="Arial"/>
          <w:color w:val="1F4E79" w:themeColor="accent5" w:themeShade="80"/>
          <w:sz w:val="22"/>
          <w:szCs w:val="22"/>
        </w:rPr>
        <w:lastRenderedPageBreak/>
        <w:t>G. References</w:t>
      </w:r>
    </w:p>
    <w:p w14:paraId="6013F20A" w14:textId="2F80A873" w:rsidR="005C70F7" w:rsidRPr="00267653" w:rsidRDefault="00C212DA"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Amer Kamp</w:t>
      </w:r>
      <w:r w:rsidR="005C70F7" w:rsidRPr="00267653">
        <w:rPr>
          <w:rFonts w:ascii="Arial" w:hAnsi="Arial" w:cs="Arial"/>
          <w:sz w:val="22"/>
          <w:szCs w:val="22"/>
        </w:rPr>
        <w:t xml:space="preserve">, S., 2025. </w:t>
      </w:r>
      <w:r w:rsidR="005C70F7" w:rsidRPr="00267653">
        <w:rPr>
          <w:rStyle w:val="Emphasis"/>
          <w:rFonts w:ascii="Arial" w:hAnsi="Arial" w:cs="Arial"/>
          <w:sz w:val="22"/>
          <w:szCs w:val="22"/>
        </w:rPr>
        <w:t>Advances in Type 2 Diabetes Management</w:t>
      </w:r>
      <w:r w:rsidR="005C70F7" w:rsidRPr="00267653">
        <w:rPr>
          <w:rFonts w:ascii="Arial" w:hAnsi="Arial" w:cs="Arial"/>
          <w:sz w:val="22"/>
          <w:szCs w:val="22"/>
        </w:rPr>
        <w:t>. London: Academic Press. [Note: verify publication]</w:t>
      </w:r>
    </w:p>
    <w:p w14:paraId="78394172"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British Red Cross, 2025. </w:t>
      </w:r>
      <w:r w:rsidRPr="00267653">
        <w:rPr>
          <w:rStyle w:val="Emphasis"/>
          <w:rFonts w:ascii="Arial" w:hAnsi="Arial" w:cs="Arial"/>
          <w:sz w:val="22"/>
          <w:szCs w:val="22"/>
        </w:rPr>
        <w:t>Diabetes First Aid Guidance</w:t>
      </w:r>
      <w:r w:rsidRPr="00267653">
        <w:rPr>
          <w:rFonts w:ascii="Arial" w:hAnsi="Arial" w:cs="Arial"/>
          <w:sz w:val="22"/>
          <w:szCs w:val="22"/>
        </w:rPr>
        <w:t>. London: British Red Cross.</w:t>
      </w:r>
    </w:p>
    <w:p w14:paraId="4790AE1F"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CDC, 2024. </w:t>
      </w:r>
      <w:r w:rsidRPr="00267653">
        <w:rPr>
          <w:rStyle w:val="Emphasis"/>
          <w:rFonts w:ascii="Arial" w:hAnsi="Arial" w:cs="Arial"/>
          <w:sz w:val="22"/>
          <w:szCs w:val="22"/>
        </w:rPr>
        <w:t>National Diabetes Statistics Report 2024</w:t>
      </w:r>
      <w:r w:rsidRPr="00267653">
        <w:rPr>
          <w:rFonts w:ascii="Arial" w:hAnsi="Arial" w:cs="Arial"/>
          <w:sz w:val="22"/>
          <w:szCs w:val="22"/>
        </w:rPr>
        <w:t xml:space="preserve">. Atlanta: Centers for Disease Control and Prevention. Available at: </w:t>
      </w:r>
      <w:hyperlink r:id="rId8" w:tgtFrame="_new" w:history="1">
        <w:r w:rsidRPr="00267653">
          <w:rPr>
            <w:rStyle w:val="Hyperlink"/>
            <w:rFonts w:ascii="Arial" w:hAnsi="Arial" w:cs="Arial"/>
            <w:sz w:val="22"/>
            <w:szCs w:val="22"/>
          </w:rPr>
          <w:t>https://www.cdc.gov/diabetes/data/statistics-report/index.html</w:t>
        </w:r>
      </w:hyperlink>
      <w:r w:rsidRPr="00267653">
        <w:rPr>
          <w:rFonts w:ascii="Arial" w:hAnsi="Arial" w:cs="Arial"/>
          <w:sz w:val="22"/>
          <w:szCs w:val="22"/>
        </w:rPr>
        <w:t xml:space="preserve"> [Accessed 4 April 2026].</w:t>
      </w:r>
    </w:p>
    <w:p w14:paraId="1474B0E8"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Diabetes UK, 2024. </w:t>
      </w:r>
      <w:r w:rsidRPr="00267653">
        <w:rPr>
          <w:rStyle w:val="Emphasis"/>
          <w:rFonts w:ascii="Arial" w:hAnsi="Arial" w:cs="Arial"/>
          <w:sz w:val="22"/>
          <w:szCs w:val="22"/>
        </w:rPr>
        <w:t>Understanding Diabetes: Type 2 Diabetes</w:t>
      </w:r>
      <w:r w:rsidRPr="00267653">
        <w:rPr>
          <w:rFonts w:ascii="Arial" w:hAnsi="Arial" w:cs="Arial"/>
          <w:sz w:val="22"/>
          <w:szCs w:val="22"/>
        </w:rPr>
        <w:t xml:space="preserve">. London: Diabetes UK. Available at: </w:t>
      </w:r>
      <w:hyperlink r:id="rId9" w:tgtFrame="_new" w:history="1">
        <w:r w:rsidRPr="00267653">
          <w:rPr>
            <w:rStyle w:val="Hyperlink"/>
            <w:rFonts w:ascii="Arial" w:hAnsi="Arial" w:cs="Arial"/>
            <w:sz w:val="22"/>
            <w:szCs w:val="22"/>
          </w:rPr>
          <w:t>https://www.diabetes.org.uk</w:t>
        </w:r>
      </w:hyperlink>
      <w:r w:rsidRPr="00267653">
        <w:rPr>
          <w:rFonts w:ascii="Arial" w:hAnsi="Arial" w:cs="Arial"/>
          <w:sz w:val="22"/>
          <w:szCs w:val="22"/>
        </w:rPr>
        <w:t xml:space="preserve"> [Accessed 4 April 2026].</w:t>
      </w:r>
    </w:p>
    <w:p w14:paraId="5BB37F5C"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Diabetes UK, 2025. </w:t>
      </w:r>
      <w:r w:rsidRPr="00267653">
        <w:rPr>
          <w:rStyle w:val="Emphasis"/>
          <w:rFonts w:ascii="Arial" w:hAnsi="Arial" w:cs="Arial"/>
          <w:sz w:val="22"/>
          <w:szCs w:val="22"/>
        </w:rPr>
        <w:t>Diabetes Management Guidelines</w:t>
      </w:r>
      <w:r w:rsidRPr="00267653">
        <w:rPr>
          <w:rFonts w:ascii="Arial" w:hAnsi="Arial" w:cs="Arial"/>
          <w:sz w:val="22"/>
          <w:szCs w:val="22"/>
        </w:rPr>
        <w:t>. London: Diabetes UK.</w:t>
      </w:r>
    </w:p>
    <w:p w14:paraId="1029C66A"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IDF, 2025. </w:t>
      </w:r>
      <w:r w:rsidRPr="00267653">
        <w:rPr>
          <w:rStyle w:val="Emphasis"/>
          <w:rFonts w:ascii="Arial" w:hAnsi="Arial" w:cs="Arial"/>
          <w:sz w:val="22"/>
          <w:szCs w:val="22"/>
        </w:rPr>
        <w:t>IDF Diabetes Atlas, 11th edition</w:t>
      </w:r>
      <w:r w:rsidRPr="00267653">
        <w:rPr>
          <w:rFonts w:ascii="Arial" w:hAnsi="Arial" w:cs="Arial"/>
          <w:sz w:val="22"/>
          <w:szCs w:val="22"/>
        </w:rPr>
        <w:t>. Brussels: International Diabetes Federation.</w:t>
      </w:r>
    </w:p>
    <w:p w14:paraId="2DAD89C1"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NCBI, 2020a. </w:t>
      </w:r>
      <w:r w:rsidRPr="00267653">
        <w:rPr>
          <w:rStyle w:val="Emphasis"/>
          <w:rFonts w:ascii="Arial" w:hAnsi="Arial" w:cs="Arial"/>
          <w:sz w:val="22"/>
          <w:szCs w:val="22"/>
        </w:rPr>
        <w:t>Management of Type 2 Diabetes: Blood Glucose Monitoring and Lifestyle Interventions</w:t>
      </w:r>
      <w:r w:rsidRPr="00267653">
        <w:rPr>
          <w:rFonts w:ascii="Arial" w:hAnsi="Arial" w:cs="Arial"/>
          <w:sz w:val="22"/>
          <w:szCs w:val="22"/>
        </w:rPr>
        <w:t xml:space="preserve">. Bethesda: National Center for Biotechnology Information. Available at: </w:t>
      </w:r>
      <w:hyperlink r:id="rId10" w:tgtFrame="_new" w:history="1">
        <w:r w:rsidRPr="00267653">
          <w:rPr>
            <w:rStyle w:val="Hyperlink"/>
            <w:rFonts w:ascii="Arial" w:hAnsi="Arial" w:cs="Arial"/>
            <w:sz w:val="22"/>
            <w:szCs w:val="22"/>
          </w:rPr>
          <w:t>https://www.ncbi.nlm.nih.gov/books/NBK554457/</w:t>
        </w:r>
      </w:hyperlink>
      <w:r w:rsidRPr="00267653">
        <w:rPr>
          <w:rFonts w:ascii="Arial" w:hAnsi="Arial" w:cs="Arial"/>
          <w:sz w:val="22"/>
          <w:szCs w:val="22"/>
        </w:rPr>
        <w:t xml:space="preserve"> [Accessed 4 April 2026].</w:t>
      </w:r>
    </w:p>
    <w:p w14:paraId="758A8242"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NCBI, 2020b. </w:t>
      </w:r>
      <w:r w:rsidRPr="00267653">
        <w:rPr>
          <w:rStyle w:val="Emphasis"/>
          <w:rFonts w:ascii="Arial" w:hAnsi="Arial" w:cs="Arial"/>
          <w:sz w:val="22"/>
          <w:szCs w:val="22"/>
        </w:rPr>
        <w:t>Blood Glucose Monitoring Frequency by Diabetes Type</w:t>
      </w:r>
      <w:r w:rsidRPr="00267653">
        <w:rPr>
          <w:rFonts w:ascii="Arial" w:hAnsi="Arial" w:cs="Arial"/>
          <w:sz w:val="22"/>
          <w:szCs w:val="22"/>
        </w:rPr>
        <w:t>. Bethesda: National Center for Biotechnology Information. Available at: https://www.ncbi.nlm.nih.gov/books/NBK554457/table/ch1.tab1/ [Accessed 4 April 2026].</w:t>
      </w:r>
    </w:p>
    <w:p w14:paraId="5DB41350"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NCBI, 2020c. </w:t>
      </w:r>
      <w:r w:rsidRPr="00267653">
        <w:rPr>
          <w:rStyle w:val="Emphasis"/>
          <w:rFonts w:ascii="Arial" w:hAnsi="Arial" w:cs="Arial"/>
          <w:sz w:val="22"/>
          <w:szCs w:val="22"/>
        </w:rPr>
        <w:t>Information Obtained from Blood Glucose Monitoring at Different Times of Day</w:t>
      </w:r>
      <w:r w:rsidRPr="00267653">
        <w:rPr>
          <w:rFonts w:ascii="Arial" w:hAnsi="Arial" w:cs="Arial"/>
          <w:sz w:val="22"/>
          <w:szCs w:val="22"/>
        </w:rPr>
        <w:t>. Bethesda: National Center for Biotechnology Information. Available at: https://www.ncbi.nlm.nih.gov/books/NBK554457/table/ch1.tab2/ [Accessed 4 April 2026].</w:t>
      </w:r>
    </w:p>
    <w:p w14:paraId="6055CF49"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NCBI, 2022. </w:t>
      </w:r>
      <w:r w:rsidRPr="00267653">
        <w:rPr>
          <w:rStyle w:val="Emphasis"/>
          <w:rFonts w:ascii="Arial" w:hAnsi="Arial" w:cs="Arial"/>
          <w:sz w:val="22"/>
          <w:szCs w:val="22"/>
        </w:rPr>
        <w:t>Cellular Metabolism and Type 2 Diabetes</w:t>
      </w:r>
      <w:r w:rsidRPr="00267653">
        <w:rPr>
          <w:rFonts w:ascii="Arial" w:hAnsi="Arial" w:cs="Arial"/>
          <w:sz w:val="22"/>
          <w:szCs w:val="22"/>
        </w:rPr>
        <w:t xml:space="preserve">. Bethesda: National Center for Biotechnology Information. Available at: </w:t>
      </w:r>
      <w:hyperlink r:id="rId11" w:tgtFrame="_new" w:history="1">
        <w:r w:rsidRPr="00267653">
          <w:rPr>
            <w:rStyle w:val="Hyperlink"/>
            <w:rFonts w:ascii="Arial" w:hAnsi="Arial" w:cs="Arial"/>
            <w:sz w:val="22"/>
            <w:szCs w:val="22"/>
          </w:rPr>
          <w:t>https://www.ncbi.nlm.nih.gov/books/NBK556134/</w:t>
        </w:r>
      </w:hyperlink>
      <w:r w:rsidRPr="00267653">
        <w:rPr>
          <w:rFonts w:ascii="Arial" w:hAnsi="Arial" w:cs="Arial"/>
          <w:sz w:val="22"/>
          <w:szCs w:val="22"/>
        </w:rPr>
        <w:t xml:space="preserve"> [Accessed 4 April 2026].</w:t>
      </w:r>
    </w:p>
    <w:p w14:paraId="56FDFA96"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NHS, 2025. </w:t>
      </w:r>
      <w:r w:rsidRPr="00267653">
        <w:rPr>
          <w:rStyle w:val="Emphasis"/>
          <w:rFonts w:ascii="Arial" w:hAnsi="Arial" w:cs="Arial"/>
          <w:sz w:val="22"/>
          <w:szCs w:val="22"/>
        </w:rPr>
        <w:t>Type 2 Diabetes: Management and Treatment Guidance</w:t>
      </w:r>
      <w:r w:rsidRPr="00267653">
        <w:rPr>
          <w:rFonts w:ascii="Arial" w:hAnsi="Arial" w:cs="Arial"/>
          <w:sz w:val="22"/>
          <w:szCs w:val="22"/>
        </w:rPr>
        <w:t xml:space="preserve">. London: National Health Service. Available at: </w:t>
      </w:r>
      <w:hyperlink r:id="rId12" w:tgtFrame="_new" w:history="1">
        <w:r w:rsidRPr="00267653">
          <w:rPr>
            <w:rStyle w:val="Hyperlink"/>
            <w:rFonts w:ascii="Arial" w:hAnsi="Arial" w:cs="Arial"/>
            <w:sz w:val="22"/>
            <w:szCs w:val="22"/>
          </w:rPr>
          <w:t>https://www.nhs.uk/conditions/type-2-diabetes/</w:t>
        </w:r>
      </w:hyperlink>
      <w:r w:rsidRPr="00267653">
        <w:rPr>
          <w:rFonts w:ascii="Arial" w:hAnsi="Arial" w:cs="Arial"/>
          <w:sz w:val="22"/>
          <w:szCs w:val="22"/>
        </w:rPr>
        <w:t xml:space="preserve"> [Accessed 4 April 2026].</w:t>
      </w:r>
    </w:p>
    <w:p w14:paraId="688328E0"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Röder, P.V., Wu, B., Liu, Y. &amp; Han, W., 2016. Pancreatic regulation of glucose homeostasis. </w:t>
      </w:r>
      <w:r w:rsidRPr="00267653">
        <w:rPr>
          <w:rStyle w:val="Emphasis"/>
          <w:rFonts w:ascii="Arial" w:hAnsi="Arial" w:cs="Arial"/>
          <w:sz w:val="22"/>
          <w:szCs w:val="22"/>
        </w:rPr>
        <w:t>Experimental &amp; Molecular Medicine</w:t>
      </w:r>
      <w:r w:rsidRPr="00267653">
        <w:rPr>
          <w:rFonts w:ascii="Arial" w:hAnsi="Arial" w:cs="Arial"/>
          <w:sz w:val="22"/>
          <w:szCs w:val="22"/>
        </w:rPr>
        <w:t>, 48, e219.</w:t>
      </w:r>
    </w:p>
    <w:p w14:paraId="0AC41828"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Yang, L., Smith, A. &amp; Chen, H., 2023. Community-based lifestyle interventions for Type 2 diabetes: A systematic review. </w:t>
      </w:r>
      <w:r w:rsidRPr="00267653">
        <w:rPr>
          <w:rStyle w:val="Emphasis"/>
          <w:rFonts w:ascii="Arial" w:hAnsi="Arial" w:cs="Arial"/>
          <w:sz w:val="22"/>
          <w:szCs w:val="22"/>
        </w:rPr>
        <w:t>Diabetes Research and Clinical Practice</w:t>
      </w:r>
      <w:r w:rsidRPr="00267653">
        <w:rPr>
          <w:rFonts w:ascii="Arial" w:hAnsi="Arial" w:cs="Arial"/>
          <w:sz w:val="22"/>
          <w:szCs w:val="22"/>
        </w:rPr>
        <w:t>, 195, 110156.</w:t>
      </w:r>
    </w:p>
    <w:p w14:paraId="1FDF76E6" w14:textId="77777777" w:rsidR="005C70F7" w:rsidRPr="00267653" w:rsidRDefault="005C70F7" w:rsidP="00267653">
      <w:pPr>
        <w:pStyle w:val="NormalWeb"/>
        <w:numPr>
          <w:ilvl w:val="0"/>
          <w:numId w:val="13"/>
        </w:numPr>
        <w:spacing w:line="360" w:lineRule="auto"/>
        <w:rPr>
          <w:rFonts w:ascii="Arial" w:hAnsi="Arial" w:cs="Arial"/>
          <w:sz w:val="22"/>
          <w:szCs w:val="22"/>
        </w:rPr>
      </w:pPr>
      <w:r w:rsidRPr="00267653">
        <w:rPr>
          <w:rFonts w:ascii="Arial" w:hAnsi="Arial" w:cs="Arial"/>
          <w:sz w:val="22"/>
          <w:szCs w:val="22"/>
        </w:rPr>
        <w:t xml:space="preserve">Zhang, X., Li, Y. &amp; Thompson, R., 2023. Integrated approaches for Type 2 diabetes management. </w:t>
      </w:r>
      <w:r w:rsidRPr="00267653">
        <w:rPr>
          <w:rStyle w:val="Emphasis"/>
          <w:rFonts w:ascii="Arial" w:hAnsi="Arial" w:cs="Arial"/>
          <w:sz w:val="22"/>
          <w:szCs w:val="22"/>
        </w:rPr>
        <w:t>Journal of Diabetes &amp; Metabolism</w:t>
      </w:r>
      <w:r w:rsidRPr="00267653">
        <w:rPr>
          <w:rFonts w:ascii="Arial" w:hAnsi="Arial" w:cs="Arial"/>
          <w:sz w:val="22"/>
          <w:szCs w:val="22"/>
        </w:rPr>
        <w:t>, 14(4), pp.256–267.</w:t>
      </w:r>
    </w:p>
    <w:p w14:paraId="7AF19019" w14:textId="77777777" w:rsidR="005C70F7" w:rsidRPr="005C70F7" w:rsidRDefault="005C70F7" w:rsidP="005C70F7">
      <w:pPr>
        <w:pStyle w:val="NormalWeb"/>
        <w:spacing w:line="360" w:lineRule="auto"/>
        <w:jc w:val="both"/>
        <w:rPr>
          <w:rFonts w:ascii="Arial" w:hAnsi="Arial" w:cs="Arial"/>
          <w:color w:val="1F4E79" w:themeColor="accent5" w:themeShade="80"/>
          <w:sz w:val="22"/>
          <w:szCs w:val="22"/>
        </w:rPr>
      </w:pPr>
    </w:p>
    <w:p w14:paraId="28BDEDD4" w14:textId="19599611" w:rsidR="00E552AB" w:rsidRPr="005C70F7" w:rsidRDefault="00E552AB" w:rsidP="005C70F7">
      <w:pPr>
        <w:spacing w:before="100" w:beforeAutospacing="1" w:after="100" w:afterAutospacing="1" w:line="360" w:lineRule="auto"/>
        <w:jc w:val="both"/>
        <w:rPr>
          <w:rFonts w:ascii="Arial" w:eastAsia="Times New Roman" w:hAnsi="Arial" w:cs="Arial"/>
          <w:color w:val="1F4E79" w:themeColor="accent5" w:themeShade="80"/>
        </w:rPr>
      </w:pPr>
    </w:p>
    <w:p w14:paraId="1CDEB88F" w14:textId="275B0A23" w:rsidR="00E552AB" w:rsidRPr="005C70F7" w:rsidRDefault="00E552AB" w:rsidP="005C70F7">
      <w:pPr>
        <w:spacing w:before="100" w:beforeAutospacing="1" w:after="100" w:afterAutospacing="1" w:line="360" w:lineRule="auto"/>
        <w:jc w:val="both"/>
        <w:rPr>
          <w:rFonts w:ascii="Arial" w:eastAsia="Times New Roman" w:hAnsi="Arial" w:cs="Arial"/>
          <w:color w:val="1F4E79" w:themeColor="accent5" w:themeShade="80"/>
        </w:rPr>
      </w:pPr>
    </w:p>
    <w:p w14:paraId="3586E833" w14:textId="3CCDE483" w:rsidR="00E552AB" w:rsidRPr="005C70F7" w:rsidRDefault="00E552AB" w:rsidP="005C70F7">
      <w:pPr>
        <w:pStyle w:val="NormalWeb"/>
        <w:spacing w:line="360" w:lineRule="auto"/>
        <w:rPr>
          <w:rFonts w:ascii="Arial" w:hAnsi="Arial" w:cs="Arial"/>
          <w:sz w:val="22"/>
          <w:szCs w:val="22"/>
        </w:rPr>
      </w:pPr>
    </w:p>
    <w:p w14:paraId="41C43774" w14:textId="1F902A05" w:rsidR="000C4650" w:rsidRPr="005C70F7" w:rsidRDefault="000C4650" w:rsidP="005C70F7">
      <w:pPr>
        <w:pStyle w:val="NormalWeb"/>
        <w:spacing w:line="360" w:lineRule="auto"/>
        <w:rPr>
          <w:rFonts w:ascii="Arial" w:hAnsi="Arial" w:cs="Arial"/>
          <w:sz w:val="22"/>
          <w:szCs w:val="22"/>
        </w:rPr>
      </w:pPr>
    </w:p>
    <w:p w14:paraId="78A8C33A" w14:textId="7D5677DC" w:rsidR="000C4650" w:rsidRPr="005C70F7" w:rsidRDefault="000C4650" w:rsidP="005C70F7">
      <w:pPr>
        <w:pStyle w:val="NormalWeb"/>
        <w:spacing w:line="360" w:lineRule="auto"/>
        <w:rPr>
          <w:rFonts w:ascii="Arial" w:hAnsi="Arial" w:cs="Arial"/>
          <w:sz w:val="22"/>
          <w:szCs w:val="22"/>
        </w:rPr>
      </w:pPr>
    </w:p>
    <w:p w14:paraId="7941336C" w14:textId="555EA3DA" w:rsidR="000C4650" w:rsidRPr="005C70F7" w:rsidRDefault="000C4650" w:rsidP="005C70F7">
      <w:pPr>
        <w:pStyle w:val="NormalWeb"/>
        <w:spacing w:line="360" w:lineRule="auto"/>
        <w:rPr>
          <w:rFonts w:ascii="Arial" w:hAnsi="Arial" w:cs="Arial"/>
          <w:sz w:val="22"/>
          <w:szCs w:val="22"/>
        </w:rPr>
      </w:pPr>
    </w:p>
    <w:p w14:paraId="2AC0D882" w14:textId="77777777" w:rsidR="000C4650" w:rsidRPr="005C70F7" w:rsidRDefault="000C4650" w:rsidP="005C70F7">
      <w:pPr>
        <w:pStyle w:val="NormalWeb"/>
        <w:spacing w:line="360" w:lineRule="auto"/>
        <w:rPr>
          <w:rFonts w:ascii="Arial" w:hAnsi="Arial" w:cs="Arial"/>
          <w:sz w:val="22"/>
          <w:szCs w:val="22"/>
        </w:rPr>
      </w:pPr>
    </w:p>
    <w:p w14:paraId="0558816D" w14:textId="2F69EA45" w:rsidR="00BB2894" w:rsidRPr="005C70F7" w:rsidRDefault="00BB2894" w:rsidP="005C70F7">
      <w:pPr>
        <w:spacing w:before="100" w:beforeAutospacing="1" w:after="100" w:afterAutospacing="1" w:line="360" w:lineRule="auto"/>
        <w:jc w:val="both"/>
        <w:rPr>
          <w:rFonts w:ascii="Arial" w:eastAsia="Times New Roman" w:hAnsi="Arial" w:cs="Arial"/>
        </w:rPr>
      </w:pPr>
    </w:p>
    <w:p w14:paraId="2665409C" w14:textId="77777777" w:rsidR="00BB2894" w:rsidRPr="005C70F7" w:rsidRDefault="00BB2894" w:rsidP="005C70F7">
      <w:pPr>
        <w:spacing w:before="100" w:beforeAutospacing="1" w:after="100" w:afterAutospacing="1" w:line="360" w:lineRule="auto"/>
        <w:jc w:val="both"/>
        <w:rPr>
          <w:rFonts w:ascii="Arial" w:eastAsia="Times New Roman" w:hAnsi="Arial" w:cs="Arial"/>
        </w:rPr>
      </w:pPr>
    </w:p>
    <w:p w14:paraId="22498278" w14:textId="5CFB161D" w:rsidR="00734729" w:rsidRPr="005C70F7" w:rsidRDefault="00734729" w:rsidP="005C70F7">
      <w:pPr>
        <w:spacing w:after="0" w:line="360" w:lineRule="auto"/>
        <w:jc w:val="both"/>
        <w:rPr>
          <w:rFonts w:ascii="Arial" w:eastAsia="Times New Roman" w:hAnsi="Arial" w:cs="Arial"/>
        </w:rPr>
      </w:pPr>
    </w:p>
    <w:sectPr w:rsidR="00734729" w:rsidRPr="005C70F7" w:rsidSect="00936804">
      <w:footerReference w:type="default" r:id="rId13"/>
      <w:pgSz w:w="12240" w:h="15840"/>
      <w:pgMar w:top="1440" w:right="1440" w:bottom="117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B28C0" w14:textId="77777777" w:rsidR="00EB17EF" w:rsidRDefault="00EB17EF" w:rsidP="00BB2894">
      <w:pPr>
        <w:spacing w:after="0" w:line="240" w:lineRule="auto"/>
      </w:pPr>
      <w:r>
        <w:separator/>
      </w:r>
    </w:p>
  </w:endnote>
  <w:endnote w:type="continuationSeparator" w:id="0">
    <w:p w14:paraId="50C81D11" w14:textId="77777777" w:rsidR="00EB17EF" w:rsidRDefault="00EB17EF" w:rsidP="00BB2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5095731"/>
      <w:docPartObj>
        <w:docPartGallery w:val="Page Numbers (Bottom of Page)"/>
        <w:docPartUnique/>
      </w:docPartObj>
    </w:sdtPr>
    <w:sdtEndPr>
      <w:rPr>
        <w:noProof/>
      </w:rPr>
    </w:sdtEndPr>
    <w:sdtContent>
      <w:p w14:paraId="51CF4A82" w14:textId="3E95AFED" w:rsidR="00BB2894" w:rsidRDefault="00BB28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8255DA" w14:textId="77777777" w:rsidR="00BB2894" w:rsidRDefault="00BB2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38BBE" w14:textId="77777777" w:rsidR="00EB17EF" w:rsidRDefault="00EB17EF" w:rsidP="00BB2894">
      <w:pPr>
        <w:spacing w:after="0" w:line="240" w:lineRule="auto"/>
      </w:pPr>
      <w:r>
        <w:separator/>
      </w:r>
    </w:p>
  </w:footnote>
  <w:footnote w:type="continuationSeparator" w:id="0">
    <w:p w14:paraId="7BCA9574" w14:textId="77777777" w:rsidR="00EB17EF" w:rsidRDefault="00EB17EF" w:rsidP="00BB2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6191D"/>
    <w:multiLevelType w:val="hybridMultilevel"/>
    <w:tmpl w:val="40C2B1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BA52DA"/>
    <w:multiLevelType w:val="multilevel"/>
    <w:tmpl w:val="5268E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014908"/>
    <w:multiLevelType w:val="hybridMultilevel"/>
    <w:tmpl w:val="CD942944"/>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CD369E"/>
    <w:multiLevelType w:val="hybridMultilevel"/>
    <w:tmpl w:val="32A41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2F0E3A"/>
    <w:multiLevelType w:val="multilevel"/>
    <w:tmpl w:val="EB0E1CD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AD1ED3"/>
    <w:multiLevelType w:val="hybridMultilevel"/>
    <w:tmpl w:val="8910D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BD5293"/>
    <w:multiLevelType w:val="hybridMultilevel"/>
    <w:tmpl w:val="3B8498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E22729"/>
    <w:multiLevelType w:val="hybridMultilevel"/>
    <w:tmpl w:val="3E1C3304"/>
    <w:lvl w:ilvl="0" w:tplc="EA32392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67B85456"/>
    <w:multiLevelType w:val="hybridMultilevel"/>
    <w:tmpl w:val="9CC0F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D429AB"/>
    <w:multiLevelType w:val="multilevel"/>
    <w:tmpl w:val="8B70B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85472E"/>
    <w:multiLevelType w:val="multilevel"/>
    <w:tmpl w:val="ECF4F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3B55E1"/>
    <w:multiLevelType w:val="hybridMultilevel"/>
    <w:tmpl w:val="B49C6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5760985"/>
    <w:multiLevelType w:val="multilevel"/>
    <w:tmpl w:val="BE5A3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6691047">
    <w:abstractNumId w:val="9"/>
  </w:num>
  <w:num w:numId="2" w16cid:durableId="1588034115">
    <w:abstractNumId w:val="12"/>
  </w:num>
  <w:num w:numId="3" w16cid:durableId="2121296281">
    <w:abstractNumId w:val="11"/>
  </w:num>
  <w:num w:numId="4" w16cid:durableId="1051805816">
    <w:abstractNumId w:val="2"/>
  </w:num>
  <w:num w:numId="5" w16cid:durableId="694692941">
    <w:abstractNumId w:val="0"/>
  </w:num>
  <w:num w:numId="6" w16cid:durableId="1832061501">
    <w:abstractNumId w:val="10"/>
  </w:num>
  <w:num w:numId="7" w16cid:durableId="499345144">
    <w:abstractNumId w:val="1"/>
  </w:num>
  <w:num w:numId="8" w16cid:durableId="1639022204">
    <w:abstractNumId w:val="7"/>
  </w:num>
  <w:num w:numId="9" w16cid:durableId="496460049">
    <w:abstractNumId w:val="8"/>
  </w:num>
  <w:num w:numId="10" w16cid:durableId="2041319121">
    <w:abstractNumId w:val="5"/>
  </w:num>
  <w:num w:numId="11" w16cid:durableId="1194536481">
    <w:abstractNumId w:val="6"/>
  </w:num>
  <w:num w:numId="12" w16cid:durableId="1611743453">
    <w:abstractNumId w:val="4"/>
  </w:num>
  <w:num w:numId="13" w16cid:durableId="1918398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729"/>
    <w:rsid w:val="0000470A"/>
    <w:rsid w:val="00007D6B"/>
    <w:rsid w:val="00033235"/>
    <w:rsid w:val="000B25C4"/>
    <w:rsid w:val="000C4650"/>
    <w:rsid w:val="000F267D"/>
    <w:rsid w:val="00111C5F"/>
    <w:rsid w:val="00120D8B"/>
    <w:rsid w:val="00146B56"/>
    <w:rsid w:val="001522EF"/>
    <w:rsid w:val="001B017F"/>
    <w:rsid w:val="00212EA3"/>
    <w:rsid w:val="00220588"/>
    <w:rsid w:val="00267653"/>
    <w:rsid w:val="00284B9B"/>
    <w:rsid w:val="002A4170"/>
    <w:rsid w:val="002E3BF0"/>
    <w:rsid w:val="003139F0"/>
    <w:rsid w:val="00357E36"/>
    <w:rsid w:val="003B3461"/>
    <w:rsid w:val="003F6970"/>
    <w:rsid w:val="00402458"/>
    <w:rsid w:val="00402B62"/>
    <w:rsid w:val="0046637C"/>
    <w:rsid w:val="00482B13"/>
    <w:rsid w:val="004B4E84"/>
    <w:rsid w:val="004D7EFC"/>
    <w:rsid w:val="004E1F14"/>
    <w:rsid w:val="004F327F"/>
    <w:rsid w:val="0050443A"/>
    <w:rsid w:val="00516CA8"/>
    <w:rsid w:val="00524964"/>
    <w:rsid w:val="00526E78"/>
    <w:rsid w:val="0054378E"/>
    <w:rsid w:val="005C64D5"/>
    <w:rsid w:val="005C70F7"/>
    <w:rsid w:val="005D697C"/>
    <w:rsid w:val="005E4F79"/>
    <w:rsid w:val="005E5D36"/>
    <w:rsid w:val="00604FCC"/>
    <w:rsid w:val="00615F35"/>
    <w:rsid w:val="007150B1"/>
    <w:rsid w:val="00734729"/>
    <w:rsid w:val="0074752A"/>
    <w:rsid w:val="00777059"/>
    <w:rsid w:val="00787718"/>
    <w:rsid w:val="007C330D"/>
    <w:rsid w:val="007C5821"/>
    <w:rsid w:val="007F5CFE"/>
    <w:rsid w:val="00825531"/>
    <w:rsid w:val="00851935"/>
    <w:rsid w:val="0086405E"/>
    <w:rsid w:val="0087539E"/>
    <w:rsid w:val="008F517B"/>
    <w:rsid w:val="009279AE"/>
    <w:rsid w:val="00936804"/>
    <w:rsid w:val="009B5350"/>
    <w:rsid w:val="00A36AED"/>
    <w:rsid w:val="00A43D10"/>
    <w:rsid w:val="00A61337"/>
    <w:rsid w:val="00A65E72"/>
    <w:rsid w:val="00A72B75"/>
    <w:rsid w:val="00AD7B16"/>
    <w:rsid w:val="00AE2530"/>
    <w:rsid w:val="00B62A86"/>
    <w:rsid w:val="00B71425"/>
    <w:rsid w:val="00B7204A"/>
    <w:rsid w:val="00B75236"/>
    <w:rsid w:val="00BB2894"/>
    <w:rsid w:val="00BB31FE"/>
    <w:rsid w:val="00BB53CC"/>
    <w:rsid w:val="00BC00D1"/>
    <w:rsid w:val="00C0533D"/>
    <w:rsid w:val="00C212DA"/>
    <w:rsid w:val="00C307FB"/>
    <w:rsid w:val="00C46CEB"/>
    <w:rsid w:val="00C643CD"/>
    <w:rsid w:val="00C913EF"/>
    <w:rsid w:val="00C93B7F"/>
    <w:rsid w:val="00CE43AD"/>
    <w:rsid w:val="00D36964"/>
    <w:rsid w:val="00D55AF1"/>
    <w:rsid w:val="00D7648B"/>
    <w:rsid w:val="00DB66E2"/>
    <w:rsid w:val="00E13A30"/>
    <w:rsid w:val="00E552AB"/>
    <w:rsid w:val="00E676C5"/>
    <w:rsid w:val="00EB17EF"/>
    <w:rsid w:val="00EB4AF6"/>
    <w:rsid w:val="00EC0163"/>
    <w:rsid w:val="00EC234C"/>
    <w:rsid w:val="00F41460"/>
    <w:rsid w:val="00F75256"/>
    <w:rsid w:val="00F8272C"/>
    <w:rsid w:val="00FE6F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C0633"/>
  <w15:chartTrackingRefBased/>
  <w15:docId w15:val="{E13E0DA9-8025-4A6F-9D7A-E9333D5ED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3472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3472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3472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72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3472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34729"/>
    <w:rPr>
      <w:rFonts w:ascii="Times New Roman" w:eastAsia="Times New Roman" w:hAnsi="Times New Roman" w:cs="Times New Roman"/>
      <w:b/>
      <w:bCs/>
      <w:sz w:val="27"/>
      <w:szCs w:val="27"/>
    </w:rPr>
  </w:style>
  <w:style w:type="paragraph" w:styleId="NormalWeb">
    <w:name w:val="Normal (Web)"/>
    <w:basedOn w:val="Normal"/>
    <w:uiPriority w:val="99"/>
    <w:unhideWhenUsed/>
    <w:rsid w:val="0073472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34729"/>
    <w:rPr>
      <w:b/>
      <w:bCs/>
    </w:rPr>
  </w:style>
  <w:style w:type="character" w:styleId="Emphasis">
    <w:name w:val="Emphasis"/>
    <w:basedOn w:val="DefaultParagraphFont"/>
    <w:uiPriority w:val="20"/>
    <w:qFormat/>
    <w:rsid w:val="00734729"/>
    <w:rPr>
      <w:i/>
      <w:iCs/>
    </w:rPr>
  </w:style>
  <w:style w:type="character" w:styleId="Hyperlink">
    <w:name w:val="Hyperlink"/>
    <w:basedOn w:val="DefaultParagraphFont"/>
    <w:uiPriority w:val="99"/>
    <w:unhideWhenUsed/>
    <w:rsid w:val="00734729"/>
    <w:rPr>
      <w:color w:val="0000FF"/>
      <w:u w:val="single"/>
    </w:rPr>
  </w:style>
  <w:style w:type="paragraph" w:styleId="z-TopofForm">
    <w:name w:val="HTML Top of Form"/>
    <w:basedOn w:val="Normal"/>
    <w:next w:val="Normal"/>
    <w:link w:val="z-TopofFormChar"/>
    <w:hidden/>
    <w:uiPriority w:val="99"/>
    <w:semiHidden/>
    <w:unhideWhenUsed/>
    <w:rsid w:val="0073472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734729"/>
    <w:rPr>
      <w:rFonts w:ascii="Arial" w:eastAsia="Times New Roman" w:hAnsi="Arial" w:cs="Arial"/>
      <w:vanish/>
      <w:sz w:val="16"/>
      <w:szCs w:val="16"/>
    </w:rPr>
  </w:style>
  <w:style w:type="paragraph" w:customStyle="1" w:styleId="placeholder">
    <w:name w:val="placeholder"/>
    <w:basedOn w:val="Normal"/>
    <w:rsid w:val="00734729"/>
    <w:pPr>
      <w:spacing w:before="100" w:beforeAutospacing="1" w:after="100" w:afterAutospacing="1" w:line="240" w:lineRule="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734729"/>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734729"/>
    <w:rPr>
      <w:rFonts w:ascii="Arial" w:eastAsia="Times New Roman" w:hAnsi="Arial" w:cs="Arial"/>
      <w:vanish/>
      <w:sz w:val="16"/>
      <w:szCs w:val="16"/>
    </w:rPr>
  </w:style>
  <w:style w:type="table" w:styleId="TableGrid">
    <w:name w:val="Table Grid"/>
    <w:basedOn w:val="TableNormal"/>
    <w:uiPriority w:val="39"/>
    <w:rsid w:val="007347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20588"/>
    <w:rPr>
      <w:color w:val="605E5C"/>
      <w:shd w:val="clear" w:color="auto" w:fill="E1DFDD"/>
    </w:rPr>
  </w:style>
  <w:style w:type="paragraph" w:styleId="Header">
    <w:name w:val="header"/>
    <w:basedOn w:val="Normal"/>
    <w:link w:val="HeaderChar"/>
    <w:uiPriority w:val="99"/>
    <w:unhideWhenUsed/>
    <w:rsid w:val="00BB28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2894"/>
  </w:style>
  <w:style w:type="paragraph" w:styleId="Footer">
    <w:name w:val="footer"/>
    <w:basedOn w:val="Normal"/>
    <w:link w:val="FooterChar"/>
    <w:uiPriority w:val="99"/>
    <w:unhideWhenUsed/>
    <w:rsid w:val="00BB28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2894"/>
  </w:style>
  <w:style w:type="paragraph" w:styleId="ListParagraph">
    <w:name w:val="List Paragraph"/>
    <w:basedOn w:val="Normal"/>
    <w:uiPriority w:val="34"/>
    <w:qFormat/>
    <w:rsid w:val="007475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40395">
      <w:bodyDiv w:val="1"/>
      <w:marLeft w:val="0"/>
      <w:marRight w:val="0"/>
      <w:marTop w:val="0"/>
      <w:marBottom w:val="0"/>
      <w:divBdr>
        <w:top w:val="none" w:sz="0" w:space="0" w:color="auto"/>
        <w:left w:val="none" w:sz="0" w:space="0" w:color="auto"/>
        <w:bottom w:val="none" w:sz="0" w:space="0" w:color="auto"/>
        <w:right w:val="none" w:sz="0" w:space="0" w:color="auto"/>
      </w:divBdr>
    </w:div>
    <w:div w:id="160700933">
      <w:bodyDiv w:val="1"/>
      <w:marLeft w:val="0"/>
      <w:marRight w:val="0"/>
      <w:marTop w:val="0"/>
      <w:marBottom w:val="0"/>
      <w:divBdr>
        <w:top w:val="none" w:sz="0" w:space="0" w:color="auto"/>
        <w:left w:val="none" w:sz="0" w:space="0" w:color="auto"/>
        <w:bottom w:val="none" w:sz="0" w:space="0" w:color="auto"/>
        <w:right w:val="none" w:sz="0" w:space="0" w:color="auto"/>
      </w:divBdr>
    </w:div>
    <w:div w:id="166750959">
      <w:bodyDiv w:val="1"/>
      <w:marLeft w:val="0"/>
      <w:marRight w:val="0"/>
      <w:marTop w:val="0"/>
      <w:marBottom w:val="0"/>
      <w:divBdr>
        <w:top w:val="none" w:sz="0" w:space="0" w:color="auto"/>
        <w:left w:val="none" w:sz="0" w:space="0" w:color="auto"/>
        <w:bottom w:val="none" w:sz="0" w:space="0" w:color="auto"/>
        <w:right w:val="none" w:sz="0" w:space="0" w:color="auto"/>
      </w:divBdr>
    </w:div>
    <w:div w:id="365255135">
      <w:bodyDiv w:val="1"/>
      <w:marLeft w:val="0"/>
      <w:marRight w:val="0"/>
      <w:marTop w:val="0"/>
      <w:marBottom w:val="0"/>
      <w:divBdr>
        <w:top w:val="none" w:sz="0" w:space="0" w:color="auto"/>
        <w:left w:val="none" w:sz="0" w:space="0" w:color="auto"/>
        <w:bottom w:val="none" w:sz="0" w:space="0" w:color="auto"/>
        <w:right w:val="none" w:sz="0" w:space="0" w:color="auto"/>
      </w:divBdr>
      <w:divsChild>
        <w:div w:id="1290283866">
          <w:marLeft w:val="0"/>
          <w:marRight w:val="0"/>
          <w:marTop w:val="0"/>
          <w:marBottom w:val="0"/>
          <w:divBdr>
            <w:top w:val="none" w:sz="0" w:space="0" w:color="auto"/>
            <w:left w:val="none" w:sz="0" w:space="0" w:color="auto"/>
            <w:bottom w:val="none" w:sz="0" w:space="0" w:color="auto"/>
            <w:right w:val="none" w:sz="0" w:space="0" w:color="auto"/>
          </w:divBdr>
          <w:divsChild>
            <w:div w:id="1276014198">
              <w:marLeft w:val="0"/>
              <w:marRight w:val="0"/>
              <w:marTop w:val="0"/>
              <w:marBottom w:val="0"/>
              <w:divBdr>
                <w:top w:val="none" w:sz="0" w:space="0" w:color="auto"/>
                <w:left w:val="none" w:sz="0" w:space="0" w:color="auto"/>
                <w:bottom w:val="none" w:sz="0" w:space="0" w:color="auto"/>
                <w:right w:val="none" w:sz="0" w:space="0" w:color="auto"/>
              </w:divBdr>
              <w:divsChild>
                <w:div w:id="130637652">
                  <w:marLeft w:val="0"/>
                  <w:marRight w:val="0"/>
                  <w:marTop w:val="0"/>
                  <w:marBottom w:val="0"/>
                  <w:divBdr>
                    <w:top w:val="none" w:sz="0" w:space="0" w:color="auto"/>
                    <w:left w:val="none" w:sz="0" w:space="0" w:color="auto"/>
                    <w:bottom w:val="none" w:sz="0" w:space="0" w:color="auto"/>
                    <w:right w:val="none" w:sz="0" w:space="0" w:color="auto"/>
                  </w:divBdr>
                  <w:divsChild>
                    <w:div w:id="1998995244">
                      <w:marLeft w:val="0"/>
                      <w:marRight w:val="0"/>
                      <w:marTop w:val="0"/>
                      <w:marBottom w:val="0"/>
                      <w:divBdr>
                        <w:top w:val="none" w:sz="0" w:space="0" w:color="auto"/>
                        <w:left w:val="none" w:sz="0" w:space="0" w:color="auto"/>
                        <w:bottom w:val="none" w:sz="0" w:space="0" w:color="auto"/>
                        <w:right w:val="none" w:sz="0" w:space="0" w:color="auto"/>
                      </w:divBdr>
                      <w:divsChild>
                        <w:div w:id="308285628">
                          <w:marLeft w:val="0"/>
                          <w:marRight w:val="0"/>
                          <w:marTop w:val="0"/>
                          <w:marBottom w:val="0"/>
                          <w:divBdr>
                            <w:top w:val="none" w:sz="0" w:space="0" w:color="auto"/>
                            <w:left w:val="none" w:sz="0" w:space="0" w:color="auto"/>
                            <w:bottom w:val="none" w:sz="0" w:space="0" w:color="auto"/>
                            <w:right w:val="none" w:sz="0" w:space="0" w:color="auto"/>
                          </w:divBdr>
                          <w:divsChild>
                            <w:div w:id="1670870121">
                              <w:marLeft w:val="0"/>
                              <w:marRight w:val="0"/>
                              <w:marTop w:val="0"/>
                              <w:marBottom w:val="0"/>
                              <w:divBdr>
                                <w:top w:val="none" w:sz="0" w:space="0" w:color="auto"/>
                                <w:left w:val="none" w:sz="0" w:space="0" w:color="auto"/>
                                <w:bottom w:val="none" w:sz="0" w:space="0" w:color="auto"/>
                                <w:right w:val="none" w:sz="0" w:space="0" w:color="auto"/>
                              </w:divBdr>
                              <w:divsChild>
                                <w:div w:id="1487160924">
                                  <w:marLeft w:val="0"/>
                                  <w:marRight w:val="0"/>
                                  <w:marTop w:val="0"/>
                                  <w:marBottom w:val="0"/>
                                  <w:divBdr>
                                    <w:top w:val="none" w:sz="0" w:space="0" w:color="auto"/>
                                    <w:left w:val="none" w:sz="0" w:space="0" w:color="auto"/>
                                    <w:bottom w:val="none" w:sz="0" w:space="0" w:color="auto"/>
                                    <w:right w:val="none" w:sz="0" w:space="0" w:color="auto"/>
                                  </w:divBdr>
                                  <w:divsChild>
                                    <w:div w:id="2005164888">
                                      <w:marLeft w:val="0"/>
                                      <w:marRight w:val="0"/>
                                      <w:marTop w:val="0"/>
                                      <w:marBottom w:val="0"/>
                                      <w:divBdr>
                                        <w:top w:val="none" w:sz="0" w:space="0" w:color="auto"/>
                                        <w:left w:val="none" w:sz="0" w:space="0" w:color="auto"/>
                                        <w:bottom w:val="none" w:sz="0" w:space="0" w:color="auto"/>
                                        <w:right w:val="none" w:sz="0" w:space="0" w:color="auto"/>
                                      </w:divBdr>
                                      <w:divsChild>
                                        <w:div w:id="1675304074">
                                          <w:marLeft w:val="0"/>
                                          <w:marRight w:val="0"/>
                                          <w:marTop w:val="0"/>
                                          <w:marBottom w:val="0"/>
                                          <w:divBdr>
                                            <w:top w:val="none" w:sz="0" w:space="0" w:color="auto"/>
                                            <w:left w:val="none" w:sz="0" w:space="0" w:color="auto"/>
                                            <w:bottom w:val="none" w:sz="0" w:space="0" w:color="auto"/>
                                            <w:right w:val="none" w:sz="0" w:space="0" w:color="auto"/>
                                          </w:divBdr>
                                          <w:divsChild>
                                            <w:div w:id="334192022">
                                              <w:marLeft w:val="0"/>
                                              <w:marRight w:val="0"/>
                                              <w:marTop w:val="0"/>
                                              <w:marBottom w:val="0"/>
                                              <w:divBdr>
                                                <w:top w:val="none" w:sz="0" w:space="0" w:color="auto"/>
                                                <w:left w:val="none" w:sz="0" w:space="0" w:color="auto"/>
                                                <w:bottom w:val="none" w:sz="0" w:space="0" w:color="auto"/>
                                                <w:right w:val="none" w:sz="0" w:space="0" w:color="auto"/>
                                              </w:divBdr>
                                            </w:div>
                                          </w:divsChild>
                                        </w:div>
                                        <w:div w:id="542521664">
                                          <w:marLeft w:val="0"/>
                                          <w:marRight w:val="0"/>
                                          <w:marTop w:val="0"/>
                                          <w:marBottom w:val="0"/>
                                          <w:divBdr>
                                            <w:top w:val="none" w:sz="0" w:space="0" w:color="auto"/>
                                            <w:left w:val="none" w:sz="0" w:space="0" w:color="auto"/>
                                            <w:bottom w:val="none" w:sz="0" w:space="0" w:color="auto"/>
                                            <w:right w:val="none" w:sz="0" w:space="0" w:color="auto"/>
                                          </w:divBdr>
                                          <w:divsChild>
                                            <w:div w:id="174922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6291826">
          <w:marLeft w:val="0"/>
          <w:marRight w:val="0"/>
          <w:marTop w:val="0"/>
          <w:marBottom w:val="0"/>
          <w:divBdr>
            <w:top w:val="none" w:sz="0" w:space="0" w:color="auto"/>
            <w:left w:val="none" w:sz="0" w:space="0" w:color="auto"/>
            <w:bottom w:val="none" w:sz="0" w:space="0" w:color="auto"/>
            <w:right w:val="none" w:sz="0" w:space="0" w:color="auto"/>
          </w:divBdr>
          <w:divsChild>
            <w:div w:id="913784983">
              <w:marLeft w:val="0"/>
              <w:marRight w:val="0"/>
              <w:marTop w:val="0"/>
              <w:marBottom w:val="0"/>
              <w:divBdr>
                <w:top w:val="none" w:sz="0" w:space="0" w:color="auto"/>
                <w:left w:val="none" w:sz="0" w:space="0" w:color="auto"/>
                <w:bottom w:val="none" w:sz="0" w:space="0" w:color="auto"/>
                <w:right w:val="none" w:sz="0" w:space="0" w:color="auto"/>
              </w:divBdr>
              <w:divsChild>
                <w:div w:id="420026291">
                  <w:marLeft w:val="0"/>
                  <w:marRight w:val="0"/>
                  <w:marTop w:val="0"/>
                  <w:marBottom w:val="0"/>
                  <w:divBdr>
                    <w:top w:val="none" w:sz="0" w:space="0" w:color="auto"/>
                    <w:left w:val="none" w:sz="0" w:space="0" w:color="auto"/>
                    <w:bottom w:val="none" w:sz="0" w:space="0" w:color="auto"/>
                    <w:right w:val="none" w:sz="0" w:space="0" w:color="auto"/>
                  </w:divBdr>
                  <w:divsChild>
                    <w:div w:id="1653220555">
                      <w:marLeft w:val="0"/>
                      <w:marRight w:val="0"/>
                      <w:marTop w:val="0"/>
                      <w:marBottom w:val="0"/>
                      <w:divBdr>
                        <w:top w:val="none" w:sz="0" w:space="0" w:color="auto"/>
                        <w:left w:val="none" w:sz="0" w:space="0" w:color="auto"/>
                        <w:bottom w:val="none" w:sz="0" w:space="0" w:color="auto"/>
                        <w:right w:val="none" w:sz="0" w:space="0" w:color="auto"/>
                      </w:divBdr>
                      <w:divsChild>
                        <w:div w:id="653527623">
                          <w:marLeft w:val="0"/>
                          <w:marRight w:val="0"/>
                          <w:marTop w:val="0"/>
                          <w:marBottom w:val="0"/>
                          <w:divBdr>
                            <w:top w:val="none" w:sz="0" w:space="0" w:color="auto"/>
                            <w:left w:val="none" w:sz="0" w:space="0" w:color="auto"/>
                            <w:bottom w:val="none" w:sz="0" w:space="0" w:color="auto"/>
                            <w:right w:val="none" w:sz="0" w:space="0" w:color="auto"/>
                          </w:divBdr>
                          <w:divsChild>
                            <w:div w:id="1386493206">
                              <w:marLeft w:val="0"/>
                              <w:marRight w:val="0"/>
                              <w:marTop w:val="0"/>
                              <w:marBottom w:val="0"/>
                              <w:divBdr>
                                <w:top w:val="none" w:sz="0" w:space="0" w:color="auto"/>
                                <w:left w:val="none" w:sz="0" w:space="0" w:color="auto"/>
                                <w:bottom w:val="none" w:sz="0" w:space="0" w:color="auto"/>
                                <w:right w:val="none" w:sz="0" w:space="0" w:color="auto"/>
                              </w:divBdr>
                              <w:divsChild>
                                <w:div w:id="950238212">
                                  <w:marLeft w:val="0"/>
                                  <w:marRight w:val="0"/>
                                  <w:marTop w:val="0"/>
                                  <w:marBottom w:val="0"/>
                                  <w:divBdr>
                                    <w:top w:val="none" w:sz="0" w:space="0" w:color="auto"/>
                                    <w:left w:val="none" w:sz="0" w:space="0" w:color="auto"/>
                                    <w:bottom w:val="none" w:sz="0" w:space="0" w:color="auto"/>
                                    <w:right w:val="none" w:sz="0" w:space="0" w:color="auto"/>
                                  </w:divBdr>
                                  <w:divsChild>
                                    <w:div w:id="1542475639">
                                      <w:marLeft w:val="0"/>
                                      <w:marRight w:val="0"/>
                                      <w:marTop w:val="0"/>
                                      <w:marBottom w:val="0"/>
                                      <w:divBdr>
                                        <w:top w:val="none" w:sz="0" w:space="0" w:color="auto"/>
                                        <w:left w:val="none" w:sz="0" w:space="0" w:color="auto"/>
                                        <w:bottom w:val="none" w:sz="0" w:space="0" w:color="auto"/>
                                        <w:right w:val="none" w:sz="0" w:space="0" w:color="auto"/>
                                      </w:divBdr>
                                      <w:divsChild>
                                        <w:div w:id="834221589">
                                          <w:marLeft w:val="0"/>
                                          <w:marRight w:val="0"/>
                                          <w:marTop w:val="0"/>
                                          <w:marBottom w:val="0"/>
                                          <w:divBdr>
                                            <w:top w:val="none" w:sz="0" w:space="0" w:color="auto"/>
                                            <w:left w:val="none" w:sz="0" w:space="0" w:color="auto"/>
                                            <w:bottom w:val="none" w:sz="0" w:space="0" w:color="auto"/>
                                            <w:right w:val="none" w:sz="0" w:space="0" w:color="auto"/>
                                          </w:divBdr>
                                          <w:divsChild>
                                            <w:div w:id="1351032108">
                                              <w:marLeft w:val="0"/>
                                              <w:marRight w:val="0"/>
                                              <w:marTop w:val="0"/>
                                              <w:marBottom w:val="0"/>
                                              <w:divBdr>
                                                <w:top w:val="none" w:sz="0" w:space="0" w:color="auto"/>
                                                <w:left w:val="none" w:sz="0" w:space="0" w:color="auto"/>
                                                <w:bottom w:val="none" w:sz="0" w:space="0" w:color="auto"/>
                                                <w:right w:val="none" w:sz="0" w:space="0" w:color="auto"/>
                                              </w:divBdr>
                                              <w:divsChild>
                                                <w:div w:id="76935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79015419">
      <w:bodyDiv w:val="1"/>
      <w:marLeft w:val="0"/>
      <w:marRight w:val="0"/>
      <w:marTop w:val="0"/>
      <w:marBottom w:val="0"/>
      <w:divBdr>
        <w:top w:val="none" w:sz="0" w:space="0" w:color="auto"/>
        <w:left w:val="none" w:sz="0" w:space="0" w:color="auto"/>
        <w:bottom w:val="none" w:sz="0" w:space="0" w:color="auto"/>
        <w:right w:val="none" w:sz="0" w:space="0" w:color="auto"/>
      </w:divBdr>
    </w:div>
    <w:div w:id="400640726">
      <w:bodyDiv w:val="1"/>
      <w:marLeft w:val="0"/>
      <w:marRight w:val="0"/>
      <w:marTop w:val="0"/>
      <w:marBottom w:val="0"/>
      <w:divBdr>
        <w:top w:val="none" w:sz="0" w:space="0" w:color="auto"/>
        <w:left w:val="none" w:sz="0" w:space="0" w:color="auto"/>
        <w:bottom w:val="none" w:sz="0" w:space="0" w:color="auto"/>
        <w:right w:val="none" w:sz="0" w:space="0" w:color="auto"/>
      </w:divBdr>
    </w:div>
    <w:div w:id="761344234">
      <w:bodyDiv w:val="1"/>
      <w:marLeft w:val="0"/>
      <w:marRight w:val="0"/>
      <w:marTop w:val="0"/>
      <w:marBottom w:val="0"/>
      <w:divBdr>
        <w:top w:val="none" w:sz="0" w:space="0" w:color="auto"/>
        <w:left w:val="none" w:sz="0" w:space="0" w:color="auto"/>
        <w:bottom w:val="none" w:sz="0" w:space="0" w:color="auto"/>
        <w:right w:val="none" w:sz="0" w:space="0" w:color="auto"/>
      </w:divBdr>
      <w:divsChild>
        <w:div w:id="12192809">
          <w:marLeft w:val="0"/>
          <w:marRight w:val="0"/>
          <w:marTop w:val="0"/>
          <w:marBottom w:val="0"/>
          <w:divBdr>
            <w:top w:val="none" w:sz="0" w:space="0" w:color="auto"/>
            <w:left w:val="none" w:sz="0" w:space="0" w:color="auto"/>
            <w:bottom w:val="none" w:sz="0" w:space="0" w:color="auto"/>
            <w:right w:val="none" w:sz="0" w:space="0" w:color="auto"/>
          </w:divBdr>
          <w:divsChild>
            <w:div w:id="1025443213">
              <w:marLeft w:val="0"/>
              <w:marRight w:val="0"/>
              <w:marTop w:val="0"/>
              <w:marBottom w:val="0"/>
              <w:divBdr>
                <w:top w:val="none" w:sz="0" w:space="0" w:color="auto"/>
                <w:left w:val="none" w:sz="0" w:space="0" w:color="auto"/>
                <w:bottom w:val="none" w:sz="0" w:space="0" w:color="auto"/>
                <w:right w:val="none" w:sz="0" w:space="0" w:color="auto"/>
              </w:divBdr>
              <w:divsChild>
                <w:div w:id="1119646429">
                  <w:marLeft w:val="0"/>
                  <w:marRight w:val="0"/>
                  <w:marTop w:val="0"/>
                  <w:marBottom w:val="0"/>
                  <w:divBdr>
                    <w:top w:val="none" w:sz="0" w:space="0" w:color="auto"/>
                    <w:left w:val="none" w:sz="0" w:space="0" w:color="auto"/>
                    <w:bottom w:val="none" w:sz="0" w:space="0" w:color="auto"/>
                    <w:right w:val="none" w:sz="0" w:space="0" w:color="auto"/>
                  </w:divBdr>
                  <w:divsChild>
                    <w:div w:id="5406320">
                      <w:marLeft w:val="0"/>
                      <w:marRight w:val="0"/>
                      <w:marTop w:val="0"/>
                      <w:marBottom w:val="0"/>
                      <w:divBdr>
                        <w:top w:val="none" w:sz="0" w:space="0" w:color="auto"/>
                        <w:left w:val="none" w:sz="0" w:space="0" w:color="auto"/>
                        <w:bottom w:val="none" w:sz="0" w:space="0" w:color="auto"/>
                        <w:right w:val="none" w:sz="0" w:space="0" w:color="auto"/>
                      </w:divBdr>
                      <w:divsChild>
                        <w:div w:id="1333602937">
                          <w:marLeft w:val="0"/>
                          <w:marRight w:val="0"/>
                          <w:marTop w:val="0"/>
                          <w:marBottom w:val="0"/>
                          <w:divBdr>
                            <w:top w:val="none" w:sz="0" w:space="0" w:color="auto"/>
                            <w:left w:val="none" w:sz="0" w:space="0" w:color="auto"/>
                            <w:bottom w:val="none" w:sz="0" w:space="0" w:color="auto"/>
                            <w:right w:val="none" w:sz="0" w:space="0" w:color="auto"/>
                          </w:divBdr>
                          <w:divsChild>
                            <w:div w:id="144175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54936">
          <w:marLeft w:val="0"/>
          <w:marRight w:val="0"/>
          <w:marTop w:val="0"/>
          <w:marBottom w:val="0"/>
          <w:divBdr>
            <w:top w:val="none" w:sz="0" w:space="0" w:color="auto"/>
            <w:left w:val="none" w:sz="0" w:space="0" w:color="auto"/>
            <w:bottom w:val="none" w:sz="0" w:space="0" w:color="auto"/>
            <w:right w:val="none" w:sz="0" w:space="0" w:color="auto"/>
          </w:divBdr>
          <w:divsChild>
            <w:div w:id="1879078877">
              <w:marLeft w:val="0"/>
              <w:marRight w:val="0"/>
              <w:marTop w:val="0"/>
              <w:marBottom w:val="0"/>
              <w:divBdr>
                <w:top w:val="none" w:sz="0" w:space="0" w:color="auto"/>
                <w:left w:val="none" w:sz="0" w:space="0" w:color="auto"/>
                <w:bottom w:val="none" w:sz="0" w:space="0" w:color="auto"/>
                <w:right w:val="none" w:sz="0" w:space="0" w:color="auto"/>
              </w:divBdr>
              <w:divsChild>
                <w:div w:id="799373530">
                  <w:marLeft w:val="0"/>
                  <w:marRight w:val="0"/>
                  <w:marTop w:val="0"/>
                  <w:marBottom w:val="0"/>
                  <w:divBdr>
                    <w:top w:val="none" w:sz="0" w:space="0" w:color="auto"/>
                    <w:left w:val="none" w:sz="0" w:space="0" w:color="auto"/>
                    <w:bottom w:val="none" w:sz="0" w:space="0" w:color="auto"/>
                    <w:right w:val="none" w:sz="0" w:space="0" w:color="auto"/>
                  </w:divBdr>
                  <w:divsChild>
                    <w:div w:id="319962187">
                      <w:marLeft w:val="0"/>
                      <w:marRight w:val="0"/>
                      <w:marTop w:val="0"/>
                      <w:marBottom w:val="0"/>
                      <w:divBdr>
                        <w:top w:val="none" w:sz="0" w:space="0" w:color="auto"/>
                        <w:left w:val="none" w:sz="0" w:space="0" w:color="auto"/>
                        <w:bottom w:val="none" w:sz="0" w:space="0" w:color="auto"/>
                        <w:right w:val="none" w:sz="0" w:space="0" w:color="auto"/>
                      </w:divBdr>
                      <w:divsChild>
                        <w:div w:id="918254470">
                          <w:marLeft w:val="0"/>
                          <w:marRight w:val="0"/>
                          <w:marTop w:val="0"/>
                          <w:marBottom w:val="0"/>
                          <w:divBdr>
                            <w:top w:val="none" w:sz="0" w:space="0" w:color="auto"/>
                            <w:left w:val="none" w:sz="0" w:space="0" w:color="auto"/>
                            <w:bottom w:val="none" w:sz="0" w:space="0" w:color="auto"/>
                            <w:right w:val="none" w:sz="0" w:space="0" w:color="auto"/>
                          </w:divBdr>
                          <w:divsChild>
                            <w:div w:id="1734038552">
                              <w:marLeft w:val="0"/>
                              <w:marRight w:val="0"/>
                              <w:marTop w:val="0"/>
                              <w:marBottom w:val="0"/>
                              <w:divBdr>
                                <w:top w:val="none" w:sz="0" w:space="0" w:color="auto"/>
                                <w:left w:val="none" w:sz="0" w:space="0" w:color="auto"/>
                                <w:bottom w:val="none" w:sz="0" w:space="0" w:color="auto"/>
                                <w:right w:val="none" w:sz="0" w:space="0" w:color="auto"/>
                              </w:divBdr>
                              <w:divsChild>
                                <w:div w:id="36957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175442">
          <w:marLeft w:val="0"/>
          <w:marRight w:val="0"/>
          <w:marTop w:val="0"/>
          <w:marBottom w:val="0"/>
          <w:divBdr>
            <w:top w:val="none" w:sz="0" w:space="0" w:color="auto"/>
            <w:left w:val="none" w:sz="0" w:space="0" w:color="auto"/>
            <w:bottom w:val="none" w:sz="0" w:space="0" w:color="auto"/>
            <w:right w:val="none" w:sz="0" w:space="0" w:color="auto"/>
          </w:divBdr>
          <w:divsChild>
            <w:div w:id="402799969">
              <w:marLeft w:val="0"/>
              <w:marRight w:val="0"/>
              <w:marTop w:val="0"/>
              <w:marBottom w:val="0"/>
              <w:divBdr>
                <w:top w:val="none" w:sz="0" w:space="0" w:color="auto"/>
                <w:left w:val="none" w:sz="0" w:space="0" w:color="auto"/>
                <w:bottom w:val="none" w:sz="0" w:space="0" w:color="auto"/>
                <w:right w:val="none" w:sz="0" w:space="0" w:color="auto"/>
              </w:divBdr>
              <w:divsChild>
                <w:div w:id="2016178475">
                  <w:marLeft w:val="0"/>
                  <w:marRight w:val="0"/>
                  <w:marTop w:val="0"/>
                  <w:marBottom w:val="0"/>
                  <w:divBdr>
                    <w:top w:val="none" w:sz="0" w:space="0" w:color="auto"/>
                    <w:left w:val="none" w:sz="0" w:space="0" w:color="auto"/>
                    <w:bottom w:val="none" w:sz="0" w:space="0" w:color="auto"/>
                    <w:right w:val="none" w:sz="0" w:space="0" w:color="auto"/>
                  </w:divBdr>
                  <w:divsChild>
                    <w:div w:id="1113137801">
                      <w:marLeft w:val="0"/>
                      <w:marRight w:val="0"/>
                      <w:marTop w:val="0"/>
                      <w:marBottom w:val="0"/>
                      <w:divBdr>
                        <w:top w:val="none" w:sz="0" w:space="0" w:color="auto"/>
                        <w:left w:val="none" w:sz="0" w:space="0" w:color="auto"/>
                        <w:bottom w:val="none" w:sz="0" w:space="0" w:color="auto"/>
                        <w:right w:val="none" w:sz="0" w:space="0" w:color="auto"/>
                      </w:divBdr>
                      <w:divsChild>
                        <w:div w:id="1128165409">
                          <w:marLeft w:val="0"/>
                          <w:marRight w:val="0"/>
                          <w:marTop w:val="0"/>
                          <w:marBottom w:val="0"/>
                          <w:divBdr>
                            <w:top w:val="none" w:sz="0" w:space="0" w:color="auto"/>
                            <w:left w:val="none" w:sz="0" w:space="0" w:color="auto"/>
                            <w:bottom w:val="none" w:sz="0" w:space="0" w:color="auto"/>
                            <w:right w:val="none" w:sz="0" w:space="0" w:color="auto"/>
                          </w:divBdr>
                          <w:divsChild>
                            <w:div w:id="94851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0332897">
          <w:marLeft w:val="0"/>
          <w:marRight w:val="0"/>
          <w:marTop w:val="0"/>
          <w:marBottom w:val="0"/>
          <w:divBdr>
            <w:top w:val="none" w:sz="0" w:space="0" w:color="auto"/>
            <w:left w:val="none" w:sz="0" w:space="0" w:color="auto"/>
            <w:bottom w:val="none" w:sz="0" w:space="0" w:color="auto"/>
            <w:right w:val="none" w:sz="0" w:space="0" w:color="auto"/>
          </w:divBdr>
          <w:divsChild>
            <w:div w:id="739522138">
              <w:marLeft w:val="0"/>
              <w:marRight w:val="0"/>
              <w:marTop w:val="0"/>
              <w:marBottom w:val="0"/>
              <w:divBdr>
                <w:top w:val="none" w:sz="0" w:space="0" w:color="auto"/>
                <w:left w:val="none" w:sz="0" w:space="0" w:color="auto"/>
                <w:bottom w:val="none" w:sz="0" w:space="0" w:color="auto"/>
                <w:right w:val="none" w:sz="0" w:space="0" w:color="auto"/>
              </w:divBdr>
              <w:divsChild>
                <w:div w:id="705763361">
                  <w:marLeft w:val="0"/>
                  <w:marRight w:val="0"/>
                  <w:marTop w:val="0"/>
                  <w:marBottom w:val="0"/>
                  <w:divBdr>
                    <w:top w:val="none" w:sz="0" w:space="0" w:color="auto"/>
                    <w:left w:val="none" w:sz="0" w:space="0" w:color="auto"/>
                    <w:bottom w:val="none" w:sz="0" w:space="0" w:color="auto"/>
                    <w:right w:val="none" w:sz="0" w:space="0" w:color="auto"/>
                  </w:divBdr>
                  <w:divsChild>
                    <w:div w:id="1840071352">
                      <w:marLeft w:val="0"/>
                      <w:marRight w:val="0"/>
                      <w:marTop w:val="0"/>
                      <w:marBottom w:val="0"/>
                      <w:divBdr>
                        <w:top w:val="none" w:sz="0" w:space="0" w:color="auto"/>
                        <w:left w:val="none" w:sz="0" w:space="0" w:color="auto"/>
                        <w:bottom w:val="none" w:sz="0" w:space="0" w:color="auto"/>
                        <w:right w:val="none" w:sz="0" w:space="0" w:color="auto"/>
                      </w:divBdr>
                      <w:divsChild>
                        <w:div w:id="1687444583">
                          <w:marLeft w:val="0"/>
                          <w:marRight w:val="0"/>
                          <w:marTop w:val="0"/>
                          <w:marBottom w:val="0"/>
                          <w:divBdr>
                            <w:top w:val="none" w:sz="0" w:space="0" w:color="auto"/>
                            <w:left w:val="none" w:sz="0" w:space="0" w:color="auto"/>
                            <w:bottom w:val="none" w:sz="0" w:space="0" w:color="auto"/>
                            <w:right w:val="none" w:sz="0" w:space="0" w:color="auto"/>
                          </w:divBdr>
                          <w:divsChild>
                            <w:div w:id="2087800707">
                              <w:marLeft w:val="0"/>
                              <w:marRight w:val="0"/>
                              <w:marTop w:val="0"/>
                              <w:marBottom w:val="0"/>
                              <w:divBdr>
                                <w:top w:val="none" w:sz="0" w:space="0" w:color="auto"/>
                                <w:left w:val="none" w:sz="0" w:space="0" w:color="auto"/>
                                <w:bottom w:val="none" w:sz="0" w:space="0" w:color="auto"/>
                                <w:right w:val="none" w:sz="0" w:space="0" w:color="auto"/>
                              </w:divBdr>
                              <w:divsChild>
                                <w:div w:id="126603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629117">
          <w:marLeft w:val="0"/>
          <w:marRight w:val="0"/>
          <w:marTop w:val="0"/>
          <w:marBottom w:val="0"/>
          <w:divBdr>
            <w:top w:val="none" w:sz="0" w:space="0" w:color="auto"/>
            <w:left w:val="none" w:sz="0" w:space="0" w:color="auto"/>
            <w:bottom w:val="none" w:sz="0" w:space="0" w:color="auto"/>
            <w:right w:val="none" w:sz="0" w:space="0" w:color="auto"/>
          </w:divBdr>
          <w:divsChild>
            <w:div w:id="1251740263">
              <w:marLeft w:val="0"/>
              <w:marRight w:val="0"/>
              <w:marTop w:val="0"/>
              <w:marBottom w:val="0"/>
              <w:divBdr>
                <w:top w:val="none" w:sz="0" w:space="0" w:color="auto"/>
                <w:left w:val="none" w:sz="0" w:space="0" w:color="auto"/>
                <w:bottom w:val="none" w:sz="0" w:space="0" w:color="auto"/>
                <w:right w:val="none" w:sz="0" w:space="0" w:color="auto"/>
              </w:divBdr>
              <w:divsChild>
                <w:div w:id="679820558">
                  <w:marLeft w:val="0"/>
                  <w:marRight w:val="0"/>
                  <w:marTop w:val="0"/>
                  <w:marBottom w:val="0"/>
                  <w:divBdr>
                    <w:top w:val="none" w:sz="0" w:space="0" w:color="auto"/>
                    <w:left w:val="none" w:sz="0" w:space="0" w:color="auto"/>
                    <w:bottom w:val="none" w:sz="0" w:space="0" w:color="auto"/>
                    <w:right w:val="none" w:sz="0" w:space="0" w:color="auto"/>
                  </w:divBdr>
                  <w:divsChild>
                    <w:div w:id="1276206064">
                      <w:marLeft w:val="0"/>
                      <w:marRight w:val="0"/>
                      <w:marTop w:val="0"/>
                      <w:marBottom w:val="0"/>
                      <w:divBdr>
                        <w:top w:val="none" w:sz="0" w:space="0" w:color="auto"/>
                        <w:left w:val="none" w:sz="0" w:space="0" w:color="auto"/>
                        <w:bottom w:val="none" w:sz="0" w:space="0" w:color="auto"/>
                        <w:right w:val="none" w:sz="0" w:space="0" w:color="auto"/>
                      </w:divBdr>
                      <w:divsChild>
                        <w:div w:id="160464149">
                          <w:marLeft w:val="0"/>
                          <w:marRight w:val="0"/>
                          <w:marTop w:val="0"/>
                          <w:marBottom w:val="0"/>
                          <w:divBdr>
                            <w:top w:val="none" w:sz="0" w:space="0" w:color="auto"/>
                            <w:left w:val="none" w:sz="0" w:space="0" w:color="auto"/>
                            <w:bottom w:val="none" w:sz="0" w:space="0" w:color="auto"/>
                            <w:right w:val="none" w:sz="0" w:space="0" w:color="auto"/>
                          </w:divBdr>
                          <w:divsChild>
                            <w:div w:id="1680699243">
                              <w:marLeft w:val="0"/>
                              <w:marRight w:val="0"/>
                              <w:marTop w:val="0"/>
                              <w:marBottom w:val="0"/>
                              <w:divBdr>
                                <w:top w:val="none" w:sz="0" w:space="0" w:color="auto"/>
                                <w:left w:val="none" w:sz="0" w:space="0" w:color="auto"/>
                                <w:bottom w:val="none" w:sz="0" w:space="0" w:color="auto"/>
                                <w:right w:val="none" w:sz="0" w:space="0" w:color="auto"/>
                              </w:divBdr>
                              <w:divsChild>
                                <w:div w:id="200629581">
                                  <w:marLeft w:val="0"/>
                                  <w:marRight w:val="0"/>
                                  <w:marTop w:val="0"/>
                                  <w:marBottom w:val="0"/>
                                  <w:divBdr>
                                    <w:top w:val="none" w:sz="0" w:space="0" w:color="auto"/>
                                    <w:left w:val="none" w:sz="0" w:space="0" w:color="auto"/>
                                    <w:bottom w:val="none" w:sz="0" w:space="0" w:color="auto"/>
                                    <w:right w:val="none" w:sz="0" w:space="0" w:color="auto"/>
                                  </w:divBdr>
                                  <w:divsChild>
                                    <w:div w:id="839345853">
                                      <w:marLeft w:val="0"/>
                                      <w:marRight w:val="0"/>
                                      <w:marTop w:val="0"/>
                                      <w:marBottom w:val="0"/>
                                      <w:divBdr>
                                        <w:top w:val="none" w:sz="0" w:space="0" w:color="auto"/>
                                        <w:left w:val="none" w:sz="0" w:space="0" w:color="auto"/>
                                        <w:bottom w:val="none" w:sz="0" w:space="0" w:color="auto"/>
                                        <w:right w:val="none" w:sz="0" w:space="0" w:color="auto"/>
                                      </w:divBdr>
                                    </w:div>
                                  </w:divsChild>
                                </w:div>
                                <w:div w:id="1620843291">
                                  <w:marLeft w:val="0"/>
                                  <w:marRight w:val="0"/>
                                  <w:marTop w:val="0"/>
                                  <w:marBottom w:val="0"/>
                                  <w:divBdr>
                                    <w:top w:val="none" w:sz="0" w:space="0" w:color="auto"/>
                                    <w:left w:val="none" w:sz="0" w:space="0" w:color="auto"/>
                                    <w:bottom w:val="none" w:sz="0" w:space="0" w:color="auto"/>
                                    <w:right w:val="none" w:sz="0" w:space="0" w:color="auto"/>
                                  </w:divBdr>
                                  <w:divsChild>
                                    <w:div w:id="107408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4320730">
      <w:bodyDiv w:val="1"/>
      <w:marLeft w:val="0"/>
      <w:marRight w:val="0"/>
      <w:marTop w:val="0"/>
      <w:marBottom w:val="0"/>
      <w:divBdr>
        <w:top w:val="none" w:sz="0" w:space="0" w:color="auto"/>
        <w:left w:val="none" w:sz="0" w:space="0" w:color="auto"/>
        <w:bottom w:val="none" w:sz="0" w:space="0" w:color="auto"/>
        <w:right w:val="none" w:sz="0" w:space="0" w:color="auto"/>
      </w:divBdr>
    </w:div>
    <w:div w:id="947156743">
      <w:bodyDiv w:val="1"/>
      <w:marLeft w:val="0"/>
      <w:marRight w:val="0"/>
      <w:marTop w:val="0"/>
      <w:marBottom w:val="0"/>
      <w:divBdr>
        <w:top w:val="none" w:sz="0" w:space="0" w:color="auto"/>
        <w:left w:val="none" w:sz="0" w:space="0" w:color="auto"/>
        <w:bottom w:val="none" w:sz="0" w:space="0" w:color="auto"/>
        <w:right w:val="none" w:sz="0" w:space="0" w:color="auto"/>
      </w:divBdr>
    </w:div>
    <w:div w:id="977034106">
      <w:bodyDiv w:val="1"/>
      <w:marLeft w:val="0"/>
      <w:marRight w:val="0"/>
      <w:marTop w:val="0"/>
      <w:marBottom w:val="0"/>
      <w:divBdr>
        <w:top w:val="none" w:sz="0" w:space="0" w:color="auto"/>
        <w:left w:val="none" w:sz="0" w:space="0" w:color="auto"/>
        <w:bottom w:val="none" w:sz="0" w:space="0" w:color="auto"/>
        <w:right w:val="none" w:sz="0" w:space="0" w:color="auto"/>
      </w:divBdr>
    </w:div>
    <w:div w:id="1003893302">
      <w:bodyDiv w:val="1"/>
      <w:marLeft w:val="0"/>
      <w:marRight w:val="0"/>
      <w:marTop w:val="0"/>
      <w:marBottom w:val="0"/>
      <w:divBdr>
        <w:top w:val="none" w:sz="0" w:space="0" w:color="auto"/>
        <w:left w:val="none" w:sz="0" w:space="0" w:color="auto"/>
        <w:bottom w:val="none" w:sz="0" w:space="0" w:color="auto"/>
        <w:right w:val="none" w:sz="0" w:space="0" w:color="auto"/>
      </w:divBdr>
    </w:div>
    <w:div w:id="1076636492">
      <w:bodyDiv w:val="1"/>
      <w:marLeft w:val="0"/>
      <w:marRight w:val="0"/>
      <w:marTop w:val="0"/>
      <w:marBottom w:val="0"/>
      <w:divBdr>
        <w:top w:val="none" w:sz="0" w:space="0" w:color="auto"/>
        <w:left w:val="none" w:sz="0" w:space="0" w:color="auto"/>
        <w:bottom w:val="none" w:sz="0" w:space="0" w:color="auto"/>
        <w:right w:val="none" w:sz="0" w:space="0" w:color="auto"/>
      </w:divBdr>
    </w:div>
    <w:div w:id="1184903565">
      <w:bodyDiv w:val="1"/>
      <w:marLeft w:val="0"/>
      <w:marRight w:val="0"/>
      <w:marTop w:val="0"/>
      <w:marBottom w:val="0"/>
      <w:divBdr>
        <w:top w:val="none" w:sz="0" w:space="0" w:color="auto"/>
        <w:left w:val="none" w:sz="0" w:space="0" w:color="auto"/>
        <w:bottom w:val="none" w:sz="0" w:space="0" w:color="auto"/>
        <w:right w:val="none" w:sz="0" w:space="0" w:color="auto"/>
      </w:divBdr>
    </w:div>
    <w:div w:id="1271737408">
      <w:bodyDiv w:val="1"/>
      <w:marLeft w:val="0"/>
      <w:marRight w:val="0"/>
      <w:marTop w:val="0"/>
      <w:marBottom w:val="0"/>
      <w:divBdr>
        <w:top w:val="none" w:sz="0" w:space="0" w:color="auto"/>
        <w:left w:val="none" w:sz="0" w:space="0" w:color="auto"/>
        <w:bottom w:val="none" w:sz="0" w:space="0" w:color="auto"/>
        <w:right w:val="none" w:sz="0" w:space="0" w:color="auto"/>
      </w:divBdr>
    </w:div>
    <w:div w:id="1306543038">
      <w:bodyDiv w:val="1"/>
      <w:marLeft w:val="0"/>
      <w:marRight w:val="0"/>
      <w:marTop w:val="0"/>
      <w:marBottom w:val="0"/>
      <w:divBdr>
        <w:top w:val="none" w:sz="0" w:space="0" w:color="auto"/>
        <w:left w:val="none" w:sz="0" w:space="0" w:color="auto"/>
        <w:bottom w:val="none" w:sz="0" w:space="0" w:color="auto"/>
        <w:right w:val="none" w:sz="0" w:space="0" w:color="auto"/>
      </w:divBdr>
    </w:div>
    <w:div w:id="1366979121">
      <w:bodyDiv w:val="1"/>
      <w:marLeft w:val="0"/>
      <w:marRight w:val="0"/>
      <w:marTop w:val="0"/>
      <w:marBottom w:val="0"/>
      <w:divBdr>
        <w:top w:val="none" w:sz="0" w:space="0" w:color="auto"/>
        <w:left w:val="none" w:sz="0" w:space="0" w:color="auto"/>
        <w:bottom w:val="none" w:sz="0" w:space="0" w:color="auto"/>
        <w:right w:val="none" w:sz="0" w:space="0" w:color="auto"/>
      </w:divBdr>
    </w:div>
    <w:div w:id="1576745392">
      <w:bodyDiv w:val="1"/>
      <w:marLeft w:val="0"/>
      <w:marRight w:val="0"/>
      <w:marTop w:val="0"/>
      <w:marBottom w:val="0"/>
      <w:divBdr>
        <w:top w:val="none" w:sz="0" w:space="0" w:color="auto"/>
        <w:left w:val="none" w:sz="0" w:space="0" w:color="auto"/>
        <w:bottom w:val="none" w:sz="0" w:space="0" w:color="auto"/>
        <w:right w:val="none" w:sz="0" w:space="0" w:color="auto"/>
      </w:divBdr>
    </w:div>
    <w:div w:id="1581870937">
      <w:bodyDiv w:val="1"/>
      <w:marLeft w:val="0"/>
      <w:marRight w:val="0"/>
      <w:marTop w:val="0"/>
      <w:marBottom w:val="0"/>
      <w:divBdr>
        <w:top w:val="none" w:sz="0" w:space="0" w:color="auto"/>
        <w:left w:val="none" w:sz="0" w:space="0" w:color="auto"/>
        <w:bottom w:val="none" w:sz="0" w:space="0" w:color="auto"/>
        <w:right w:val="none" w:sz="0" w:space="0" w:color="auto"/>
      </w:divBdr>
    </w:div>
    <w:div w:id="1614555335">
      <w:bodyDiv w:val="1"/>
      <w:marLeft w:val="0"/>
      <w:marRight w:val="0"/>
      <w:marTop w:val="0"/>
      <w:marBottom w:val="0"/>
      <w:divBdr>
        <w:top w:val="none" w:sz="0" w:space="0" w:color="auto"/>
        <w:left w:val="none" w:sz="0" w:space="0" w:color="auto"/>
        <w:bottom w:val="none" w:sz="0" w:space="0" w:color="auto"/>
        <w:right w:val="none" w:sz="0" w:space="0" w:color="auto"/>
      </w:divBdr>
    </w:div>
    <w:div w:id="1643076371">
      <w:bodyDiv w:val="1"/>
      <w:marLeft w:val="0"/>
      <w:marRight w:val="0"/>
      <w:marTop w:val="0"/>
      <w:marBottom w:val="0"/>
      <w:divBdr>
        <w:top w:val="none" w:sz="0" w:space="0" w:color="auto"/>
        <w:left w:val="none" w:sz="0" w:space="0" w:color="auto"/>
        <w:bottom w:val="none" w:sz="0" w:space="0" w:color="auto"/>
        <w:right w:val="none" w:sz="0" w:space="0" w:color="auto"/>
      </w:divBdr>
    </w:div>
    <w:div w:id="1653480471">
      <w:bodyDiv w:val="1"/>
      <w:marLeft w:val="0"/>
      <w:marRight w:val="0"/>
      <w:marTop w:val="0"/>
      <w:marBottom w:val="0"/>
      <w:divBdr>
        <w:top w:val="none" w:sz="0" w:space="0" w:color="auto"/>
        <w:left w:val="none" w:sz="0" w:space="0" w:color="auto"/>
        <w:bottom w:val="none" w:sz="0" w:space="0" w:color="auto"/>
        <w:right w:val="none" w:sz="0" w:space="0" w:color="auto"/>
      </w:divBdr>
    </w:div>
    <w:div w:id="1679237010">
      <w:bodyDiv w:val="1"/>
      <w:marLeft w:val="0"/>
      <w:marRight w:val="0"/>
      <w:marTop w:val="0"/>
      <w:marBottom w:val="0"/>
      <w:divBdr>
        <w:top w:val="none" w:sz="0" w:space="0" w:color="auto"/>
        <w:left w:val="none" w:sz="0" w:space="0" w:color="auto"/>
        <w:bottom w:val="none" w:sz="0" w:space="0" w:color="auto"/>
        <w:right w:val="none" w:sz="0" w:space="0" w:color="auto"/>
      </w:divBdr>
    </w:div>
    <w:div w:id="1728845584">
      <w:bodyDiv w:val="1"/>
      <w:marLeft w:val="0"/>
      <w:marRight w:val="0"/>
      <w:marTop w:val="0"/>
      <w:marBottom w:val="0"/>
      <w:divBdr>
        <w:top w:val="none" w:sz="0" w:space="0" w:color="auto"/>
        <w:left w:val="none" w:sz="0" w:space="0" w:color="auto"/>
        <w:bottom w:val="none" w:sz="0" w:space="0" w:color="auto"/>
        <w:right w:val="none" w:sz="0" w:space="0" w:color="auto"/>
      </w:divBdr>
    </w:div>
    <w:div w:id="1799646397">
      <w:bodyDiv w:val="1"/>
      <w:marLeft w:val="0"/>
      <w:marRight w:val="0"/>
      <w:marTop w:val="0"/>
      <w:marBottom w:val="0"/>
      <w:divBdr>
        <w:top w:val="none" w:sz="0" w:space="0" w:color="auto"/>
        <w:left w:val="none" w:sz="0" w:space="0" w:color="auto"/>
        <w:bottom w:val="none" w:sz="0" w:space="0" w:color="auto"/>
        <w:right w:val="none" w:sz="0" w:space="0" w:color="auto"/>
      </w:divBdr>
    </w:div>
    <w:div w:id="1825586997">
      <w:bodyDiv w:val="1"/>
      <w:marLeft w:val="0"/>
      <w:marRight w:val="0"/>
      <w:marTop w:val="0"/>
      <w:marBottom w:val="0"/>
      <w:divBdr>
        <w:top w:val="none" w:sz="0" w:space="0" w:color="auto"/>
        <w:left w:val="none" w:sz="0" w:space="0" w:color="auto"/>
        <w:bottom w:val="none" w:sz="0" w:space="0" w:color="auto"/>
        <w:right w:val="none" w:sz="0" w:space="0" w:color="auto"/>
      </w:divBdr>
    </w:div>
    <w:div w:id="187735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data/statistics-report/index.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type-2-diabe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55613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cbi.nlm.nih.gov/books/NBK554457/" TargetMode="External"/><Relationship Id="rId4" Type="http://schemas.openxmlformats.org/officeDocument/2006/relationships/webSettings" Target="webSettings.xml"/><Relationship Id="rId9" Type="http://schemas.openxmlformats.org/officeDocument/2006/relationships/hyperlink" Target="https://www.diabetes.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2664</Words>
  <Characters>15189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Evelin laluces</cp:lastModifiedBy>
  <cp:revision>2</cp:revision>
  <dcterms:created xsi:type="dcterms:W3CDTF">2026-04-09T11:55:00Z</dcterms:created>
  <dcterms:modified xsi:type="dcterms:W3CDTF">2026-04-09T11:55:00Z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04f1f40e-c001-4849-9ac6-09a12c33dfc9</vt:lpwstr>
  </property>
</Properties>
</file>