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02E1FF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822D8">
              <w:rPr>
                <w:rFonts w:ascii="Times New Roman" w:hAnsi="Times New Roman" w:cs="Times New Roman"/>
                <w:b/>
                <w:color w:val="auto"/>
                <w:sz w:val="48"/>
              </w:rPr>
              <w:t>Millie Coldrick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F1259D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822D8">
              <w:rPr>
                <w:rFonts w:ascii="Times New Roman" w:hAnsi="Times New Roman" w:cs="Times New Roman"/>
                <w:b/>
                <w:color w:val="auto"/>
                <w:sz w:val="48"/>
              </w:rPr>
              <w:t xml:space="preserve"> m.coldrick@npt.gov.uk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F24659"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881A07E" w14:textId="3DADEE8A" w:rsidR="000822D8" w:rsidRPr="005D3F07" w:rsidRDefault="000822D8" w:rsidP="005D3F07">
            <w:pPr>
              <w:overflowPunct/>
              <w:autoSpaceDE/>
              <w:autoSpaceDN/>
              <w:adjustRightInd/>
              <w:ind w:right="-957"/>
              <w:textAlignment w:val="auto"/>
              <w:rPr>
                <w:rFonts w:ascii="Times New Roman" w:hAnsi="Times New Roman" w:cs="Times New Roman"/>
                <w:b/>
                <w:color w:val="auto"/>
                <w:sz w:val="48"/>
              </w:rPr>
            </w:pPr>
            <w:r w:rsidRPr="000822D8">
              <w:rPr>
                <w:rFonts w:ascii="Times New Roman" w:hAnsi="Times New Roman" w:cs="Times New Roman"/>
                <w:b/>
                <w:color w:val="auto"/>
                <w:sz w:val="48"/>
              </w:rPr>
              <w:t>2420737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1B4F9FB" w14:textId="77777777" w:rsidR="003E759F" w:rsidRPr="003E759F" w:rsidRDefault="003E759F" w:rsidP="003E759F">
            <w:pPr>
              <w:pStyle w:val="NormalWeb"/>
              <w:rPr>
                <w:rFonts w:ascii="Arial" w:hAnsi="Arial" w:cs="Arial"/>
                <w:color w:val="000000"/>
              </w:rPr>
            </w:pPr>
            <w:r w:rsidRPr="003E759F">
              <w:rPr>
                <w:rFonts w:ascii="Arial" w:hAnsi="Arial" w:cs="Arial"/>
                <w:color w:val="000000"/>
              </w:rPr>
              <w:t>Adult social care in Wales are shaped by a strong framework of laws and policies that aim to promote wellbeing, protect adults at risk, and ensure people receive high-quality, person-centred care. The most significant piece of legislation is the </w:t>
            </w:r>
            <w:r w:rsidRPr="003E759F">
              <w:rPr>
                <w:rStyle w:val="Strong"/>
                <w:rFonts w:ascii="Arial" w:hAnsi="Arial" w:cs="Arial"/>
                <w:b w:val="0"/>
                <w:color w:val="000000"/>
              </w:rPr>
              <w:t>Social Services and Well-being (Wales) Act 2014</w:t>
            </w:r>
            <w:r w:rsidRPr="003E759F">
              <w:rPr>
                <w:rFonts w:ascii="Arial" w:hAnsi="Arial" w:cs="Arial"/>
                <w:color w:val="000000"/>
              </w:rPr>
              <w:t>, which brings together many areas of social care law into one clear framework. It places the wellbeing of individuals at the centre of all care and support, encourages prevention rather than crisis intervention, and stresses the importance of people having a voice and control over their own lives (Welsh Government, 2014). The Act also sets out duties for local authorities to assess and meet eligible needs, and it introduces clear responsibilities to safeguard adults who may be at risk of abuse or neglect.</w:t>
            </w:r>
          </w:p>
          <w:p w14:paraId="36E6C9C8" w14:textId="77777777" w:rsidR="003E759F" w:rsidRPr="003E759F" w:rsidRDefault="003E759F" w:rsidP="003E759F">
            <w:pPr>
              <w:pStyle w:val="NormalWeb"/>
              <w:rPr>
                <w:rFonts w:ascii="Arial" w:hAnsi="Arial" w:cs="Arial"/>
                <w:color w:val="000000"/>
              </w:rPr>
            </w:pPr>
            <w:r w:rsidRPr="003E759F">
              <w:rPr>
                <w:rFonts w:ascii="Arial" w:hAnsi="Arial" w:cs="Arial"/>
                <w:color w:val="000000"/>
              </w:rPr>
              <w:t>Another key law is the </w:t>
            </w:r>
            <w:r w:rsidRPr="003E759F">
              <w:rPr>
                <w:rStyle w:val="Strong"/>
                <w:rFonts w:ascii="Arial" w:hAnsi="Arial" w:cs="Arial"/>
                <w:b w:val="0"/>
                <w:color w:val="000000"/>
              </w:rPr>
              <w:t>Regulation and Inspection of Social Care (Wales) Act 2016</w:t>
            </w:r>
            <w:r w:rsidRPr="003E759F">
              <w:rPr>
                <w:rFonts w:ascii="Arial" w:hAnsi="Arial" w:cs="Arial"/>
                <w:color w:val="000000"/>
              </w:rPr>
              <w:t>, which focuses on the quality and safety of care services. This Act introduced the role of the </w:t>
            </w:r>
            <w:r w:rsidRPr="003E759F">
              <w:rPr>
                <w:rStyle w:val="Emphasis"/>
                <w:rFonts w:ascii="Arial" w:hAnsi="Arial" w:cs="Arial"/>
                <w:i w:val="0"/>
                <w:color w:val="000000"/>
              </w:rPr>
              <w:t>Responsible Individual</w:t>
            </w:r>
            <w:r w:rsidRPr="003E759F">
              <w:rPr>
                <w:rFonts w:ascii="Arial" w:hAnsi="Arial" w:cs="Arial"/>
                <w:color w:val="000000"/>
              </w:rPr>
              <w:t> to make sure organisations are properly managed and meet required standards. It also strengthened the powers of</w:t>
            </w:r>
            <w:r w:rsidRPr="003E759F">
              <w:rPr>
                <w:rFonts w:ascii="Arial" w:hAnsi="Arial" w:cs="Arial"/>
                <w:b/>
                <w:color w:val="000000"/>
              </w:rPr>
              <w:t> </w:t>
            </w:r>
            <w:r w:rsidRPr="003E759F">
              <w:rPr>
                <w:rStyle w:val="Strong"/>
                <w:rFonts w:ascii="Arial" w:hAnsi="Arial" w:cs="Arial"/>
                <w:b w:val="0"/>
                <w:color w:val="000000"/>
              </w:rPr>
              <w:t>Care Inspectorate Wales (CIW)</w:t>
            </w:r>
            <w:r w:rsidRPr="003E759F">
              <w:rPr>
                <w:rFonts w:ascii="Arial" w:hAnsi="Arial" w:cs="Arial"/>
                <w:b/>
                <w:color w:val="000000"/>
              </w:rPr>
              <w:t xml:space="preserve">, </w:t>
            </w:r>
            <w:r w:rsidRPr="003E759F">
              <w:rPr>
                <w:rFonts w:ascii="Arial" w:hAnsi="Arial" w:cs="Arial"/>
                <w:color w:val="000000"/>
              </w:rPr>
              <w:t>which monitors and inspects care providers to make sure they are delivering safe and effective services (Welsh Government, 2016; Care Inspectorate Wales, 2023).</w:t>
            </w:r>
          </w:p>
          <w:p w14:paraId="4ED7CEF4" w14:textId="77777777" w:rsidR="003E759F" w:rsidRPr="003E759F" w:rsidRDefault="003E759F" w:rsidP="003E759F">
            <w:pPr>
              <w:pStyle w:val="NormalWeb"/>
              <w:rPr>
                <w:rFonts w:ascii="Arial" w:hAnsi="Arial" w:cs="Arial"/>
                <w:color w:val="000000"/>
              </w:rPr>
            </w:pPr>
            <w:r w:rsidRPr="003E759F">
              <w:rPr>
                <w:rFonts w:ascii="Arial" w:hAnsi="Arial" w:cs="Arial"/>
                <w:color w:val="000000"/>
              </w:rPr>
              <w:t>Nationally, the Welsh Government issues guidance to help organisations put these laws into practice. The </w:t>
            </w:r>
            <w:r w:rsidRPr="003E759F">
              <w:rPr>
                <w:rStyle w:val="Emphasis"/>
                <w:rFonts w:ascii="Arial" w:hAnsi="Arial" w:cs="Arial"/>
                <w:i w:val="0"/>
                <w:color w:val="000000"/>
              </w:rPr>
              <w:t>Part 7 Guidance on Safeguarding</w:t>
            </w:r>
            <w:r w:rsidRPr="003E759F">
              <w:rPr>
                <w:rFonts w:ascii="Arial" w:hAnsi="Arial" w:cs="Arial"/>
                <w:color w:val="000000"/>
              </w:rPr>
              <w:t> explains what local authorities and partners must do to protect adults at risk, including how to carry out enquiries and share information appropriately (Welsh Government, 2015). The </w:t>
            </w:r>
            <w:r w:rsidRPr="003E759F">
              <w:rPr>
                <w:rStyle w:val="Emphasis"/>
                <w:rFonts w:ascii="Arial" w:hAnsi="Arial" w:cs="Arial"/>
                <w:i w:val="0"/>
                <w:color w:val="000000"/>
              </w:rPr>
              <w:t xml:space="preserve">National Outcomes Framework </w:t>
            </w:r>
            <w:r w:rsidRPr="003E759F">
              <w:rPr>
                <w:rFonts w:ascii="Arial" w:hAnsi="Arial" w:cs="Arial"/>
                <w:color w:val="000000"/>
              </w:rPr>
              <w:t>(Welsh Government, 2019) sets out what success looks like for people receiving care such as being able to live independently, feel safe, and have their voices heard.</w:t>
            </w:r>
          </w:p>
          <w:p w14:paraId="482B438D" w14:textId="3F8219BD" w:rsidR="003E759F" w:rsidRPr="003E759F" w:rsidRDefault="003E759F" w:rsidP="003E759F">
            <w:pPr>
              <w:pStyle w:val="NormalWeb"/>
              <w:rPr>
                <w:rFonts w:ascii="Arial" w:hAnsi="Arial" w:cs="Arial"/>
                <w:color w:val="000000"/>
              </w:rPr>
            </w:pPr>
            <w:r w:rsidRPr="003E759F">
              <w:rPr>
                <w:rFonts w:ascii="Arial" w:hAnsi="Arial" w:cs="Arial"/>
                <w:color w:val="000000"/>
              </w:rPr>
              <w:t>At a </w:t>
            </w:r>
            <w:r w:rsidRPr="003E759F">
              <w:rPr>
                <w:rStyle w:val="Strong"/>
                <w:rFonts w:ascii="Arial" w:hAnsi="Arial" w:cs="Arial"/>
                <w:b w:val="0"/>
                <w:color w:val="000000"/>
              </w:rPr>
              <w:t>local level</w:t>
            </w:r>
            <w:r w:rsidRPr="003E759F">
              <w:rPr>
                <w:rFonts w:ascii="Arial" w:hAnsi="Arial" w:cs="Arial"/>
                <w:color w:val="000000"/>
              </w:rPr>
              <w:t xml:space="preserve">, each Regional Safeguarding Board, develops its own policies and procedures that follow national guidance but respond to local circumstances. These include clear referral pathways, safeguarding thresholds, and processes for conducting adult practice reviews when things go wrong. </w:t>
            </w:r>
          </w:p>
          <w:p w14:paraId="3ECB5B0E" w14:textId="77777777" w:rsidR="003E759F" w:rsidRPr="003E759F" w:rsidRDefault="003E759F" w:rsidP="003E759F">
            <w:pPr>
              <w:pStyle w:val="NormalWeb"/>
              <w:rPr>
                <w:rFonts w:ascii="Arial" w:hAnsi="Arial" w:cs="Arial"/>
                <w:color w:val="000000"/>
              </w:rPr>
            </w:pPr>
            <w:r w:rsidRPr="003E759F">
              <w:rPr>
                <w:rFonts w:ascii="Arial" w:hAnsi="Arial" w:cs="Arial"/>
                <w:color w:val="000000"/>
              </w:rPr>
              <w:lastRenderedPageBreak/>
              <w:t>Within organisations, policies and procedures make sure staff understand and meet their legal responsibilities. These include safeguarding adult’s policies, whistleblowing procedures, safer recruitment practices, and staff training requirements. Workers are also expected to follow the </w:t>
            </w:r>
            <w:r w:rsidRPr="003E759F">
              <w:rPr>
                <w:rStyle w:val="Strong"/>
                <w:rFonts w:ascii="Arial" w:hAnsi="Arial" w:cs="Arial"/>
                <w:b w:val="0"/>
                <w:color w:val="000000"/>
              </w:rPr>
              <w:t>Code of Professional Practice for Social Care</w:t>
            </w:r>
            <w:r w:rsidRPr="003E759F">
              <w:rPr>
                <w:rFonts w:ascii="Arial" w:hAnsi="Arial" w:cs="Arial"/>
                <w:color w:val="000000"/>
              </w:rPr>
              <w:t> (Social Care Wales, 2020), which outlines values such as respect, accountability, and maintaining professional standards.</w:t>
            </w:r>
          </w:p>
          <w:p w14:paraId="1A70F1F8" w14:textId="41B0D6FC" w:rsidR="003E759F" w:rsidRPr="003E759F" w:rsidRDefault="00C079B6" w:rsidP="003E759F">
            <w:pPr>
              <w:pStyle w:val="NormalWeb"/>
              <w:rPr>
                <w:rFonts w:ascii="Arial" w:hAnsi="Arial" w:cs="Arial"/>
                <w:color w:val="000000"/>
              </w:rPr>
            </w:pPr>
            <w:r>
              <w:rPr>
                <w:rFonts w:ascii="Arial" w:hAnsi="Arial" w:cs="Arial"/>
                <w:color w:val="000000"/>
              </w:rPr>
              <w:t>Adult’s services use the</w:t>
            </w:r>
            <w:r w:rsidR="003E759F" w:rsidRPr="003E759F">
              <w:rPr>
                <w:rFonts w:ascii="Arial" w:hAnsi="Arial" w:cs="Arial"/>
                <w:color w:val="000000"/>
              </w:rPr>
              <w:t> </w:t>
            </w:r>
            <w:r w:rsidR="003E759F" w:rsidRPr="003E759F">
              <w:rPr>
                <w:rStyle w:val="Strong"/>
                <w:rFonts w:ascii="Arial" w:hAnsi="Arial" w:cs="Arial"/>
                <w:b w:val="0"/>
                <w:color w:val="000000"/>
              </w:rPr>
              <w:t>Deprivation of Liberty Safeguards (</w:t>
            </w:r>
            <w:proofErr w:type="spellStart"/>
            <w:r w:rsidR="003E759F" w:rsidRPr="003E759F">
              <w:rPr>
                <w:rStyle w:val="Strong"/>
                <w:rFonts w:ascii="Arial" w:hAnsi="Arial" w:cs="Arial"/>
                <w:b w:val="0"/>
                <w:color w:val="000000"/>
              </w:rPr>
              <w:t>DoLS</w:t>
            </w:r>
            <w:proofErr w:type="spellEnd"/>
            <w:r w:rsidR="003E759F" w:rsidRPr="003E759F">
              <w:rPr>
                <w:rStyle w:val="Strong"/>
                <w:rFonts w:ascii="Arial" w:hAnsi="Arial" w:cs="Arial"/>
                <w:b w:val="0"/>
                <w:color w:val="000000"/>
              </w:rPr>
              <w:t>)</w:t>
            </w:r>
            <w:r w:rsidR="003E759F" w:rsidRPr="003E759F">
              <w:rPr>
                <w:rFonts w:ascii="Arial" w:hAnsi="Arial" w:cs="Arial"/>
                <w:color w:val="000000"/>
              </w:rPr>
              <w:t xml:space="preserve">. </w:t>
            </w:r>
            <w:r>
              <w:rPr>
                <w:rFonts w:ascii="Arial" w:hAnsi="Arial" w:cs="Arial"/>
                <w:color w:val="000000"/>
              </w:rPr>
              <w:t xml:space="preserve"> This is a part of the Mental Capacity Act 2005 and protect people who lack capacity to give consent when their care may deprive them of their liberties, for example continuous supervision. They are to protect people’s rights and freedoms. They are usually held for 12 months at a time and are assessed by a social worker. They are reviewed regularly and make sure that the individual’s best interests are paramount. </w:t>
            </w:r>
          </w:p>
          <w:p w14:paraId="79FF6E50" w14:textId="77777777" w:rsidR="003E759F" w:rsidRPr="003E759F" w:rsidRDefault="003E759F" w:rsidP="003E759F">
            <w:pPr>
              <w:pStyle w:val="NormalWeb"/>
              <w:rPr>
                <w:rFonts w:ascii="Arial" w:hAnsi="Arial" w:cs="Arial"/>
                <w:color w:val="000000"/>
              </w:rPr>
            </w:pPr>
            <w:r w:rsidRPr="003E759F">
              <w:rPr>
                <w:rFonts w:ascii="Arial" w:hAnsi="Arial" w:cs="Arial"/>
                <w:color w:val="000000"/>
              </w:rPr>
              <w:t>In summary, adult social services in Wales are guided by strong legislation and clear policies that aim to safeguard individuals and promote wellbeing. National guidance, local safeguarding arrangements, and organisational procedures all work together to make sure people are supported in ways that respect their rights, independence, and dignity.</w:t>
            </w:r>
          </w:p>
          <w:p w14:paraId="0318E819" w14:textId="2A45BD8D" w:rsidR="00FC0334" w:rsidRDefault="00FC0334" w:rsidP="00FF7EBB">
            <w:pPr>
              <w:jc w:val="both"/>
              <w:rPr>
                <w:sz w:val="24"/>
                <w:szCs w:val="24"/>
              </w:rPr>
            </w:pPr>
          </w:p>
          <w:p w14:paraId="50858A36" w14:textId="6334A2C7" w:rsidR="007E3633" w:rsidRDefault="00882C84" w:rsidP="00FF7EBB">
            <w:pPr>
              <w:jc w:val="both"/>
              <w:rPr>
                <w:sz w:val="24"/>
                <w:szCs w:val="24"/>
              </w:rPr>
            </w:pPr>
            <w:r>
              <w:rPr>
                <w:sz w:val="24"/>
                <w:szCs w:val="24"/>
              </w:rPr>
              <w:t>Word Count - 510</w:t>
            </w:r>
            <w:bookmarkStart w:id="0" w:name="_GoBack"/>
            <w:bookmarkEnd w:id="0"/>
          </w:p>
          <w:p w14:paraId="6D8CB8AF" w14:textId="77777777" w:rsidR="00FC0334" w:rsidRDefault="00FC0334" w:rsidP="00FF7EBB">
            <w:pPr>
              <w:jc w:val="both"/>
              <w:rPr>
                <w:sz w:val="24"/>
                <w:szCs w:val="24"/>
              </w:rPr>
            </w:pPr>
          </w:p>
          <w:p w14:paraId="4FF8EBF3" w14:textId="5D4BF4F8"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BCBF222" w14:textId="684F02A1" w:rsidR="007E3633" w:rsidRPr="007E3633" w:rsidRDefault="007E3633" w:rsidP="007E3633">
            <w:pPr>
              <w:pStyle w:val="NormalWeb"/>
              <w:rPr>
                <w:rFonts w:ascii="Arial" w:hAnsi="Arial" w:cs="Arial"/>
                <w:color w:val="000000"/>
              </w:rPr>
            </w:pPr>
            <w:r w:rsidRPr="007E3633">
              <w:rPr>
                <w:rFonts w:ascii="Arial" w:hAnsi="Arial" w:cs="Arial"/>
                <w:color w:val="000000"/>
              </w:rPr>
              <w:t>Although adult and children’s social work share many of the same principles, for example, promoting wellbeing, protecting vulnerable people, and supporting independence. The legal and practical a</w:t>
            </w:r>
            <w:r w:rsidR="00C079B6">
              <w:rPr>
                <w:rFonts w:ascii="Arial" w:hAnsi="Arial" w:cs="Arial"/>
                <w:color w:val="000000"/>
              </w:rPr>
              <w:t xml:space="preserve">pproaches differ in several </w:t>
            </w:r>
            <w:r w:rsidRPr="007E3633">
              <w:rPr>
                <w:rFonts w:ascii="Arial" w:hAnsi="Arial" w:cs="Arial"/>
                <w:color w:val="000000"/>
              </w:rPr>
              <w:t>ways. These differences are reflected in the distinct ways that adults and children are viewed in law, particularly in relation to consent and capacity.</w:t>
            </w:r>
          </w:p>
          <w:p w14:paraId="6A14D2AC" w14:textId="633B8F1F" w:rsidR="007E3633" w:rsidRPr="007E3633" w:rsidRDefault="007E3633" w:rsidP="007E3633">
            <w:pPr>
              <w:pStyle w:val="NormalWeb"/>
              <w:rPr>
                <w:rFonts w:ascii="Arial" w:hAnsi="Arial" w:cs="Arial"/>
                <w:color w:val="000000"/>
              </w:rPr>
            </w:pPr>
            <w:r w:rsidRPr="007E3633">
              <w:rPr>
                <w:rFonts w:ascii="Arial" w:hAnsi="Arial" w:cs="Arial"/>
                <w:color w:val="000000"/>
              </w:rPr>
              <w:t>Both Adult and Children’s social work focus on using the </w:t>
            </w:r>
            <w:r w:rsidRPr="007E3633">
              <w:rPr>
                <w:rStyle w:val="Strong"/>
                <w:rFonts w:ascii="Arial" w:hAnsi="Arial" w:cs="Arial"/>
                <w:b w:val="0"/>
                <w:color w:val="000000"/>
              </w:rPr>
              <w:t>Social Services and Well-being (Wales) Act 2014</w:t>
            </w:r>
            <w:r w:rsidRPr="007E3633">
              <w:rPr>
                <w:rFonts w:ascii="Arial" w:hAnsi="Arial" w:cs="Arial"/>
                <w:color w:val="000000"/>
              </w:rPr>
              <w:t>. Adult social work is wholly governed by its policies applying to people aged 18 and over. The Act focuses on promoti</w:t>
            </w:r>
            <w:r w:rsidR="00C079B6">
              <w:rPr>
                <w:rFonts w:ascii="Arial" w:hAnsi="Arial" w:cs="Arial"/>
                <w:color w:val="000000"/>
              </w:rPr>
              <w:t xml:space="preserve">ng wellbeing, independence, </w:t>
            </w:r>
            <w:r w:rsidRPr="007E3633">
              <w:rPr>
                <w:rFonts w:ascii="Arial" w:hAnsi="Arial" w:cs="Arial"/>
                <w:color w:val="000000"/>
              </w:rPr>
              <w:t>choice, and assumes that adults have the right to make their own decisions unless proven otherwise (Welsh Government, 2014). When questions arise about whether an adult can make a decision, practitioners must follow the </w:t>
            </w:r>
            <w:r w:rsidRPr="007E3633">
              <w:rPr>
                <w:rStyle w:val="Strong"/>
                <w:rFonts w:ascii="Arial" w:hAnsi="Arial" w:cs="Arial"/>
                <w:b w:val="0"/>
                <w:color w:val="000000"/>
              </w:rPr>
              <w:t>Mental Capacity Act 2005</w:t>
            </w:r>
            <w:r w:rsidRPr="007E3633">
              <w:rPr>
                <w:rFonts w:ascii="Arial" w:hAnsi="Arial" w:cs="Arial"/>
                <w:color w:val="000000"/>
              </w:rPr>
              <w:t xml:space="preserve">, which provides a legal framework for assessing decision-making capacity and outlines how to act in someone’s best interests if they cannot decide for themselves (UK Government, 2005). Consent is central to adult social work practice; support and intervention generally require the individual’s informed consent unless safeguarding concerns justify acting without it. </w:t>
            </w:r>
            <w:r w:rsidRPr="007E3633">
              <w:rPr>
                <w:rFonts w:ascii="Arial" w:hAnsi="Arial" w:cs="Arial"/>
                <w:color w:val="000000"/>
              </w:rPr>
              <w:lastRenderedPageBreak/>
              <w:t>However, this is not an easy task to undertake as a social worker, as it involves applying to the Court of Protection and is driven by the Mental Capacity Act 2005.</w:t>
            </w:r>
          </w:p>
          <w:p w14:paraId="3BE305E6" w14:textId="19E6783D" w:rsidR="007E3633" w:rsidRPr="007E3633" w:rsidRDefault="007E3633" w:rsidP="007E3633">
            <w:pPr>
              <w:pStyle w:val="NormalWeb"/>
              <w:rPr>
                <w:rFonts w:ascii="Arial" w:hAnsi="Arial" w:cs="Arial"/>
                <w:color w:val="000000"/>
              </w:rPr>
            </w:pPr>
            <w:r w:rsidRPr="007E3633">
              <w:rPr>
                <w:rFonts w:ascii="Arial" w:hAnsi="Arial" w:cs="Arial"/>
                <w:color w:val="000000"/>
              </w:rPr>
              <w:t>Children’s social work, while also underpinned by the 2014 A</w:t>
            </w:r>
            <w:r>
              <w:rPr>
                <w:rFonts w:ascii="Arial" w:hAnsi="Arial" w:cs="Arial"/>
                <w:color w:val="000000"/>
              </w:rPr>
              <w:t xml:space="preserve">ct, is shaped </w:t>
            </w:r>
            <w:r w:rsidRPr="007E3633">
              <w:rPr>
                <w:rFonts w:ascii="Arial" w:hAnsi="Arial" w:cs="Arial"/>
                <w:color w:val="000000"/>
              </w:rPr>
              <w:t>by The </w:t>
            </w:r>
            <w:r w:rsidRPr="007E3633">
              <w:rPr>
                <w:rStyle w:val="Strong"/>
                <w:rFonts w:ascii="Arial" w:hAnsi="Arial" w:cs="Arial"/>
                <w:b w:val="0"/>
                <w:color w:val="000000"/>
              </w:rPr>
              <w:t>Children Act 1989</w:t>
            </w:r>
            <w:r w:rsidRPr="007E3633">
              <w:rPr>
                <w:rFonts w:ascii="Arial" w:hAnsi="Arial" w:cs="Arial"/>
                <w:color w:val="000000"/>
              </w:rPr>
              <w:t> and the </w:t>
            </w:r>
            <w:r w:rsidRPr="007E3633">
              <w:rPr>
                <w:rStyle w:val="Strong"/>
                <w:rFonts w:ascii="Arial" w:hAnsi="Arial" w:cs="Arial"/>
                <w:b w:val="0"/>
                <w:color w:val="000000"/>
              </w:rPr>
              <w:t>Children (Wales) Measure 2010</w:t>
            </w:r>
            <w:r w:rsidRPr="007E3633">
              <w:rPr>
                <w:rFonts w:ascii="Arial" w:hAnsi="Arial" w:cs="Arial"/>
                <w:color w:val="000000"/>
              </w:rPr>
              <w:t>, which place greater emphasis on protection and welfare (Welsh Government, 2010). Children are generally not presumed to have fu</w:t>
            </w:r>
            <w:r>
              <w:rPr>
                <w:rFonts w:ascii="Arial" w:hAnsi="Arial" w:cs="Arial"/>
                <w:color w:val="000000"/>
              </w:rPr>
              <w:t xml:space="preserve">ll legal capacity to make major </w:t>
            </w:r>
            <w:r w:rsidRPr="007E3633">
              <w:rPr>
                <w:rFonts w:ascii="Arial" w:hAnsi="Arial" w:cs="Arial"/>
                <w:color w:val="000000"/>
              </w:rPr>
              <w:t>decisions about the</w:t>
            </w:r>
            <w:r>
              <w:rPr>
                <w:rFonts w:ascii="Arial" w:hAnsi="Arial" w:cs="Arial"/>
                <w:color w:val="000000"/>
              </w:rPr>
              <w:t xml:space="preserve">ir welfare. Instead, </w:t>
            </w:r>
            <w:r w:rsidRPr="007E3633">
              <w:rPr>
                <w:rFonts w:ascii="Arial" w:hAnsi="Arial" w:cs="Arial"/>
                <w:color w:val="000000"/>
              </w:rPr>
              <w:t xml:space="preserve">those with parental responsibility provide consent </w:t>
            </w:r>
            <w:r>
              <w:rPr>
                <w:rFonts w:ascii="Arial" w:hAnsi="Arial" w:cs="Arial"/>
                <w:color w:val="000000"/>
              </w:rPr>
              <w:t xml:space="preserve">for </w:t>
            </w:r>
            <w:r w:rsidRPr="007E3633">
              <w:rPr>
                <w:rFonts w:ascii="Arial" w:hAnsi="Arial" w:cs="Arial"/>
                <w:color w:val="000000"/>
              </w:rPr>
              <w:t>interventions. However, the law recognises that some y</w:t>
            </w:r>
            <w:r>
              <w:rPr>
                <w:rFonts w:ascii="Arial" w:hAnsi="Arial" w:cs="Arial"/>
                <w:color w:val="000000"/>
              </w:rPr>
              <w:t xml:space="preserve">oung people may have </w:t>
            </w:r>
            <w:r w:rsidRPr="007E3633">
              <w:rPr>
                <w:rFonts w:ascii="Arial" w:hAnsi="Arial" w:cs="Arial"/>
                <w:color w:val="000000"/>
              </w:rPr>
              <w:t>understanding to make certain decisions independently.</w:t>
            </w:r>
          </w:p>
          <w:p w14:paraId="0F66143C" w14:textId="77777777" w:rsidR="007E3633" w:rsidRPr="007E3633" w:rsidRDefault="007E3633" w:rsidP="007E3633">
            <w:pPr>
              <w:pStyle w:val="NormalWeb"/>
              <w:rPr>
                <w:rFonts w:ascii="Arial" w:hAnsi="Arial" w:cs="Arial"/>
                <w:color w:val="000000"/>
              </w:rPr>
            </w:pPr>
            <w:r w:rsidRPr="007E3633">
              <w:rPr>
                <w:rFonts w:ascii="Arial" w:hAnsi="Arial" w:cs="Arial"/>
                <w:color w:val="000000"/>
              </w:rPr>
              <w:t>This concept is known as </w:t>
            </w:r>
            <w:proofErr w:type="spellStart"/>
            <w:r w:rsidRPr="007E3633">
              <w:rPr>
                <w:rStyle w:val="Strong"/>
                <w:rFonts w:ascii="Arial" w:hAnsi="Arial" w:cs="Arial"/>
                <w:b w:val="0"/>
                <w:color w:val="000000"/>
              </w:rPr>
              <w:t>Gillick</w:t>
            </w:r>
            <w:proofErr w:type="spellEnd"/>
            <w:r w:rsidRPr="007E3633">
              <w:rPr>
                <w:rStyle w:val="Strong"/>
                <w:rFonts w:ascii="Arial" w:hAnsi="Arial" w:cs="Arial"/>
                <w:b w:val="0"/>
                <w:color w:val="000000"/>
              </w:rPr>
              <w:t xml:space="preserve"> competence</w:t>
            </w:r>
            <w:r w:rsidRPr="007E3633">
              <w:rPr>
                <w:rFonts w:ascii="Arial" w:hAnsi="Arial" w:cs="Arial"/>
                <w:color w:val="000000"/>
              </w:rPr>
              <w:t>, which originates from the case </w:t>
            </w:r>
            <w:proofErr w:type="spellStart"/>
            <w:r w:rsidRPr="007E3633">
              <w:rPr>
                <w:rStyle w:val="Emphasis"/>
                <w:rFonts w:ascii="Arial" w:hAnsi="Arial" w:cs="Arial"/>
                <w:i w:val="0"/>
                <w:color w:val="000000"/>
              </w:rPr>
              <w:t>Gillick</w:t>
            </w:r>
            <w:proofErr w:type="spellEnd"/>
            <w:r w:rsidRPr="007E3633">
              <w:rPr>
                <w:rStyle w:val="Emphasis"/>
                <w:rFonts w:ascii="Arial" w:hAnsi="Arial" w:cs="Arial"/>
                <w:i w:val="0"/>
                <w:color w:val="000000"/>
              </w:rPr>
              <w:t xml:space="preserve"> v West Norfolk and </w:t>
            </w:r>
            <w:proofErr w:type="spellStart"/>
            <w:r w:rsidRPr="007E3633">
              <w:rPr>
                <w:rStyle w:val="Emphasis"/>
                <w:rFonts w:ascii="Arial" w:hAnsi="Arial" w:cs="Arial"/>
                <w:i w:val="0"/>
                <w:color w:val="000000"/>
              </w:rPr>
              <w:t>Wisbech</w:t>
            </w:r>
            <w:proofErr w:type="spellEnd"/>
            <w:r w:rsidRPr="007E3633">
              <w:rPr>
                <w:rStyle w:val="Emphasis"/>
                <w:rFonts w:ascii="Arial" w:hAnsi="Arial" w:cs="Arial"/>
                <w:i w:val="0"/>
                <w:color w:val="000000"/>
              </w:rPr>
              <w:t xml:space="preserve"> Area Health</w:t>
            </w:r>
            <w:r w:rsidRPr="007E3633">
              <w:rPr>
                <w:rStyle w:val="Emphasis"/>
                <w:rFonts w:ascii="Arial" w:hAnsi="Arial" w:cs="Arial"/>
                <w:color w:val="000000"/>
              </w:rPr>
              <w:t xml:space="preserve"> </w:t>
            </w:r>
            <w:r w:rsidRPr="007E3633">
              <w:rPr>
                <w:rStyle w:val="Emphasis"/>
                <w:rFonts w:ascii="Arial" w:hAnsi="Arial" w:cs="Arial"/>
                <w:i w:val="0"/>
                <w:color w:val="000000"/>
              </w:rPr>
              <w:t>Authority</w:t>
            </w:r>
            <w:r w:rsidRPr="007E3633">
              <w:rPr>
                <w:rFonts w:ascii="Arial" w:hAnsi="Arial" w:cs="Arial"/>
                <w:color w:val="000000"/>
              </w:rPr>
              <w:t xml:space="preserve"> (1985). It allows professionals to accept a young person’s consent to treatment or services if they are judged capable of understanding the nature and consequences of their decision (Department of Health, 1985). </w:t>
            </w:r>
            <w:proofErr w:type="spellStart"/>
            <w:r w:rsidRPr="007E3633">
              <w:rPr>
                <w:rFonts w:ascii="Arial" w:hAnsi="Arial" w:cs="Arial"/>
                <w:color w:val="000000"/>
              </w:rPr>
              <w:t>Gillick</w:t>
            </w:r>
            <w:proofErr w:type="spellEnd"/>
            <w:r w:rsidRPr="007E3633">
              <w:rPr>
                <w:rFonts w:ascii="Arial" w:hAnsi="Arial" w:cs="Arial"/>
                <w:color w:val="000000"/>
              </w:rPr>
              <w:t xml:space="preserve"> competence is particularly relevant in health and social care contexts where young people seek support without parental involvement. Practitioners must balance respecting a child’s emerging autonomy with their duty to safeguard and act in the child’s best interests.</w:t>
            </w:r>
          </w:p>
          <w:p w14:paraId="5A2306CE" w14:textId="11DA0C47" w:rsidR="007E3633" w:rsidRPr="007E3633" w:rsidRDefault="007E3633" w:rsidP="007E3633">
            <w:pPr>
              <w:pStyle w:val="NormalWeb"/>
              <w:rPr>
                <w:rFonts w:ascii="Arial" w:hAnsi="Arial" w:cs="Arial"/>
                <w:color w:val="000000"/>
              </w:rPr>
            </w:pPr>
            <w:r>
              <w:rPr>
                <w:rFonts w:ascii="Arial" w:hAnsi="Arial" w:cs="Arial"/>
                <w:color w:val="000000"/>
              </w:rPr>
              <w:t>A</w:t>
            </w:r>
            <w:r w:rsidRPr="007E3633">
              <w:rPr>
                <w:rFonts w:ascii="Arial" w:hAnsi="Arial" w:cs="Arial"/>
                <w:color w:val="000000"/>
              </w:rPr>
              <w:t>dults are presumed to have capacity and autonomy unless an assessment shows otherwise. Children’s social work, therefore, tends to be more protective, while adult social work emphasises empowerment and choice. Both areas rely on multi-agency working and safeguarding principles, but the balance between consent, capacity, and protection varies according to the individual’s age and legal status.</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4D3229AF" w:rsidR="00FC0334" w:rsidRDefault="00882C84" w:rsidP="00FC0334">
            <w:pPr>
              <w:jc w:val="both"/>
              <w:rPr>
                <w:sz w:val="24"/>
                <w:szCs w:val="24"/>
              </w:rPr>
            </w:pPr>
            <w:r>
              <w:rPr>
                <w:sz w:val="24"/>
                <w:szCs w:val="24"/>
              </w:rPr>
              <w:t>Word Count - 438</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5AC7827" w:rsidR="00A5656A" w:rsidRDefault="00A5656A">
    <w:pPr>
      <w:pStyle w:val="Footer"/>
      <w:jc w:val="right"/>
    </w:pPr>
    <w:r>
      <w:fldChar w:fldCharType="begin"/>
    </w:r>
    <w:r>
      <w:instrText xml:space="preserve"> PAGE   \* MERGEFORMAT </w:instrText>
    </w:r>
    <w:r>
      <w:fldChar w:fldCharType="separate"/>
    </w:r>
    <w:r w:rsidR="00882C84">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22D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759F"/>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93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633"/>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2C84"/>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9B6"/>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3E759F"/>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3E759F"/>
    <w:rPr>
      <w:b/>
      <w:bCs/>
    </w:rPr>
  </w:style>
  <w:style w:type="character" w:styleId="Emphasis">
    <w:name w:val="Emphasis"/>
    <w:basedOn w:val="DefaultParagraphFont"/>
    <w:uiPriority w:val="20"/>
    <w:qFormat/>
    <w:rsid w:val="003E75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A01224-E840-45B3-A578-A6B79540F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1164</Words>
  <Characters>6548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Millie Coldrick</cp:lastModifiedBy>
  <cp:revision>5</cp:revision>
  <cp:lastPrinted>2020-02-11T19:20:00Z</cp:lastPrinted>
  <dcterms:created xsi:type="dcterms:W3CDTF">2025-10-05T12:14:00Z</dcterms:created>
  <dcterms:modified xsi:type="dcterms:W3CDTF">2025-10-07T20:39:00Z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91a62240-4e6d-4d2d-925c-d59945dda92a</vt:lpwstr>
  </property>
</Properties>
</file>