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40340693"/>
        <w:docPartObj>
          <w:docPartGallery w:val="Cover Pages"/>
          <w:docPartUnique/>
        </w:docPartObj>
      </w:sdtPr>
      <w:sdtContent>
        <w:p w:rsidR="00864354" w:rsidRDefault="00864354"/>
        <w:p w:rsidR="00864354" w:rsidRDefault="00864354">
          <w:r>
            <w:rPr>
              <w:noProof/>
            </w:rPr>
            <mc:AlternateContent>
              <mc:Choice Requires="wps">
                <w:drawing>
                  <wp:anchor distT="45720" distB="45720" distL="114300" distR="114300" simplePos="0" relativeHeight="251661312" behindDoc="0" locked="0" layoutInCell="1" allowOverlap="1">
                    <wp:simplePos x="0" y="0"/>
                    <wp:positionH relativeFrom="margin">
                      <wp:align>right</wp:align>
                    </wp:positionH>
                    <wp:positionV relativeFrom="paragraph">
                      <wp:posOffset>7440930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rsidR="00864354" w:rsidRDefault="00864354" w:rsidP="00864354">
                                <w:r>
                                  <w:t>Jade Mitchell</w:t>
                                </w:r>
                              </w:p>
                              <w:p w:rsidR="00864354" w:rsidRDefault="00864354" w:rsidP="00864354">
                                <w:r>
                                  <w:t>P152126</w:t>
                                </w:r>
                              </w:p>
                              <w:p w:rsidR="00864354" w:rsidRDefault="00864354" w:rsidP="00864354">
                                <w:r>
                                  <w:t>Felicity Page</w:t>
                                </w:r>
                              </w:p>
                              <w:p w:rsidR="00864354" w:rsidRDefault="00864354" w:rsidP="00864354">
                                <w:r>
                                  <w:t>Complementary Therapies</w:t>
                                </w:r>
                              </w:p>
                              <w:p w:rsidR="00864354" w:rsidRDefault="00864354" w:rsidP="00864354">
                                <w:r>
                                  <w:t>BMHP5001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4.7pt;margin-top:585.9pt;width:185.9pt;height:110.6pt;z-index:251661312;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" filled="f" stroked="f">
                    <v:textbox style="mso-fit-shape-to-text:t">
                      <w:txbxContent>
                        <w:p w:rsidR="00864354" w:rsidRDefault="00864354" w:rsidP="00864354">
                          <w:r>
                            <w:t>Jade Mitchell</w:t>
                          </w:r>
                        </w:p>
                        <w:p w:rsidR="00864354" w:rsidRDefault="00864354" w:rsidP="00864354">
                          <w:r>
                            <w:t>P152126</w:t>
                          </w:r>
                        </w:p>
                        <w:p w:rsidR="00864354" w:rsidRDefault="00864354" w:rsidP="00864354">
                          <w:r>
                            <w:t>Felicity Page</w:t>
                          </w:r>
                        </w:p>
                        <w:p w:rsidR="00864354" w:rsidRDefault="00864354" w:rsidP="00864354">
                          <w:r>
                            <w:t>Complementary Therapies</w:t>
                          </w:r>
                        </w:p>
                        <w:p w:rsidR="00864354" w:rsidRDefault="00864354" w:rsidP="00864354">
                          <w:r>
                            <w:t>BMHP5001</w:t>
                          </w:r>
                        </w:p>
                      </w:txbxContent>
                    </v:textbox>
                    <w10:wrap type="square" anchorx="margin"/>
                  </v:shape>
                </w:pict>
              </mc:Fallback>
            </mc:AlternateContent>
          </w:r>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864354" w:rsidRDefault="0086435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The Regulation of Complementary Medicine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864354" w:rsidRDefault="0086435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The Regulation of Complementary Medicine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br w:type="page"/>
          </w:r>
        </w:p>
      </w:sdtContent>
    </w:sdt>
    <w:p w:rsidR="006E5269" w:rsidRPr="004564AE" w:rsidRDefault="009147A9" w:rsidP="004564AE">
      <w:pPr>
        <w:spacing w:line="360" w:lineRule="auto"/>
        <w:rPr>
          <w:rFonts w:ascii="Calibri" w:hAnsi="Calibri" w:cs="Calibri"/>
          <w:sz w:val="24"/>
          <w:szCs w:val="24"/>
        </w:rPr>
      </w:pPr>
      <w:r w:rsidRPr="004564AE">
        <w:rPr>
          <w:rFonts w:ascii="Calibri" w:hAnsi="Calibri" w:cs="Calibri"/>
          <w:sz w:val="24"/>
          <w:szCs w:val="24"/>
        </w:rPr>
        <w:lastRenderedPageBreak/>
        <w:t xml:space="preserve">This essay sets out to explore complementary medicine and how it is regulated in the UK. </w:t>
      </w:r>
      <w:r w:rsidR="00053F4F" w:rsidRPr="004564AE">
        <w:rPr>
          <w:rFonts w:ascii="Calibri" w:hAnsi="Calibri" w:cs="Calibri"/>
          <w:sz w:val="24"/>
          <w:szCs w:val="24"/>
        </w:rPr>
        <w:t>Complementary therapies or alternative medicine is a form of healing outside of orthodox treatments. The treatments fall into two categories: natural products o</w:t>
      </w:r>
      <w:r w:rsidR="004B7088" w:rsidRPr="004564AE">
        <w:rPr>
          <w:rFonts w:ascii="Calibri" w:hAnsi="Calibri" w:cs="Calibri"/>
          <w:sz w:val="24"/>
          <w:szCs w:val="24"/>
        </w:rPr>
        <w:t>r</w:t>
      </w:r>
      <w:r w:rsidR="00053F4F" w:rsidRPr="004564AE">
        <w:rPr>
          <w:rFonts w:ascii="Calibri" w:hAnsi="Calibri" w:cs="Calibri"/>
          <w:sz w:val="24"/>
          <w:szCs w:val="24"/>
        </w:rPr>
        <w:t xml:space="preserve"> mind a</w:t>
      </w:r>
      <w:r w:rsidR="004B7088" w:rsidRPr="004564AE">
        <w:rPr>
          <w:rFonts w:ascii="Calibri" w:hAnsi="Calibri" w:cs="Calibri"/>
          <w:sz w:val="24"/>
          <w:szCs w:val="24"/>
        </w:rPr>
        <w:t>nd</w:t>
      </w:r>
      <w:r w:rsidR="00053F4F" w:rsidRPr="004564AE">
        <w:rPr>
          <w:rFonts w:ascii="Calibri" w:hAnsi="Calibri" w:cs="Calibri"/>
          <w:sz w:val="24"/>
          <w:szCs w:val="24"/>
        </w:rPr>
        <w:t xml:space="preserve"> body practices. Some examples of natural products are herbal medicines and diet supplements such as those found in Bach Flower Remedies. Mind and Body practices can range from Reiki to Acupuncture, (Hall et al 2017). Rankin-Box (2001) explains that complementary medicine has been a key part of society for thousands of years. The methods used in the therapies may have changed over time, but the core beliefs of the therapies remain intact. Despite these therapies having such a large history, the social recognition of their efficacy has shifted downhill. </w:t>
      </w:r>
      <w:r w:rsidR="00C70EA7" w:rsidRPr="004564AE">
        <w:rPr>
          <w:rFonts w:ascii="Calibri" w:hAnsi="Calibri" w:cs="Calibri"/>
          <w:sz w:val="24"/>
          <w:szCs w:val="24"/>
        </w:rPr>
        <w:t>For</w:t>
      </w:r>
      <w:r w:rsidRPr="004564AE">
        <w:rPr>
          <w:rFonts w:ascii="Calibri" w:hAnsi="Calibri" w:cs="Calibri"/>
          <w:sz w:val="24"/>
          <w:szCs w:val="24"/>
        </w:rPr>
        <w:t xml:space="preserve"> public assurance that their treatment is safe, it is important for regulations to be introduced.</w:t>
      </w:r>
    </w:p>
    <w:p w:rsidR="00CD0DA8" w:rsidRPr="004564AE" w:rsidRDefault="009147A9" w:rsidP="004564AE">
      <w:pPr>
        <w:spacing w:line="360" w:lineRule="auto"/>
        <w:rPr>
          <w:rFonts w:ascii="Calibri" w:hAnsi="Calibri" w:cs="Calibri"/>
          <w:sz w:val="24"/>
          <w:szCs w:val="24"/>
        </w:rPr>
      </w:pPr>
      <w:r w:rsidRPr="004564AE">
        <w:rPr>
          <w:rFonts w:ascii="Calibri" w:hAnsi="Calibri" w:cs="Calibri"/>
          <w:sz w:val="24"/>
          <w:szCs w:val="24"/>
        </w:rPr>
        <w:t>As described by Koop and Lodge (2015), regulation is intentionally controlling a practice. This is done by setting standards, monitoring practice and sanctioning any</w:t>
      </w:r>
      <w:r w:rsidR="003C28E5">
        <w:rPr>
          <w:rFonts w:ascii="Calibri" w:hAnsi="Calibri" w:cs="Calibri"/>
          <w:sz w:val="24"/>
          <w:szCs w:val="24"/>
        </w:rPr>
        <w:t xml:space="preserve"> </w:t>
      </w:r>
      <w:r w:rsidR="00277585">
        <w:rPr>
          <w:rFonts w:ascii="Calibri" w:hAnsi="Calibri" w:cs="Calibri"/>
          <w:sz w:val="24"/>
          <w:szCs w:val="24"/>
        </w:rPr>
        <w:t>practitioners</w:t>
      </w:r>
      <w:r w:rsidRPr="004564AE">
        <w:rPr>
          <w:rFonts w:ascii="Calibri" w:hAnsi="Calibri" w:cs="Calibri"/>
          <w:sz w:val="24"/>
          <w:szCs w:val="24"/>
        </w:rPr>
        <w:t xml:space="preserve"> that do</w:t>
      </w:r>
      <w:r w:rsidR="00277585">
        <w:rPr>
          <w:rFonts w:ascii="Calibri" w:hAnsi="Calibri" w:cs="Calibri"/>
          <w:sz w:val="24"/>
          <w:szCs w:val="24"/>
        </w:rPr>
        <w:t xml:space="preserve"> </w:t>
      </w:r>
      <w:r w:rsidRPr="004564AE">
        <w:rPr>
          <w:rFonts w:ascii="Calibri" w:hAnsi="Calibri" w:cs="Calibri"/>
          <w:sz w:val="24"/>
          <w:szCs w:val="24"/>
        </w:rPr>
        <w:t>n</w:t>
      </w:r>
      <w:r w:rsidR="00277585">
        <w:rPr>
          <w:rFonts w:ascii="Calibri" w:hAnsi="Calibri" w:cs="Calibri"/>
          <w:sz w:val="24"/>
          <w:szCs w:val="24"/>
        </w:rPr>
        <w:t>o</w:t>
      </w:r>
      <w:r w:rsidRPr="004564AE">
        <w:rPr>
          <w:rFonts w:ascii="Calibri" w:hAnsi="Calibri" w:cs="Calibri"/>
          <w:sz w:val="24"/>
          <w:szCs w:val="24"/>
        </w:rPr>
        <w:t xml:space="preserve">t meet standards. </w:t>
      </w:r>
      <w:r w:rsidR="00302238" w:rsidRPr="004564AE">
        <w:rPr>
          <w:rFonts w:ascii="Calibri" w:hAnsi="Calibri" w:cs="Calibri"/>
          <w:sz w:val="24"/>
          <w:szCs w:val="24"/>
        </w:rPr>
        <w:t xml:space="preserve">One of the key government </w:t>
      </w:r>
      <w:r w:rsidR="00E847C3" w:rsidRPr="004564AE">
        <w:rPr>
          <w:rFonts w:ascii="Calibri" w:hAnsi="Calibri" w:cs="Calibri"/>
          <w:sz w:val="24"/>
          <w:szCs w:val="24"/>
        </w:rPr>
        <w:t>regulations relevant to complementary therapies was the</w:t>
      </w:r>
      <w:r w:rsidR="00854040" w:rsidRPr="004564AE">
        <w:rPr>
          <w:rFonts w:ascii="Calibri" w:hAnsi="Calibri" w:cs="Calibri"/>
          <w:sz w:val="24"/>
          <w:szCs w:val="24"/>
        </w:rPr>
        <w:t xml:space="preserve"> United Kingdom Central Council</w:t>
      </w:r>
      <w:r w:rsidR="00E847C3" w:rsidRPr="004564AE">
        <w:rPr>
          <w:rFonts w:ascii="Calibri" w:hAnsi="Calibri" w:cs="Calibri"/>
          <w:sz w:val="24"/>
          <w:szCs w:val="24"/>
        </w:rPr>
        <w:t xml:space="preserve"> </w:t>
      </w:r>
      <w:r w:rsidR="00854040" w:rsidRPr="004564AE">
        <w:rPr>
          <w:rFonts w:ascii="Calibri" w:hAnsi="Calibri" w:cs="Calibri"/>
          <w:sz w:val="24"/>
          <w:szCs w:val="24"/>
        </w:rPr>
        <w:t>(</w:t>
      </w:r>
      <w:r w:rsidR="00E847C3" w:rsidRPr="004564AE">
        <w:rPr>
          <w:rFonts w:ascii="Calibri" w:hAnsi="Calibri" w:cs="Calibri"/>
          <w:sz w:val="24"/>
          <w:szCs w:val="24"/>
        </w:rPr>
        <w:t>UKCC</w:t>
      </w:r>
      <w:r w:rsidR="00854040" w:rsidRPr="004564AE">
        <w:rPr>
          <w:rFonts w:ascii="Calibri" w:hAnsi="Calibri" w:cs="Calibri"/>
          <w:sz w:val="24"/>
          <w:szCs w:val="24"/>
        </w:rPr>
        <w:t>)</w:t>
      </w:r>
      <w:r w:rsidR="00E847C3" w:rsidRPr="004564AE">
        <w:rPr>
          <w:rFonts w:ascii="Calibri" w:hAnsi="Calibri" w:cs="Calibri"/>
          <w:sz w:val="24"/>
          <w:szCs w:val="24"/>
        </w:rPr>
        <w:t xml:space="preserve"> Guidelines for professional Practice 1996. The main aims of the paper were to</w:t>
      </w:r>
      <w:r w:rsidR="000A0AFA" w:rsidRPr="004564AE">
        <w:rPr>
          <w:rFonts w:ascii="Calibri" w:hAnsi="Calibri" w:cs="Calibri"/>
          <w:sz w:val="24"/>
          <w:szCs w:val="24"/>
        </w:rPr>
        <w:t xml:space="preserve"> </w:t>
      </w:r>
      <w:r w:rsidR="00E847C3" w:rsidRPr="004564AE">
        <w:rPr>
          <w:rFonts w:ascii="Calibri" w:hAnsi="Calibri" w:cs="Calibri"/>
          <w:sz w:val="24"/>
          <w:szCs w:val="24"/>
        </w:rPr>
        <w:t xml:space="preserve">ensure public safety when using complementary medicine. It made the practitioners accountable for their practice by allowing the public to make complaints against practitioners. </w:t>
      </w:r>
      <w:r w:rsidR="00854040" w:rsidRPr="004564AE">
        <w:rPr>
          <w:rFonts w:ascii="Calibri" w:hAnsi="Calibri" w:cs="Calibri"/>
          <w:sz w:val="24"/>
          <w:szCs w:val="24"/>
        </w:rPr>
        <w:t xml:space="preserve">Practitioners must ensure the public understand the relevance and efficacy of the therapy and the therapy must be justified for the circumstance. Practitioners must be registered with the appropriate authority (where available) and must include this in their advertisement. </w:t>
      </w:r>
      <w:r w:rsidR="00685986" w:rsidRPr="004564AE">
        <w:rPr>
          <w:rFonts w:ascii="Calibri" w:hAnsi="Calibri" w:cs="Calibri"/>
          <w:sz w:val="24"/>
          <w:szCs w:val="24"/>
        </w:rPr>
        <w:t>These regulations by the government clearly are not enough to ensure safe treatment across all therapies</w:t>
      </w:r>
      <w:r w:rsidR="000A0AFA" w:rsidRPr="004564AE">
        <w:rPr>
          <w:rFonts w:ascii="Calibri" w:hAnsi="Calibri" w:cs="Calibri"/>
          <w:sz w:val="24"/>
          <w:szCs w:val="24"/>
        </w:rPr>
        <w:t xml:space="preserve"> as there are many problems still being reported (BBC News, 2016).</w:t>
      </w:r>
    </w:p>
    <w:p w:rsidR="006E5269" w:rsidRPr="004564AE" w:rsidRDefault="00557A93" w:rsidP="004564AE">
      <w:pPr>
        <w:spacing w:line="360" w:lineRule="auto"/>
        <w:rPr>
          <w:rFonts w:ascii="Calibri" w:hAnsi="Calibri" w:cs="Calibri"/>
          <w:sz w:val="24"/>
          <w:szCs w:val="24"/>
        </w:rPr>
      </w:pPr>
      <w:r w:rsidRPr="004564AE">
        <w:rPr>
          <w:rFonts w:ascii="Calibri" w:hAnsi="Calibri" w:cs="Calibri"/>
          <w:sz w:val="24"/>
          <w:szCs w:val="24"/>
        </w:rPr>
        <w:t>WHO (2002) compiled a report to discuss traditional medicine. In this report they discussed</w:t>
      </w:r>
      <w:r w:rsidR="0092384B" w:rsidRPr="004564AE">
        <w:rPr>
          <w:rFonts w:ascii="Calibri" w:hAnsi="Calibri" w:cs="Calibri"/>
          <w:sz w:val="24"/>
          <w:szCs w:val="24"/>
        </w:rPr>
        <w:t xml:space="preserve"> </w:t>
      </w:r>
      <w:r w:rsidR="00997F37" w:rsidRPr="004564AE">
        <w:rPr>
          <w:rFonts w:ascii="Calibri" w:hAnsi="Calibri" w:cs="Calibri"/>
          <w:sz w:val="24"/>
          <w:szCs w:val="24"/>
        </w:rPr>
        <w:t>three</w:t>
      </w:r>
      <w:r w:rsidR="0092384B" w:rsidRPr="004564AE">
        <w:rPr>
          <w:rFonts w:ascii="Calibri" w:hAnsi="Calibri" w:cs="Calibri"/>
          <w:sz w:val="24"/>
          <w:szCs w:val="24"/>
        </w:rPr>
        <w:t xml:space="preserve"> different methods used to manage complementary therapies worldwide.</w:t>
      </w:r>
      <w:r w:rsidR="001C1151" w:rsidRPr="004564AE">
        <w:rPr>
          <w:rFonts w:ascii="Calibri" w:hAnsi="Calibri" w:cs="Calibri"/>
          <w:sz w:val="24"/>
          <w:szCs w:val="24"/>
        </w:rPr>
        <w:t xml:space="preserve"> The first</w:t>
      </w:r>
      <w:r w:rsidR="00277585">
        <w:rPr>
          <w:rFonts w:ascii="Calibri" w:hAnsi="Calibri" w:cs="Calibri"/>
          <w:sz w:val="24"/>
          <w:szCs w:val="24"/>
        </w:rPr>
        <w:t xml:space="preserve"> strategy</w:t>
      </w:r>
      <w:r w:rsidR="001C1151" w:rsidRPr="004564AE">
        <w:rPr>
          <w:rFonts w:ascii="Calibri" w:hAnsi="Calibri" w:cs="Calibri"/>
          <w:sz w:val="24"/>
          <w:szCs w:val="24"/>
        </w:rPr>
        <w:t xml:space="preserve"> is an integrative system</w:t>
      </w:r>
      <w:r w:rsidR="00277585">
        <w:rPr>
          <w:rFonts w:ascii="Calibri" w:hAnsi="Calibri" w:cs="Calibri"/>
          <w:sz w:val="24"/>
          <w:szCs w:val="24"/>
        </w:rPr>
        <w:t>;</w:t>
      </w:r>
      <w:r w:rsidR="001C1151" w:rsidRPr="004564AE">
        <w:rPr>
          <w:rFonts w:ascii="Calibri" w:hAnsi="Calibri" w:cs="Calibri"/>
          <w:sz w:val="24"/>
          <w:szCs w:val="24"/>
        </w:rPr>
        <w:t xml:space="preserve"> </w:t>
      </w:r>
      <w:r w:rsidR="00277585">
        <w:rPr>
          <w:rFonts w:ascii="Calibri" w:hAnsi="Calibri" w:cs="Calibri"/>
          <w:sz w:val="24"/>
          <w:szCs w:val="24"/>
        </w:rPr>
        <w:t>t</w:t>
      </w:r>
      <w:r w:rsidR="001C1151" w:rsidRPr="004564AE">
        <w:rPr>
          <w:rFonts w:ascii="Calibri" w:hAnsi="Calibri" w:cs="Calibri"/>
          <w:sz w:val="24"/>
          <w:szCs w:val="24"/>
        </w:rPr>
        <w:t>his means that complementary medicines are recognised by the government and they are fully integrated in the health care system. They are all fully regulated, available to all public and costs are covered by health insurances. The next system is an inclusive system</w:t>
      </w:r>
      <w:r w:rsidR="00277585">
        <w:rPr>
          <w:rFonts w:ascii="Calibri" w:hAnsi="Calibri" w:cs="Calibri"/>
          <w:sz w:val="24"/>
          <w:szCs w:val="24"/>
        </w:rPr>
        <w:t>; t</w:t>
      </w:r>
      <w:r w:rsidR="001C1151" w:rsidRPr="004564AE">
        <w:rPr>
          <w:rFonts w:ascii="Calibri" w:hAnsi="Calibri" w:cs="Calibri"/>
          <w:sz w:val="24"/>
          <w:szCs w:val="24"/>
        </w:rPr>
        <w:t xml:space="preserve">his is where the government recognises complementary </w:t>
      </w:r>
      <w:r w:rsidR="00997F37" w:rsidRPr="004564AE">
        <w:rPr>
          <w:rFonts w:ascii="Calibri" w:hAnsi="Calibri" w:cs="Calibri"/>
          <w:sz w:val="24"/>
          <w:szCs w:val="24"/>
        </w:rPr>
        <w:t xml:space="preserve">medicine, but it is not fully integrated into the health systems. This can be in the form of lack of training, insurance, education or regulation. However, there will be policy </w:t>
      </w:r>
      <w:r w:rsidR="00997F37" w:rsidRPr="004564AE">
        <w:rPr>
          <w:rFonts w:ascii="Calibri" w:hAnsi="Calibri" w:cs="Calibri"/>
          <w:sz w:val="24"/>
          <w:szCs w:val="24"/>
        </w:rPr>
        <w:lastRenderedPageBreak/>
        <w:t>development underway. This is the level the UK is currently at. The final system is a tolerant system</w:t>
      </w:r>
      <w:r w:rsidR="00277585">
        <w:rPr>
          <w:rFonts w:ascii="Calibri" w:hAnsi="Calibri" w:cs="Calibri"/>
          <w:sz w:val="24"/>
          <w:szCs w:val="24"/>
        </w:rPr>
        <w:t>; t</w:t>
      </w:r>
      <w:r w:rsidRPr="004564AE">
        <w:rPr>
          <w:rFonts w:ascii="Calibri" w:hAnsi="Calibri" w:cs="Calibri"/>
          <w:sz w:val="24"/>
          <w:szCs w:val="24"/>
        </w:rPr>
        <w:t>his is where there is no complementary medicine available in the healthcare system. However, some practices are simply tolerated. Clearly, the best system to have in place would be the integrative system as it allows good access to safe practices.</w:t>
      </w:r>
    </w:p>
    <w:p w:rsidR="000F27B1" w:rsidRPr="004564AE" w:rsidRDefault="00685986" w:rsidP="004564AE">
      <w:pPr>
        <w:spacing w:line="360" w:lineRule="auto"/>
        <w:rPr>
          <w:rFonts w:ascii="Calibri" w:hAnsi="Calibri" w:cs="Calibri"/>
          <w:sz w:val="24"/>
          <w:szCs w:val="24"/>
        </w:rPr>
      </w:pPr>
      <w:r w:rsidRPr="004564AE">
        <w:rPr>
          <w:rFonts w:ascii="Calibri" w:hAnsi="Calibri" w:cs="Calibri"/>
          <w:sz w:val="24"/>
          <w:szCs w:val="24"/>
        </w:rPr>
        <w:t>As explained by Mills (2001) complementary therapists are free to practice as they wish. This means thousands of people practice without any training, regulation or even insurance. When members of the public are interested in finding a therapy, it can be very difficult to understand if those practitioners are qualified and safe. To make this easier, voluntary registers were set up</w:t>
      </w:r>
      <w:r w:rsidR="00BA66C8" w:rsidRPr="004564AE">
        <w:rPr>
          <w:rFonts w:ascii="Calibri" w:hAnsi="Calibri" w:cs="Calibri"/>
          <w:sz w:val="24"/>
          <w:szCs w:val="24"/>
        </w:rPr>
        <w:t xml:space="preserve"> to regulate practice</w:t>
      </w:r>
      <w:r w:rsidRPr="004564AE">
        <w:rPr>
          <w:rFonts w:ascii="Calibri" w:hAnsi="Calibri" w:cs="Calibri"/>
          <w:sz w:val="24"/>
          <w:szCs w:val="24"/>
        </w:rPr>
        <w:t xml:space="preserve">. Practitioners can sign up to these registers to show that they are safe. </w:t>
      </w:r>
      <w:r w:rsidR="00BA66C8" w:rsidRPr="004564AE">
        <w:rPr>
          <w:rFonts w:ascii="Calibri" w:hAnsi="Calibri" w:cs="Calibri"/>
          <w:sz w:val="24"/>
          <w:szCs w:val="24"/>
        </w:rPr>
        <w:t>The Trust, Assurance and Safety – The Regulation of Health Professionals in the 21</w:t>
      </w:r>
      <w:r w:rsidR="00BA66C8" w:rsidRPr="004564AE">
        <w:rPr>
          <w:rFonts w:ascii="Calibri" w:hAnsi="Calibri" w:cs="Calibri"/>
          <w:sz w:val="24"/>
          <w:szCs w:val="24"/>
          <w:vertAlign w:val="superscript"/>
        </w:rPr>
        <w:t>st</w:t>
      </w:r>
      <w:r w:rsidR="00BA66C8" w:rsidRPr="004564AE">
        <w:rPr>
          <w:rFonts w:ascii="Calibri" w:hAnsi="Calibri" w:cs="Calibri"/>
          <w:sz w:val="24"/>
          <w:szCs w:val="24"/>
        </w:rPr>
        <w:t xml:space="preserve"> Century (2007) outlines that medical practices should be controlled by a regulatory body (such as the</w:t>
      </w:r>
      <w:r w:rsidR="00112C2D" w:rsidRPr="004564AE">
        <w:rPr>
          <w:rFonts w:ascii="Calibri" w:hAnsi="Calibri" w:cs="Calibri"/>
          <w:sz w:val="24"/>
          <w:szCs w:val="24"/>
        </w:rPr>
        <w:t xml:space="preserve"> General Regulatory Council for Complementary Therapies (GRCCT)</w:t>
      </w:r>
      <w:r w:rsidR="00BA66C8" w:rsidRPr="004564AE">
        <w:rPr>
          <w:rFonts w:ascii="Calibri" w:hAnsi="Calibri" w:cs="Calibri"/>
          <w:sz w:val="24"/>
          <w:szCs w:val="24"/>
        </w:rPr>
        <w:t xml:space="preserve"> and </w:t>
      </w:r>
      <w:r w:rsidR="00155762" w:rsidRPr="004564AE">
        <w:rPr>
          <w:rFonts w:ascii="Calibri" w:hAnsi="Calibri" w:cs="Calibri"/>
          <w:sz w:val="24"/>
          <w:szCs w:val="24"/>
        </w:rPr>
        <w:t>Complementary and Natural Healthcare Council (</w:t>
      </w:r>
      <w:r w:rsidR="00BA66C8" w:rsidRPr="004564AE">
        <w:rPr>
          <w:rFonts w:ascii="Calibri" w:hAnsi="Calibri" w:cs="Calibri"/>
          <w:sz w:val="24"/>
          <w:szCs w:val="24"/>
        </w:rPr>
        <w:t>CN</w:t>
      </w:r>
      <w:r w:rsidR="00155762" w:rsidRPr="004564AE">
        <w:rPr>
          <w:rFonts w:ascii="Calibri" w:hAnsi="Calibri" w:cs="Calibri"/>
          <w:sz w:val="24"/>
          <w:szCs w:val="24"/>
        </w:rPr>
        <w:t>HC)</w:t>
      </w:r>
      <w:r w:rsidR="00BA66C8" w:rsidRPr="004564AE">
        <w:rPr>
          <w:rFonts w:ascii="Calibri" w:hAnsi="Calibri" w:cs="Calibri"/>
          <w:sz w:val="24"/>
          <w:szCs w:val="24"/>
        </w:rPr>
        <w:t xml:space="preserve"> in this case). It sta</w:t>
      </w:r>
      <w:r w:rsidR="001732CD" w:rsidRPr="004564AE">
        <w:rPr>
          <w:rFonts w:ascii="Calibri" w:hAnsi="Calibri" w:cs="Calibri"/>
          <w:sz w:val="24"/>
          <w:szCs w:val="24"/>
        </w:rPr>
        <w:t>t</w:t>
      </w:r>
      <w:r w:rsidR="00BA66C8" w:rsidRPr="004564AE">
        <w:rPr>
          <w:rFonts w:ascii="Calibri" w:hAnsi="Calibri" w:cs="Calibri"/>
          <w:sz w:val="24"/>
          <w:szCs w:val="24"/>
        </w:rPr>
        <w:t>es that specific bodies may be introduced for therapies such as acupuncture and traditional Chinese medicine. It also explains that regulatory bodies should aim to ensure public safety within their practice and ensure a high level of training and conduct. The GRCCT (2018</w:t>
      </w:r>
      <w:r w:rsidR="00112C2D" w:rsidRPr="004564AE">
        <w:rPr>
          <w:rFonts w:ascii="Calibri" w:hAnsi="Calibri" w:cs="Calibri"/>
          <w:sz w:val="24"/>
          <w:szCs w:val="24"/>
        </w:rPr>
        <w:t>a</w:t>
      </w:r>
      <w:r w:rsidR="00BA66C8" w:rsidRPr="004564AE">
        <w:rPr>
          <w:rFonts w:ascii="Calibri" w:hAnsi="Calibri" w:cs="Calibri"/>
          <w:sz w:val="24"/>
          <w:szCs w:val="24"/>
        </w:rPr>
        <w:t>) explain</w:t>
      </w:r>
      <w:r w:rsidR="001732CD" w:rsidRPr="004564AE">
        <w:rPr>
          <w:rFonts w:ascii="Calibri" w:hAnsi="Calibri" w:cs="Calibri"/>
          <w:sz w:val="24"/>
          <w:szCs w:val="24"/>
        </w:rPr>
        <w:t>s that</w:t>
      </w:r>
      <w:r w:rsidR="00BA66C8" w:rsidRPr="004564AE">
        <w:rPr>
          <w:rFonts w:ascii="Calibri" w:hAnsi="Calibri" w:cs="Calibri"/>
          <w:sz w:val="24"/>
          <w:szCs w:val="24"/>
        </w:rPr>
        <w:t xml:space="preserve"> the professional associations of the different therapies work together under the GRCCT to agree upon standards for treatments and requirements for registration. One of the m</w:t>
      </w:r>
      <w:r w:rsidR="00112C2D" w:rsidRPr="004564AE">
        <w:rPr>
          <w:rFonts w:ascii="Calibri" w:hAnsi="Calibri" w:cs="Calibri"/>
          <w:sz w:val="24"/>
          <w:szCs w:val="24"/>
        </w:rPr>
        <w:t>a</w:t>
      </w:r>
      <w:r w:rsidR="00BA66C8" w:rsidRPr="004564AE">
        <w:rPr>
          <w:rFonts w:ascii="Calibri" w:hAnsi="Calibri" w:cs="Calibri"/>
          <w:sz w:val="24"/>
          <w:szCs w:val="24"/>
        </w:rPr>
        <w:t xml:space="preserve">in ways the GRCCT protects the public is by </w:t>
      </w:r>
      <w:r w:rsidR="00112C2D" w:rsidRPr="004564AE">
        <w:rPr>
          <w:rFonts w:ascii="Calibri" w:hAnsi="Calibri" w:cs="Calibri"/>
          <w:sz w:val="24"/>
          <w:szCs w:val="24"/>
        </w:rPr>
        <w:t>having a complaints department. If the complaint is related to bad practice, the GRCCT has the right to remove the practitioner from the national register. Those on the register must abide by the set code of conduct and ethics. This includes key points such as respecting the patient’s dignity and rights, protecting confidentiality, obtaining consent, treat within their capacity and maintain their knowledge (GRCCT 2018b). They must be held accountable for their practice and follow the GRCCT Complaints Disciplinary Procedures (GRCCT 2018c), b</w:t>
      </w:r>
      <w:r w:rsidR="001732CD" w:rsidRPr="004564AE">
        <w:rPr>
          <w:rFonts w:ascii="Calibri" w:hAnsi="Calibri" w:cs="Calibri"/>
          <w:sz w:val="24"/>
          <w:szCs w:val="24"/>
        </w:rPr>
        <w:t>y</w:t>
      </w:r>
      <w:r w:rsidR="00112C2D" w:rsidRPr="004564AE">
        <w:rPr>
          <w:rFonts w:ascii="Calibri" w:hAnsi="Calibri" w:cs="Calibri"/>
          <w:sz w:val="24"/>
          <w:szCs w:val="24"/>
        </w:rPr>
        <w:t xml:space="preserve"> continuing their professional development by maintaining and improving their </w:t>
      </w:r>
      <w:r w:rsidR="00953882" w:rsidRPr="004564AE">
        <w:rPr>
          <w:rFonts w:ascii="Calibri" w:hAnsi="Calibri" w:cs="Calibri"/>
          <w:sz w:val="24"/>
          <w:szCs w:val="24"/>
        </w:rPr>
        <w:t xml:space="preserve">training and knowledge and must have public liability insurance. </w:t>
      </w:r>
      <w:r w:rsidR="00155762" w:rsidRPr="004564AE">
        <w:rPr>
          <w:rFonts w:ascii="Calibri" w:hAnsi="Calibri" w:cs="Calibri"/>
          <w:sz w:val="24"/>
          <w:szCs w:val="24"/>
        </w:rPr>
        <w:t>It is also important to understand the aims of the CNHC.</w:t>
      </w:r>
    </w:p>
    <w:p w:rsidR="00155762" w:rsidRPr="004564AE" w:rsidRDefault="00155762" w:rsidP="004564AE">
      <w:pPr>
        <w:spacing w:line="360" w:lineRule="auto"/>
        <w:rPr>
          <w:rFonts w:ascii="Calibri" w:hAnsi="Calibri" w:cs="Calibri"/>
          <w:sz w:val="24"/>
          <w:szCs w:val="24"/>
        </w:rPr>
      </w:pPr>
      <w:r w:rsidRPr="004564AE">
        <w:rPr>
          <w:rFonts w:ascii="Calibri" w:hAnsi="Calibri" w:cs="Calibri"/>
          <w:sz w:val="24"/>
          <w:szCs w:val="24"/>
        </w:rPr>
        <w:t xml:space="preserve">The </w:t>
      </w:r>
      <w:r w:rsidR="00653BFE" w:rsidRPr="004564AE">
        <w:rPr>
          <w:rFonts w:ascii="Calibri" w:hAnsi="Calibri" w:cs="Calibri"/>
          <w:sz w:val="24"/>
          <w:szCs w:val="24"/>
        </w:rPr>
        <w:t>CNHC (2017a) explain</w:t>
      </w:r>
      <w:r w:rsidR="006B306D">
        <w:rPr>
          <w:rFonts w:ascii="Calibri" w:hAnsi="Calibri" w:cs="Calibri"/>
          <w:sz w:val="24"/>
          <w:szCs w:val="24"/>
        </w:rPr>
        <w:t>ed</w:t>
      </w:r>
      <w:r w:rsidR="00653BFE" w:rsidRPr="004564AE">
        <w:rPr>
          <w:rFonts w:ascii="Calibri" w:hAnsi="Calibri" w:cs="Calibri"/>
          <w:sz w:val="24"/>
          <w:szCs w:val="24"/>
        </w:rPr>
        <w:t xml:space="preserve"> that they were set up by the government </w:t>
      </w:r>
      <w:r w:rsidR="006A5283" w:rsidRPr="004564AE">
        <w:rPr>
          <w:rFonts w:ascii="Calibri" w:hAnsi="Calibri" w:cs="Calibri"/>
          <w:sz w:val="24"/>
          <w:szCs w:val="24"/>
        </w:rPr>
        <w:t>with a sole purpose to</w:t>
      </w:r>
      <w:r w:rsidR="00653BFE" w:rsidRPr="004564AE">
        <w:rPr>
          <w:rFonts w:ascii="Calibri" w:hAnsi="Calibri" w:cs="Calibri"/>
          <w:sz w:val="24"/>
          <w:szCs w:val="24"/>
        </w:rPr>
        <w:t xml:space="preserve"> protect the public. </w:t>
      </w:r>
      <w:r w:rsidR="00232C6B" w:rsidRPr="004564AE">
        <w:rPr>
          <w:rFonts w:ascii="Calibri" w:hAnsi="Calibri" w:cs="Calibri"/>
          <w:sz w:val="24"/>
          <w:szCs w:val="24"/>
        </w:rPr>
        <w:t xml:space="preserve">Similarly, to the GRCCT, they set standards that practitioners must reach and maintain to be eligible for the register. They also investigate complaints to maintain their effectiveness. </w:t>
      </w:r>
      <w:r w:rsidR="0087109A" w:rsidRPr="004564AE">
        <w:rPr>
          <w:rFonts w:ascii="Calibri" w:hAnsi="Calibri" w:cs="Calibri"/>
          <w:sz w:val="24"/>
          <w:szCs w:val="24"/>
        </w:rPr>
        <w:t xml:space="preserve">Due to being </w:t>
      </w:r>
      <w:r w:rsidR="00983D5D" w:rsidRPr="004564AE">
        <w:rPr>
          <w:rFonts w:ascii="Calibri" w:hAnsi="Calibri" w:cs="Calibri"/>
          <w:sz w:val="24"/>
          <w:szCs w:val="24"/>
        </w:rPr>
        <w:t xml:space="preserve">introduced and controlled by the government, </w:t>
      </w:r>
      <w:r w:rsidR="00983D5D" w:rsidRPr="004564AE">
        <w:rPr>
          <w:rFonts w:ascii="Calibri" w:hAnsi="Calibri" w:cs="Calibri"/>
          <w:sz w:val="24"/>
          <w:szCs w:val="24"/>
        </w:rPr>
        <w:lastRenderedPageBreak/>
        <w:t>they also aim to slowly integrate complementary therapies with orthodox treatments through the NHS. To join the CNHC register, it costs £68 plus £10 for each additional discipline (CNHC 2018) but to join the GRCCT register it costs £35 plus £5 for each additional discipline (GRCCT 2018d). This shows that although they both offer the same services, the government run CNHC aims to make profit, suggesting it may not be the most ethical organisation when compared to the independently run GRCCT.</w:t>
      </w:r>
      <w:r w:rsidR="00982D81" w:rsidRPr="004564AE">
        <w:rPr>
          <w:rFonts w:ascii="Calibri" w:hAnsi="Calibri" w:cs="Calibri"/>
          <w:sz w:val="24"/>
          <w:szCs w:val="24"/>
        </w:rPr>
        <w:t xml:space="preserve"> When a practitioner chooses which </w:t>
      </w:r>
      <w:r w:rsidR="00DE32A3" w:rsidRPr="004564AE">
        <w:rPr>
          <w:rFonts w:ascii="Calibri" w:hAnsi="Calibri" w:cs="Calibri"/>
          <w:sz w:val="24"/>
          <w:szCs w:val="24"/>
        </w:rPr>
        <w:t>organisation to register with, they could be wavered to choose the cheaper option. This is a problem because it may not be the most beneficial choice for their practice.</w:t>
      </w:r>
    </w:p>
    <w:p w:rsidR="00DE32A3" w:rsidRPr="004564AE" w:rsidRDefault="00DE32A3" w:rsidP="004564AE">
      <w:pPr>
        <w:spacing w:line="360" w:lineRule="auto"/>
        <w:rPr>
          <w:rFonts w:ascii="Calibri" w:hAnsi="Calibri" w:cs="Calibri"/>
          <w:sz w:val="24"/>
          <w:szCs w:val="24"/>
        </w:rPr>
      </w:pPr>
      <w:r w:rsidRPr="004564AE">
        <w:rPr>
          <w:rFonts w:ascii="Calibri" w:hAnsi="Calibri" w:cs="Calibri"/>
          <w:sz w:val="24"/>
          <w:szCs w:val="24"/>
        </w:rPr>
        <w:t>Another key difference between the CNHC and the GRCCT is that the CNHC only register practitioners of fifteen different professions, whereas the GRCCT will register practitioners of all recognised complementary therapies. The CNHC regulate the following therapies: Alexander Technique, Aromatherapy, Bowen Therapy, Craniosacral Therapy, Healing, Hypnotherapy, Massage Therapy, Microsystems Acupuncture, Naturopathy, Nutritional Therapy, Reflexology, Reiki, Shiatsu, Sports Therapy and Yoga Therapy (CNHC 2017c).</w:t>
      </w:r>
      <w:r w:rsidR="00BE25C5" w:rsidRPr="004564AE">
        <w:rPr>
          <w:rFonts w:ascii="Calibri" w:hAnsi="Calibri" w:cs="Calibri"/>
          <w:sz w:val="24"/>
          <w:szCs w:val="24"/>
        </w:rPr>
        <w:t xml:space="preserve"> This is an advantage for the CNHC as they are a little more specialised than the GRCCT because they focus on few</w:t>
      </w:r>
      <w:r w:rsidR="006B306D">
        <w:rPr>
          <w:rFonts w:ascii="Calibri" w:hAnsi="Calibri" w:cs="Calibri"/>
          <w:sz w:val="24"/>
          <w:szCs w:val="24"/>
        </w:rPr>
        <w:t>er</w:t>
      </w:r>
      <w:r w:rsidR="00BE25C5" w:rsidRPr="004564AE">
        <w:rPr>
          <w:rFonts w:ascii="Calibri" w:hAnsi="Calibri" w:cs="Calibri"/>
          <w:sz w:val="24"/>
          <w:szCs w:val="24"/>
        </w:rPr>
        <w:t xml:space="preserve"> therapies.</w:t>
      </w:r>
      <w:r w:rsidR="007E7276" w:rsidRPr="004564AE">
        <w:rPr>
          <w:rFonts w:ascii="Calibri" w:hAnsi="Calibri" w:cs="Calibri"/>
          <w:sz w:val="24"/>
          <w:szCs w:val="24"/>
        </w:rPr>
        <w:t xml:space="preserve"> These therapies are often used in conjunction with each other.</w:t>
      </w:r>
      <w:r w:rsidR="00BE25C5" w:rsidRPr="004564AE">
        <w:rPr>
          <w:rFonts w:ascii="Calibri" w:hAnsi="Calibri" w:cs="Calibri"/>
          <w:sz w:val="24"/>
          <w:szCs w:val="24"/>
        </w:rPr>
        <w:t xml:space="preserve"> This means that their policies and procedures are likely to be more relevant to the right practitioners rather than having umbrella policies and procedures that may not be relevant to all on the GRCCT register. However, this could also be a problem because a naturopath has the option to choose between the two regulatory bodies and are likely to choose the cheaper option, which again may not lead to the best level of practice. </w:t>
      </w:r>
    </w:p>
    <w:p w:rsidR="00DA7FE4" w:rsidRPr="004564AE" w:rsidRDefault="00727877" w:rsidP="004564AE">
      <w:pPr>
        <w:spacing w:line="360" w:lineRule="auto"/>
        <w:rPr>
          <w:rFonts w:ascii="Calibri" w:hAnsi="Calibri" w:cs="Calibri"/>
          <w:sz w:val="24"/>
          <w:szCs w:val="24"/>
        </w:rPr>
      </w:pPr>
      <w:r w:rsidRPr="004564AE">
        <w:rPr>
          <w:rFonts w:ascii="Calibri" w:hAnsi="Calibri" w:cs="Calibri"/>
          <w:sz w:val="24"/>
          <w:szCs w:val="24"/>
        </w:rPr>
        <w:t>The CNHC released a paper outlining their strategic objectives of 2017. It revises the key purpose of the organisation in acting in public interest and ensuring the accountability of the practitioners that it registers.</w:t>
      </w:r>
      <w:r w:rsidR="00500FE4" w:rsidRPr="004564AE">
        <w:rPr>
          <w:rFonts w:ascii="Calibri" w:hAnsi="Calibri" w:cs="Calibri"/>
          <w:sz w:val="24"/>
          <w:szCs w:val="24"/>
        </w:rPr>
        <w:t xml:space="preserve"> The paper describes the need to ensure public confidence in their standard of care, the need for awareness of their standards</w:t>
      </w:r>
      <w:r w:rsidR="00165AC2" w:rsidRPr="004564AE">
        <w:rPr>
          <w:rFonts w:ascii="Calibri" w:hAnsi="Calibri" w:cs="Calibri"/>
          <w:sz w:val="24"/>
          <w:szCs w:val="24"/>
        </w:rPr>
        <w:t>, to ensure their database and organisational structure is fit for purpose and that complaints are dealt with in a proper manner. Considering these were the aims of an organisation going into their 9</w:t>
      </w:r>
      <w:r w:rsidR="00165AC2" w:rsidRPr="004564AE">
        <w:rPr>
          <w:rFonts w:ascii="Calibri" w:hAnsi="Calibri" w:cs="Calibri"/>
          <w:sz w:val="24"/>
          <w:szCs w:val="24"/>
          <w:vertAlign w:val="superscript"/>
        </w:rPr>
        <w:t>th</w:t>
      </w:r>
      <w:r w:rsidR="00165AC2" w:rsidRPr="004564AE">
        <w:rPr>
          <w:rFonts w:ascii="Calibri" w:hAnsi="Calibri" w:cs="Calibri"/>
          <w:sz w:val="24"/>
          <w:szCs w:val="24"/>
        </w:rPr>
        <w:t xml:space="preserve"> year running, they are undeveloped and seem to be behind in comparison to current expert recommendations that all therapies need to be regulated individually </w:t>
      </w:r>
      <w:r w:rsidR="00BE25C5" w:rsidRPr="004564AE">
        <w:rPr>
          <w:rFonts w:ascii="Calibri" w:hAnsi="Calibri" w:cs="Calibri"/>
          <w:sz w:val="24"/>
          <w:szCs w:val="24"/>
        </w:rPr>
        <w:t>to</w:t>
      </w:r>
      <w:r w:rsidR="00165AC2" w:rsidRPr="004564AE">
        <w:rPr>
          <w:rFonts w:ascii="Calibri" w:hAnsi="Calibri" w:cs="Calibri"/>
          <w:sz w:val="24"/>
          <w:szCs w:val="24"/>
        </w:rPr>
        <w:t xml:space="preserve"> protect the public in a more efficient manner (</w:t>
      </w:r>
      <w:proofErr w:type="spellStart"/>
      <w:r w:rsidR="00165AC2" w:rsidRPr="004564AE">
        <w:rPr>
          <w:rFonts w:ascii="Calibri" w:hAnsi="Calibri" w:cs="Calibri"/>
          <w:sz w:val="24"/>
          <w:szCs w:val="24"/>
        </w:rPr>
        <w:t>Wie</w:t>
      </w:r>
      <w:r w:rsidR="00574DE3" w:rsidRPr="004564AE">
        <w:rPr>
          <w:rFonts w:ascii="Calibri" w:hAnsi="Calibri" w:cs="Calibri"/>
          <w:sz w:val="24"/>
          <w:szCs w:val="24"/>
        </w:rPr>
        <w:t>sener</w:t>
      </w:r>
      <w:proofErr w:type="spellEnd"/>
      <w:r w:rsidR="00574DE3" w:rsidRPr="004564AE">
        <w:rPr>
          <w:rFonts w:ascii="Calibri" w:hAnsi="Calibri" w:cs="Calibri"/>
          <w:sz w:val="24"/>
          <w:szCs w:val="24"/>
        </w:rPr>
        <w:t xml:space="preserve">, 2013). This view is also shared by (Mills, 2001). </w:t>
      </w:r>
    </w:p>
    <w:p w:rsidR="00727877" w:rsidRPr="004564AE" w:rsidRDefault="00AD6C10" w:rsidP="004564AE">
      <w:pPr>
        <w:spacing w:line="360" w:lineRule="auto"/>
        <w:rPr>
          <w:rFonts w:ascii="Calibri" w:hAnsi="Calibri" w:cs="Calibri"/>
          <w:sz w:val="24"/>
          <w:szCs w:val="24"/>
        </w:rPr>
      </w:pPr>
      <w:r w:rsidRPr="004564AE">
        <w:rPr>
          <w:rFonts w:ascii="Calibri" w:hAnsi="Calibri" w:cs="Calibri"/>
          <w:sz w:val="24"/>
          <w:szCs w:val="24"/>
        </w:rPr>
        <w:lastRenderedPageBreak/>
        <w:t xml:space="preserve">The GRCCT (2018e) explain statutory regulation as where some professions are directly regulated by law. This means it is illegal to practice in these professions without all the correct certification and registrations. Some examples of these are the Nursing and Midwifery Council, General Medical Council and more importantly General Osteopathic Council </w:t>
      </w:r>
      <w:r w:rsidR="003B30BF" w:rsidRPr="004564AE">
        <w:rPr>
          <w:rFonts w:ascii="Calibri" w:hAnsi="Calibri" w:cs="Calibri"/>
          <w:sz w:val="24"/>
          <w:szCs w:val="24"/>
        </w:rPr>
        <w:t xml:space="preserve">(GOC) </w:t>
      </w:r>
      <w:r w:rsidRPr="004564AE">
        <w:rPr>
          <w:rFonts w:ascii="Calibri" w:hAnsi="Calibri" w:cs="Calibri"/>
          <w:sz w:val="24"/>
          <w:szCs w:val="24"/>
        </w:rPr>
        <w:t>and General Chiropractic Council</w:t>
      </w:r>
      <w:r w:rsidR="003B30BF" w:rsidRPr="004564AE">
        <w:rPr>
          <w:rFonts w:ascii="Calibri" w:hAnsi="Calibri" w:cs="Calibri"/>
          <w:sz w:val="24"/>
          <w:szCs w:val="24"/>
        </w:rPr>
        <w:t xml:space="preserve"> (GCC)</w:t>
      </w:r>
      <w:r w:rsidRPr="004564AE">
        <w:rPr>
          <w:rFonts w:ascii="Calibri" w:hAnsi="Calibri" w:cs="Calibri"/>
          <w:sz w:val="24"/>
          <w:szCs w:val="24"/>
        </w:rPr>
        <w:t>.</w:t>
      </w:r>
      <w:r w:rsidR="00DD4108" w:rsidRPr="004564AE">
        <w:rPr>
          <w:rFonts w:ascii="Calibri" w:hAnsi="Calibri" w:cs="Calibri"/>
          <w:sz w:val="24"/>
          <w:szCs w:val="24"/>
        </w:rPr>
        <w:t xml:space="preserve"> An article by PR Newswire (2010) explains that CNHC should be given statutory power. The article suggests that statutory power is the best way to safeguard the public as it forces practitioners to work in a safe manner. They provide a case study in which someone was prescribed a toxic herbal product that led to cancer from an unqualified practitioner. With the right powers, incidents like this could be avoided.</w:t>
      </w:r>
    </w:p>
    <w:p w:rsidR="00164D68" w:rsidRPr="004564AE" w:rsidRDefault="003B30BF" w:rsidP="004564AE">
      <w:pPr>
        <w:spacing w:line="360" w:lineRule="auto"/>
        <w:rPr>
          <w:rFonts w:ascii="Calibri" w:hAnsi="Calibri" w:cs="Calibri"/>
          <w:sz w:val="24"/>
          <w:szCs w:val="24"/>
        </w:rPr>
      </w:pPr>
      <w:r w:rsidRPr="004564AE">
        <w:rPr>
          <w:rFonts w:ascii="Calibri" w:hAnsi="Calibri" w:cs="Calibri"/>
          <w:sz w:val="24"/>
          <w:szCs w:val="24"/>
        </w:rPr>
        <w:t xml:space="preserve">The GOC and the GCC have very similar roles and aims as the GRCCT and the CNHC; they aim to protect the public from malpractice in their area of treatment. </w:t>
      </w:r>
      <w:r w:rsidR="00164D68" w:rsidRPr="004564AE">
        <w:rPr>
          <w:rFonts w:ascii="Calibri" w:hAnsi="Calibri" w:cs="Calibri"/>
          <w:sz w:val="24"/>
          <w:szCs w:val="24"/>
        </w:rPr>
        <w:t>Because it is statutory regulation, anyone who wants to practice as a chiropractic or osteopathic must be registered with their subsequent councils</w:t>
      </w:r>
      <w:r w:rsidR="003F349C" w:rsidRPr="004564AE">
        <w:rPr>
          <w:rFonts w:ascii="Calibri" w:hAnsi="Calibri" w:cs="Calibri"/>
          <w:sz w:val="24"/>
          <w:szCs w:val="24"/>
        </w:rPr>
        <w:t xml:space="preserve"> (GCC 2013, GOC 2018</w:t>
      </w:r>
      <w:r w:rsidR="002D5486" w:rsidRPr="004564AE">
        <w:rPr>
          <w:rFonts w:ascii="Calibri" w:hAnsi="Calibri" w:cs="Calibri"/>
          <w:sz w:val="24"/>
          <w:szCs w:val="24"/>
        </w:rPr>
        <w:t>a</w:t>
      </w:r>
      <w:r w:rsidR="003F349C" w:rsidRPr="004564AE">
        <w:rPr>
          <w:rFonts w:ascii="Calibri" w:hAnsi="Calibri" w:cs="Calibri"/>
          <w:sz w:val="24"/>
          <w:szCs w:val="24"/>
        </w:rPr>
        <w:t>)</w:t>
      </w:r>
      <w:r w:rsidR="00164D68" w:rsidRPr="004564AE">
        <w:rPr>
          <w:rFonts w:ascii="Calibri" w:hAnsi="Calibri" w:cs="Calibri"/>
          <w:sz w:val="24"/>
          <w:szCs w:val="24"/>
        </w:rPr>
        <w:t xml:space="preserve">. As shown in the Health Care and Associated Professions (Indemnity Arrangements) Order 2014, </w:t>
      </w:r>
    </w:p>
    <w:p w:rsidR="003B30BF" w:rsidRPr="004564AE" w:rsidRDefault="00164D68" w:rsidP="004564AE">
      <w:pPr>
        <w:spacing w:line="360" w:lineRule="auto"/>
        <w:rPr>
          <w:rFonts w:ascii="Calibri" w:hAnsi="Calibri" w:cs="Calibri"/>
          <w:sz w:val="24"/>
          <w:szCs w:val="24"/>
        </w:rPr>
      </w:pPr>
      <w:r w:rsidRPr="004564AE">
        <w:rPr>
          <w:rFonts w:ascii="Calibri" w:hAnsi="Calibri" w:cs="Calibri"/>
          <w:sz w:val="24"/>
          <w:szCs w:val="24"/>
        </w:rPr>
        <w:t>“A registered osteopath who practices as such must have in force in relation to him an indemnity arrangement which provides appropriate cover…” (s37)</w:t>
      </w:r>
    </w:p>
    <w:p w:rsidR="00164D68" w:rsidRPr="004564AE" w:rsidRDefault="00164D68" w:rsidP="004564AE">
      <w:pPr>
        <w:spacing w:line="360" w:lineRule="auto"/>
        <w:rPr>
          <w:rFonts w:ascii="Calibri" w:hAnsi="Calibri" w:cs="Calibri"/>
          <w:sz w:val="24"/>
          <w:szCs w:val="24"/>
        </w:rPr>
      </w:pPr>
      <w:r w:rsidRPr="004564AE">
        <w:rPr>
          <w:rFonts w:ascii="Calibri" w:hAnsi="Calibri" w:cs="Calibri"/>
          <w:sz w:val="24"/>
          <w:szCs w:val="24"/>
        </w:rPr>
        <w:t xml:space="preserve">An indemnity arrangement is essentially taking out the right insurance policy. They need to protect themselves as the practitioner and the safety of their service users. This means that if anything goes wrong, they are both covered. The section of the act also discussed osteopaths, which has </w:t>
      </w:r>
      <w:r w:rsidR="00D744FF" w:rsidRPr="004564AE">
        <w:rPr>
          <w:rFonts w:ascii="Calibri" w:hAnsi="Calibri" w:cs="Calibri"/>
          <w:sz w:val="24"/>
          <w:szCs w:val="24"/>
        </w:rPr>
        <w:t>the same</w:t>
      </w:r>
      <w:r w:rsidRPr="004564AE">
        <w:rPr>
          <w:rFonts w:ascii="Calibri" w:hAnsi="Calibri" w:cs="Calibri"/>
          <w:sz w:val="24"/>
          <w:szCs w:val="24"/>
        </w:rPr>
        <w:t xml:space="preserve"> rules.</w:t>
      </w:r>
      <w:r w:rsidR="007E7276" w:rsidRPr="004564AE">
        <w:rPr>
          <w:rFonts w:ascii="Calibri" w:hAnsi="Calibri" w:cs="Calibri"/>
          <w:sz w:val="24"/>
          <w:szCs w:val="24"/>
        </w:rPr>
        <w:t xml:space="preserve"> Both professions have other strict regulations.</w:t>
      </w:r>
    </w:p>
    <w:p w:rsidR="00D744FF" w:rsidRPr="004564AE" w:rsidRDefault="002D5486" w:rsidP="004564AE">
      <w:pPr>
        <w:spacing w:line="360" w:lineRule="auto"/>
        <w:rPr>
          <w:rFonts w:ascii="Calibri" w:hAnsi="Calibri" w:cs="Calibri"/>
          <w:sz w:val="24"/>
          <w:szCs w:val="24"/>
        </w:rPr>
      </w:pPr>
      <w:r w:rsidRPr="004564AE">
        <w:rPr>
          <w:rFonts w:ascii="Calibri" w:hAnsi="Calibri" w:cs="Calibri"/>
          <w:sz w:val="24"/>
          <w:szCs w:val="24"/>
        </w:rPr>
        <w:t xml:space="preserve">As shown by the GOC (2018b), all those osteopaths registered with the GOC must undertake continuing professional development programmes. Under this programme, they must partake in at least 30 hours of CPD every year. Of these 30 hours, at least 15 must be with others. This is because most osteopaths work alone within their practices; meaning working with others allows them to exchange information with their peers and allows for a better level of learning. The CPD involves some combination of lectures, courses, individual study and practical sessions to name a few. They can also opt to take a post graduate course to further their specialities such as osteopathy on children. </w:t>
      </w:r>
      <w:r w:rsidR="00B74FCA" w:rsidRPr="004564AE">
        <w:rPr>
          <w:rFonts w:ascii="Calibri" w:hAnsi="Calibri" w:cs="Calibri"/>
          <w:sz w:val="24"/>
          <w:szCs w:val="24"/>
        </w:rPr>
        <w:t xml:space="preserve">Once they have completed an aspect of their CPD, they </w:t>
      </w:r>
      <w:r w:rsidR="00982D81" w:rsidRPr="004564AE">
        <w:rPr>
          <w:rFonts w:ascii="Calibri" w:hAnsi="Calibri" w:cs="Calibri"/>
          <w:sz w:val="24"/>
          <w:szCs w:val="24"/>
        </w:rPr>
        <w:t>must</w:t>
      </w:r>
      <w:r w:rsidR="00B74FCA" w:rsidRPr="004564AE">
        <w:rPr>
          <w:rFonts w:ascii="Calibri" w:hAnsi="Calibri" w:cs="Calibri"/>
          <w:sz w:val="24"/>
          <w:szCs w:val="24"/>
        </w:rPr>
        <w:t xml:space="preserve"> show evidence to the GOC for it to be accepted. For example, </w:t>
      </w:r>
      <w:r w:rsidR="00B74FCA" w:rsidRPr="004564AE">
        <w:rPr>
          <w:rFonts w:ascii="Calibri" w:hAnsi="Calibri" w:cs="Calibri"/>
          <w:sz w:val="24"/>
          <w:szCs w:val="24"/>
        </w:rPr>
        <w:lastRenderedPageBreak/>
        <w:t xml:space="preserve">after attending a lecture, they must send off to the GOC proof of attendance and lecture notes (GOC 2018c). </w:t>
      </w:r>
      <w:r w:rsidR="00281B87" w:rsidRPr="004564AE">
        <w:rPr>
          <w:rFonts w:ascii="Calibri" w:hAnsi="Calibri" w:cs="Calibri"/>
          <w:sz w:val="24"/>
          <w:szCs w:val="24"/>
        </w:rPr>
        <w:t>Taylor et al (2012) explain that although not all forms of CPD are beneficial, most will benefit the learning of those involved, allowing them to improve their practice.</w:t>
      </w:r>
      <w:r w:rsidR="00B74FCA" w:rsidRPr="004564AE">
        <w:rPr>
          <w:rFonts w:ascii="Calibri" w:hAnsi="Calibri" w:cs="Calibri"/>
          <w:sz w:val="24"/>
          <w:szCs w:val="24"/>
        </w:rPr>
        <w:t xml:space="preserve"> Improving their practice enables safer care for the public because the practitioners have a better and more up to date understanding of risks, how to manage them and how to avoid them. It ensures nobody is practicing without </w:t>
      </w:r>
      <w:r w:rsidR="00982D81" w:rsidRPr="004564AE">
        <w:rPr>
          <w:rFonts w:ascii="Calibri" w:hAnsi="Calibri" w:cs="Calibri"/>
          <w:sz w:val="24"/>
          <w:szCs w:val="24"/>
        </w:rPr>
        <w:t>knowledge of regulations and the most up to date procedures.</w:t>
      </w:r>
      <w:r w:rsidR="007E7276" w:rsidRPr="004564AE">
        <w:rPr>
          <w:rFonts w:ascii="Calibri" w:hAnsi="Calibri" w:cs="Calibri"/>
          <w:sz w:val="24"/>
          <w:szCs w:val="24"/>
        </w:rPr>
        <w:t xml:space="preserve"> </w:t>
      </w:r>
    </w:p>
    <w:p w:rsidR="00152698" w:rsidRPr="004564AE" w:rsidRDefault="00152698" w:rsidP="004564AE">
      <w:pPr>
        <w:spacing w:line="360" w:lineRule="auto"/>
        <w:rPr>
          <w:rFonts w:ascii="Calibri" w:hAnsi="Calibri" w:cs="Calibri"/>
          <w:sz w:val="24"/>
          <w:szCs w:val="24"/>
        </w:rPr>
      </w:pPr>
      <w:r w:rsidRPr="004564AE">
        <w:rPr>
          <w:rFonts w:ascii="Calibri" w:hAnsi="Calibri" w:cs="Calibri"/>
          <w:sz w:val="24"/>
          <w:szCs w:val="24"/>
        </w:rPr>
        <w:t xml:space="preserve">As explained by Lister (2010) the Prince of Wales founded a </w:t>
      </w:r>
      <w:r w:rsidR="00970C6E" w:rsidRPr="004564AE">
        <w:rPr>
          <w:rFonts w:ascii="Calibri" w:hAnsi="Calibri" w:cs="Calibri"/>
          <w:sz w:val="24"/>
          <w:szCs w:val="24"/>
        </w:rPr>
        <w:t xml:space="preserve">charity called the Prince’s Foundation for Integrated Health in 1993. </w:t>
      </w:r>
      <w:r w:rsidR="00E319B5" w:rsidRPr="004564AE">
        <w:rPr>
          <w:rFonts w:ascii="Calibri" w:hAnsi="Calibri" w:cs="Calibri"/>
          <w:sz w:val="24"/>
          <w:szCs w:val="24"/>
        </w:rPr>
        <w:t>The article describes the charity being shut down. The charity was planning closure, but the date was brought forward due to a criminal enquiry. It was discovered that around £300,000 of funds were going unaccounted for</w:t>
      </w:r>
      <w:r w:rsidR="00B14E68" w:rsidRPr="004564AE">
        <w:rPr>
          <w:rFonts w:ascii="Calibri" w:hAnsi="Calibri" w:cs="Calibri"/>
          <w:sz w:val="24"/>
          <w:szCs w:val="24"/>
        </w:rPr>
        <w:t>. Despite these issues,</w:t>
      </w:r>
      <w:r w:rsidR="00E319B5" w:rsidRPr="004564AE">
        <w:rPr>
          <w:rFonts w:ascii="Calibri" w:hAnsi="Calibri" w:cs="Calibri"/>
          <w:sz w:val="24"/>
          <w:szCs w:val="24"/>
        </w:rPr>
        <w:t xml:space="preserve"> </w:t>
      </w:r>
      <w:r w:rsidR="00B14E68" w:rsidRPr="004564AE">
        <w:rPr>
          <w:rFonts w:ascii="Calibri" w:hAnsi="Calibri" w:cs="Calibri"/>
          <w:sz w:val="24"/>
          <w:szCs w:val="24"/>
        </w:rPr>
        <w:t>t</w:t>
      </w:r>
      <w:r w:rsidR="00970C6E" w:rsidRPr="004564AE">
        <w:rPr>
          <w:rFonts w:ascii="Calibri" w:hAnsi="Calibri" w:cs="Calibri"/>
          <w:sz w:val="24"/>
          <w:szCs w:val="24"/>
        </w:rPr>
        <w:t xml:space="preserve">hose involved in the charity said that the foundation </w:t>
      </w:r>
      <w:r w:rsidR="00B14E68" w:rsidRPr="004564AE">
        <w:rPr>
          <w:rFonts w:ascii="Calibri" w:hAnsi="Calibri" w:cs="Calibri"/>
          <w:sz w:val="24"/>
          <w:szCs w:val="24"/>
        </w:rPr>
        <w:t xml:space="preserve">had already </w:t>
      </w:r>
      <w:r w:rsidR="00970C6E" w:rsidRPr="004564AE">
        <w:rPr>
          <w:rFonts w:ascii="Calibri" w:hAnsi="Calibri" w:cs="Calibri"/>
          <w:sz w:val="24"/>
          <w:szCs w:val="24"/>
        </w:rPr>
        <w:t xml:space="preserve">achieved their key objectives </w:t>
      </w:r>
      <w:r w:rsidR="00E319B5" w:rsidRPr="004564AE">
        <w:rPr>
          <w:rFonts w:ascii="Calibri" w:hAnsi="Calibri" w:cs="Calibri"/>
          <w:sz w:val="24"/>
          <w:szCs w:val="24"/>
        </w:rPr>
        <w:t>of promoting the use of complementary medicine.</w:t>
      </w:r>
      <w:r w:rsidR="00B14E68" w:rsidRPr="004564AE">
        <w:rPr>
          <w:rFonts w:ascii="Calibri" w:hAnsi="Calibri" w:cs="Calibri"/>
          <w:sz w:val="24"/>
          <w:szCs w:val="24"/>
        </w:rPr>
        <w:t xml:space="preserve"> During the period of which this charity ran, complementary medicine had begun to be integrated into healthcare. Then in 2008, the CNHC was introduced rendering the organisation unnecessary. Lister believed that the foundation kick started the regulation of complementary medicine by bringing together groups of professionals and specialists</w:t>
      </w:r>
      <w:r w:rsidR="00C640EB">
        <w:rPr>
          <w:rFonts w:ascii="Calibri" w:hAnsi="Calibri" w:cs="Calibri"/>
          <w:sz w:val="24"/>
          <w:szCs w:val="24"/>
        </w:rPr>
        <w:t xml:space="preserve"> to</w:t>
      </w:r>
      <w:r w:rsidR="00B14E68" w:rsidRPr="004564AE">
        <w:rPr>
          <w:rFonts w:ascii="Calibri" w:hAnsi="Calibri" w:cs="Calibri"/>
          <w:sz w:val="24"/>
          <w:szCs w:val="24"/>
        </w:rPr>
        <w:t xml:space="preserve"> establish</w:t>
      </w:r>
      <w:bookmarkStart w:id="0" w:name="_GoBack"/>
      <w:bookmarkEnd w:id="0"/>
      <w:r w:rsidR="00B14E68" w:rsidRPr="004564AE">
        <w:rPr>
          <w:rFonts w:ascii="Calibri" w:hAnsi="Calibri" w:cs="Calibri"/>
          <w:sz w:val="24"/>
          <w:szCs w:val="24"/>
        </w:rPr>
        <w:t xml:space="preserve"> strong networks.</w:t>
      </w:r>
    </w:p>
    <w:p w:rsidR="00A1022C" w:rsidRPr="004564AE" w:rsidRDefault="00A1022C" w:rsidP="004564AE">
      <w:pPr>
        <w:spacing w:line="360" w:lineRule="auto"/>
        <w:rPr>
          <w:rFonts w:ascii="Calibri" w:hAnsi="Calibri" w:cs="Calibri"/>
          <w:sz w:val="24"/>
          <w:szCs w:val="24"/>
        </w:rPr>
      </w:pPr>
      <w:r w:rsidRPr="004564AE">
        <w:rPr>
          <w:rFonts w:ascii="Calibri" w:hAnsi="Calibri" w:cs="Calibri"/>
          <w:sz w:val="24"/>
          <w:szCs w:val="24"/>
        </w:rPr>
        <w:t>Another component of c</w:t>
      </w:r>
      <w:r w:rsidR="00585E67" w:rsidRPr="004564AE">
        <w:rPr>
          <w:rFonts w:ascii="Calibri" w:hAnsi="Calibri" w:cs="Calibri"/>
          <w:sz w:val="24"/>
          <w:szCs w:val="24"/>
        </w:rPr>
        <w:t xml:space="preserve">omplementary medicine to consider is the products. It is also important to regulate these products </w:t>
      </w:r>
      <w:r w:rsidR="002F4F3A" w:rsidRPr="004564AE">
        <w:rPr>
          <w:rFonts w:ascii="Calibri" w:hAnsi="Calibri" w:cs="Calibri"/>
          <w:sz w:val="24"/>
          <w:szCs w:val="24"/>
        </w:rPr>
        <w:t>as misrepresentation is very easy. For example, they could easily contain dangerous chemicals, or nothing at all. In 2014, the World Health Organisation (WHO) released a report that reviewed traditional medicine. In this report, they stated that most of their member states regulate products. These regulations aim to protect consumer health by ensuring medicines are safe to use and of the highest quality. One of the key problems with this is that because it is such an international business, products are often made in one country and sold in another (which may have different quality control standards)</w:t>
      </w:r>
      <w:r w:rsidR="00AA0E92" w:rsidRPr="004564AE">
        <w:rPr>
          <w:rFonts w:ascii="Calibri" w:hAnsi="Calibri" w:cs="Calibri"/>
          <w:sz w:val="24"/>
          <w:szCs w:val="24"/>
        </w:rPr>
        <w:t xml:space="preserve"> (WHO 2013)</w:t>
      </w:r>
      <w:r w:rsidR="002F4F3A" w:rsidRPr="004564AE">
        <w:rPr>
          <w:rFonts w:ascii="Calibri" w:hAnsi="Calibri" w:cs="Calibri"/>
          <w:sz w:val="24"/>
          <w:szCs w:val="24"/>
        </w:rPr>
        <w:t>.</w:t>
      </w:r>
      <w:r w:rsidR="00AA0E92" w:rsidRPr="004564AE">
        <w:rPr>
          <w:rFonts w:ascii="Calibri" w:hAnsi="Calibri" w:cs="Calibri"/>
          <w:sz w:val="24"/>
          <w:szCs w:val="24"/>
        </w:rPr>
        <w:t xml:space="preserve"> In 2006 WHO formed a committee called the International Regulatory Cooperation on Herbal Medicine (IRCH). Regulatory bodies on a national/regional/sub-regional level can apply for membership if they are responsible for regulation of herbal medicine (WHO 2018). It is a good idea to have regulation on an international level as it allows professionals to discuss and compare information across different countries to gain a wider understanding. </w:t>
      </w:r>
    </w:p>
    <w:p w:rsidR="00BE25C5" w:rsidRPr="004564AE" w:rsidRDefault="0021418E" w:rsidP="004564AE">
      <w:pPr>
        <w:spacing w:line="360" w:lineRule="auto"/>
        <w:rPr>
          <w:rFonts w:ascii="Calibri" w:hAnsi="Calibri" w:cs="Calibri"/>
          <w:sz w:val="24"/>
          <w:szCs w:val="24"/>
        </w:rPr>
      </w:pPr>
      <w:r w:rsidRPr="004564AE">
        <w:rPr>
          <w:rFonts w:ascii="Calibri" w:hAnsi="Calibri" w:cs="Calibri"/>
          <w:sz w:val="24"/>
          <w:szCs w:val="24"/>
        </w:rPr>
        <w:lastRenderedPageBreak/>
        <w:t>Dixon (2008) wrote a Kings Fund report which review</w:t>
      </w:r>
      <w:r w:rsidR="00674485" w:rsidRPr="004564AE">
        <w:rPr>
          <w:rFonts w:ascii="Calibri" w:hAnsi="Calibri" w:cs="Calibri"/>
          <w:sz w:val="24"/>
          <w:szCs w:val="24"/>
        </w:rPr>
        <w:t>ed the regulations of complementary therapies on an international scale. The paper discusses several WHO reports and national studies to show a larger perspective on the issue.</w:t>
      </w:r>
      <w:r w:rsidR="00B37792" w:rsidRPr="004564AE">
        <w:rPr>
          <w:rFonts w:ascii="Calibri" w:hAnsi="Calibri" w:cs="Calibri"/>
          <w:sz w:val="24"/>
          <w:szCs w:val="24"/>
        </w:rPr>
        <w:t xml:space="preserve"> The qualifications</w:t>
      </w:r>
      <w:r w:rsidR="00F65CA3" w:rsidRPr="004564AE">
        <w:rPr>
          <w:rFonts w:ascii="Calibri" w:hAnsi="Calibri" w:cs="Calibri"/>
          <w:sz w:val="24"/>
          <w:szCs w:val="24"/>
        </w:rPr>
        <w:t xml:space="preserve"> available to practitioners vary widely ranging from weekend courses to five-year degrees and different countries have different requirements. This is a problem because </w:t>
      </w:r>
      <w:r w:rsidR="000F0702" w:rsidRPr="004564AE">
        <w:rPr>
          <w:rFonts w:ascii="Calibri" w:hAnsi="Calibri" w:cs="Calibri"/>
          <w:sz w:val="24"/>
          <w:szCs w:val="24"/>
        </w:rPr>
        <w:t>these qualifications</w:t>
      </w:r>
      <w:r w:rsidR="00F65CA3" w:rsidRPr="004564AE">
        <w:rPr>
          <w:rFonts w:ascii="Calibri" w:hAnsi="Calibri" w:cs="Calibri"/>
          <w:sz w:val="24"/>
          <w:szCs w:val="24"/>
        </w:rPr>
        <w:t xml:space="preserve"> do not transfer across countries very well and those with looser requirements are not giving their practitioners enough training.</w:t>
      </w:r>
      <w:r w:rsidR="001E1A82" w:rsidRPr="004564AE">
        <w:rPr>
          <w:rFonts w:ascii="Calibri" w:hAnsi="Calibri" w:cs="Calibri"/>
          <w:sz w:val="24"/>
          <w:szCs w:val="24"/>
        </w:rPr>
        <w:t xml:space="preserve"> Many of the associations set standards for training that must be done to be qualified. For example, the Canadian Massage Therapist Association require members to have completed 2,200 hours of education, whereas the councils in India set the curriculum themselves. Some have also established core curriculums that are taught to therapists of all professions such as biomedicine.</w:t>
      </w:r>
      <w:r w:rsidR="0032299C" w:rsidRPr="004564AE">
        <w:rPr>
          <w:rFonts w:ascii="Calibri" w:hAnsi="Calibri" w:cs="Calibri"/>
          <w:sz w:val="24"/>
          <w:szCs w:val="24"/>
        </w:rPr>
        <w:t xml:space="preserve"> </w:t>
      </w:r>
      <w:r w:rsidR="00C45DD2" w:rsidRPr="004564AE">
        <w:rPr>
          <w:rFonts w:ascii="Calibri" w:hAnsi="Calibri" w:cs="Calibri"/>
          <w:sz w:val="24"/>
          <w:szCs w:val="24"/>
        </w:rPr>
        <w:t xml:space="preserve">In some of the countries, training is provided by private colleges which is a problem because the qualifications often don’t transfer. Therefore, many bodies are pushing for qualifications to be validated elsewhere so they can be transferable. </w:t>
      </w:r>
      <w:r w:rsidR="00DD40DD" w:rsidRPr="004564AE">
        <w:rPr>
          <w:rFonts w:ascii="Calibri" w:hAnsi="Calibri" w:cs="Calibri"/>
          <w:sz w:val="24"/>
          <w:szCs w:val="24"/>
        </w:rPr>
        <w:t xml:space="preserve">The report explains that the GOC and the GCC automatically admit graduates of the profession to their register if they are in good health and have indemnity insurance, which is a method also used in India. Another method used is making graduates sit a licencing exam on top of their qualifications. From this exam, the local health board then gives a certificate showing any limits to their practice. This is a good method as it allows another level of checking the safety of practitioners and helps impose restrictions without singling certain people out through complaints processes. </w:t>
      </w:r>
    </w:p>
    <w:p w:rsidR="007353DE" w:rsidRPr="004564AE" w:rsidRDefault="007353DE" w:rsidP="004564AE">
      <w:pPr>
        <w:spacing w:line="360" w:lineRule="auto"/>
        <w:rPr>
          <w:rFonts w:ascii="Calibri" w:hAnsi="Calibri" w:cs="Calibri"/>
          <w:sz w:val="24"/>
          <w:szCs w:val="24"/>
        </w:rPr>
      </w:pPr>
      <w:r w:rsidRPr="004564AE">
        <w:rPr>
          <w:rFonts w:ascii="Calibri" w:hAnsi="Calibri" w:cs="Calibri"/>
          <w:sz w:val="24"/>
          <w:szCs w:val="24"/>
        </w:rPr>
        <w:t>Overall, this essay shows that there are major developments currently underway within the regulation of complementary medicine. The correct steps have been taken to begin to develop an effective framework of legislation which aims to protect the public. There are firm structures already in place such as the GRCCT and the CHNC</w:t>
      </w:r>
      <w:r w:rsidR="000A0AFA" w:rsidRPr="004564AE">
        <w:rPr>
          <w:rFonts w:ascii="Calibri" w:hAnsi="Calibri" w:cs="Calibri"/>
          <w:sz w:val="24"/>
          <w:szCs w:val="24"/>
        </w:rPr>
        <w:t xml:space="preserve"> which provide a good form of regulation for those who are registered. One of the UK’s strongest points is the role of the GCC and the GOC in enforcing regulation of those accredited practitioners. These practices are consequently among the safest available in the UK. </w:t>
      </w:r>
    </w:p>
    <w:p w:rsidR="004564AE" w:rsidRDefault="000A0AFA" w:rsidP="004564AE">
      <w:pPr>
        <w:spacing w:line="360" w:lineRule="auto"/>
        <w:rPr>
          <w:rFonts w:ascii="Calibri" w:hAnsi="Calibri" w:cs="Calibri"/>
          <w:sz w:val="24"/>
          <w:szCs w:val="24"/>
        </w:rPr>
      </w:pPr>
      <w:r w:rsidRPr="004564AE">
        <w:rPr>
          <w:rFonts w:ascii="Calibri" w:hAnsi="Calibri" w:cs="Calibri"/>
          <w:sz w:val="24"/>
          <w:szCs w:val="24"/>
        </w:rPr>
        <w:t xml:space="preserve">From this information, a few key recommendations can be made. It is very important that the UK government continues to and further integrates complementary medicine into the healthcare system. More research is needed into the risks of many complementary medicines which would make it easier to create regulations. A final recommendation is that </w:t>
      </w:r>
      <w:r w:rsidRPr="004564AE">
        <w:rPr>
          <w:rFonts w:ascii="Calibri" w:hAnsi="Calibri" w:cs="Calibri"/>
          <w:sz w:val="24"/>
          <w:szCs w:val="24"/>
        </w:rPr>
        <w:lastRenderedPageBreak/>
        <w:t>education needs to be more readily available and more integrated into the general education system to allow more people to become qualified in the professions.</w:t>
      </w:r>
    </w:p>
    <w:p w:rsidR="004564AE" w:rsidRDefault="004564AE">
      <w:r>
        <w:br w:type="page"/>
      </w:r>
    </w:p>
    <w:p w:rsidR="007E7276" w:rsidRPr="004564AE" w:rsidRDefault="007E7276" w:rsidP="004564AE">
      <w:pPr>
        <w:pStyle w:val="Title"/>
        <w:rPr>
          <w:rFonts w:ascii="Calibri" w:hAnsi="Calibri" w:cs="Calibri"/>
          <w:sz w:val="24"/>
          <w:szCs w:val="24"/>
        </w:rPr>
      </w:pPr>
      <w:r>
        <w:lastRenderedPageBreak/>
        <w:t>References</w:t>
      </w:r>
    </w:p>
    <w:p w:rsidR="000A0AFA" w:rsidRDefault="000A0AFA" w:rsidP="00DE32A3">
      <w:r>
        <w:t xml:space="preserve">BBC News (2016) </w:t>
      </w:r>
      <w:r w:rsidRPr="000A0AFA">
        <w:t>Alternative medicine treatment put four-year-old boy in A&amp;E</w:t>
      </w:r>
      <w:r>
        <w:t xml:space="preserve"> [Online] Available at: </w:t>
      </w:r>
      <w:hyperlink r:id="rId6" w:history="1">
        <w:r w:rsidRPr="00BF57C8">
          <w:rPr>
            <w:rStyle w:val="Hyperlink"/>
          </w:rPr>
          <w:t>http://www.bbc.co.uk/news/health-37572771</w:t>
        </w:r>
      </w:hyperlink>
      <w:r>
        <w:t xml:space="preserve"> (Accessed 18/01/18)</w:t>
      </w:r>
    </w:p>
    <w:p w:rsidR="00DE32A3" w:rsidRDefault="00DE32A3" w:rsidP="00DE32A3">
      <w:r w:rsidRPr="00DE32A3">
        <w:t>Complementary and Natural Healthcare Council (CNHC) (2017</w:t>
      </w:r>
      <w:r>
        <w:t xml:space="preserve">a) Who We Are [Online] Available at: </w:t>
      </w:r>
      <w:hyperlink r:id="rId7" w:history="1">
        <w:r w:rsidRPr="008B6138">
          <w:rPr>
            <w:rStyle w:val="Hyperlink"/>
          </w:rPr>
          <w:t>https://www.cnhc.org.uk/about-us</w:t>
        </w:r>
      </w:hyperlink>
      <w:r>
        <w:t xml:space="preserve"> (Accessed </w:t>
      </w:r>
      <w:r w:rsidR="00BE25C5">
        <w:t>12/01/18)</w:t>
      </w:r>
    </w:p>
    <w:p w:rsidR="00574DE3" w:rsidRDefault="00574DE3" w:rsidP="00574DE3">
      <w:r w:rsidRPr="00574DE3">
        <w:t>Complementary and Natural Healthcare Council (CNHC) (</w:t>
      </w:r>
      <w:r>
        <w:t>2017</w:t>
      </w:r>
      <w:r w:rsidR="00DE32A3">
        <w:t>b</w:t>
      </w:r>
      <w:r>
        <w:t xml:space="preserve">) CNHC Strategic Objectives 2017 [Online] Available at: </w:t>
      </w:r>
      <w:hyperlink r:id="rId8" w:history="1">
        <w:r w:rsidRPr="001B00F1">
          <w:rPr>
            <w:rStyle w:val="Hyperlink"/>
          </w:rPr>
          <w:t>https://www.cnhc.org.uk/sites/default/files/Downloads/Strategic-objectives-2017.pdf</w:t>
        </w:r>
      </w:hyperlink>
      <w:r>
        <w:t xml:space="preserve"> (Accessed 14/01/1</w:t>
      </w:r>
      <w:r w:rsidR="002D5486">
        <w:t>8</w:t>
      </w:r>
      <w:r>
        <w:t>)</w:t>
      </w:r>
    </w:p>
    <w:p w:rsidR="00DE32A3" w:rsidRDefault="00DE32A3" w:rsidP="00574DE3">
      <w:r w:rsidRPr="00DE32A3">
        <w:t>Complementary and Natural Healthcare Council (CNHC) (2017</w:t>
      </w:r>
      <w:r>
        <w:t xml:space="preserve">c) Who We Register [Online] Available at: </w:t>
      </w:r>
      <w:hyperlink r:id="rId9" w:history="1">
        <w:r w:rsidRPr="008B6138">
          <w:rPr>
            <w:rStyle w:val="Hyperlink"/>
          </w:rPr>
          <w:t>https://www.cnhc.org.uk/who-we-register</w:t>
        </w:r>
      </w:hyperlink>
      <w:r>
        <w:t xml:space="preserve"> (Accessed 12/01/18)</w:t>
      </w:r>
    </w:p>
    <w:p w:rsidR="0002474E" w:rsidRDefault="0002474E" w:rsidP="0002474E">
      <w:r>
        <w:t xml:space="preserve">Complementary and Natural Healthcare Council (CNHC) (2018) CNCH Fee Schedule 2018 [Online] Available at: </w:t>
      </w:r>
      <w:hyperlink r:id="rId10" w:history="1">
        <w:r w:rsidRPr="001B00F1">
          <w:rPr>
            <w:rStyle w:val="Hyperlink"/>
          </w:rPr>
          <w:t>https://www.cnhc.org.uk/sites/default/files/Downloads/Fee-schedule.pdf</w:t>
        </w:r>
      </w:hyperlink>
      <w:r>
        <w:t xml:space="preserve"> (Accessed 13/01/1</w:t>
      </w:r>
      <w:r w:rsidR="002D5486">
        <w:t>8</w:t>
      </w:r>
      <w:r>
        <w:t>)</w:t>
      </w:r>
    </w:p>
    <w:p w:rsidR="007353DE" w:rsidRDefault="007353DE" w:rsidP="0002474E">
      <w:r>
        <w:t xml:space="preserve">Dixon, A. (2008) Regulating Complementary Medical Practitioners – An International Review. </w:t>
      </w:r>
      <w:r w:rsidR="000A0AFA">
        <w:t>Kings Fund: London.</w:t>
      </w:r>
    </w:p>
    <w:p w:rsidR="003F349C" w:rsidRDefault="003F349C" w:rsidP="0002474E">
      <w:r>
        <w:t xml:space="preserve">General Chiropractic Council </w:t>
      </w:r>
      <w:r w:rsidR="002D5486">
        <w:t xml:space="preserve">(GCC) </w:t>
      </w:r>
      <w:r>
        <w:t>(2013)</w:t>
      </w:r>
      <w:r w:rsidR="002D5486">
        <w:t xml:space="preserve"> About the GCC [Online] Available at: </w:t>
      </w:r>
      <w:hyperlink r:id="rId11" w:history="1">
        <w:r w:rsidR="002D5486" w:rsidRPr="008B6138">
          <w:rPr>
            <w:rStyle w:val="Hyperlink"/>
          </w:rPr>
          <w:t>http://www.gcc-uk.org/about-us/</w:t>
        </w:r>
      </w:hyperlink>
      <w:r w:rsidR="002D5486">
        <w:t xml:space="preserve"> (Accessed 15/01/18)</w:t>
      </w:r>
    </w:p>
    <w:p w:rsidR="003F349C" w:rsidRDefault="003F349C" w:rsidP="0002474E">
      <w:r>
        <w:t>General Osteopathic Council (GOC) (2018</w:t>
      </w:r>
      <w:r w:rsidR="002D5486">
        <w:t>a</w:t>
      </w:r>
      <w:r>
        <w:t xml:space="preserve">) Standards [Online] Available at: </w:t>
      </w:r>
      <w:hyperlink r:id="rId12" w:history="1">
        <w:r w:rsidRPr="008B6138">
          <w:rPr>
            <w:rStyle w:val="Hyperlink"/>
          </w:rPr>
          <w:t>https://www.osteopathy.org.uk/standards/</w:t>
        </w:r>
      </w:hyperlink>
      <w:r>
        <w:t xml:space="preserve"> (Accessed 15/01/1</w:t>
      </w:r>
      <w:r w:rsidR="002D5486">
        <w:t>8</w:t>
      </w:r>
      <w:r>
        <w:t>)</w:t>
      </w:r>
    </w:p>
    <w:p w:rsidR="00B74FCA" w:rsidRDefault="00B74FCA" w:rsidP="0002474E">
      <w:r w:rsidRPr="00B74FCA">
        <w:t>General Osteopathic Council (GOC) (2018</w:t>
      </w:r>
      <w:r>
        <w:t>b</w:t>
      </w:r>
      <w:r w:rsidRPr="00B74FCA">
        <w:t>)</w:t>
      </w:r>
      <w:r>
        <w:t xml:space="preserve"> Standards for continuing professional development [Online] Available at: </w:t>
      </w:r>
      <w:hyperlink r:id="rId13" w:history="1">
        <w:r w:rsidRPr="008B6138">
          <w:rPr>
            <w:rStyle w:val="Hyperlink"/>
          </w:rPr>
          <w:t>https://www.osteopathy.org.uk/standards/continuing-professional-development/</w:t>
        </w:r>
      </w:hyperlink>
      <w:r>
        <w:t xml:space="preserve"> (Accessed 15/01/18)</w:t>
      </w:r>
    </w:p>
    <w:p w:rsidR="00B74FCA" w:rsidRDefault="00B74FCA" w:rsidP="0002474E">
      <w:r w:rsidRPr="00B74FCA">
        <w:t>General Osteopathic Council (GOC) (2018</w:t>
      </w:r>
      <w:r>
        <w:t>c</w:t>
      </w:r>
      <w:r w:rsidRPr="00B74FCA">
        <w:t>)</w:t>
      </w:r>
      <w:r>
        <w:t xml:space="preserve"> Continuing professional development guidelines for osteopaths [Online] Available at: </w:t>
      </w:r>
      <w:hyperlink r:id="rId14" w:history="1">
        <w:r w:rsidRPr="008B6138">
          <w:rPr>
            <w:rStyle w:val="Hyperlink"/>
          </w:rPr>
          <w:t>http://www.osteopathy.org.uk/news-and-resources/document-library/continuing-professional-development/cpd-guidelines-for-osteopaths/</w:t>
        </w:r>
      </w:hyperlink>
      <w:r>
        <w:t xml:space="preserve"> (Accessed 15/01/18)</w:t>
      </w:r>
    </w:p>
    <w:p w:rsidR="00112C2D" w:rsidRDefault="00112C2D" w:rsidP="00112C2D">
      <w:r w:rsidRPr="00112C2D">
        <w:t xml:space="preserve">The General Regulatory Council for Complementary Therapies </w:t>
      </w:r>
      <w:r w:rsidR="00953882">
        <w:t xml:space="preserve">(GRCCT) </w:t>
      </w:r>
      <w:r w:rsidRPr="00112C2D">
        <w:t>(2018</w:t>
      </w:r>
      <w:r>
        <w:t>a</w:t>
      </w:r>
      <w:r w:rsidRPr="00112C2D">
        <w:t>)</w:t>
      </w:r>
      <w:r w:rsidR="00953882" w:rsidRPr="00953882">
        <w:t xml:space="preserve"> Welcome to the GRCCT</w:t>
      </w:r>
      <w:r w:rsidR="00953882">
        <w:t xml:space="preserve"> [Online] Available at: </w:t>
      </w:r>
      <w:hyperlink r:id="rId15" w:history="1">
        <w:r w:rsidR="00953882" w:rsidRPr="001B00F1">
          <w:rPr>
            <w:rStyle w:val="Hyperlink"/>
          </w:rPr>
          <w:t>http://www.grcct.org/about-us/</w:t>
        </w:r>
      </w:hyperlink>
      <w:r w:rsidR="00953882">
        <w:t xml:space="preserve"> (Accessed 12/01/18)</w:t>
      </w:r>
    </w:p>
    <w:p w:rsidR="00112C2D" w:rsidRDefault="00112C2D" w:rsidP="00112C2D">
      <w:r w:rsidRPr="00112C2D">
        <w:t>The General Regulatory Council for Complementary Therapies</w:t>
      </w:r>
      <w:r>
        <w:t xml:space="preserve"> </w:t>
      </w:r>
      <w:r w:rsidR="00953882">
        <w:t xml:space="preserve">(GRCCT) </w:t>
      </w:r>
      <w:r>
        <w:t xml:space="preserve">(2018b) Code of conduct [Online] Available at: </w:t>
      </w:r>
      <w:hyperlink r:id="rId16" w:history="1">
        <w:r w:rsidRPr="001B00F1">
          <w:rPr>
            <w:rStyle w:val="Hyperlink"/>
          </w:rPr>
          <w:t>http://www.grcct.org/about-us/code-of-conduct/</w:t>
        </w:r>
      </w:hyperlink>
      <w:r>
        <w:t xml:space="preserve"> (Accessed 12/01/18)</w:t>
      </w:r>
    </w:p>
    <w:p w:rsidR="00112C2D" w:rsidRDefault="00112C2D" w:rsidP="00112C2D">
      <w:r w:rsidRPr="00112C2D">
        <w:t xml:space="preserve">The General Regulatory Council for Complementary Therapies </w:t>
      </w:r>
      <w:r w:rsidR="00953882">
        <w:t xml:space="preserve">(GRCCT) </w:t>
      </w:r>
      <w:r w:rsidRPr="00112C2D">
        <w:t>(2018</w:t>
      </w:r>
      <w:r>
        <w:t>c</w:t>
      </w:r>
      <w:r w:rsidRPr="00112C2D">
        <w:t>) Complaints, Concerns and Fitness to Practice Procedure</w:t>
      </w:r>
      <w:r>
        <w:t xml:space="preserve"> [Online] Available at: </w:t>
      </w:r>
      <w:hyperlink r:id="rId17" w:history="1">
        <w:r w:rsidRPr="001B00F1">
          <w:rPr>
            <w:rStyle w:val="Hyperlink"/>
          </w:rPr>
          <w:t>http://www.grcct.org/about-us/complaints/</w:t>
        </w:r>
      </w:hyperlink>
      <w:r>
        <w:t xml:space="preserve"> (Accessed 12/01/1</w:t>
      </w:r>
      <w:r w:rsidR="00953882">
        <w:t>8</w:t>
      </w:r>
      <w:r>
        <w:t>)</w:t>
      </w:r>
    </w:p>
    <w:p w:rsidR="00983D5D" w:rsidRDefault="00983D5D" w:rsidP="00112C2D">
      <w:r w:rsidRPr="00983D5D">
        <w:t>The General Regulatory Council for Complementary Therapies (GRCCT) (2018</w:t>
      </w:r>
      <w:r>
        <w:t xml:space="preserve">d) </w:t>
      </w:r>
      <w:r w:rsidRPr="00983D5D">
        <w:t>How to apply for Admission to the National Register</w:t>
      </w:r>
      <w:r>
        <w:t xml:space="preserve"> [Online] Available at: </w:t>
      </w:r>
      <w:hyperlink r:id="rId18" w:history="1">
        <w:r w:rsidRPr="001B00F1">
          <w:rPr>
            <w:rStyle w:val="Hyperlink"/>
          </w:rPr>
          <w:t>http://www.grcct.org/registration/</w:t>
        </w:r>
      </w:hyperlink>
      <w:r>
        <w:t xml:space="preserve"> (</w:t>
      </w:r>
      <w:r w:rsidR="00AD6C10">
        <w:t>A</w:t>
      </w:r>
      <w:r w:rsidR="0002474E">
        <w:t>ccessed</w:t>
      </w:r>
      <w:r>
        <w:t xml:space="preserve"> 13/01/18)</w:t>
      </w:r>
    </w:p>
    <w:p w:rsidR="00AD6C10" w:rsidRDefault="00AD6C10" w:rsidP="00112C2D">
      <w:r w:rsidRPr="00AD6C10">
        <w:t>The General Regulatory Council for Complementary Therapies (GRCCT) (2018</w:t>
      </w:r>
      <w:r>
        <w:t xml:space="preserve">e) Statutory Regulation [Online] Available at:  </w:t>
      </w:r>
      <w:hyperlink r:id="rId19" w:history="1">
        <w:r w:rsidR="00DD4108" w:rsidRPr="00D0484C">
          <w:rPr>
            <w:rStyle w:val="Hyperlink"/>
          </w:rPr>
          <w:t>http://www.grcct.org/regulation/statutory-regulation/</w:t>
        </w:r>
      </w:hyperlink>
      <w:r w:rsidR="00DD4108">
        <w:t xml:space="preserve"> (Accessed 16/01/1</w:t>
      </w:r>
      <w:r w:rsidR="002D5486">
        <w:t>8</w:t>
      </w:r>
      <w:r w:rsidR="00DD4108">
        <w:t>)</w:t>
      </w:r>
    </w:p>
    <w:p w:rsidR="006E5269" w:rsidRDefault="00053F4F" w:rsidP="00053F4F">
      <w:r>
        <w:lastRenderedPageBreak/>
        <w:t xml:space="preserve">Hall, H., Leach, M., </w:t>
      </w:r>
      <w:proofErr w:type="spellStart"/>
      <w:r>
        <w:t>Brosnan</w:t>
      </w:r>
      <w:proofErr w:type="spellEnd"/>
      <w:r>
        <w:t xml:space="preserve">, C. and Collins, M. (2017) </w:t>
      </w:r>
      <w:r w:rsidRPr="00053F4F">
        <w:t>Nurses’ attitudes towards complementary therapies: A systematic review and meta-synthesis</w:t>
      </w:r>
      <w:r>
        <w:t xml:space="preserve">. </w:t>
      </w:r>
      <w:r w:rsidRPr="00053F4F">
        <w:t>International Journal of Nursing Studies</w:t>
      </w:r>
      <w:r>
        <w:t>. 69: 47-56.</w:t>
      </w:r>
    </w:p>
    <w:p w:rsidR="00164D68" w:rsidRDefault="00164D68" w:rsidP="00053F4F">
      <w:r w:rsidRPr="00164D68">
        <w:t xml:space="preserve">Health Care and Associated Professions (Indemnity Arrangements) Order </w:t>
      </w:r>
      <w:r>
        <w:t>(</w:t>
      </w:r>
      <w:r w:rsidRPr="00164D68">
        <w:t>2014</w:t>
      </w:r>
      <w:r>
        <w:t>)</w:t>
      </w:r>
      <w:r w:rsidR="008E7E1A">
        <w:t xml:space="preserve"> [Online] Available at: </w:t>
      </w:r>
      <w:hyperlink r:id="rId20" w:history="1">
        <w:r w:rsidR="008E7E1A" w:rsidRPr="00D0484C">
          <w:rPr>
            <w:rStyle w:val="Hyperlink"/>
          </w:rPr>
          <w:t>http://www.legislation.gov.uk/ukdsi/2014/9780111114483/pdfs/ukdsi_9780111114483_en.pdf</w:t>
        </w:r>
      </w:hyperlink>
      <w:r w:rsidR="008E7E1A">
        <w:t xml:space="preserve"> (Accessed 16/01/18)</w:t>
      </w:r>
    </w:p>
    <w:p w:rsidR="009147A9" w:rsidRDefault="009147A9" w:rsidP="00053F4F">
      <w:r>
        <w:t>Koop, C. and Lodge, M. (2015) What is regulation? An interdisciplinary concept analysis. Regulation and Governance. 11</w:t>
      </w:r>
      <w:r w:rsidR="00155762">
        <w:t>(</w:t>
      </w:r>
      <w:r>
        <w:t>1</w:t>
      </w:r>
      <w:r w:rsidR="00155762">
        <w:t>)</w:t>
      </w:r>
      <w:r>
        <w:t>: 95-108.</w:t>
      </w:r>
    </w:p>
    <w:p w:rsidR="00B14E68" w:rsidRDefault="00B14E68" w:rsidP="00053F4F">
      <w:r>
        <w:t xml:space="preserve">Lister, S. (2010) </w:t>
      </w:r>
      <w:r w:rsidRPr="00B14E68">
        <w:t>The Prince’s Foundation for Integrated Health to be shut down after fraud investigation</w:t>
      </w:r>
      <w:r>
        <w:t xml:space="preserve"> [Online] Available at: </w:t>
      </w:r>
      <w:hyperlink r:id="rId21" w:history="1">
        <w:r w:rsidRPr="00BF57C8">
          <w:rPr>
            <w:rStyle w:val="Hyperlink"/>
          </w:rPr>
          <w:t>https://www.thetimes.co.uk/article/the-princes-foundation-for-integrated-health-to-be-shut-down-after-fraud-investigation-07jrd38p2xl</w:t>
        </w:r>
      </w:hyperlink>
      <w:r>
        <w:t xml:space="preserve"> (Accessed 17/01/18)</w:t>
      </w:r>
    </w:p>
    <w:p w:rsidR="00155762" w:rsidRDefault="00155762" w:rsidP="00053F4F">
      <w:r>
        <w:t xml:space="preserve">Mills, S. (2001) </w:t>
      </w:r>
      <w:r w:rsidRPr="00155762">
        <w:t>Regulation in complementary and alternative medicine</w:t>
      </w:r>
      <w:r>
        <w:t>. British Medical Journal. 322(7279): 158</w:t>
      </w:r>
    </w:p>
    <w:p w:rsidR="002E5E5D" w:rsidRDefault="00172C7D" w:rsidP="00053F4F">
      <w:r>
        <w:t xml:space="preserve">Ong, C., </w:t>
      </w:r>
      <w:proofErr w:type="spellStart"/>
      <w:r>
        <w:t>Bodeker</w:t>
      </w:r>
      <w:proofErr w:type="spellEnd"/>
      <w:r>
        <w:t xml:space="preserve">, G., Grundy, C., Burford, G and </w:t>
      </w:r>
      <w:proofErr w:type="spellStart"/>
      <w:r>
        <w:t>Shein</w:t>
      </w:r>
      <w:proofErr w:type="spellEnd"/>
      <w:r>
        <w:t>, K. (2005) WHO global atlas of traditional, complementary and alternative medicine. The WHO centre for Health Development: Kobe</w:t>
      </w:r>
    </w:p>
    <w:p w:rsidR="00AD6C10" w:rsidRDefault="00AD6C10" w:rsidP="00053F4F">
      <w:r>
        <w:t xml:space="preserve">PR Newswire (2010) </w:t>
      </w:r>
      <w:r w:rsidRPr="00AD6C10">
        <w:t>Public Safety Best Served by Statutory Regulation of Complementary Medicine</w:t>
      </w:r>
      <w:r>
        <w:t xml:space="preserve"> [Online] Available at: </w:t>
      </w:r>
      <w:hyperlink r:id="rId22" w:history="1">
        <w:r w:rsidRPr="00D0484C">
          <w:rPr>
            <w:rStyle w:val="Hyperlink"/>
          </w:rPr>
          <w:t>https://search-proquest-com.ezproxy.uwtsd.ac.uk/docview/467207147/citation/703A9B616EF9466CPQ/1?accountid=130472</w:t>
        </w:r>
      </w:hyperlink>
      <w:r>
        <w:t xml:space="preserve"> (Accessed 16/01/18)</w:t>
      </w:r>
    </w:p>
    <w:p w:rsidR="006E5269" w:rsidRDefault="009147A9">
      <w:r>
        <w:t xml:space="preserve">Rankin-Box, D. (2001) The Nurse’s Handbook of Complementary Therapies. (ed. 2) Harcourt Publishers Limited: London. </w:t>
      </w:r>
      <w:proofErr w:type="spellStart"/>
      <w:r>
        <w:t>Pg</w:t>
      </w:r>
      <w:proofErr w:type="spellEnd"/>
      <w:r>
        <w:t xml:space="preserve"> 1-</w:t>
      </w:r>
      <w:r w:rsidR="002D5486">
        <w:t>20</w:t>
      </w:r>
    </w:p>
    <w:p w:rsidR="00281B87" w:rsidRDefault="00281B87">
      <w:r>
        <w:t xml:space="preserve">Taylor, J., </w:t>
      </w:r>
      <w:proofErr w:type="spellStart"/>
      <w:r>
        <w:t>Neimeyer</w:t>
      </w:r>
      <w:proofErr w:type="spellEnd"/>
      <w:r>
        <w:t xml:space="preserve">, G. and Cox, D. (2012) </w:t>
      </w:r>
      <w:r w:rsidRPr="00281B87">
        <w:t>On hope and possibility: Does continuing professional development contribute to ongoing professional competence?</w:t>
      </w:r>
      <w:r>
        <w:t xml:space="preserve"> </w:t>
      </w:r>
    </w:p>
    <w:p w:rsidR="00BA66C8" w:rsidRDefault="00BA66C8">
      <w:r w:rsidRPr="00BA66C8">
        <w:t>The Trust, Assurance and Safety – The Regulation of Health Professionals in the 21st Century (2007</w:t>
      </w:r>
      <w:r>
        <w:t>) The Stationary Office: London.</w:t>
      </w:r>
    </w:p>
    <w:p w:rsidR="00854040" w:rsidRDefault="00854040">
      <w:r w:rsidRPr="00854040">
        <w:t xml:space="preserve">United Kingdom Central Council (UKCC) </w:t>
      </w:r>
      <w:r>
        <w:t xml:space="preserve">(1992) </w:t>
      </w:r>
      <w:r w:rsidRPr="00854040">
        <w:t>Guidelines for professional</w:t>
      </w:r>
      <w:r>
        <w:t xml:space="preserve"> Practice. </w:t>
      </w:r>
      <w:r w:rsidRPr="00854040">
        <w:t xml:space="preserve">United Kingdom Central Council </w:t>
      </w:r>
      <w:r>
        <w:t>for Nursing, Midwifery and Health Visiting, London. 314-003-041</w:t>
      </w:r>
    </w:p>
    <w:p w:rsidR="00574DE3" w:rsidRDefault="00574DE3">
      <w:proofErr w:type="spellStart"/>
      <w:r>
        <w:t>Wiesener</w:t>
      </w:r>
      <w:proofErr w:type="spellEnd"/>
      <w:r>
        <w:t xml:space="preserve">, S. (2013) </w:t>
      </w:r>
      <w:r w:rsidRPr="00574DE3">
        <w:t>Disharmonized regulation of complementary and alternative medicine (CAM) in Europe - implications for patient safety</w:t>
      </w:r>
      <w:r>
        <w:t>. Norwegian Open Research Archives</w:t>
      </w:r>
    </w:p>
    <w:p w:rsidR="00557A93" w:rsidRDefault="00557A93">
      <w:r w:rsidRPr="00557A93">
        <w:t>World Health Organisation (WHO) (20</w:t>
      </w:r>
      <w:r>
        <w:t xml:space="preserve">02) WHO Traditional Medicine Strategy 2002-2005.World Health Organisation, Geneva. </w:t>
      </w:r>
    </w:p>
    <w:p w:rsidR="00AA0E92" w:rsidRDefault="00AA0E92">
      <w:r>
        <w:t xml:space="preserve">World Health Organisation (WHO) (2013) WHO Traditional Medicine Strategy 2014-2023 [Online] Available at: </w:t>
      </w:r>
      <w:hyperlink r:id="rId23" w:history="1">
        <w:r w:rsidRPr="008B6138">
          <w:rPr>
            <w:rStyle w:val="Hyperlink"/>
          </w:rPr>
          <w:t>http://apps.who.int/iris/bitstream/10665/92455/1/9789241506090_eng.pdf?ua=1</w:t>
        </w:r>
      </w:hyperlink>
      <w:r>
        <w:t xml:space="preserve"> (Accessed 16/01/18)</w:t>
      </w:r>
    </w:p>
    <w:p w:rsidR="00AA0E92" w:rsidRDefault="00AA0E92">
      <w:r w:rsidRPr="00AA0E92">
        <w:t>World Health Organisation (WHO) (201</w:t>
      </w:r>
      <w:r>
        <w:t xml:space="preserve">8) </w:t>
      </w:r>
      <w:r w:rsidRPr="00AA0E92">
        <w:t>International Regulatory Cooperation for Herbal Medicines (IRCH)</w:t>
      </w:r>
      <w:r>
        <w:t xml:space="preserve"> [Online] Available at: </w:t>
      </w:r>
      <w:hyperlink r:id="rId24" w:history="1">
        <w:r w:rsidRPr="008B6138">
          <w:rPr>
            <w:rStyle w:val="Hyperlink"/>
          </w:rPr>
          <w:t>http://www.who.int/medicines/areas/traditional/irch/en/</w:t>
        </w:r>
      </w:hyperlink>
      <w:r>
        <w:t xml:space="preserve"> (Accessed 16/01/18)</w:t>
      </w:r>
    </w:p>
    <w:p w:rsidR="00557A93" w:rsidRDefault="00557A93"/>
    <w:sectPr w:rsidR="00557A93" w:rsidSect="006A0F57">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64354" w:rsidRDefault="00864354" w:rsidP="00864354">
      <w:pPr>
        <w:spacing w:after="0" w:line="240" w:lineRule="auto"/>
      </w:pPr>
      <w:r>
        <w:separator/>
      </w:r>
    </w:p>
  </w:endnote>
  <w:endnote w:type="continuationSeparator" w:id="0">
    <w:p w:rsidR="00864354" w:rsidRDefault="00864354" w:rsidP="00864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54CF" w:rsidRDefault="00864354">
    <w:pPr>
      <w:pStyle w:val="Footer"/>
    </w:pPr>
    <w:r>
      <w:t>Jade Mitchell – P1</w:t>
    </w:r>
    <w:r w:rsidR="006554CF">
      <w:t>52126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64354" w:rsidRDefault="00864354" w:rsidP="00864354">
      <w:pPr>
        <w:spacing w:after="0" w:line="240" w:lineRule="auto"/>
      </w:pPr>
      <w:r>
        <w:separator/>
      </w:r>
    </w:p>
  </w:footnote>
  <w:footnote w:type="continuationSeparator" w:id="0">
    <w:p w:rsidR="00864354" w:rsidRDefault="00864354" w:rsidP="00864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6646888"/>
      <w:docPartObj>
        <w:docPartGallery w:val="Page Numbers (Top of Page)"/>
        <w:docPartUnique/>
      </w:docPartObj>
    </w:sdtPr>
    <w:sdtContent>
      <w:p w:rsidR="00864354" w:rsidRDefault="00864354">
        <w:pPr>
          <w:pStyle w:val="Header"/>
          <w:jc w:val="center"/>
        </w:pPr>
        <w:r>
          <w:rPr>
            <w:noProof/>
          </w:rPr>
          <mc:AlternateContent>
            <mc:Choice Requires="wpg">
              <w:drawing>
                <wp:inline distT="0" distB="0" distL="0" distR="0">
                  <wp:extent cx="418465" cy="221615"/>
                  <wp:effectExtent l="0" t="0" r="635" b="0"/>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3" name="Text Box 56"/>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64354" w:rsidRDefault="00864354">
                                <w:pPr>
                                  <w:jc w:val="center"/>
                                  <w:rPr>
                                    <w:szCs w:val="18"/>
                                  </w:rPr>
                                </w:pPr>
                                <w:r>
                                  <w:fldChar w:fldCharType="begin"/>
                                </w:r>
                                <w:r>
                                  <w:instrText xml:space="preserve"> PAGE    \* MERGEFORMAT </w:instrText>
                                </w:r>
                                <w:r>
                                  <w:fldChar w:fldCharType="separate"/>
                                </w:r>
                                <w:r w:rsidR="005C7983" w:rsidRPr="005C7983">
                                  <w:rPr>
                                    <w:i/>
                                    <w:iCs/>
                                    <w:noProof/>
                                    <w:sz w:val="18"/>
                                    <w:szCs w:val="18"/>
                                  </w:rPr>
                                  <w:t>9</w:t>
                                </w:r>
                                <w:r>
                                  <w:rPr>
                                    <w:i/>
                                    <w:iCs/>
                                    <w:noProof/>
                                    <w:sz w:val="18"/>
                                    <w:szCs w:val="18"/>
                                  </w:rPr>
                                  <w:fldChar w:fldCharType="end"/>
                                </w:r>
                              </w:p>
                            </w:txbxContent>
                          </wps:txbx>
                          <wps:bodyPr rot="0" vert="horz" wrap="square" lIns="0" tIns="0" rIns="0" bIns="0" anchor="t" anchorCtr="0" upright="1">
                            <a:noAutofit/>
                          </wps:bodyPr>
                        </wps:wsp>
                        <wpg:grpSp>
                          <wpg:cNvPr id="4" name="Group 57"/>
                          <wpg:cNvGrpSpPr>
                            <a:grpSpLocks/>
                          </wpg:cNvGrpSpPr>
                          <wpg:grpSpPr bwMode="auto">
                            <a:xfrm>
                              <a:off x="5494" y="739"/>
                              <a:ext cx="372" cy="72"/>
                              <a:chOff x="5486" y="739"/>
                              <a:chExt cx="372" cy="72"/>
                            </a:xfrm>
                          </wpg:grpSpPr>
                          <wps:wsp>
                            <wps:cNvPr id="5" name="Oval 58"/>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Oval 59"/>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Oval 60"/>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id="Group 2" o:spid="_x0000_s1030"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">
                  <v:shapetype id="_x0000_t202" coordsize="21600,21600" o:spt="202" path="m,l,21600r21600,l21600,xe">
                    <v:stroke joinstyle="miter"/>
                    <v:path gradientshapeok="t" o:connecttype="rect"/>
                  </v:shapetype>
                  <v:shape id="Text Box 56" o:spid="_x0000_s1031" type="#_x0000_t202" style="position:absolute;left:5351;top:800;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jLAwwAAANoAAAAPAAAAZHJzL2Rvd25yZXYueG1sRI9Ba8JA&#10;FITvBf/D8gRvdWMF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t8IywMMAAADaAAAADwAA&#10;AAAAAAAAAAAAAAAHAgAAZHJzL2Rvd25yZXYueG1sUEsFBgAAAAADAAMAtwAAAPcCAAAAAA==&#10;" filled="f" stroked="f">
                    <v:textbox inset="0,0,0,0">
                      <w:txbxContent>
                        <w:p w:rsidR="00864354" w:rsidRDefault="00864354">
                          <w:pPr>
                            <w:jc w:val="center"/>
                            <w:rPr>
                              <w:szCs w:val="18"/>
                            </w:rPr>
                          </w:pPr>
                          <w:r>
                            <w:fldChar w:fldCharType="begin"/>
                          </w:r>
                          <w:r>
                            <w:instrText xml:space="preserve"> PAGE    \* MERGEFORMAT </w:instrText>
                          </w:r>
                          <w:r>
                            <w:fldChar w:fldCharType="separate"/>
                          </w:r>
                          <w:r w:rsidR="005C7983" w:rsidRPr="005C7983">
                            <w:rPr>
                              <w:i/>
                              <w:iCs/>
                              <w:noProof/>
                              <w:sz w:val="18"/>
                              <w:szCs w:val="18"/>
                            </w:rPr>
                            <w:t>9</w:t>
                          </w:r>
                          <w:r>
                            <w:rPr>
                              <w:i/>
                              <w:iCs/>
                              <w:noProof/>
                              <w:sz w:val="18"/>
                              <w:szCs w:val="18"/>
                            </w:rPr>
                            <w:fldChar w:fldCharType="end"/>
                          </w:r>
                        </w:p>
                      </w:txbxContent>
                    </v:textbox>
                  </v:shape>
                  <v:group id="Group 57" o:spid="_x0000_s1032"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oval id="Oval 58" o:spid="_x0000_s1033"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" fillcolor="#84a2c6" stroked="f"/>
                    <v:oval id="Oval 59" o:spid="_x0000_s1034"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" fillcolor="#84a2c6" stroked="f"/>
                    <v:oval id="Oval 60" o:spid="_x0000_s1035"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" fillcolor="#84a2c6" stroked="f"/>
                  </v:group>
                  <w10:anchorlock/>
                </v:group>
              </w:pict>
            </mc:Fallback>
          </mc:AlternateContent>
        </w:r>
      </w:p>
    </w:sdtContent>
  </w:sdt>
  <w:p w:rsidR="00864354" w:rsidRDefault="008643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D6E"/>
    <w:rsid w:val="0002474E"/>
    <w:rsid w:val="0002492F"/>
    <w:rsid w:val="00053F4F"/>
    <w:rsid w:val="000A0AFA"/>
    <w:rsid w:val="000F0702"/>
    <w:rsid w:val="000F27B1"/>
    <w:rsid w:val="00112C2D"/>
    <w:rsid w:val="00152698"/>
    <w:rsid w:val="00155762"/>
    <w:rsid w:val="00164D68"/>
    <w:rsid w:val="00165AC2"/>
    <w:rsid w:val="00172C7D"/>
    <w:rsid w:val="001732CD"/>
    <w:rsid w:val="00195382"/>
    <w:rsid w:val="001C1151"/>
    <w:rsid w:val="001E1A82"/>
    <w:rsid w:val="0021418E"/>
    <w:rsid w:val="00232C6B"/>
    <w:rsid w:val="0026457E"/>
    <w:rsid w:val="00277585"/>
    <w:rsid w:val="00281B87"/>
    <w:rsid w:val="002D5486"/>
    <w:rsid w:val="002E5E5D"/>
    <w:rsid w:val="002F4F3A"/>
    <w:rsid w:val="00302238"/>
    <w:rsid w:val="0032299C"/>
    <w:rsid w:val="003B30BF"/>
    <w:rsid w:val="003C28E5"/>
    <w:rsid w:val="003F349C"/>
    <w:rsid w:val="004564AE"/>
    <w:rsid w:val="004B7088"/>
    <w:rsid w:val="00500FE4"/>
    <w:rsid w:val="00550E9E"/>
    <w:rsid w:val="00557A93"/>
    <w:rsid w:val="00574DE3"/>
    <w:rsid w:val="00585E67"/>
    <w:rsid w:val="005C7983"/>
    <w:rsid w:val="0063148C"/>
    <w:rsid w:val="00653BFE"/>
    <w:rsid w:val="006554CF"/>
    <w:rsid w:val="00674485"/>
    <w:rsid w:val="00685986"/>
    <w:rsid w:val="006A0F57"/>
    <w:rsid w:val="006A5283"/>
    <w:rsid w:val="006B306D"/>
    <w:rsid w:val="006E5269"/>
    <w:rsid w:val="00727877"/>
    <w:rsid w:val="007353DE"/>
    <w:rsid w:val="00753D6E"/>
    <w:rsid w:val="007E7276"/>
    <w:rsid w:val="00854040"/>
    <w:rsid w:val="00864354"/>
    <w:rsid w:val="0087109A"/>
    <w:rsid w:val="00871882"/>
    <w:rsid w:val="008E7E1A"/>
    <w:rsid w:val="009147A9"/>
    <w:rsid w:val="0092384B"/>
    <w:rsid w:val="00953882"/>
    <w:rsid w:val="00970C6E"/>
    <w:rsid w:val="00982D81"/>
    <w:rsid w:val="00983D5D"/>
    <w:rsid w:val="00997F37"/>
    <w:rsid w:val="00A0390A"/>
    <w:rsid w:val="00A1022C"/>
    <w:rsid w:val="00A84600"/>
    <w:rsid w:val="00AA0E92"/>
    <w:rsid w:val="00AD6C10"/>
    <w:rsid w:val="00B14E68"/>
    <w:rsid w:val="00B37792"/>
    <w:rsid w:val="00B74FCA"/>
    <w:rsid w:val="00BA66C8"/>
    <w:rsid w:val="00BE25C5"/>
    <w:rsid w:val="00C153D6"/>
    <w:rsid w:val="00C17093"/>
    <w:rsid w:val="00C45DD2"/>
    <w:rsid w:val="00C640EB"/>
    <w:rsid w:val="00C6566D"/>
    <w:rsid w:val="00C70EA7"/>
    <w:rsid w:val="00CD0DA8"/>
    <w:rsid w:val="00D744FF"/>
    <w:rsid w:val="00DA7FE4"/>
    <w:rsid w:val="00DD40DD"/>
    <w:rsid w:val="00DD4108"/>
    <w:rsid w:val="00DE32A3"/>
    <w:rsid w:val="00E319B5"/>
    <w:rsid w:val="00E847C3"/>
    <w:rsid w:val="00F65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52A418C0"/>
  <w15:chartTrackingRefBased/>
  <w15:docId w15:val="{62E993B5-39F6-4B9A-ABB4-025B21A1F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2C2D"/>
    <w:rPr>
      <w:color w:val="0563C1" w:themeColor="hyperlink"/>
      <w:u w:val="single"/>
    </w:rPr>
  </w:style>
  <w:style w:type="character" w:styleId="UnresolvedMention">
    <w:name w:val="Unresolved Mention"/>
    <w:basedOn w:val="DefaultParagraphFont"/>
    <w:uiPriority w:val="99"/>
    <w:semiHidden/>
    <w:unhideWhenUsed/>
    <w:rsid w:val="00112C2D"/>
    <w:rPr>
      <w:color w:val="808080"/>
      <w:shd w:val="clear" w:color="auto" w:fill="E6E6E6"/>
    </w:rPr>
  </w:style>
  <w:style w:type="paragraph" w:styleId="ListParagraph">
    <w:name w:val="List Paragraph"/>
    <w:basedOn w:val="Normal"/>
    <w:uiPriority w:val="34"/>
    <w:qFormat/>
    <w:rsid w:val="00164D68"/>
    <w:pPr>
      <w:ind w:left="720"/>
      <w:contextualSpacing/>
    </w:pPr>
  </w:style>
  <w:style w:type="character" w:styleId="FollowedHyperlink">
    <w:name w:val="FollowedHyperlink"/>
    <w:basedOn w:val="DefaultParagraphFont"/>
    <w:uiPriority w:val="99"/>
    <w:semiHidden/>
    <w:unhideWhenUsed/>
    <w:rsid w:val="003F349C"/>
    <w:rPr>
      <w:color w:val="954F72" w:themeColor="followedHyperlink"/>
      <w:u w:val="single"/>
    </w:rPr>
  </w:style>
  <w:style w:type="paragraph" w:styleId="Title">
    <w:name w:val="Title"/>
    <w:basedOn w:val="Normal"/>
    <w:next w:val="Normal"/>
    <w:link w:val="TitleChar"/>
    <w:uiPriority w:val="10"/>
    <w:qFormat/>
    <w:rsid w:val="007E72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7276"/>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6A0F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0F57"/>
    <w:rPr>
      <w:rFonts w:eastAsiaTheme="minorEastAsia"/>
      <w:lang w:val="en-US"/>
    </w:rPr>
  </w:style>
  <w:style w:type="paragraph" w:styleId="Header">
    <w:name w:val="header"/>
    <w:basedOn w:val="Normal"/>
    <w:link w:val="HeaderChar"/>
    <w:uiPriority w:val="99"/>
    <w:unhideWhenUsed/>
    <w:rsid w:val="00864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354"/>
  </w:style>
  <w:style w:type="paragraph" w:styleId="Footer">
    <w:name w:val="footer"/>
    <w:basedOn w:val="Normal"/>
    <w:link w:val="FooterChar"/>
    <w:uiPriority w:val="99"/>
    <w:unhideWhenUsed/>
    <w:rsid w:val="00864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3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hc.org.uk/sites/default/files/Downloads/Strategic-objectives-2017.pdf" TargetMode="External"/><Relationship Id="rId13" Type="http://schemas.openxmlformats.org/officeDocument/2006/relationships/hyperlink" Target="https://www.osteopathy.org.uk/standards/continuing-professional-development/" TargetMode="External"/><Relationship Id="rId18" Type="http://schemas.openxmlformats.org/officeDocument/2006/relationships/hyperlink" Target="http://www.grcct.org/registration/"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thetimes.co.uk/article/the-princes-foundation-for-integrated-health-to-be-shut-down-after-fraud-investigation-07jrd38p2xl" TargetMode="External"/><Relationship Id="rId7" Type="http://schemas.openxmlformats.org/officeDocument/2006/relationships/hyperlink" Target="https://www.cnhc.org.uk/about-us" TargetMode="External"/><Relationship Id="rId12" Type="http://schemas.openxmlformats.org/officeDocument/2006/relationships/hyperlink" Target="https://www.osteopathy.org.uk/standards/" TargetMode="External"/><Relationship Id="rId17" Type="http://schemas.openxmlformats.org/officeDocument/2006/relationships/hyperlink" Target="http://www.grcct.org/about-us/complaints/"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www.grcct.org/about-us/code-of-conduct/" TargetMode="External"/><Relationship Id="rId20" Type="http://schemas.openxmlformats.org/officeDocument/2006/relationships/hyperlink" Target="http://www.legislation.gov.uk/ukdsi/2014/9780111114483/pdfs/ukdsi_9780111114483_en.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bbc.co.uk/news/health-37572771" TargetMode="External"/><Relationship Id="rId11" Type="http://schemas.openxmlformats.org/officeDocument/2006/relationships/hyperlink" Target="http://www.gcc-uk.org/about-us/" TargetMode="External"/><Relationship Id="rId24" Type="http://schemas.openxmlformats.org/officeDocument/2006/relationships/hyperlink" Target="http://www.who.int/medicines/areas/traditional/irch/en/" TargetMode="External"/><Relationship Id="rId5" Type="http://schemas.openxmlformats.org/officeDocument/2006/relationships/endnotes" Target="endnotes.xml"/><Relationship Id="rId15" Type="http://schemas.openxmlformats.org/officeDocument/2006/relationships/hyperlink" Target="http://www.grcct.org/about-us/" TargetMode="External"/><Relationship Id="rId23" Type="http://schemas.openxmlformats.org/officeDocument/2006/relationships/hyperlink" Target="http://apps.who.int/iris/bitstream/10665/92455/1/9789241506090_eng.pdf?ua=1" TargetMode="External"/><Relationship Id="rId28" Type="http://schemas.openxmlformats.org/officeDocument/2006/relationships/glossaryDocument" Target="glossary/document.xml"/><Relationship Id="rId10" Type="http://schemas.openxmlformats.org/officeDocument/2006/relationships/hyperlink" Target="https://www.cnhc.org.uk/sites/default/files/Downloads/Fee-schedule.pdf" TargetMode="External"/><Relationship Id="rId19" Type="http://schemas.openxmlformats.org/officeDocument/2006/relationships/hyperlink" Target="http://www.grcct.org/regulation/statutory-regulation/" TargetMode="External"/><Relationship Id="rId4" Type="http://schemas.openxmlformats.org/officeDocument/2006/relationships/footnotes" Target="footnotes.xml"/><Relationship Id="rId9" Type="http://schemas.openxmlformats.org/officeDocument/2006/relationships/hyperlink" Target="https://www.cnhc.org.uk/who-we-register" TargetMode="External"/><Relationship Id="rId14" Type="http://schemas.openxmlformats.org/officeDocument/2006/relationships/hyperlink" Target="http://www.osteopathy.org.uk/news-and-resources/document-library/continuing-professional-development/cpd-guidelines-for-osteopaths/" TargetMode="External"/><Relationship Id="rId22" Type="http://schemas.openxmlformats.org/officeDocument/2006/relationships/hyperlink" Target="https://search-proquest-com.ezproxy.uwtsd.ac.uk/docview/467207147/citation/703A9B616EF9466CPQ/1?accountid=130472"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969"/>
    <w:rsid w:val="00922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4A4434283F4EFDBF1948D025A73536">
    <w:name w:val="254A4434283F4EFDBF1948D025A73536"/>
    <w:rsid w:val="00922969"/>
  </w:style>
  <w:style w:type="paragraph" w:customStyle="1" w:styleId="996A41E6B2834F89AA610C25AB9C5706">
    <w:name w:val="996A41E6B2834F89AA610C25AB9C5706"/>
    <w:rsid w:val="009229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FF00"/>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3308</TotalTime>
  <Pages>10</Pages>
  <Words>3440</Words>
  <Characters>19612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The Regulation of Complementary Medicine</vt:lpstr>
    </vt:vector>
  </TitlesOfParts>
  <Company/>
  <LinksUpToDate>false</LinksUpToDate>
  <CharactersWithSpaces>23006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Regulation of Complementary Medicine</dc:title>
  <dc:subject/>
  <dc:creator>Jade Mitchell (P152126)</dc:creator>
  <cp:keywords/>
  <dc:description/>
  <cp:lastModifiedBy>Jade Mitchell (P152126)</cp:lastModifiedBy>
  <cp:revision>27</cp:revision>
  <dcterms:created xsi:type="dcterms:W3CDTF">2018-01-12T15:20:00Z</dcterms:created>
  <dcterms:modified xsi:type="dcterms:W3CDTF">2018-01-19T21:40:00Z</dcterms:modified>
</cp:coreProperties>
</file>