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BEA7DDD" w14:paraId="51CF665B" wp14:textId="7B525422">
      <w:pPr>
        <w:spacing w:after="160"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1BEA7DDD" w:rsidR="1BEA7DDD">
        <w:rPr>
          <w:rFonts w:ascii="Arial" w:hAnsi="Arial" w:eastAsia="Arial" w:cs="Arial"/>
          <w:b w:val="1"/>
          <w:bCs w:val="1"/>
          <w:i w:val="0"/>
          <w:iCs w:val="0"/>
          <w:caps w:val="0"/>
          <w:smallCaps w:val="0"/>
          <w:noProof w:val="0"/>
          <w:color w:val="000000" w:themeColor="text1" w:themeTint="FF" w:themeShade="FF"/>
          <w:sz w:val="28"/>
          <w:szCs w:val="28"/>
          <w:lang w:val="en-GB"/>
        </w:rPr>
        <w:t xml:space="preserve">Catalytic leadership – rights, resilience, and social change. </w:t>
      </w:r>
    </w:p>
    <w:p xmlns:wp14="http://schemas.microsoft.com/office/word/2010/wordml" w:rsidP="1BEA7DDD" w14:paraId="7F19E143" wp14:textId="626AC06B">
      <w:pPr>
        <w:spacing w:after="160"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1BEA7DDD" w:rsidR="1BEA7DDD">
        <w:rPr>
          <w:rFonts w:ascii="Arial" w:hAnsi="Arial" w:eastAsia="Arial" w:cs="Arial"/>
          <w:b w:val="1"/>
          <w:bCs w:val="1"/>
          <w:i w:val="0"/>
          <w:iCs w:val="0"/>
          <w:caps w:val="0"/>
          <w:smallCaps w:val="0"/>
          <w:noProof w:val="0"/>
          <w:color w:val="000000" w:themeColor="text1" w:themeTint="FF" w:themeShade="FF"/>
          <w:sz w:val="28"/>
          <w:szCs w:val="28"/>
          <w:lang w:val="en-GB"/>
        </w:rPr>
        <w:t>(ECEY6003)</w:t>
      </w:r>
    </w:p>
    <w:p xmlns:wp14="http://schemas.microsoft.com/office/word/2010/wordml" w:rsidP="1BEA7DDD" w14:paraId="4CC88286" wp14:textId="37EA97A6">
      <w:pPr>
        <w:spacing w:after="160"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1BEA7DDD" w:rsidR="1BEA7DDD">
        <w:rPr>
          <w:rFonts w:ascii="Arial" w:hAnsi="Arial" w:eastAsia="Arial" w:cs="Arial"/>
          <w:b w:val="1"/>
          <w:bCs w:val="1"/>
          <w:i w:val="0"/>
          <w:iCs w:val="0"/>
          <w:caps w:val="0"/>
          <w:smallCaps w:val="0"/>
          <w:noProof w:val="0"/>
          <w:color w:val="000000" w:themeColor="text1" w:themeTint="FF" w:themeShade="FF"/>
          <w:sz w:val="28"/>
          <w:szCs w:val="28"/>
          <w:lang w:val="en-GB"/>
        </w:rPr>
        <w:t>Section one</w:t>
      </w:r>
    </w:p>
    <w:p xmlns:wp14="http://schemas.microsoft.com/office/word/2010/wordml" w:rsidP="1BEA7DDD" w14:paraId="48C8E410" wp14:textId="02350DCD">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A catalytic leader is someone who actively leads and inspires change, knowing how to positively make these changes and sparks momentum within their setting. Whilst continuously, creating and communicating a clear purpose and vision to staff. For instance,</w:t>
      </w:r>
      <w:r w:rsidRPr="1BEA7DDD" w:rsidR="1BEA7DDD">
        <w:rPr>
          <w:rFonts w:ascii="Arial" w:hAnsi="Arial" w:eastAsia="Arial" w:cs="Arial"/>
          <w:b w:val="0"/>
          <w:bCs w:val="0"/>
          <w:i w:val="0"/>
          <w:iCs w:val="0"/>
          <w:caps w:val="0"/>
          <w:smallCaps w:val="0"/>
          <w:noProof w:val="0"/>
          <w:color w:val="000000" w:themeColor="text1" w:themeTint="FF" w:themeShade="FF"/>
          <w:sz w:val="22"/>
          <w:szCs w:val="22"/>
          <w:lang w:val="en-GB"/>
        </w:rPr>
        <w:t xml:space="preserve"> Herold (2008); Tyler and De Cremer </w:t>
      </w:r>
      <w:r w:rsidRPr="1BEA7DDD" w:rsidR="1BEA7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(2005) “argue that transformational leader behaviours have been shown to have positive effects on followers’ change commitment and acceptance to a specific change initiative.” Catalytic leaders do not necessarily do this by taking increased decisions themselves, but by enabling and empowering staff to want to take and encourage important decisions and changes. McDowall C (2012) states catalytic leadership is both a teacher’s approach and practise of teacher's leadership methods within an inclusive context. </w:t>
      </w:r>
    </w:p>
    <w:p xmlns:wp14="http://schemas.microsoft.com/office/word/2010/wordml" w:rsidP="1BEA7DDD" w14:paraId="53691E37" wp14:textId="12385C5A">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Leaders who inspire change within a setting and amongst their staff can be more successful of implementing advantageous improvements and strategies. According to Avolio, </w:t>
      </w:r>
      <w:r w:rsidRPr="1BEA7DDD" w:rsidR="1BEA7DDD">
        <w:rPr>
          <w:rFonts w:ascii="Arial" w:hAnsi="Arial" w:eastAsia="Arial" w:cs="Arial"/>
          <w:b w:val="0"/>
          <w:bCs w:val="0"/>
          <w:i w:val="1"/>
          <w:iCs w:val="1"/>
          <w:caps w:val="0"/>
          <w:smallCaps w:val="0"/>
          <w:noProof w:val="0"/>
          <w:color w:val="000000" w:themeColor="text1" w:themeTint="FF" w:themeShade="FF"/>
          <w:sz w:val="24"/>
          <w:szCs w:val="24"/>
          <w:lang w:val="en-GB"/>
        </w:rPr>
        <w:t>et al</w:t>
      </w: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 (2009) transformational leadership is the most popular styles of leadership studied and has been identified to carry effective skills to combat organisational tensions and offer supportive strategies in development over performances overall. Bass and Riggio (2006) state that numerous studies have assessed the relationship between the practise of transformational leadership and the changes implemented throughout settings. For instance, Aarons </w:t>
      </w:r>
      <w:r w:rsidRPr="1BEA7DDD" w:rsidR="1BEA7DD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 al</w:t>
      </w:r>
      <w:r w:rsidRPr="1BEA7DDD" w:rsidR="1BEA7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(2011) found that “transformational leadership was especially important in maintaining a positive organizational climate in organizations enduring a large-scale system change.” Furthermore, several psychological theories support the growing attitude carried by leaders around change, therefore influencing their team and other members of staff.</w:t>
      </w:r>
    </w:p>
    <w:p xmlns:wp14="http://schemas.microsoft.com/office/word/2010/wordml" w:rsidP="1BEA7DDD" w14:paraId="265F4481" wp14:textId="43BA061D">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As catalysts, leaders commonly utilise their energy and encouragement throughout the setting. This can be accomplished using different strategies but maintaining some primary focuses. Examples of these would be a leader offering support for staff members to effectively combat any difficulties that prevent them bringing ideas to reality, whilst ensuring fostered connections are across the setting. Furthermore, leaders could also encourage collaboration across the setting to encourage people to construct relationships between their work and the setting’s desires and future aims and creating and sustaining a comfortable and inclusive environment, where people confidently and comfortably feel they work in positive and sustainable ways thus pursuing the full range of their personal and professional aspirations.</w:t>
      </w:r>
    </w:p>
    <w:p xmlns:wp14="http://schemas.microsoft.com/office/word/2010/wordml" w:rsidP="1BEA7DDD" w14:paraId="41BD4EA9" wp14:textId="35239E6F">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Catalytic leaders can take on a serious of well-defined roles that they believe will develop leadership strategies and contribute to constructing opportunities for a shared reform and change.  Potentially new forms of leadership may emerge naturally from this process, encouraging and developing partnerships and collaborative efforts.  Toomey (2009) supports this and “argues a critical role of a catalytic leader is to focus on increasing capacity within communities for identifying and solving problems, as well as building trust and identifying new ways for the partnership to work collaboratively to achieve goals.” </w:t>
      </w:r>
    </w:p>
    <w:p xmlns:wp14="http://schemas.microsoft.com/office/word/2010/wordml" w:rsidP="1BEA7DDD" w14:paraId="4A32EFF6" wp14:textId="6AE6718A">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With continuous and rapid changes and developments that always happen within settings, it is instrumental that leaders are versatile and agile thus ensuring they are suitably equipped with useful skills when facing anticipated challenges and changes. Agile leaders can potentially result in sustained success, this highlights the importance of not only leaders but workplaces as a collective needing to develop a level of agility that matches the accelerating pace of change and expanding complexity in their working environment. Furthermore, it is instrumental to have leaders who embodies a corresponding level of agility, which encourages higher levels of agility within team members that is learnt and modelled from their leaders, empowering people, and actively facilitating their development within the setting. </w:t>
      </w:r>
    </w:p>
    <w:p xmlns:wp14="http://schemas.microsoft.com/office/word/2010/wordml" w:rsidP="1BEA7DDD" w14:paraId="0440A870" wp14:textId="205A257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However, some people do argue that the transformation of early year settings being predominantly relied on advantageous leaders proves to not be realistic or sustainable and distributing leadership roles to multiple people and situations can potentially result in more effective framework to understand the substantiality of educational settings and how to develop and further existing practises. </w:t>
      </w:r>
    </w:p>
    <w:p xmlns:wp14="http://schemas.microsoft.com/office/word/2010/wordml" w:rsidP="1BEA7DDD" w14:paraId="6BF34A5B" wp14:textId="5948B1C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 Camburn et al. (2003), Copland (2003) and Spillane et al. (2004) argue that “this alternative involves thinking of leadership in terms of activities and interactions that are </w:t>
      </w:r>
      <w:r w:rsidRPr="1BEA7DDD" w:rsidR="1BEA7DDD">
        <w:rPr>
          <w:rFonts w:ascii="Arial" w:hAnsi="Arial" w:eastAsia="Arial" w:cs="Arial"/>
          <w:b w:val="0"/>
          <w:bCs w:val="0"/>
          <w:i w:val="1"/>
          <w:iCs w:val="1"/>
          <w:caps w:val="0"/>
          <w:smallCaps w:val="0"/>
          <w:noProof w:val="0"/>
          <w:color w:val="000000" w:themeColor="text1" w:themeTint="FF" w:themeShade="FF"/>
          <w:sz w:val="24"/>
          <w:szCs w:val="24"/>
          <w:lang w:val="en-GB"/>
        </w:rPr>
        <w:t>distributed</w:t>
      </w: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 across multiple people and situations and involve role complementarities and network patterns of control,” Smylie and Denny (1990) alongside, Heller and Firestone (1995) also support this practise. Arguing that distributed leadership can potentially provide intricate qualities and encourage the use and qualities of catalytic leadership. Stoll, L., Seashore, L. (2007) state there is an emerging indication that the method of the distribution of shared leadership provides a more developed opportunity for organisational change within settings. Furthermore, distributed leadership provides people with opportunities of collaboration with others which additionally is catalytic leading approach. </w:t>
      </w:r>
    </w:p>
    <w:p xmlns:wp14="http://schemas.microsoft.com/office/word/2010/wordml" w:rsidP="1BEA7DDD" w14:paraId="0B8EB856" wp14:textId="2DA84F8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a clear indication that concept of distributed leadership directly links with the shared leadership ideas of Pearce and Conger (2003). This consistent view on the methodology of distributed learning is a common description of devolved, dispersed and shared leadership strategies used in schools and child settings. Catalytical leadership is a both inspiring and encourage type of leading, enabling followers, members of staff or even society to identify effective goals and outcomes, enabling these to be achieved as a team. Moreover, a study conducted by Zohdy </w:t>
      </w:r>
      <w:r w:rsidRPr="1BEA7DDD" w:rsidR="1BEA7DDD">
        <w:rPr>
          <w:rFonts w:ascii="Arial" w:hAnsi="Arial" w:eastAsia="Arial" w:cs="Arial"/>
          <w:b w:val="0"/>
          <w:bCs w:val="0"/>
          <w:i w:val="1"/>
          <w:iCs w:val="1"/>
          <w:caps w:val="0"/>
          <w:smallCaps w:val="0"/>
          <w:noProof w:val="0"/>
          <w:color w:val="000000" w:themeColor="text1" w:themeTint="FF" w:themeShade="FF"/>
          <w:sz w:val="24"/>
          <w:szCs w:val="24"/>
          <w:lang w:val="en-GB"/>
        </w:rPr>
        <w:t>et al.</w:t>
      </w: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 (2016) found that positive effects were identified from the practise of catalytic collaboration, providing a positive, sustainable, long-term impact, additionally this practise has an abundance of potentiality for practitioners when facing social complexities. Clark </w:t>
      </w:r>
      <w:r w:rsidRPr="1BEA7DDD" w:rsidR="1BEA7DD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 al</w:t>
      </w:r>
      <w:r w:rsidRPr="1BEA7DDD" w:rsidR="1BEA7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(2006); Clark </w:t>
      </w:r>
      <w:r w:rsidRPr="1BEA7DDD" w:rsidR="1BEA7DD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 al</w:t>
      </w:r>
      <w:r w:rsidRPr="1BEA7DDD" w:rsidR="1BEA7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(2010) share a belief that collaboration across sectors using distributed leadership has provided instrumental for the development of collaborative governance. </w:t>
      </w:r>
    </w:p>
    <w:p xmlns:wp14="http://schemas.microsoft.com/office/word/2010/wordml" w:rsidP="1BEA7DDD" w14:paraId="3D14F821" wp14:textId="2CA6E511">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1BEA7DDD" w:rsidR="1BEA7DDD">
        <w:rPr>
          <w:rFonts w:ascii="Arial" w:hAnsi="Arial" w:eastAsia="Arial" w:cs="Arial"/>
          <w:b w:val="1"/>
          <w:bCs w:val="1"/>
          <w:i w:val="0"/>
          <w:iCs w:val="0"/>
          <w:caps w:val="0"/>
          <w:smallCaps w:val="0"/>
          <w:noProof w:val="0"/>
          <w:color w:val="000000" w:themeColor="text1" w:themeTint="FF" w:themeShade="FF"/>
          <w:sz w:val="28"/>
          <w:szCs w:val="28"/>
          <w:lang w:val="en-GB"/>
        </w:rPr>
        <w:t xml:space="preserve">Section two </w:t>
      </w:r>
    </w:p>
    <w:p xmlns:wp14="http://schemas.microsoft.com/office/word/2010/wordml" w:rsidP="1BEA7DDD" w14:paraId="57C74B43" wp14:textId="681474C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The way in which children are viewed has changed dramatically as time has progressed. Many years ago, children were often viewed as minorities and did not carry the entitlement of a freedom of speech or choice. Any sort of rights laid in the hands of their parents or caregivers, which had to be respectively accepted. There was a lack of any protection or entitlement to basic rights provided for children during the early nineteenth century, meaning that any formal structure for people to follow was non-existent.</w:t>
      </w:r>
    </w:p>
    <w:p xmlns:wp14="http://schemas.microsoft.com/office/word/2010/wordml" w:rsidP="1BEA7DDD" w14:paraId="71FB842F" wp14:textId="1F9CA33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some attitudes towards children gradually changed during the nineteenth century with childhood being viewed as a phase of life and a distinctive difference between child and adult hood, with the social attitude switching to a more a nurturing point of a view, where children were viewed as needing protecting and guidance. This saw the establishment of the “International Children’s Emergency Fund, UNICEF”, with an emphasis on the importance of children and children across the world. Following this “The United Nations General Assembly passes the Universal Declaration of Human Rights” and article twenty-five which provides both mothers and children with the right to specialised care, assistance, and social protection. This movement encouraged a huge change in social attitudes towards children and childhood. Following this “The Declaration of the Rights of the Child” was adopted, and alongside other rights they recognised the growing importance of children’s right to education, play, basic health care and an environment that is safe and supportive. Meaning children had to be provided with a suitable educational and learning experiences which further defined the gap between child and adult hood. This ignites further change and The International Labour Organisation (1951) introduces Convention one hundred and thirty-eight, which state that eighteen is the minimum age that an individual can lawfully undertake form of work that creates any potentiality of being hazardous to their health, safety and morals. Before any of these rights were recognised and introduced, children were not given any access to education or play and were expected to work like adults. Unicef (no date) “highlight the importance of this right of education and state that education is a key social and cultural right and plays an important role in reducing poverty and child labour. Furthermore, education promotes democracy, peace, tolerance, development, and economic growth.”</w:t>
      </w:r>
    </w:p>
    <w:p xmlns:wp14="http://schemas.microsoft.com/office/word/2010/wordml" w:rsidP="1BEA7DDD" w14:paraId="1512116C" wp14:textId="21E8B4A0">
      <w:pPr>
        <w:spacing w:after="160" w:line="360" w:lineRule="auto"/>
        <w:jc w:val="left"/>
        <w:rPr>
          <w:rFonts w:ascii="Arial" w:hAnsi="Arial" w:eastAsia="Arial" w:cs="Arial"/>
          <w:b w:val="0"/>
          <w:bCs w:val="0"/>
          <w:i w:val="0"/>
          <w:iCs w:val="0"/>
          <w:caps w:val="0"/>
          <w:smallCaps w:val="0"/>
          <w:noProof w:val="0"/>
          <w:color w:val="202124"/>
          <w:sz w:val="28"/>
          <w:szCs w:val="28"/>
          <w:lang w:val="en-GB"/>
        </w:rPr>
      </w:pPr>
      <w:r w:rsidRPr="1BEA7DDD" w:rsidR="1BEA7DDD">
        <w:rPr>
          <w:rFonts w:ascii="Arial" w:hAnsi="Arial" w:eastAsia="Arial" w:cs="Arial"/>
          <w:b w:val="1"/>
          <w:bCs w:val="1"/>
          <w:i w:val="0"/>
          <w:iCs w:val="0"/>
          <w:caps w:val="0"/>
          <w:smallCaps w:val="0"/>
          <w:noProof w:val="0"/>
          <w:color w:val="202124"/>
          <w:sz w:val="28"/>
          <w:szCs w:val="28"/>
          <w:lang w:val="en-GB"/>
        </w:rPr>
        <w:t>The United Nations Convention on the Rights of the Child</w:t>
      </w:r>
    </w:p>
    <w:p xmlns:wp14="http://schemas.microsoft.com/office/word/2010/wordml" w:rsidP="1BEA7DDD" w14:paraId="63FA8ADC" wp14:textId="48AC11A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The introduction of The United Nations Convention on the Rights of the Child in 1989 was a huge and pivotal movement in the encouragement of positive and advantageous impacts on early childhood. The UNCRC is a human rights and international treaty that provides children and young children to a series of rights, there are currently fifty-four articles which recognise all aspects of children’s and young people’s lives. Each article outlines the civil, political, social, economic and cultural rights that children are entitled to across the world.  No one right is more important than another and all rights are linked and carry an equal weight of importance. The UNCRC (no date) outlines that everybody has the entitlement to basic rights, regardless of what ethnicity or gender an individual may be or what language, abilities or status they may carry. Furthermore, the UNCRC is the most widely recognised and ratified human rights treaty in the world. </w:t>
      </w:r>
    </w:p>
    <w:p xmlns:wp14="http://schemas.microsoft.com/office/word/2010/wordml" w:rsidP="1BEA7DDD" w14:paraId="4C614B41" wp14:textId="467D4DF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and young children carry a basic entitlement to rights; however, their rights can sometimes be neglected due the perception of children’s immaturity. During the early stages of childhood, children’s development grows rapidly during which the foundations for children’s communication, connection with others and their surroundings and identity is constructed. The stages of early childhood and their experiences can be instrumental in creating an advantageous effect on children’s well-being and relationships with peers and people they commonly interact with. The convention has provided a baseline standard and established clear and consistent standard to follow to ensure that children are provided with efficient rights and protection, thus having a positive and instrumental effect on their childhood. UNICEF (no date) underpins this statement and argues that “It has inspired governments to change laws and policies and make investments so that more children finally get the health care and nutrition they need to survive and develop, and there are stronger safeguards in place to protect children from violence and exploitation.” Furthermore, It has given children the empowerment to have their voices heard and the opportunity to participate within society. </w:t>
      </w:r>
    </w:p>
    <w:p xmlns:wp14="http://schemas.microsoft.com/office/word/2010/wordml" w:rsidP="1BEA7DDD" w14:paraId="4E2F227B" wp14:textId="2FAC0DC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Whist there has been clear improvements and developments around the subject of children’s rights being recognised, it would be ignorant not to acknowledge the challenges that remain within policies and practises used in some early childhood settings and programs.  </w:t>
      </w:r>
    </w:p>
    <w:p xmlns:wp14="http://schemas.microsoft.com/office/word/2010/wordml" w:rsidP="1BEA7DDD" w14:paraId="6D225A62" wp14:textId="38261186">
      <w:pPr>
        <w:spacing w:after="160" w:line="360" w:lineRule="auto"/>
        <w:jc w:val="left"/>
        <w:rPr>
          <w:rFonts w:ascii="Arial" w:hAnsi="Arial" w:eastAsia="Arial" w:cs="Arial"/>
          <w:b w:val="0"/>
          <w:bCs w:val="0"/>
          <w:i w:val="0"/>
          <w:iCs w:val="0"/>
          <w:caps w:val="0"/>
          <w:smallCaps w:val="0"/>
          <w:noProof w:val="0"/>
          <w:color w:val="202124"/>
          <w:sz w:val="28"/>
          <w:szCs w:val="28"/>
          <w:lang w:val="en-GB"/>
        </w:rPr>
      </w:pPr>
      <w:r w:rsidRPr="1BEA7DDD" w:rsidR="1BEA7DDD">
        <w:rPr>
          <w:rFonts w:ascii="Arial" w:hAnsi="Arial" w:eastAsia="Arial" w:cs="Arial"/>
          <w:b w:val="1"/>
          <w:bCs w:val="1"/>
          <w:i w:val="0"/>
          <w:iCs w:val="0"/>
          <w:caps w:val="0"/>
          <w:smallCaps w:val="0"/>
          <w:noProof w:val="0"/>
          <w:color w:val="202124"/>
          <w:sz w:val="28"/>
          <w:szCs w:val="28"/>
          <w:lang w:val="en-GB"/>
        </w:rPr>
        <w:t>The explicit ban on the corporal punishment of children.</w:t>
      </w:r>
    </w:p>
    <w:p xmlns:wp14="http://schemas.microsoft.com/office/word/2010/wordml" w:rsidP="1BEA7DDD" w14:paraId="5E5BFA13" wp14:textId="0B4C951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 year of 1979, Sweden became the first country to ignite an instrumental development surrounding the protection of children. They became the first country in the world to explicitly ban the corporal punishment of children, introducing the formal ban on smacking or any other physical forms to punish a child. This adoption created a positive impact within Sweden from findings that were collected for a survey of children whose early childhood occurred shortly after the adoption of the ban, the survey took place in 1994 and discoveries showed that only three percent reporting harsh slaps from parents and one percent of children saying they had been hit with implements. Furthermore, during the nineteen eighties no children died from the result of physical abuse, and evidently showing an advantageous development in the protection of children from physical abuse. </w:t>
      </w:r>
    </w:p>
    <w:p xmlns:wp14="http://schemas.microsoft.com/office/word/2010/wordml" w:rsidP="1BEA7DDD" w14:paraId="5F371619" wp14:textId="68B85C3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After this movement from Sweden, many other countries eventually followed in their footsteps and most recently, Wales has adopted this explicit ban. In 2022 Wales made it an official crime to use any form of physical force against a child, The “smacking ban” was adopted in accordance with the ‘Children (Abolition of Defence of Reasonable Punishment) Wales Act 2020’ and abolishing the common law defence of a punishment within reason. </w:t>
      </w:r>
    </w:p>
    <w:p xmlns:wp14="http://schemas.microsoft.com/office/word/2010/wordml" w:rsidP="1BEA7DDD" w14:paraId="07CC7762" wp14:textId="49ED0DE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Some argue that using forms of physical force to punish a child can potentially cause detrimental mental health problems for a child and in some cases in the later stages of their lives. Maddox (2019) states that physical punishment has been closely linked with children suffering with mental health problems, later displays of aggressive behaviour, resulting in a higher risk of the use of more extreme and different types of abuse, regardless of constant sociodemographic figures being carried consistently. </w:t>
      </w:r>
    </w:p>
    <w:p xmlns:wp14="http://schemas.microsoft.com/office/word/2010/wordml" w:rsidP="1BEA7DDD" w14:paraId="09F2C96D" wp14:textId="4B092A3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w:t>
      </w:r>
      <w:r w:rsidRPr="1BEA7DDD" w:rsidR="1BEA7DDD">
        <w:rPr>
          <w:rFonts w:ascii="Arial" w:hAnsi="Arial" w:eastAsia="Arial" w:cs="Arial"/>
          <w:b w:val="0"/>
          <w:bCs w:val="0"/>
          <w:i w:val="0"/>
          <w:iCs w:val="0"/>
          <w:caps w:val="0"/>
          <w:smallCaps w:val="0"/>
          <w:strike w:val="0"/>
          <w:dstrike w:val="0"/>
          <w:noProof w:val="0"/>
          <w:color w:val="000000" w:themeColor="text1" w:themeTint="FF" w:themeShade="FF"/>
          <w:sz w:val="25"/>
          <w:szCs w:val="25"/>
          <w:u w:val="none"/>
          <w:lang w:val="en-GB"/>
        </w:rPr>
        <w:t>Davis</w:t>
      </w:r>
      <w:r w:rsidRPr="1BEA7DDD" w:rsidR="1BEA7DDD">
        <w:rPr>
          <w:rFonts w:ascii="Arial" w:hAnsi="Arial" w:eastAsia="Arial" w:cs="Arial"/>
          <w:b w:val="1"/>
          <w:bCs w:val="1"/>
          <w:i w:val="0"/>
          <w:iCs w:val="0"/>
          <w:caps w:val="0"/>
          <w:smallCaps w:val="0"/>
          <w:strike w:val="0"/>
          <w:dstrike w:val="0"/>
          <w:noProof w:val="0"/>
          <w:color w:val="000000" w:themeColor="text1" w:themeTint="FF" w:themeShade="FF"/>
          <w:sz w:val="25"/>
          <w:szCs w:val="25"/>
          <w:u w:val="none"/>
          <w:lang w:val="en-GB"/>
        </w:rPr>
        <w:t xml:space="preserve"> </w:t>
      </w: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(2018) argues that “In countries that have full bans on smacking, rates of physical fighting among adolescents are up to 69% lower and that studies have discovered, countries that ban the smacking of children appear to be safer for young people to grow up in, according to research revealing that fighting between youths – particularly females – is less common where corporal punishment has been outlawed.”</w:t>
      </w:r>
    </w:p>
    <w:p xmlns:wp14="http://schemas.microsoft.com/office/word/2010/wordml" w:rsidP="1BEA7DDD" w14:paraId="1F4E63B6" wp14:textId="5DBF6FE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EA7DDD" w:rsidR="1BEA7DDD">
        <w:rPr>
          <w:rFonts w:ascii="Arial" w:hAnsi="Arial" w:eastAsia="Arial" w:cs="Arial"/>
          <w:b w:val="1"/>
          <w:bCs w:val="1"/>
          <w:i w:val="0"/>
          <w:iCs w:val="0"/>
          <w:caps w:val="0"/>
          <w:smallCaps w:val="0"/>
          <w:noProof w:val="0"/>
          <w:color w:val="000000" w:themeColor="text1" w:themeTint="FF" w:themeShade="FF"/>
          <w:sz w:val="32"/>
          <w:szCs w:val="32"/>
          <w:lang w:val="en-GB"/>
        </w:rPr>
        <w:t>The Children Commissioner.</w:t>
      </w:r>
    </w:p>
    <w:p xmlns:wp14="http://schemas.microsoft.com/office/word/2010/wordml" w:rsidP="1BEA7DDD" w14:paraId="731FE68A" wp14:textId="48B365BA">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The appointment of Wales’ first Children Commissioner was an additional positive, ground-breaking movement towards the protection of children and their rights. The Commissioner’s key focus under the ‘Care Standards Act 2000’ is to ensure that children’s welfare and rights are safeguarded and continuously promoted. Whilst implementing these actions, the Commissioner must consider the focuses of The United Nations Convention on the Rights of the Child (UNCRC) which is clearly outlined within the Regulations of the Children’s Commissioner for Wales 2001, Regulation twenty-two. </w:t>
      </w:r>
    </w:p>
    <w:p xmlns:wp14="http://schemas.microsoft.com/office/word/2010/wordml" w:rsidP="1BEA7DDD" w14:paraId="433E01F1" wp14:textId="12904290">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(2017) outlines </w:t>
      </w:r>
    </w:p>
    <w:p xmlns:wp14="http://schemas.microsoft.com/office/word/2010/wordml" w:rsidP="1BEA7DDD" w14:paraId="189BEE36" wp14:textId="33699B6A">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The Office of the Children’s Commissioner promotes the rights, views, and interests of children in policies or decisions affecting their lives. They particularly represent children who are vulnerable or who find it hard to make their views known. </w:t>
      </w:r>
    </w:p>
    <w:p xmlns:wp14="http://schemas.microsoft.com/office/word/2010/wordml" w:rsidP="1BEA7DDD" w14:paraId="5A715B34" wp14:textId="37CD10CE">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The adoption of a children’s commissioners across the UK provides children with a representative that can actively fight, support and promote their rights, protection and well-being. Parliament. Uk (2020) outlines that the key aims The Children’s Commissioner provides children and young people with, they ensure every child is given a voice and especially recognise the importance of providing this for disadvantaged and vulnerable children. The Children’s Commissioner is appointed by the Secretary of State for Education under the Children Act 2004 under Schedule one. The primary responsibility being “promoting and protecting the rights of children”, with the specific insurance of vulnerable children voice’s being heard and their rights being continuously protected and met. The Commissioner’s statutory role and responsibilities are clearly outlined in the Children Act 2004, within Part one and Schedule one from amendments within Part six and Schedule five of the Children and Families Act 2014, which underpins the importance of positive effects and impacts being made on children during their early childhood. </w:t>
      </w:r>
    </w:p>
    <w:p xmlns:wp14="http://schemas.microsoft.com/office/word/2010/wordml" w:rsidP="1BEA7DDD" w14:paraId="33BCAC01" wp14:textId="09035DA7">
      <w:pPr>
        <w:spacing w:after="160" w:line="360" w:lineRule="auto"/>
        <w:ind w:left="0"/>
        <w:rPr>
          <w:rFonts w:ascii="Arial" w:hAnsi="Arial" w:eastAsia="Arial" w:cs="Arial"/>
          <w:b w:val="0"/>
          <w:bCs w:val="0"/>
          <w:i w:val="0"/>
          <w:iCs w:val="0"/>
          <w:caps w:val="0"/>
          <w:smallCaps w:val="0"/>
          <w:noProof w:val="0"/>
          <w:color w:val="000000" w:themeColor="text1" w:themeTint="FF" w:themeShade="FF"/>
          <w:sz w:val="32"/>
          <w:szCs w:val="32"/>
          <w:lang w:val="en-GB"/>
        </w:rPr>
      </w:pPr>
      <w:r w:rsidRPr="1BEA7DDD" w:rsidR="1BEA7DDD">
        <w:rPr>
          <w:rFonts w:ascii="Arial" w:hAnsi="Arial" w:eastAsia="Arial" w:cs="Arial"/>
          <w:b w:val="1"/>
          <w:bCs w:val="1"/>
          <w:i w:val="0"/>
          <w:iCs w:val="0"/>
          <w:caps w:val="0"/>
          <w:smallCaps w:val="0"/>
          <w:noProof w:val="0"/>
          <w:color w:val="000000" w:themeColor="text1" w:themeTint="FF" w:themeShade="FF"/>
          <w:sz w:val="32"/>
          <w:szCs w:val="32"/>
          <w:lang w:val="en-GB"/>
        </w:rPr>
        <w:t xml:space="preserve">Section three </w:t>
      </w:r>
    </w:p>
    <w:p xmlns:wp14="http://schemas.microsoft.com/office/word/2010/wordml" w:rsidP="1BEA7DDD" w14:paraId="431C91ED" wp14:textId="628A34B6">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A common and detrimental sociological factor that some children face within their life is poverty. Many children who live in poverty during their childhood experience a negative impact on almost all aspects of their life and areas of development. Poverty can potentially cause a damaging effect on a child’s health, social, emotional, and cognitive development and their behaviour, and educational outcomes. </w:t>
      </w:r>
    </w:p>
    <w:p xmlns:wp14="http://schemas.microsoft.com/office/word/2010/wordml" w:rsidP="1BEA7DDD" w14:paraId="3C884DAD" wp14:textId="63528DB5">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Public Health Scotland (2021) suggest that “Children and families living and growing up in poverty and low-income households experience many disadvantages. These can have negative health and social consequences during childhood and into adulthood.”</w:t>
      </w:r>
    </w:p>
    <w:p xmlns:wp14="http://schemas.microsoft.com/office/word/2010/wordml" w:rsidP="1BEA7DDD" w14:paraId="1B513239" wp14:textId="68DACF60">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Most children who live in poverty can face many barriers in life. Many families who live poverty can sometimes face barrier to access a healthy lifestyle. Poverty can restrict families being able to offer healthy eating and a balanced diets due to healthier nutritional foods being more expensive than other foods, that are sometimes not as nutritional. A study undertaken by the ‘Food Foundation’ state that there is a concerning decline in the ability of families who are living from a low-income to be able to afford for healthy food which results in families who are living in a financial disadvantage to face an increased risk of diet related illnesses, some examples being, obesity and diabetes, as well as a health inequality growing across society. Furthermore, the study identified that around 47% of UK households are not spending enough money on food to the meet the target requirements of ‘Eatwell’. It is estimated that only 20% of households that children are living and where the main provider who is unemployed spends the amount recommended. Toxic stress and health problems has had a </w:t>
      </w:r>
    </w:p>
    <w:p xmlns:wp14="http://schemas.microsoft.com/office/word/2010/wordml" w:rsidP="1BEA7DDD" w14:paraId="20101A18" wp14:textId="1AD11367">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who experience living in poverty and its effects and have been exposed to adversity are at a higher risk of toxic stress and a variety of health problems, which could potentially affect them during their childhood or later in life, including problems such as developmental and cognitive delay, asthma and heart disease. </w:t>
      </w:r>
    </w:p>
    <w:p xmlns:wp14="http://schemas.microsoft.com/office/word/2010/wordml" w:rsidP="1BEA7DDD" w14:paraId="7D0465A8" wp14:textId="46C7691A">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An emerging area of research is the adverse childhood experiences (ACEs) the definition being a child before the age of 18 experiencing a traumatic event, which can and the potential long-term health effects which can additionally result in toxic stress, therefore having a detrimental effect on an individual's personal, physical and and mental health.  </w:t>
      </w:r>
    </w:p>
    <w:p xmlns:wp14="http://schemas.microsoft.com/office/word/2010/wordml" w:rsidP="1BEA7DDD" w14:paraId="3D822BE7" wp14:textId="37348AEA">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BEA7DDD" w14:paraId="65A7E27C" wp14:textId="292EA7A9">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 NHS (2022) support this and state that “Experiencing ACEs can have an impact on our future physical and mental health, and often ACEs can be barriers to healthy attachment relationships forming for children. Some of the effects of ACEs on our physical and mental health are:</w:t>
      </w:r>
    </w:p>
    <w:p xmlns:wp14="http://schemas.microsoft.com/office/word/2010/wordml" w:rsidP="1BEA7DDD" w14:paraId="60A61BA4" wp14:textId="5B44F0B2">
      <w:pPr>
        <w:pStyle w:val="ListParagraph"/>
        <w:numPr>
          <w:ilvl w:val="0"/>
          <w:numId w:val="1"/>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An increase in the risk of certain health problems in adulthood, such as cancer and heart disease, as well as increasing the risk of mental health difficulties, violence and becoming a victim of violence.</w:t>
      </w:r>
    </w:p>
    <w:p xmlns:wp14="http://schemas.microsoft.com/office/word/2010/wordml" w:rsidP="1BEA7DDD" w14:paraId="0BA49662" wp14:textId="44DD3789">
      <w:pPr>
        <w:pStyle w:val="ListParagraph"/>
        <w:numPr>
          <w:ilvl w:val="0"/>
          <w:numId w:val="1"/>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An increase in the risk of mental health problems, such as anxiety, depression, and post-traumatic stress. 1 in 3 diagnosed mental health conditions in adulthood related to ACEs.”</w:t>
      </w:r>
    </w:p>
    <w:p xmlns:wp14="http://schemas.microsoft.com/office/word/2010/wordml" w:rsidP="1BEA7DDD" w14:paraId="6DC0E4FB" wp14:textId="4B048C4E">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For families who already are facing stress and worries, poverty and its effects can have devastating effects. There is a significantly higher number of families who live on a low-income that are known to social services in proportion to any other social groups. </w:t>
      </w:r>
    </w:p>
    <w:p xmlns:wp14="http://schemas.microsoft.com/office/word/2010/wordml" w:rsidP="1BEA7DDD" w14:paraId="51C119FE" wp14:textId="176D68EA">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Taking these factors into consideration, it could be argued that early intervention is instrumental in supporting and preventing children experiencing negative implications. Early intervention can potentially generate measurable, long-term positive impacts on children and their lives. </w:t>
      </w:r>
    </w:p>
    <w:p xmlns:wp14="http://schemas.microsoft.com/office/word/2010/wordml" w:rsidP="1BEA7DDD" w14:paraId="649633B0" wp14:textId="68328E19">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clear indication that is vital that children from early childhood are provided with education childcare at a high standard. </w:t>
      </w:r>
    </w:p>
    <w:p xmlns:wp14="http://schemas.microsoft.com/office/word/2010/wordml" w:rsidP="1BEA7DDD" w14:paraId="19F02ECB" wp14:textId="265A122D">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‘The Abecedarian Study’ presents scientific proof that education provided in early stages of childhood is crucial to developing academic and educational achievements and fulfilment of children living in poverty. Welfare reform outlines that it is more clearer than ever how instrumental that children early childcare is provided for those children whose parents are living on a low-income. </w:t>
      </w:r>
    </w:p>
    <w:p xmlns:wp14="http://schemas.microsoft.com/office/word/2010/wordml" w:rsidP="1BEA7DDD" w14:paraId="786E224D" wp14:textId="45A880D0">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An instrumental medium of intervention is The Flying Start Programme where the programme key aims are providing positive differences to children and their chances in life by alleviating any implications or effects poverty may have caused, which is directly linked to unfortunate life outcomes in early childhood, as well as including the outcome of a child’s health. The foundations of the initial Flying Start Programme were adapted from the health visitor interventions program, outlined within ‘Healthy Child Wales Programme (HCWP). Welsh Government (2017) state that “The HCWP provides an early intervention and preventative public health programme which is central to public health practice. It is fundamental, promoting the delivery of positive health and wellbeing to families and communities in Wales.”</w:t>
      </w:r>
    </w:p>
    <w:p xmlns:wp14="http://schemas.microsoft.com/office/word/2010/wordml" w:rsidP="1BEA7DDD" w14:paraId="0F3AE487" wp14:textId="63345F14">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Welsh Government (2017) argue “the focus of Flying Start is upon the early identification of any needs and the timely application of interventions. While Flying Start offers a distinct programme of health interventions the programme builds upon the universal programme of health visitor interventions set down in Healthy Child Wales Programme (HCWP).” The HCWP provides early intervention for the public using their health programme which their key focus being centred around the practise of public health, including educational childcare which provided to a high standard for children between the ages of two and three, regular health visits and parenting programmes. The programmes' objective being that children who are between the ages of two and three are given opportunities to develop and begin school at their chronological age. </w:t>
      </w:r>
    </w:p>
    <w:p xmlns:wp14="http://schemas.microsoft.com/office/word/2010/wordml" w:rsidP="1BEA7DDD" w14:paraId="0B7B8370" wp14:textId="7986F06E">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Flying starts offers children a safe place to help alleviate added pressure or stress on families already facing poverty and the effects. Additionally, it provides children with access to learning and development opportunities that they may not necessarily receive at home. As well as learning opportunities flying start promotes advantageous behavioural and social development skills for children who attend.</w:t>
      </w:r>
    </w:p>
    <w:p xmlns:wp14="http://schemas.microsoft.com/office/word/2010/wordml" w:rsidP="1BEA7DDD" w14:paraId="37AD05FD" wp14:textId="1549BA2B">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 xml:space="preserve">Flying start programmes are not only designed to directly support children but also their families, they can offer invaluable forms of support, using parenting and family workshops. Where families can be taught and supported by professionals to provide the most efficient care and support for their children, whilst also teaching them coping strategies and mechanisms to combat issues they may face whilst living in poverty. Flying start programmes work effectively in collaboration with other agencies, who can offer families with other methods to support face other complex issues that they may experience. </w:t>
      </w:r>
    </w:p>
    <w:p xmlns:wp14="http://schemas.microsoft.com/office/word/2010/wordml" w:rsidP="1BEA7DDD" w14:paraId="61BEC811" wp14:textId="3BAC2542">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Links between poor health and poverty is a common and worrying denominator that a concerning number of children experience during their childhood. This negative implication can cause detrimental effects on children during preliminary stages of their life but also in the later stages of their lives too. However, there are effective interventions in place and used to mitigate this implication on children. The Welsh Government provides children of those who families are identified as living on a low income with access to free school meals. This programme provides children who attend childcare settings with healthy balanced meals every day, ensuring that they are fed adequately and with nutritional types of food. Some childcare settings like school’s offer additional services like breakfast club, where they can ensure children are being provided with a substantial and healthy breakfast every day. The Food Foundation (2021) supports “these practises and argues that receiving good nutrition in the early years is vital to our children having the best start in life. This period is a critical window during which the foundations for a child’s development are established affecting their lifelong health and wellbeing.”</w:t>
      </w:r>
    </w:p>
    <w:p xmlns:wp14="http://schemas.microsoft.com/office/word/2010/wordml" w:rsidP="1BEA7DDD" w14:paraId="2FE957DE" wp14:textId="2946E351">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An additional Welsh Government healthy initiative programme is ‘Design to smile’ which is a dental health initiative for nursery and primary school children aged up to seven. This programme includes tooth-brushing daily and the application of fluoride varnish twice a year. The initiative offers children and families with tutoring on the importance of maintaining their personal hygiene. NHS Wales (no date) state that their prime intentions are to ameliorate children’s dental health. The initiative is Welsh Government funded programme which was adopted in January 2008 initially as a pilot programme in South and North Wales, following on from the success of the pilot it was introduced and rolled out across the whole of Wales.</w:t>
      </w:r>
    </w:p>
    <w:p xmlns:wp14="http://schemas.microsoft.com/office/word/2010/wordml" w:rsidP="1BEA7DDD" w14:paraId="3F56C7FA" wp14:textId="0896B9B1">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BEA7DDD" w:rsidR="1BEA7DDD">
        <w:rPr>
          <w:rFonts w:ascii="Arial" w:hAnsi="Arial" w:eastAsia="Arial" w:cs="Arial"/>
          <w:b w:val="0"/>
          <w:bCs w:val="0"/>
          <w:i w:val="0"/>
          <w:iCs w:val="0"/>
          <w:caps w:val="0"/>
          <w:smallCaps w:val="0"/>
          <w:noProof w:val="0"/>
          <w:color w:val="000000" w:themeColor="text1" w:themeTint="FF" w:themeShade="FF"/>
          <w:sz w:val="24"/>
          <w:szCs w:val="24"/>
          <w:lang w:val="en-GB"/>
        </w:rPr>
        <w:t>Despite these positive and useful strategies, it should be clearly understood that poverty and its potential adverse effects and implications cannot be eradicated or reversed through the use early intervention and support alone. Children who live and experience poverty are deprived of experiences and necessary initiatives to encourage development, whilst also causing a decline to their resilience mental and physical illnesses but with appropriate and adequate interventions can positively support and alleviate further damaging effects on a child’s experience and development. Early Intervention Foundation (2018) underpins this and outlines that “there is good evidence showing that effective early intervention can substantially reduce the impact of poverty on children’s development when it is sufficiently intensive and reaches the families who need it the most.”</w:t>
      </w:r>
    </w:p>
    <w:p xmlns:wp14="http://schemas.microsoft.com/office/word/2010/wordml" w:rsidP="1BEA7DDD" w14:paraId="5E5787A5" wp14:textId="2D31BC4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2466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F44075"/>
    <w:rsid w:val="1BEA7DDD"/>
    <w:rsid w:val="77F44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44075"/>
  <w15:chartTrackingRefBased/>
  <w15:docId w15:val="{31402AAB-81F2-4DD5-BE5A-A7C9280A8A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0f36641f18949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Melville-Jones (1500669)</dc:creator>
  <keywords/>
  <dc:description/>
  <lastModifiedBy>Olivia Melville-Jones (1500669)</lastModifiedBy>
  <revision>2</revision>
  <dcterms:created xsi:type="dcterms:W3CDTF">2022-07-31T14:58:51.1789181Z</dcterms:created>
  <dcterms:modified xsi:type="dcterms:W3CDTF">2022-07-31T14:59:33.6259591Z</dcterms:modified>
</coreProperties>
</file>