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01BFB" w14:textId="77777777" w:rsidR="00D2313E" w:rsidRDefault="00D2313E">
      <w:pPr>
        <w:jc w:val="center"/>
        <w:rPr>
          <w:b/>
          <w:bCs/>
          <w:sz w:val="28"/>
          <w:szCs w:val="28"/>
        </w:rPr>
      </w:pPr>
    </w:p>
    <w:p w14:paraId="711E2FC4" w14:textId="77777777" w:rsidR="00D2313E" w:rsidRDefault="00D2313E">
      <w:pPr>
        <w:jc w:val="center"/>
        <w:rPr>
          <w:b/>
          <w:bCs/>
          <w:sz w:val="28"/>
          <w:szCs w:val="28"/>
        </w:rPr>
      </w:pPr>
    </w:p>
    <w:p w14:paraId="2E1B6C43" w14:textId="77777777" w:rsidR="00D2313E" w:rsidRDefault="00D2313E">
      <w:pPr>
        <w:jc w:val="center"/>
        <w:rPr>
          <w:b/>
          <w:bCs/>
          <w:sz w:val="28"/>
          <w:szCs w:val="28"/>
        </w:rPr>
      </w:pPr>
    </w:p>
    <w:p w14:paraId="6D151C21" w14:textId="77777777" w:rsidR="00D2313E" w:rsidRDefault="00D2313E">
      <w:pPr>
        <w:jc w:val="center"/>
        <w:rPr>
          <w:b/>
          <w:bCs/>
          <w:sz w:val="28"/>
          <w:szCs w:val="28"/>
        </w:rPr>
      </w:pPr>
    </w:p>
    <w:p w14:paraId="5DE51D5D" w14:textId="77777777" w:rsidR="00D2313E" w:rsidRDefault="00D2313E">
      <w:pPr>
        <w:jc w:val="center"/>
        <w:rPr>
          <w:b/>
          <w:bCs/>
          <w:sz w:val="28"/>
          <w:szCs w:val="28"/>
        </w:rPr>
      </w:pPr>
    </w:p>
    <w:p w14:paraId="39A470E5" w14:textId="77777777" w:rsidR="00D2313E" w:rsidRDefault="00684A9D">
      <w:pPr>
        <w:jc w:val="center"/>
        <w:rPr>
          <w:b/>
          <w:bCs/>
          <w:sz w:val="28"/>
          <w:szCs w:val="28"/>
        </w:rPr>
      </w:pPr>
      <w:r>
        <w:rPr>
          <w:b/>
          <w:bCs/>
          <w:noProof/>
          <w:sz w:val="28"/>
          <w:szCs w:val="28"/>
        </w:rPr>
        <w:drawing>
          <wp:inline distT="0" distB="0" distL="0" distR="0" wp14:anchorId="3822F501" wp14:editId="301DEEFF">
            <wp:extent cx="2033588" cy="778684"/>
            <wp:effectExtent l="0" t="0" r="0" b="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7" cstate="print"/>
                    <a:srcRect/>
                    <a:stretch/>
                  </pic:blipFill>
                  <pic:spPr>
                    <a:xfrm>
                      <a:off x="0" y="0"/>
                      <a:ext cx="2033588" cy="778684"/>
                    </a:xfrm>
                    <a:prstGeom prst="rect">
                      <a:avLst/>
                    </a:prstGeom>
                    <a:ln w="9525" cap="flat" cmpd="sng">
                      <a:solidFill>
                        <a:srgbClr val="000000"/>
                      </a:solidFill>
                      <a:prstDash val="solid"/>
                      <a:round/>
                      <a:headEnd/>
                      <a:tailEnd/>
                    </a:ln>
                  </pic:spPr>
                </pic:pic>
              </a:graphicData>
            </a:graphic>
          </wp:inline>
        </w:drawing>
      </w:r>
    </w:p>
    <w:p w14:paraId="748BE18C" w14:textId="77777777" w:rsidR="00D2313E" w:rsidRDefault="00684A9D">
      <w:pPr>
        <w:jc w:val="center"/>
        <w:rPr>
          <w:b/>
          <w:bCs/>
          <w:sz w:val="28"/>
          <w:szCs w:val="28"/>
        </w:rPr>
      </w:pPr>
      <w:r>
        <w:rPr>
          <w:b/>
          <w:bCs/>
          <w:sz w:val="28"/>
          <w:szCs w:val="28"/>
        </w:rPr>
        <w:t xml:space="preserve">Programme: BA (Hons) Business Management </w:t>
      </w:r>
    </w:p>
    <w:p w14:paraId="3558A854" w14:textId="77777777" w:rsidR="00D2313E" w:rsidRDefault="00684A9D">
      <w:pPr>
        <w:jc w:val="center"/>
        <w:rPr>
          <w:b/>
          <w:bCs/>
          <w:sz w:val="28"/>
          <w:szCs w:val="28"/>
        </w:rPr>
      </w:pPr>
      <w:r>
        <w:rPr>
          <w:b/>
          <w:bCs/>
          <w:sz w:val="28"/>
          <w:szCs w:val="28"/>
        </w:rPr>
        <w:t xml:space="preserve">Module: Understanding Organisational Structure and Culture </w:t>
      </w:r>
    </w:p>
    <w:p w14:paraId="253E6AB8" w14:textId="77777777" w:rsidR="00D2313E" w:rsidRDefault="00684A9D">
      <w:pPr>
        <w:jc w:val="center"/>
        <w:rPr>
          <w:b/>
          <w:bCs/>
          <w:sz w:val="28"/>
          <w:szCs w:val="28"/>
        </w:rPr>
      </w:pPr>
      <w:r>
        <w:rPr>
          <w:b/>
          <w:bCs/>
          <w:sz w:val="28"/>
          <w:szCs w:val="28"/>
        </w:rPr>
        <w:t>Module Code: LCBB4009</w:t>
      </w:r>
    </w:p>
    <w:p w14:paraId="6690E444" w14:textId="77777777" w:rsidR="00D2313E" w:rsidRDefault="00684A9D">
      <w:pPr>
        <w:jc w:val="center"/>
        <w:rPr>
          <w:b/>
          <w:bCs/>
          <w:sz w:val="28"/>
          <w:szCs w:val="28"/>
        </w:rPr>
      </w:pPr>
      <w:r>
        <w:rPr>
          <w:b/>
          <w:bCs/>
          <w:sz w:val="28"/>
          <w:szCs w:val="28"/>
        </w:rPr>
        <w:t>Module Leader: Mubashir Qureshi</w:t>
      </w:r>
    </w:p>
    <w:p w14:paraId="5F91F339" w14:textId="77777777" w:rsidR="00D2313E" w:rsidRDefault="00684A9D">
      <w:pPr>
        <w:jc w:val="center"/>
        <w:rPr>
          <w:b/>
          <w:bCs/>
          <w:sz w:val="28"/>
          <w:szCs w:val="28"/>
        </w:rPr>
      </w:pPr>
      <w:r>
        <w:rPr>
          <w:b/>
          <w:bCs/>
          <w:sz w:val="28"/>
          <w:szCs w:val="28"/>
        </w:rPr>
        <w:t>Component 2: Investigating the Role of Communication in the Business Environment of Adidas</w:t>
      </w:r>
    </w:p>
    <w:p w14:paraId="7D2CA878" w14:textId="77777777" w:rsidR="00D2313E" w:rsidRDefault="00684A9D">
      <w:pPr>
        <w:jc w:val="center"/>
        <w:rPr>
          <w:b/>
          <w:bCs/>
          <w:sz w:val="28"/>
          <w:szCs w:val="28"/>
          <w:lang w:val="en-US"/>
        </w:rPr>
      </w:pPr>
      <w:r>
        <w:rPr>
          <w:b/>
          <w:bCs/>
          <w:sz w:val="28"/>
          <w:szCs w:val="28"/>
          <w:lang w:val="en-US"/>
        </w:rPr>
        <w:t xml:space="preserve">Student Name : Anamaria Bardut-Cristurean </w:t>
      </w:r>
    </w:p>
    <w:p w14:paraId="354810D6" w14:textId="77777777" w:rsidR="00D2313E" w:rsidRDefault="00684A9D">
      <w:pPr>
        <w:jc w:val="center"/>
      </w:pPr>
      <w:r>
        <w:rPr>
          <w:b/>
          <w:bCs/>
          <w:sz w:val="28"/>
          <w:szCs w:val="28"/>
          <w:lang w:val="en-US"/>
        </w:rPr>
        <w:t>Student Id : 2410281</w:t>
      </w:r>
      <w:r>
        <w:br w:type="page"/>
      </w:r>
    </w:p>
    <w:p w14:paraId="28BAA45B" w14:textId="77777777" w:rsidR="00D2313E" w:rsidRDefault="00684A9D">
      <w:pPr>
        <w:pStyle w:val="TOCHeading"/>
        <w:jc w:val="center"/>
        <w:rPr>
          <w:rFonts w:ascii="Times New Roman" w:hAnsi="Times New Roman"/>
          <w:b/>
          <w:bCs/>
          <w:color w:val="auto"/>
          <w:sz w:val="24"/>
          <w:szCs w:val="24"/>
          <w:lang w:val="en-GB"/>
        </w:rPr>
      </w:pPr>
      <w:r>
        <w:rPr>
          <w:rFonts w:ascii="Times New Roman" w:hAnsi="Times New Roman"/>
          <w:b/>
          <w:bCs/>
          <w:color w:val="auto"/>
          <w:sz w:val="24"/>
          <w:szCs w:val="24"/>
          <w:lang w:val="en-GB"/>
        </w:rPr>
        <w:t>Table of Contents</w:t>
      </w:r>
    </w:p>
    <w:p w14:paraId="1B3FFCE5" w14:textId="77777777" w:rsidR="00D2313E" w:rsidRDefault="00684A9D">
      <w:pPr>
        <w:pStyle w:val="TOC1"/>
        <w:tabs>
          <w:tab w:val="right" w:leader="dot" w:pos="9016"/>
        </w:tabs>
        <w:rPr>
          <w:rFonts w:ascii="Cambria" w:eastAsia="SimSun" w:hAnsi="Cambria" w:cs="Arial"/>
          <w:noProof/>
          <w:kern w:val="2"/>
          <w:lang w:val="en-IN"/>
          <w14:ligatures w14:val="standardContextual"/>
        </w:rPr>
      </w:pPr>
      <w:r>
        <w:fldChar w:fldCharType="begin"/>
      </w:r>
      <w:r>
        <w:instrText xml:space="preserve"> TOC \o "1-3" \h \z \u </w:instrText>
      </w:r>
      <w:r>
        <w:fldChar w:fldCharType="separate"/>
      </w:r>
      <w:hyperlink w:anchor="_Toc237860221" w:history="1">
        <w:r>
          <w:rPr>
            <w:rStyle w:val="Hyperlink"/>
            <w:noProof/>
          </w:rPr>
          <w:t>1. Introduction</w:t>
        </w:r>
        <w:r>
          <w:rPr>
            <w:noProof/>
            <w:webHidden/>
          </w:rPr>
          <w:tab/>
        </w:r>
        <w:r>
          <w:rPr>
            <w:noProof/>
            <w:webHidden/>
          </w:rPr>
          <w:fldChar w:fldCharType="begin"/>
        </w:r>
        <w:r>
          <w:rPr>
            <w:noProof/>
            <w:webHidden/>
          </w:rPr>
          <w:instrText xml:space="preserve"> PAGEREF _Toc237860221 \h </w:instrText>
        </w:r>
        <w:r>
          <w:rPr>
            <w:noProof/>
            <w:webHidden/>
          </w:rPr>
        </w:r>
        <w:r>
          <w:rPr>
            <w:noProof/>
            <w:webHidden/>
          </w:rPr>
          <w:fldChar w:fldCharType="separate"/>
        </w:r>
        <w:r>
          <w:rPr>
            <w:noProof/>
            <w:webHidden/>
          </w:rPr>
          <w:t>3</w:t>
        </w:r>
        <w:r>
          <w:rPr>
            <w:noProof/>
            <w:webHidden/>
          </w:rPr>
          <w:fldChar w:fldCharType="end"/>
        </w:r>
      </w:hyperlink>
    </w:p>
    <w:p w14:paraId="00D59BC3" w14:textId="77777777" w:rsidR="00D2313E" w:rsidRDefault="00684A9D">
      <w:pPr>
        <w:pStyle w:val="TOC1"/>
        <w:tabs>
          <w:tab w:val="right" w:leader="dot" w:pos="9016"/>
        </w:tabs>
        <w:rPr>
          <w:rFonts w:ascii="Cambria" w:eastAsia="SimSun" w:hAnsi="Cambria" w:cs="Arial"/>
          <w:noProof/>
          <w:kern w:val="2"/>
          <w:lang w:val="en-IN"/>
          <w14:ligatures w14:val="standardContextual"/>
        </w:rPr>
      </w:pPr>
      <w:hyperlink w:anchor="_Toc237860222" w:history="1">
        <w:r>
          <w:rPr>
            <w:rStyle w:val="Hyperlink"/>
            <w:noProof/>
          </w:rPr>
          <w:t>2. Communication and Techniques</w:t>
        </w:r>
        <w:r>
          <w:rPr>
            <w:noProof/>
            <w:webHidden/>
          </w:rPr>
          <w:tab/>
        </w:r>
        <w:r>
          <w:rPr>
            <w:noProof/>
            <w:webHidden/>
          </w:rPr>
          <w:fldChar w:fldCharType="begin"/>
        </w:r>
        <w:r>
          <w:rPr>
            <w:noProof/>
            <w:webHidden/>
          </w:rPr>
          <w:instrText xml:space="preserve"> PAGEREF _Toc237860222 \h </w:instrText>
        </w:r>
        <w:r>
          <w:rPr>
            <w:noProof/>
            <w:webHidden/>
          </w:rPr>
        </w:r>
        <w:r>
          <w:rPr>
            <w:noProof/>
            <w:webHidden/>
          </w:rPr>
          <w:fldChar w:fldCharType="separate"/>
        </w:r>
        <w:r>
          <w:rPr>
            <w:noProof/>
            <w:webHidden/>
          </w:rPr>
          <w:t>3</w:t>
        </w:r>
        <w:r>
          <w:rPr>
            <w:noProof/>
            <w:webHidden/>
          </w:rPr>
          <w:fldChar w:fldCharType="end"/>
        </w:r>
      </w:hyperlink>
    </w:p>
    <w:p w14:paraId="1DC52EA8" w14:textId="77777777" w:rsidR="00D2313E" w:rsidRDefault="00684A9D">
      <w:pPr>
        <w:pStyle w:val="TOC1"/>
        <w:tabs>
          <w:tab w:val="right" w:leader="dot" w:pos="9016"/>
        </w:tabs>
        <w:rPr>
          <w:rFonts w:ascii="Cambria" w:eastAsia="SimSun" w:hAnsi="Cambria" w:cs="Arial"/>
          <w:noProof/>
          <w:kern w:val="2"/>
          <w:lang w:val="en-IN"/>
          <w14:ligatures w14:val="standardContextual"/>
        </w:rPr>
      </w:pPr>
      <w:hyperlink w:anchor="_Toc237860223" w:history="1">
        <w:r>
          <w:rPr>
            <w:rStyle w:val="Hyperlink"/>
            <w:noProof/>
          </w:rPr>
          <w:t>3. Common Issues</w:t>
        </w:r>
        <w:r>
          <w:rPr>
            <w:noProof/>
            <w:webHidden/>
          </w:rPr>
          <w:tab/>
        </w:r>
        <w:r>
          <w:rPr>
            <w:noProof/>
            <w:webHidden/>
          </w:rPr>
          <w:fldChar w:fldCharType="begin"/>
        </w:r>
        <w:r>
          <w:rPr>
            <w:noProof/>
            <w:webHidden/>
          </w:rPr>
          <w:instrText xml:space="preserve"> PAGEREF _Toc237860223 \h </w:instrText>
        </w:r>
        <w:r>
          <w:rPr>
            <w:noProof/>
            <w:webHidden/>
          </w:rPr>
        </w:r>
        <w:r>
          <w:rPr>
            <w:noProof/>
            <w:webHidden/>
          </w:rPr>
          <w:fldChar w:fldCharType="separate"/>
        </w:r>
        <w:r>
          <w:rPr>
            <w:noProof/>
            <w:webHidden/>
          </w:rPr>
          <w:t>5</w:t>
        </w:r>
        <w:r>
          <w:rPr>
            <w:noProof/>
            <w:webHidden/>
          </w:rPr>
          <w:fldChar w:fldCharType="end"/>
        </w:r>
      </w:hyperlink>
    </w:p>
    <w:p w14:paraId="309B99F5" w14:textId="77777777" w:rsidR="00D2313E" w:rsidRDefault="00684A9D">
      <w:pPr>
        <w:pStyle w:val="TOC1"/>
        <w:tabs>
          <w:tab w:val="right" w:leader="dot" w:pos="9016"/>
        </w:tabs>
        <w:rPr>
          <w:rFonts w:ascii="Cambria" w:eastAsia="SimSun" w:hAnsi="Cambria" w:cs="Arial"/>
          <w:noProof/>
          <w:kern w:val="2"/>
          <w:lang w:val="en-IN"/>
          <w14:ligatures w14:val="standardContextual"/>
        </w:rPr>
      </w:pPr>
      <w:hyperlink w:anchor="_Toc237860224" w:history="1">
        <w:r>
          <w:rPr>
            <w:rStyle w:val="Hyperlink"/>
            <w:noProof/>
          </w:rPr>
          <w:t>4. Recommendations</w:t>
        </w:r>
        <w:r>
          <w:rPr>
            <w:noProof/>
            <w:webHidden/>
          </w:rPr>
          <w:tab/>
        </w:r>
        <w:r>
          <w:rPr>
            <w:noProof/>
            <w:webHidden/>
          </w:rPr>
          <w:fldChar w:fldCharType="begin"/>
        </w:r>
        <w:r>
          <w:rPr>
            <w:noProof/>
            <w:webHidden/>
          </w:rPr>
          <w:instrText xml:space="preserve"> PAGEREF _Toc237860224 \h </w:instrText>
        </w:r>
        <w:r>
          <w:rPr>
            <w:noProof/>
            <w:webHidden/>
          </w:rPr>
        </w:r>
        <w:r>
          <w:rPr>
            <w:noProof/>
            <w:webHidden/>
          </w:rPr>
          <w:fldChar w:fldCharType="separate"/>
        </w:r>
        <w:r>
          <w:rPr>
            <w:noProof/>
            <w:webHidden/>
          </w:rPr>
          <w:t>6</w:t>
        </w:r>
        <w:r>
          <w:rPr>
            <w:noProof/>
            <w:webHidden/>
          </w:rPr>
          <w:fldChar w:fldCharType="end"/>
        </w:r>
      </w:hyperlink>
    </w:p>
    <w:p w14:paraId="5C6E1073" w14:textId="77777777" w:rsidR="00D2313E" w:rsidRDefault="00684A9D">
      <w:pPr>
        <w:pStyle w:val="TOC1"/>
        <w:tabs>
          <w:tab w:val="right" w:leader="dot" w:pos="9016"/>
        </w:tabs>
        <w:rPr>
          <w:rFonts w:ascii="Cambria" w:eastAsia="SimSun" w:hAnsi="Cambria" w:cs="Arial"/>
          <w:noProof/>
          <w:kern w:val="2"/>
          <w:lang w:val="en-IN"/>
          <w14:ligatures w14:val="standardContextual"/>
        </w:rPr>
      </w:pPr>
      <w:hyperlink w:anchor="_Toc237860225" w:history="1">
        <w:r>
          <w:rPr>
            <w:rStyle w:val="Hyperlink"/>
            <w:noProof/>
          </w:rPr>
          <w:t>5. Conclusion</w:t>
        </w:r>
        <w:r>
          <w:rPr>
            <w:noProof/>
            <w:webHidden/>
          </w:rPr>
          <w:tab/>
        </w:r>
        <w:r>
          <w:rPr>
            <w:noProof/>
            <w:webHidden/>
          </w:rPr>
          <w:fldChar w:fldCharType="begin"/>
        </w:r>
        <w:r>
          <w:rPr>
            <w:noProof/>
            <w:webHidden/>
          </w:rPr>
          <w:instrText xml:space="preserve"> PAGEREF _Toc237860225 \h </w:instrText>
        </w:r>
        <w:r>
          <w:rPr>
            <w:noProof/>
            <w:webHidden/>
          </w:rPr>
        </w:r>
        <w:r>
          <w:rPr>
            <w:noProof/>
            <w:webHidden/>
          </w:rPr>
          <w:fldChar w:fldCharType="separate"/>
        </w:r>
        <w:r>
          <w:rPr>
            <w:noProof/>
            <w:webHidden/>
          </w:rPr>
          <w:t>7</w:t>
        </w:r>
        <w:r>
          <w:rPr>
            <w:noProof/>
            <w:webHidden/>
          </w:rPr>
          <w:fldChar w:fldCharType="end"/>
        </w:r>
      </w:hyperlink>
    </w:p>
    <w:p w14:paraId="0579F611" w14:textId="77777777" w:rsidR="00D2313E" w:rsidRDefault="00684A9D">
      <w:pPr>
        <w:pStyle w:val="TOC1"/>
        <w:tabs>
          <w:tab w:val="right" w:leader="dot" w:pos="9016"/>
        </w:tabs>
        <w:rPr>
          <w:rFonts w:ascii="Cambria" w:eastAsia="SimSun" w:hAnsi="Cambria" w:cs="Arial"/>
          <w:noProof/>
          <w:kern w:val="2"/>
          <w:lang w:val="en-IN"/>
          <w14:ligatures w14:val="standardContextual"/>
        </w:rPr>
      </w:pPr>
      <w:hyperlink w:anchor="_Toc237860226" w:history="1">
        <w:r>
          <w:rPr>
            <w:rStyle w:val="Hyperlink"/>
            <w:noProof/>
          </w:rPr>
          <w:t>References</w:t>
        </w:r>
        <w:r>
          <w:rPr>
            <w:noProof/>
            <w:webHidden/>
          </w:rPr>
          <w:tab/>
        </w:r>
        <w:r>
          <w:rPr>
            <w:noProof/>
            <w:webHidden/>
          </w:rPr>
          <w:fldChar w:fldCharType="begin"/>
        </w:r>
        <w:r>
          <w:rPr>
            <w:noProof/>
            <w:webHidden/>
          </w:rPr>
          <w:instrText xml:space="preserve"> PAGEREF _Toc237860226 \h </w:instrText>
        </w:r>
        <w:r>
          <w:rPr>
            <w:noProof/>
            <w:webHidden/>
          </w:rPr>
        </w:r>
        <w:r>
          <w:rPr>
            <w:noProof/>
            <w:webHidden/>
          </w:rPr>
          <w:fldChar w:fldCharType="separate"/>
        </w:r>
        <w:r>
          <w:rPr>
            <w:noProof/>
            <w:webHidden/>
          </w:rPr>
          <w:t>8</w:t>
        </w:r>
        <w:r>
          <w:rPr>
            <w:noProof/>
            <w:webHidden/>
          </w:rPr>
          <w:fldChar w:fldCharType="end"/>
        </w:r>
      </w:hyperlink>
    </w:p>
    <w:p w14:paraId="32E1A3B9" w14:textId="77777777" w:rsidR="00D2313E" w:rsidRDefault="00684A9D">
      <w:r>
        <w:rPr>
          <w:b/>
          <w:bCs/>
          <w:noProof/>
        </w:rPr>
        <w:fldChar w:fldCharType="end"/>
      </w:r>
    </w:p>
    <w:p w14:paraId="1552B6DE" w14:textId="77777777" w:rsidR="00D2313E" w:rsidRDefault="00684A9D">
      <w:r>
        <w:br w:type="page"/>
      </w:r>
    </w:p>
    <w:p w14:paraId="213E2124" w14:textId="77777777" w:rsidR="00D2313E" w:rsidRDefault="00684A9D">
      <w:pPr>
        <w:pStyle w:val="Heading1"/>
      </w:pPr>
      <w:bookmarkStart w:id="0" w:name="_Toc237860221"/>
      <w:r>
        <w:t>1. Introduction</w:t>
      </w:r>
      <w:bookmarkEnd w:id="0"/>
    </w:p>
    <w:p w14:paraId="678A2849" w14:textId="77777777" w:rsidR="00D2313E" w:rsidRDefault="00684A9D">
      <w:r>
        <w:t>Communication is a core business process through which information, ideas, instructions, and feedback are shared between individuals and organisational stakeholders. Effective communication enables coordination, decision-making, involvement of employees, customer relationships, and organisational performance. </w:t>
      </w:r>
    </w:p>
    <w:p w14:paraId="3A3859ED" w14:textId="77777777" w:rsidR="00D2313E" w:rsidRDefault="00684A9D">
      <w:r>
        <w:t>This report is an exploration of the role and how communication is done at adidas, a multinational sportswear organisation. In Component 1, organisational structures such as functional, divisional, and matrix were discussed, and the organisation under consideration was picked. The analysis made it clear that communication, coordination, and organisational performance directly depend on the organisational structure. adidas had around 64,938 employees across the world in 2025, and this indicates the magnitude</w:t>
      </w:r>
      <w:r>
        <w:t xml:space="preserve"> and complexity of its communication environment. The report discusses the communication strategies employed by adidas, analy</w:t>
      </w:r>
      <w:r>
        <w:t>ses the nature of a typical communication problem, and offers feasible solutions to communication and problem management.</w:t>
      </w:r>
    </w:p>
    <w:p w14:paraId="1EDEB809" w14:textId="77777777" w:rsidR="00D2313E" w:rsidRDefault="00684A9D">
      <w:pPr>
        <w:pStyle w:val="Heading1"/>
      </w:pPr>
      <w:bookmarkStart w:id="1" w:name="_Toc237860222"/>
      <w:r>
        <w:t>2. Communication and Techniques</w:t>
      </w:r>
      <w:bookmarkEnd w:id="1"/>
    </w:p>
    <w:p w14:paraId="6146EA10" w14:textId="77777777" w:rsidR="00D2313E" w:rsidRDefault="00684A9D">
      <w:r>
        <w:t xml:space="preserve">Communication within a business setting is defined as an organized flow of information between the members of an organisation and external stakeholders aimed at meeting shared goals. </w:t>
      </w:r>
      <w:r>
        <w:rPr>
          <w:b/>
          <w:bCs/>
          <w:i/>
          <w:iCs/>
        </w:rPr>
        <w:t>The communication model proposed by Shannon and Weaver (1949)</w:t>
      </w:r>
      <w:r>
        <w:t xml:space="preserve"> illustrates that communication entails a sender, message, channel, receiver, as well as possible sources of noise (Kunold and Onnasch, 2022). Noise may take the form of ambiguous language, technical issues, cultural diversity, information overload, or misinterpretation in organisations. Someone who wants to communicate effectively would therefore need to not only convey news or information but also ensure that the receiver decodes it. </w:t>
      </w:r>
      <w:r>
        <w:rPr>
          <w:b/>
          <w:bCs/>
          <w:i/>
          <w:iCs/>
        </w:rPr>
        <w:t>The 7Cs approach</w:t>
      </w:r>
      <w:r>
        <w:t xml:space="preserve"> also recommends that a business communication should be clear, concise, concrete, correct, coherent, complete and courteous.</w:t>
      </w:r>
    </w:p>
    <w:p w14:paraId="788E5BE0" w14:textId="77777777" w:rsidR="00D2313E" w:rsidRDefault="00684A9D">
      <w:r>
        <w:t>Communication can be of significant significance to adidas since it is an international business that needs to coordinate its functions, markets and various stakeholder groups. The functional departments that were identified in adidas as component 1 included marketing, finance, operations, human resources and information technology. These specialised departments communicate with each other and help the employees to coordinate their activities and prevent cases of duplicated work. It is also product, market,</w:t>
      </w:r>
      <w:r>
        <w:t xml:space="preserve"> and geographical operations in the </w:t>
      </w:r>
      <w:r>
        <w:t>divisional structure that require communication requirements, and the matrix working can involve communication by employees with both the functional and project managers.</w:t>
      </w:r>
    </w:p>
    <w:p w14:paraId="08678814" w14:textId="77777777" w:rsidR="00D2313E" w:rsidRDefault="00684A9D">
      <w:r>
        <w:rPr>
          <w:b/>
          <w:bCs/>
          <w:i/>
          <w:iCs/>
        </w:rPr>
        <w:t>Face-to-face and interpersonal communication</w:t>
      </w:r>
      <w:r>
        <w:t xml:space="preserve"> is one method that is important (Abed et al., 2023). To help employees share information, ask questions, and get direct clarification, Adidas utilizes global and local town hall meetings, leadership communication, and HR Business Partners to engage its employees. Questions can also be raised on an anonymous basis by the employees or directly, and the management can get employee insight. It is two-way communication and not a top-down one-way transmission of information.</w:t>
      </w:r>
    </w:p>
    <w:p w14:paraId="06DC29BB" w14:textId="77777777" w:rsidR="00D2313E" w:rsidRDefault="00684A9D">
      <w:r>
        <w:t>The second approach is</w:t>
      </w:r>
      <w:r>
        <w:rPr>
          <w:b/>
          <w:bCs/>
          <w:i/>
          <w:iCs/>
        </w:rPr>
        <w:t xml:space="preserve"> written and digital internal communication</w:t>
      </w:r>
      <w:r>
        <w:t>. Adidas uses in-company email, its corporate intranet, internal social media, and more or less functional communication channels, which are operated by different departments (HR and Finance). These techniques are handy in delivering policies, organisational information, financial and operational directions to a workforce that is distributed geographically. Digital communication also provides a digital trace that the employees could revisit when needed (Lee et al., 2024).</w:t>
      </w:r>
    </w:p>
    <w:p w14:paraId="4739A2D4" w14:textId="77777777" w:rsidR="00D2313E" w:rsidRDefault="00684A9D">
      <w:r>
        <w:t xml:space="preserve">The third approach is </w:t>
      </w:r>
      <w:r>
        <w:rPr>
          <w:b/>
          <w:bCs/>
          <w:i/>
          <w:iCs/>
        </w:rPr>
        <w:t>external digital and marketing communication,</w:t>
      </w:r>
      <w:r>
        <w:t xml:space="preserve"> where adidas employs digital channels, advertising, point of sale, and grassroots activations to create a coherent brand story. In its 2025 Annual Report, it states that its marketing strategy bridges consumer attention, consideration, and purchase through various communication touchpoints. The You Got This campaign all over the world is a display of integrated communication since its main brand message was localized in terms of global activities as well as in the market (Oliver and Rittblat</w:t>
      </w:r>
      <w:r>
        <w:t>, 2025). Adidas in 2025 adopted a similar model by using athletes and sporting events, local activations to convey the campaign to the various audiences (Adidas 2025).</w:t>
      </w:r>
    </w:p>
    <w:p w14:paraId="09288C31" w14:textId="77777777" w:rsidR="00D2313E" w:rsidRDefault="00684A9D">
      <w:r>
        <w:t xml:space="preserve">Lastly, </w:t>
      </w:r>
      <w:r>
        <w:rPr>
          <w:b/>
          <w:bCs/>
          <w:i/>
          <w:iCs/>
        </w:rPr>
        <w:t>social media and consumer feedback</w:t>
      </w:r>
      <w:r>
        <w:t xml:space="preserve"> are significant channels of communication that Adidas follows, tracking digital behaviour and consumer feedback via Instagram, TikTok, and Google, but also relying on focus groups, workshops, and interviews to gain insights into consumer preferences (Meirinhos</w:t>
      </w:r>
      <w:r>
        <w:t xml:space="preserve"> et al., 2022). Two-way communication will enable the company to accommodate dynamic consumer expectations as opposed to depending purely on one-way advertisements.</w:t>
      </w:r>
    </w:p>
    <w:p w14:paraId="7396D9DD" w14:textId="77777777" w:rsidR="00D2313E" w:rsidRDefault="00684A9D">
      <w:pPr>
        <w:pStyle w:val="Heading1"/>
      </w:pPr>
      <w:bookmarkStart w:id="2" w:name="_Toc237860223"/>
      <w:r>
        <w:t>3. Common Issues</w:t>
      </w:r>
      <w:bookmarkEnd w:id="2"/>
    </w:p>
    <w:p w14:paraId="7D30D79C" w14:textId="77777777" w:rsidR="00D2313E" w:rsidRDefault="00684A9D">
      <w:r>
        <w:t xml:space="preserve">Although adidas has a large number of communication channels, it may face obstacles due to its international size, organisational structure and mix of stakeholders. A significant problem is </w:t>
      </w:r>
      <w:r>
        <w:rPr>
          <w:b/>
          <w:bCs/>
          <w:i/>
          <w:iCs/>
        </w:rPr>
        <w:t>poor communication among organisational functions.</w:t>
      </w:r>
      <w:r>
        <w:t xml:space="preserve"> Component 1 recognised that functional structures offer specialisation but can cause departmental isolation and decrease horizontal communication. Marketing, finance, operations, HR and IT at adidas have various priorities and professional terminology (Deep et al., 2024). Without regular communication among departments, there is a possibility of objectives being interpreted differently by the employees, leading to delays, duplication of activities, or inconsistent decisions.</w:t>
      </w:r>
    </w:p>
    <w:p w14:paraId="55CC8444" w14:textId="77777777" w:rsidR="00D2313E" w:rsidRDefault="00684A9D">
      <w:r>
        <w:t xml:space="preserve">Another difficulty is connected with a </w:t>
      </w:r>
      <w:r>
        <w:rPr>
          <w:b/>
          <w:bCs/>
          <w:i/>
          <w:iCs/>
        </w:rPr>
        <w:t>matrix structure.</w:t>
      </w:r>
      <w:r>
        <w:t xml:space="preserve"> Component 1 noted that matrix working will be able to facilitate cross-functional collaboration and innovation but will at the same time cause dual-reporting issues, confusion, and conflict. Take the case of an employee who works on a global product launch; a functional manager and a project manager might have different priorities to offer (Ozgultekin</w:t>
      </w:r>
      <w:r>
        <w:t xml:space="preserve"> et al., 2025). When such managers relay conflicting time frames or targets, the employee can develop role ambiguity. This shows how organisations can affect communication effectiveness directly by way of organisational structure.</w:t>
      </w:r>
    </w:p>
    <w:p w14:paraId="21FB03A4" w14:textId="77777777" w:rsidR="00D2313E" w:rsidRDefault="00684A9D">
      <w:r>
        <w:t xml:space="preserve">The second key problem is that adidas has a very diverse workforce due to the existence of </w:t>
      </w:r>
      <w:r>
        <w:rPr>
          <w:b/>
          <w:bCs/>
          <w:i/>
          <w:iCs/>
        </w:rPr>
        <w:t xml:space="preserve">cultural and language differences </w:t>
      </w:r>
      <w:r>
        <w:t>across Europe, Greater China, Japan/South Korea, Latin America, North America, and emerging markets. According to the theory of high- and low-context cultures institutionalized by Hall (1976), individuals of different cultural backgrounds may understand directness, silence, formality, and implied meaning differently (Santos et al., 2023). What is termed as clear and efficient in one market might seem too forthright or lack enough detail in another market. Therefore, communication within the world must be cu</w:t>
      </w:r>
      <w:r>
        <w:t>lturally aware and, albeit with uniform organisational goals.</w:t>
      </w:r>
    </w:p>
    <w:p w14:paraId="35C76360" w14:textId="77777777" w:rsidR="00D2313E" w:rsidRDefault="00684A9D">
      <w:r>
        <w:t xml:space="preserve">A third challenge is that of </w:t>
      </w:r>
      <w:r>
        <w:rPr>
          <w:b/>
          <w:bCs/>
          <w:i/>
          <w:iCs/>
        </w:rPr>
        <w:t>communication overload</w:t>
      </w:r>
      <w:r>
        <w:t>. When managing large organisations, email, intranet systems, internal social media, meetings, town halls and communication with managers are all used concurrently. With numerous channels enhancing accessibility, employees may be overwhelmed with too much information, and they may not be in a position to determine priorities (Florea and Croitoru, 2025). The theory of media richness that was developed by Daft and Lengel (1986) stipulates that the ability of channels to communicate and eliminate ambiguity var</w:t>
      </w:r>
      <w:r>
        <w:t xml:space="preserve">ies. Such sensitive or complex issues can therefore be addressed </w:t>
      </w:r>
      <w:r>
        <w:t>through more intense communication techniques like meetings or video conferencing instead of extensive email exchanges.</w:t>
      </w:r>
    </w:p>
    <w:p w14:paraId="3D3C2793" w14:textId="77777777" w:rsidR="00D2313E" w:rsidRDefault="00684A9D">
      <w:r>
        <w:t xml:space="preserve">A fourth challenge is with regard to </w:t>
      </w:r>
      <w:r>
        <w:rPr>
          <w:b/>
          <w:bCs/>
          <w:i/>
          <w:iCs/>
        </w:rPr>
        <w:t>external communication and reputational risk;</w:t>
      </w:r>
      <w:r>
        <w:t xml:space="preserve"> adidas interacts with consumers, media, athletes, brand partners, governments, and non-governmental organisations. Poorly received advertising messages or a lack of response to societal critique can lead to a brand image decline. adidas itself acknowledges reputational risk and says it employs proactive stakeholder communication, crisis communication procedures, social media monitoring and digital newsrooms to detect potential harmful conversations early (Kumar et al., 2024).</w:t>
      </w:r>
    </w:p>
    <w:p w14:paraId="47C71A1A" w14:textId="77777777" w:rsidR="00D2313E" w:rsidRDefault="00684A9D">
      <w:r>
        <w:t>Lastly, the challenges in communication may occur in the context of the global supply chain, where adidas has to report about 47,200 human and labour-rights complaints from supply-chain workers in 2025, and internal communication comprises roughly 13,300 reports (Adidas, 2025). Though at the year-end, 99% of the complaints were resolved, the data indicates that communication is a key operational concern at adidas beyond employees of the company itself (Ahmad et al., 2024). It underscores the significance of</w:t>
      </w:r>
      <w:r>
        <w:t xml:space="preserve"> grievance mechanisms that are readily accessible and improved communication between workers and adidas as well as the suppliers.</w:t>
      </w:r>
    </w:p>
    <w:p w14:paraId="3C414045" w14:textId="77777777" w:rsidR="00D2313E" w:rsidRDefault="00684A9D">
      <w:pPr>
        <w:pStyle w:val="Heading1"/>
      </w:pPr>
      <w:bookmarkStart w:id="3" w:name="_Toc237860224"/>
      <w:r>
        <w:t>4. Recommendations</w:t>
      </w:r>
      <w:bookmarkEnd w:id="3"/>
    </w:p>
    <w:p w14:paraId="2E4B7554" w14:textId="77777777" w:rsidR="00D2313E" w:rsidRDefault="00684A9D">
      <w:r>
        <w:t>The first step that adidas should take is to release more robust cross-functional communication protocols for projects that can be carried out by more than one department at the same time. A major project must have a well-established communication matrix that specifies who communicates what information and via which channel to whom and over what period of time. This would help cut down on confusion with matrix working and enhance accountability (Song et al., 2026).</w:t>
      </w:r>
    </w:p>
    <w:p w14:paraId="1FE0DE53" w14:textId="77777777" w:rsidR="00D2313E" w:rsidRDefault="00684A9D">
      <w:r>
        <w:t>Second, Adidas needs to reinforce intercultural communication training for managers and employees dealing with international projects. The cultural differences in communication styles, feedback, negotiation, and conflict management should be discussed during the training. Otherwise, important global messages must be screened locally to ensure that similarity is maintained without disregarding market-based cultural expectations (Ozgultekin et al., 2025).</w:t>
      </w:r>
    </w:p>
    <w:p w14:paraId="10BDE295" w14:textId="77777777" w:rsidR="00D2313E" w:rsidRDefault="00684A9D">
      <w:r>
        <w:t>Third, adidas should implement a channel selection model (depending on the complexity of communication). Ordinary information communication is possible via email or intranet communications, but difficult, unclear, or sensitive issues are to be transferred via more informative means like video meetings, local halls, or direct talks with managers. This would reduce superfluous communication overload (Santos et al., 2023).</w:t>
      </w:r>
    </w:p>
    <w:p w14:paraId="5FAA2C18" w14:textId="77777777" w:rsidR="00D2313E" w:rsidRDefault="00684A9D">
      <w:r>
        <w:t>Lastly, adidas should strengthen a closed-loop feedback loop. Workers and supply-chain employees must be able to voice concerns, but be effectively notified about how their feedback has been used to make decisions. adidas already employs employee surveys, HR Business Partners, town halls, and other engagement tools (Meirinhos et al., 2022). The combination of these channels via a central dashboard may assist management in recognizing recurring issues in communication, response time, and improvements.</w:t>
      </w:r>
    </w:p>
    <w:p w14:paraId="1E6A76E1" w14:textId="77777777" w:rsidR="00D2313E" w:rsidRDefault="00684A9D">
      <w:pPr>
        <w:pStyle w:val="Heading1"/>
      </w:pPr>
      <w:bookmarkStart w:id="4" w:name="_Toc237860225"/>
      <w:r>
        <w:t>5. Conclusion</w:t>
      </w:r>
      <w:bookmarkEnd w:id="4"/>
    </w:p>
    <w:p w14:paraId="755F4743" w14:textId="77777777" w:rsidR="00D2313E" w:rsidRDefault="00684A9D">
      <w:r>
        <w:t>Effective communication is fundamental to adidas since its international presence involves coordination of specialised activities, product lines, geographical markets, as well as external partners. The analysis shows that communication is strongly interrelated with the organisational structure. The functional structure may also result in barriers in communication among departments; the divisional structure involves good coordination among the markets and products; and the matrix structure may lead to confus</w:t>
      </w:r>
      <w:r>
        <w:t>ion due to various reporting lines. These issues were also identified in Component 1.</w:t>
      </w:r>
    </w:p>
    <w:p w14:paraId="633DD803" w14:textId="77777777" w:rsidR="00D2313E" w:rsidRDefault="00684A9D">
      <w:r>
        <w:t>Adidas employs a wide mix of interpersonal, written, digital, marketing, and social media as well as feedback-based forms of communication. It can be seen through its communication approach of employee engagement and multi-channel integration of marketing strategy that bi-directional and multi-channel communication holds strategic value. Nevertheless, cultural separation, communication overload, organizational intricacy, reputational risks, and supply-chain communication issues are still major issues. So, a</w:t>
      </w:r>
      <w:r>
        <w:t>didas must reinforce cross-functional communication procedures, intercultural work education, selection of channels, and closed-loop feedback mechanisms. Finally, communication can enhance coordination, motivate employees, improve stakeholder relations and organisational responsiveness, which will help adidas maintain competitiveness in the long-term in a dynamic global business environment.</w:t>
      </w:r>
    </w:p>
    <w:p w14:paraId="5694E2E6" w14:textId="77777777" w:rsidR="00D2313E" w:rsidRDefault="00684A9D">
      <w:r>
        <w:br w:type="page"/>
      </w:r>
    </w:p>
    <w:p w14:paraId="28D17C67" w14:textId="77777777" w:rsidR="00D2313E" w:rsidRDefault="00684A9D">
      <w:pPr>
        <w:pStyle w:val="Heading1"/>
      </w:pPr>
      <w:bookmarkStart w:id="5" w:name="_f8sxdjkkxeqc" w:colFirst="0" w:colLast="0"/>
      <w:bookmarkStart w:id="6" w:name="_Toc237860226"/>
      <w:bookmarkEnd w:id="5"/>
      <w:r>
        <w:t>References</w:t>
      </w:r>
      <w:bookmarkEnd w:id="6"/>
    </w:p>
    <w:p w14:paraId="079E5603" w14:textId="77777777" w:rsidR="00D2313E" w:rsidRDefault="00684A9D">
      <w:pPr>
        <w:rPr>
          <w:lang w:val="en-IN"/>
        </w:rPr>
      </w:pPr>
      <w:r>
        <w:rPr>
          <w:lang w:val="en-IN"/>
        </w:rPr>
        <w:t xml:space="preserve">Abed, L. G., Abed, M. G., &amp; Shackelford, T. K. (2023). Interpersonal Communication Style and Personal and Professional Growth among Saudi Arabian Employees. </w:t>
      </w:r>
      <w:r>
        <w:rPr>
          <w:i/>
          <w:iCs/>
          <w:lang w:val="en-IN"/>
        </w:rPr>
        <w:t>International Journal of Environmental Research and Public Health</w:t>
      </w:r>
      <w:r>
        <w:rPr>
          <w:lang w:val="en-IN"/>
        </w:rPr>
        <w:t xml:space="preserve">, </w:t>
      </w:r>
      <w:r>
        <w:rPr>
          <w:i/>
          <w:iCs/>
          <w:lang w:val="en-IN"/>
        </w:rPr>
        <w:t>20</w:t>
      </w:r>
      <w:r>
        <w:rPr>
          <w:lang w:val="en-IN"/>
        </w:rPr>
        <w:t xml:space="preserve">(2). </w:t>
      </w:r>
      <w:hyperlink r:id="rId8" w:history="1">
        <w:r>
          <w:rPr>
            <w:rStyle w:val="Hyperlink"/>
            <w:lang w:val="en-IN"/>
          </w:rPr>
          <w:t>https://doi.org/10.3390/ijerph20020910</w:t>
        </w:r>
      </w:hyperlink>
    </w:p>
    <w:p w14:paraId="6056555A" w14:textId="77777777" w:rsidR="00D2313E" w:rsidRDefault="00684A9D">
      <w:pPr>
        <w:rPr>
          <w:lang w:val="en-IN"/>
        </w:rPr>
      </w:pPr>
      <w:r>
        <w:rPr>
          <w:lang w:val="en-IN"/>
        </w:rPr>
        <w:t xml:space="preserve">Adidas (2025). </w:t>
      </w:r>
      <w:r>
        <w:rPr>
          <w:i/>
          <w:iCs/>
          <w:lang w:val="en-IN"/>
        </w:rPr>
        <w:t xml:space="preserve">Annual Report 2025. </w:t>
      </w:r>
      <w:r>
        <w:rPr>
          <w:lang w:val="en-IN"/>
        </w:rPr>
        <w:t xml:space="preserve">Available at: </w:t>
      </w:r>
      <w:hyperlink r:id="rId9" w:history="1">
        <w:r>
          <w:rPr>
            <w:rStyle w:val="Hyperlink"/>
            <w:lang w:val="en-IN"/>
          </w:rPr>
          <w:t>https://report.adidas-group.com/2025/en</w:t>
        </w:r>
      </w:hyperlink>
      <w:r>
        <w:rPr>
          <w:lang w:val="en-IN"/>
        </w:rPr>
        <w:t xml:space="preserve"> (Accessed on: 17th August 2026).</w:t>
      </w:r>
    </w:p>
    <w:p w14:paraId="6B155A99" w14:textId="77777777" w:rsidR="00D2313E" w:rsidRDefault="00684A9D">
      <w:pPr>
        <w:rPr>
          <w:lang w:val="en-IN"/>
        </w:rPr>
      </w:pPr>
      <w:r>
        <w:rPr>
          <w:lang w:val="en-IN"/>
        </w:rPr>
        <w:t xml:space="preserve">Ahmad, N., Haque, S., and Islam, M. A. (2024). Modern slavery disclosure regulations in the global supply Chain: A world-systems perspective. </w:t>
      </w:r>
      <w:r>
        <w:rPr>
          <w:i/>
          <w:iCs/>
          <w:lang w:val="en-IN"/>
        </w:rPr>
        <w:t>Critical Perspectives on Accounting</w:t>
      </w:r>
      <w:r>
        <w:rPr>
          <w:lang w:val="en-IN"/>
        </w:rPr>
        <w:t xml:space="preserve">, </w:t>
      </w:r>
      <w:r>
        <w:rPr>
          <w:i/>
          <w:iCs/>
          <w:lang w:val="en-IN"/>
        </w:rPr>
        <w:t>99</w:t>
      </w:r>
      <w:r>
        <w:rPr>
          <w:lang w:val="en-IN"/>
        </w:rPr>
        <w:t xml:space="preserve">, 102677. </w:t>
      </w:r>
      <w:hyperlink r:id="rId10" w:history="1">
        <w:r>
          <w:rPr>
            <w:rStyle w:val="Hyperlink"/>
            <w:lang w:val="en-IN"/>
          </w:rPr>
          <w:t>https://doi.org/10.1016/j.cpa.2023.102677</w:t>
        </w:r>
      </w:hyperlink>
    </w:p>
    <w:p w14:paraId="2D4197EB" w14:textId="77777777" w:rsidR="00D2313E" w:rsidRDefault="00684A9D">
      <w:pPr>
        <w:rPr>
          <w:lang w:val="en-IN"/>
        </w:rPr>
      </w:pPr>
      <w:r>
        <w:rPr>
          <w:lang w:val="en-IN"/>
        </w:rPr>
        <w:t xml:space="preserve">Deep, P. D., Chen, Y., Ghosh, N., and Rahaman, M. S. (2024). The Influence of Student–Instructor Communication Methods on Student Engagement and Motivation in Higher Education Online Courses During and After the COVID-19 Pandemic. </w:t>
      </w:r>
      <w:r>
        <w:rPr>
          <w:i/>
          <w:iCs/>
          <w:lang w:val="en-IN"/>
        </w:rPr>
        <w:t>Education Sciences</w:t>
      </w:r>
      <w:r>
        <w:rPr>
          <w:lang w:val="en-IN"/>
        </w:rPr>
        <w:t xml:space="preserve">, </w:t>
      </w:r>
      <w:r>
        <w:rPr>
          <w:i/>
          <w:iCs/>
          <w:lang w:val="en-IN"/>
        </w:rPr>
        <w:t>15</w:t>
      </w:r>
      <w:r>
        <w:rPr>
          <w:lang w:val="en-IN"/>
        </w:rPr>
        <w:t xml:space="preserve">(1). </w:t>
      </w:r>
      <w:hyperlink r:id="rId11" w:history="1">
        <w:r>
          <w:rPr>
            <w:rStyle w:val="Hyperlink"/>
            <w:lang w:val="en-IN"/>
          </w:rPr>
          <w:t>https://doi.org/10.3390/educsci15010033</w:t>
        </w:r>
      </w:hyperlink>
    </w:p>
    <w:p w14:paraId="486DE145" w14:textId="77777777" w:rsidR="00D2313E" w:rsidRDefault="00684A9D">
      <w:pPr>
        <w:rPr>
          <w:lang w:val="en-IN"/>
        </w:rPr>
      </w:pPr>
      <w:r>
        <w:rPr>
          <w:lang w:val="en-IN"/>
        </w:rPr>
        <w:t xml:space="preserve">Florea, N. V., and Croitoru, G. (2025). The Impact of Artificial Intelligence on Communication Dynamics and Performance in Organizational Leadership. </w:t>
      </w:r>
      <w:r>
        <w:rPr>
          <w:i/>
          <w:iCs/>
          <w:lang w:val="en-IN"/>
        </w:rPr>
        <w:t>Administrative Sciences</w:t>
      </w:r>
      <w:r>
        <w:rPr>
          <w:lang w:val="en-IN"/>
        </w:rPr>
        <w:t xml:space="preserve">, </w:t>
      </w:r>
      <w:r>
        <w:rPr>
          <w:i/>
          <w:iCs/>
          <w:lang w:val="en-IN"/>
        </w:rPr>
        <w:t>15</w:t>
      </w:r>
      <w:r>
        <w:rPr>
          <w:lang w:val="en-IN"/>
        </w:rPr>
        <w:t xml:space="preserve">(2). </w:t>
      </w:r>
      <w:hyperlink r:id="rId12" w:history="1">
        <w:r>
          <w:rPr>
            <w:rStyle w:val="Hyperlink"/>
            <w:lang w:val="en-IN"/>
          </w:rPr>
          <w:t>https://doi.org/10.3390/admsci15020033</w:t>
        </w:r>
      </w:hyperlink>
    </w:p>
    <w:p w14:paraId="3A67F82C" w14:textId="77777777" w:rsidR="00D2313E" w:rsidRDefault="00684A9D">
      <w:pPr>
        <w:rPr>
          <w:lang w:val="en-IN"/>
        </w:rPr>
      </w:pPr>
      <w:r>
        <w:rPr>
          <w:lang w:val="en-IN"/>
        </w:rPr>
        <w:t xml:space="preserve">Kumar, V., Ashraf, A. R., and Nadeem, W. (2024). AI-powered marketing: What, where, and how? </w:t>
      </w:r>
      <w:r>
        <w:rPr>
          <w:i/>
          <w:iCs/>
          <w:lang w:val="en-IN"/>
        </w:rPr>
        <w:t>International Journal of Information Management</w:t>
      </w:r>
      <w:r>
        <w:rPr>
          <w:lang w:val="en-IN"/>
        </w:rPr>
        <w:t xml:space="preserve">, </w:t>
      </w:r>
      <w:r>
        <w:rPr>
          <w:i/>
          <w:iCs/>
          <w:lang w:val="en-IN"/>
        </w:rPr>
        <w:t>77</w:t>
      </w:r>
      <w:r>
        <w:rPr>
          <w:lang w:val="en-IN"/>
        </w:rPr>
        <w:t xml:space="preserve">, 102783. </w:t>
      </w:r>
      <w:hyperlink r:id="rId13" w:history="1">
        <w:r>
          <w:rPr>
            <w:rStyle w:val="Hyperlink"/>
            <w:lang w:val="en-IN"/>
          </w:rPr>
          <w:t>https://doi.org/10.1016/j.ijinfomgt.2024.102783</w:t>
        </w:r>
      </w:hyperlink>
    </w:p>
    <w:p w14:paraId="41A87D3C" w14:textId="77777777" w:rsidR="00D2313E" w:rsidRDefault="00684A9D">
      <w:pPr>
        <w:rPr>
          <w:lang w:val="en-IN"/>
        </w:rPr>
      </w:pPr>
      <w:r>
        <w:rPr>
          <w:lang w:val="en-IN"/>
        </w:rPr>
        <w:t xml:space="preserve">Kunold, L., and Onnasch, L. (2022). A Framework to Study and Design Communication with Social Robots. </w:t>
      </w:r>
      <w:r>
        <w:rPr>
          <w:i/>
          <w:iCs/>
          <w:lang w:val="en-IN"/>
        </w:rPr>
        <w:t>Robotics</w:t>
      </w:r>
      <w:r>
        <w:rPr>
          <w:lang w:val="en-IN"/>
        </w:rPr>
        <w:t xml:space="preserve">, </w:t>
      </w:r>
      <w:r>
        <w:rPr>
          <w:i/>
          <w:iCs/>
          <w:lang w:val="en-IN"/>
        </w:rPr>
        <w:t>11</w:t>
      </w:r>
      <w:r>
        <w:rPr>
          <w:lang w:val="en-IN"/>
        </w:rPr>
        <w:t xml:space="preserve">(6). </w:t>
      </w:r>
      <w:hyperlink r:id="rId14" w:history="1">
        <w:r>
          <w:rPr>
            <w:rStyle w:val="Hyperlink"/>
            <w:lang w:val="en-IN"/>
          </w:rPr>
          <w:t>https://doi.org/10.3390/robotics11060129</w:t>
        </w:r>
      </w:hyperlink>
    </w:p>
    <w:p w14:paraId="77D94B0C" w14:textId="77777777" w:rsidR="00D2313E" w:rsidRDefault="00684A9D">
      <w:pPr>
        <w:rPr>
          <w:lang w:val="en-IN"/>
        </w:rPr>
      </w:pPr>
      <w:r>
        <w:rPr>
          <w:lang w:val="en-IN"/>
        </w:rPr>
        <w:t xml:space="preserve">Lee, J. H., Sato, N., Ogata, T., Yano, K., and Miyake, Y. (2024). Physical Engagement in Face-to-Face Interaction Is Associated with Depressive Symptoms of Interaction Partners in the Workplace. </w:t>
      </w:r>
      <w:r>
        <w:rPr>
          <w:i/>
          <w:iCs/>
          <w:lang w:val="en-IN"/>
        </w:rPr>
        <w:t>Behavioral Sciences</w:t>
      </w:r>
      <w:r>
        <w:rPr>
          <w:lang w:val="en-IN"/>
        </w:rPr>
        <w:t xml:space="preserve">, </w:t>
      </w:r>
      <w:r>
        <w:rPr>
          <w:i/>
          <w:iCs/>
          <w:lang w:val="en-IN"/>
        </w:rPr>
        <w:t>14</w:t>
      </w:r>
      <w:r>
        <w:rPr>
          <w:lang w:val="en-IN"/>
        </w:rPr>
        <w:t xml:space="preserve">(11). </w:t>
      </w:r>
      <w:hyperlink r:id="rId15" w:history="1">
        <w:r>
          <w:rPr>
            <w:rStyle w:val="Hyperlink"/>
            <w:lang w:val="en-IN"/>
          </w:rPr>
          <w:t>https://doi.org/10.3390/bs14111006</w:t>
        </w:r>
      </w:hyperlink>
    </w:p>
    <w:p w14:paraId="66210CE9" w14:textId="77777777" w:rsidR="00D2313E" w:rsidRDefault="00684A9D">
      <w:pPr>
        <w:rPr>
          <w:lang w:val="en-IN"/>
        </w:rPr>
      </w:pPr>
      <w:r>
        <w:rPr>
          <w:lang w:val="en-IN"/>
        </w:rPr>
        <w:t>Meirinhos</w:t>
      </w:r>
      <w:r>
        <w:rPr>
          <w:lang w:val="en-IN"/>
        </w:rPr>
        <w:t xml:space="preserve">, G., Cardoso, A., Silva, R., Rêgo, R., and Oliveira, M. (2022). Employee Involvement and Commitment in Internal Communication. </w:t>
      </w:r>
      <w:r>
        <w:rPr>
          <w:i/>
          <w:iCs/>
          <w:lang w:val="en-IN"/>
        </w:rPr>
        <w:t>Social Sciences</w:t>
      </w:r>
      <w:r>
        <w:rPr>
          <w:lang w:val="en-IN"/>
        </w:rPr>
        <w:t xml:space="preserve">, </w:t>
      </w:r>
      <w:r>
        <w:rPr>
          <w:i/>
          <w:iCs/>
          <w:lang w:val="en-IN"/>
        </w:rPr>
        <w:t>11</w:t>
      </w:r>
      <w:r>
        <w:rPr>
          <w:lang w:val="en-IN"/>
        </w:rPr>
        <w:t xml:space="preserve">(9). </w:t>
      </w:r>
      <w:hyperlink r:id="rId16" w:history="1">
        <w:r>
          <w:rPr>
            <w:rStyle w:val="Hyperlink"/>
            <w:lang w:val="en-IN"/>
          </w:rPr>
          <w:t>https://doi.org/10.3390/socsci11090423</w:t>
        </w:r>
      </w:hyperlink>
    </w:p>
    <w:p w14:paraId="1CF922BC" w14:textId="77777777" w:rsidR="00D2313E" w:rsidRDefault="00684A9D">
      <w:pPr>
        <w:rPr>
          <w:lang w:val="en-IN"/>
        </w:rPr>
      </w:pPr>
      <w:r>
        <w:rPr>
          <w:lang w:val="en-IN"/>
        </w:rPr>
        <w:t xml:space="preserve">Oliver, A. L., and Rittblat, R. (2025). Human (Face-to-Face) and Digital Innovation Platforms and Their Role in Innovation and Sustainability. </w:t>
      </w:r>
      <w:r>
        <w:rPr>
          <w:i/>
          <w:iCs/>
          <w:lang w:val="en-IN"/>
        </w:rPr>
        <w:t>Platforms</w:t>
      </w:r>
      <w:r>
        <w:rPr>
          <w:lang w:val="en-IN"/>
        </w:rPr>
        <w:t xml:space="preserve">, </w:t>
      </w:r>
      <w:r>
        <w:rPr>
          <w:i/>
          <w:iCs/>
          <w:lang w:val="en-IN"/>
        </w:rPr>
        <w:t>3</w:t>
      </w:r>
      <w:r>
        <w:rPr>
          <w:lang w:val="en-IN"/>
        </w:rPr>
        <w:t xml:space="preserve">(3). </w:t>
      </w:r>
      <w:hyperlink r:id="rId17" w:history="1">
        <w:r>
          <w:rPr>
            <w:rStyle w:val="Hyperlink"/>
            <w:lang w:val="en-IN"/>
          </w:rPr>
          <w:t>https://doi.org/10.3390/platforms3030012</w:t>
        </w:r>
      </w:hyperlink>
    </w:p>
    <w:p w14:paraId="1CB642D7" w14:textId="77777777" w:rsidR="00D2313E" w:rsidRDefault="00684A9D">
      <w:pPr>
        <w:rPr>
          <w:lang w:val="en-IN"/>
        </w:rPr>
      </w:pPr>
      <w:r>
        <w:rPr>
          <w:lang w:val="en-IN"/>
        </w:rPr>
        <w:t xml:space="preserve">Ozgultekin, A., Altuntas, E. Y., and Birtan, D. (2025). Interpersonal Communication in Intensive Care Units: A Qualitative Study on Family Members’ Experiences in a Turkish Public Hospital. </w:t>
      </w:r>
      <w:r>
        <w:rPr>
          <w:i/>
          <w:iCs/>
          <w:lang w:val="en-IN"/>
        </w:rPr>
        <w:t>Healthcare</w:t>
      </w:r>
      <w:r>
        <w:rPr>
          <w:lang w:val="en-IN"/>
        </w:rPr>
        <w:t xml:space="preserve">, </w:t>
      </w:r>
      <w:r>
        <w:rPr>
          <w:i/>
          <w:iCs/>
          <w:lang w:val="en-IN"/>
        </w:rPr>
        <w:t>13</w:t>
      </w:r>
      <w:r>
        <w:rPr>
          <w:lang w:val="en-IN"/>
        </w:rPr>
        <w:t>(23). https://doi.org/10.3390/healthcare13233100</w:t>
      </w:r>
    </w:p>
    <w:p w14:paraId="172F02F5" w14:textId="77777777" w:rsidR="00D2313E" w:rsidRDefault="00684A9D">
      <w:pPr>
        <w:rPr>
          <w:lang w:val="en-IN"/>
        </w:rPr>
      </w:pPr>
      <w:r>
        <w:rPr>
          <w:lang w:val="en-IN"/>
        </w:rPr>
        <w:t xml:space="preserve">Santos, S., Augusto, L., Ferreira, S., Santo, P. E., and Vasconcelos, M. (2023). Recommendations for Internal Communication to Strengthen the Employer Brand: A Systematic Literature Review. </w:t>
      </w:r>
      <w:r>
        <w:rPr>
          <w:i/>
          <w:iCs/>
          <w:lang w:val="en-IN"/>
        </w:rPr>
        <w:t>Administrative Sciences</w:t>
      </w:r>
      <w:r>
        <w:rPr>
          <w:lang w:val="en-IN"/>
        </w:rPr>
        <w:t xml:space="preserve">, </w:t>
      </w:r>
      <w:r>
        <w:rPr>
          <w:i/>
          <w:iCs/>
          <w:lang w:val="en-IN"/>
        </w:rPr>
        <w:t>13</w:t>
      </w:r>
      <w:r>
        <w:rPr>
          <w:lang w:val="en-IN"/>
        </w:rPr>
        <w:t xml:space="preserve">(10). </w:t>
      </w:r>
      <w:hyperlink r:id="rId18" w:history="1">
        <w:r>
          <w:rPr>
            <w:rStyle w:val="Hyperlink"/>
            <w:lang w:val="en-IN"/>
          </w:rPr>
          <w:t>https://doi.org/10.3390/admsci13100223</w:t>
        </w:r>
      </w:hyperlink>
    </w:p>
    <w:p w14:paraId="0191241C" w14:textId="77777777" w:rsidR="00D2313E" w:rsidRDefault="00684A9D">
      <w:pPr>
        <w:rPr>
          <w:lang w:val="en-IN"/>
        </w:rPr>
      </w:pPr>
      <w:r>
        <w:rPr>
          <w:lang w:val="en-IN"/>
        </w:rPr>
        <w:t xml:space="preserve">Song, D. E., Ro, D., and Baek, H. (2026). Narratives, Networks, and the Evolution of Paracrises: Evidence From X (Twitter) Discourse on the Adidas SL72 Campaign. </w:t>
      </w:r>
      <w:r>
        <w:rPr>
          <w:i/>
          <w:iCs/>
          <w:lang w:val="en-IN"/>
        </w:rPr>
        <w:t>Journal of Contingencies and Crisis Management</w:t>
      </w:r>
      <w:r>
        <w:rPr>
          <w:lang w:val="en-IN"/>
        </w:rPr>
        <w:t xml:space="preserve">, </w:t>
      </w:r>
      <w:r>
        <w:rPr>
          <w:i/>
          <w:iCs/>
          <w:lang w:val="en-IN"/>
        </w:rPr>
        <w:t>34</w:t>
      </w:r>
      <w:r>
        <w:rPr>
          <w:lang w:val="en-IN"/>
        </w:rPr>
        <w:t xml:space="preserve">(2), e70156. </w:t>
      </w:r>
      <w:hyperlink r:id="rId19" w:history="1">
        <w:r>
          <w:rPr>
            <w:rStyle w:val="Hyperlink"/>
            <w:lang w:val="en-IN"/>
          </w:rPr>
          <w:t>https://doi.org/10.1111/1468-5973.70156</w:t>
        </w:r>
      </w:hyperlink>
    </w:p>
    <w:sectPr w:rsidR="00D2313E">
      <w:headerReference w:type="default" r:id="rId20"/>
      <w:footerReference w:type="default" r:id="rId21"/>
      <w:headerReference w:type="first" r:id="rId22"/>
      <w:footerReference w:type="first" r:id="rId23"/>
      <w:pgSz w:w="11906" w:h="16838" w:code="9"/>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BC026D" w14:textId="77777777" w:rsidR="00684A9D" w:rsidRDefault="00684A9D">
      <w:pPr>
        <w:spacing w:before="0" w:after="0" w:line="240" w:lineRule="auto"/>
      </w:pPr>
      <w:r>
        <w:separator/>
      </w:r>
    </w:p>
  </w:endnote>
  <w:endnote w:type="continuationSeparator" w:id="0">
    <w:p w14:paraId="7E7C50E3" w14:textId="77777777" w:rsidR="00684A9D" w:rsidRDefault="00684A9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54F88" w14:textId="77777777" w:rsidR="00D2313E" w:rsidRDefault="00684A9D">
    <w:pPr>
      <w:jc w:val="right"/>
      <w:rPr>
        <w:sz w:val="20"/>
        <w:szCs w:val="20"/>
      </w:rPr>
    </w:pPr>
    <w:r>
      <w:rPr>
        <w:sz w:val="20"/>
        <w:szCs w:val="20"/>
      </w:rPr>
      <w:fldChar w:fldCharType="begin"/>
    </w:r>
    <w:r>
      <w:rPr>
        <w:sz w:val="20"/>
        <w:szCs w:val="20"/>
      </w:rPr>
      <w:instrText>PAGE</w:instrText>
    </w:r>
    <w:r>
      <w:rPr>
        <w:sz w:val="20"/>
        <w:szCs w:val="20"/>
      </w:rPr>
      <w:fldChar w:fldCharType="separate"/>
    </w:r>
    <w:r>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672C91" w14:textId="77777777" w:rsidR="00D2313E" w:rsidRDefault="00684A9D">
    <w:pPr>
      <w:jc w:val="right"/>
    </w:pP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5099D" w14:textId="77777777" w:rsidR="00684A9D" w:rsidRDefault="00684A9D">
      <w:pPr>
        <w:spacing w:before="0" w:after="0" w:line="240" w:lineRule="auto"/>
      </w:pPr>
      <w:r>
        <w:separator/>
      </w:r>
    </w:p>
  </w:footnote>
  <w:footnote w:type="continuationSeparator" w:id="0">
    <w:p w14:paraId="346C8E57" w14:textId="77777777" w:rsidR="00684A9D" w:rsidRDefault="00684A9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E4D21" w14:textId="77777777" w:rsidR="00D2313E" w:rsidRDefault="00D2313E">
    <w:pPr>
      <w:jc w:val="left"/>
      <w:rPr>
        <w:sz w:val="18"/>
        <w:szCs w:val="18"/>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32A7A" w14:textId="77777777" w:rsidR="00D2313E" w:rsidRDefault="00D2313E">
    <w:pPr>
      <w:rPr>
        <w:sz w:val="20"/>
        <w:szCs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6"/>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313E"/>
    <w:rsid w:val="003717A0"/>
    <w:rsid w:val="00684A9D"/>
    <w:rsid w:val="00D2313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ecimalSymbol w:val="."/>
  <w:listSeparator w:val=","/>
  <w14:docId w14:val="2E66DD18"/>
  <w15:docId w15:val="{6588F96E-6846-AB4A-AD6B-462E7035B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jc w:val="center"/>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qFormat/>
    <w:pPr>
      <w:spacing w:before="240" w:after="0" w:line="259" w:lineRule="auto"/>
      <w:jc w:val="left"/>
      <w:outlineLvl w:val="9"/>
    </w:pPr>
    <w:rPr>
      <w:rFonts w:ascii="Calibri" w:eastAsia="SimSun" w:hAnsi="Calibri"/>
      <w:b w:val="0"/>
      <w:bCs w:val="0"/>
      <w:color w:val="365F91"/>
      <w:sz w:val="32"/>
      <w:szCs w:val="32"/>
      <w:lang w:val="en-US" w:eastAsia="en-US"/>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3390/ijerph20020910" TargetMode="External" /><Relationship Id="rId13" Type="http://schemas.openxmlformats.org/officeDocument/2006/relationships/hyperlink" Target="https://doi.org/10.1016/j.ijinfomgt.2024.102783" TargetMode="External" /><Relationship Id="rId18" Type="http://schemas.openxmlformats.org/officeDocument/2006/relationships/hyperlink" Target="https://doi.org/10.3390/admsci13100223" TargetMode="Externa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png" /><Relationship Id="rId12" Type="http://schemas.openxmlformats.org/officeDocument/2006/relationships/hyperlink" Target="https://doi.org/10.3390/admsci15020033" TargetMode="External" /><Relationship Id="rId17" Type="http://schemas.openxmlformats.org/officeDocument/2006/relationships/hyperlink" Target="https://doi.org/10.3390/platforms3030012"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doi.org/10.3390/socsci11090423"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oi.org/10.3390/educsci15010033" TargetMode="Externa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doi.org/10.3390/bs14111006" TargetMode="External" /><Relationship Id="rId23" Type="http://schemas.openxmlformats.org/officeDocument/2006/relationships/footer" Target="footer2.xml" /><Relationship Id="rId10" Type="http://schemas.openxmlformats.org/officeDocument/2006/relationships/hyperlink" Target="https://doi.org/10.1016/j.cpa.2023.102677" TargetMode="External" /><Relationship Id="rId19" Type="http://schemas.openxmlformats.org/officeDocument/2006/relationships/hyperlink" Target="https://doi.org/10.1111/1468-5973.70156" TargetMode="External" /><Relationship Id="rId4" Type="http://schemas.openxmlformats.org/officeDocument/2006/relationships/webSettings" Target="webSettings.xml" /><Relationship Id="rId9" Type="http://schemas.openxmlformats.org/officeDocument/2006/relationships/hyperlink" Target="https://report.adidas-group.com/2025/en" TargetMode="External" /><Relationship Id="rId14" Type="http://schemas.openxmlformats.org/officeDocument/2006/relationships/hyperlink" Target="https://doi.org/10.3390/robotics11060129" TargetMode="External" /><Relationship Id="rId22"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989E5-B8B0-4246-9B33-6D9D807518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2517</Words>
  <Characters>14353</Characters>
  <Application>Microsoft Office Word</Application>
  <DocSecurity>0</DocSecurity>
  <Lines>119</Lines>
  <Paragraphs>33</Paragraphs>
  <ScaleCrop>false</ScaleCrop>
  <Company/>
  <LinksUpToDate>false</LinksUpToDate>
  <CharactersWithSpaces>16837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Lucian Bardut</cp:lastModifiedBy>
  <cp:revision>2</cp:revision>
  <dcterms:created xsi:type="dcterms:W3CDTF">2026-08-17T10:53:00Z</dcterms:created>
  <dcterms:modified xsi:type="dcterms:W3CDTF">2026-08-17T10:53:00Z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3fb3e2d528e6470a89cca947bb2d1362_23</vt:lpwstr>
  </property>
</Properties>
</file>