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9D170" w14:textId="44B2E886" w:rsidR="00A22D93" w:rsidRPr="00D44A51" w:rsidRDefault="00A22D93" w:rsidP="00D44A51">
      <w:pPr>
        <w:jc w:val="center"/>
        <w:rPr>
          <w:rFonts w:ascii="Arial" w:hAnsi="Arial" w:cs="Arial"/>
          <w:b/>
          <w:bCs/>
          <w:sz w:val="32"/>
          <w:szCs w:val="32"/>
          <w:u w:val="single"/>
        </w:rPr>
      </w:pPr>
      <w:r w:rsidRPr="00D44A51">
        <w:rPr>
          <w:rFonts w:ascii="Arial" w:hAnsi="Arial" w:cs="Arial"/>
          <w:b/>
          <w:bCs/>
          <w:sz w:val="32"/>
          <w:szCs w:val="32"/>
          <w:u w:val="single"/>
        </w:rPr>
        <w:t>Living With Care: The Older Person</w:t>
      </w:r>
    </w:p>
    <w:p w14:paraId="66062961" w14:textId="6A1F913D" w:rsidR="00A22D93" w:rsidRPr="00D44A51" w:rsidRDefault="00A22D93" w:rsidP="00D44A51">
      <w:pPr>
        <w:jc w:val="center"/>
        <w:rPr>
          <w:rFonts w:ascii="Arial" w:hAnsi="Arial" w:cs="Arial"/>
          <w:b/>
          <w:bCs/>
          <w:sz w:val="32"/>
          <w:szCs w:val="32"/>
          <w:u w:val="single"/>
        </w:rPr>
      </w:pPr>
    </w:p>
    <w:p w14:paraId="5813D076" w14:textId="34ADB5A5" w:rsidR="00A23EA8" w:rsidRPr="00D44A51" w:rsidRDefault="00A23EA8" w:rsidP="00D44A51">
      <w:pPr>
        <w:jc w:val="center"/>
        <w:rPr>
          <w:rFonts w:ascii="Arial" w:hAnsi="Arial" w:cs="Arial"/>
          <w:b/>
          <w:bCs/>
          <w:sz w:val="32"/>
          <w:szCs w:val="32"/>
          <w:u w:val="single"/>
        </w:rPr>
      </w:pPr>
      <w:r w:rsidRPr="00D44A51">
        <w:rPr>
          <w:rFonts w:ascii="Arial" w:hAnsi="Arial" w:cs="Arial"/>
          <w:b/>
          <w:bCs/>
          <w:sz w:val="32"/>
          <w:szCs w:val="32"/>
          <w:u w:val="single"/>
        </w:rPr>
        <w:t>BMHP6009_BIRM</w:t>
      </w:r>
    </w:p>
    <w:p w14:paraId="071E3E88" w14:textId="133F6A5C" w:rsidR="00AE0BF4" w:rsidRPr="00D44A51" w:rsidRDefault="00AE0BF4" w:rsidP="00D44A51">
      <w:pPr>
        <w:jc w:val="center"/>
        <w:rPr>
          <w:rFonts w:ascii="Arial" w:hAnsi="Arial" w:cs="Arial"/>
          <w:b/>
          <w:bCs/>
          <w:sz w:val="32"/>
          <w:szCs w:val="32"/>
          <w:u w:val="single"/>
        </w:rPr>
      </w:pPr>
      <w:r w:rsidRPr="00D44A51">
        <w:rPr>
          <w:rFonts w:ascii="Arial" w:hAnsi="Arial" w:cs="Arial"/>
          <w:b/>
          <w:bCs/>
          <w:sz w:val="32"/>
          <w:szCs w:val="32"/>
          <w:u w:val="single"/>
        </w:rPr>
        <w:t>Joanne Davies</w:t>
      </w:r>
    </w:p>
    <w:p w14:paraId="02E00785" w14:textId="678D205A" w:rsidR="00AE0BF4" w:rsidRPr="00D44A51" w:rsidRDefault="00AE0BF4" w:rsidP="00D44A51">
      <w:pPr>
        <w:jc w:val="center"/>
        <w:rPr>
          <w:rFonts w:ascii="Arial" w:hAnsi="Arial" w:cs="Arial"/>
          <w:b/>
          <w:bCs/>
          <w:sz w:val="32"/>
          <w:szCs w:val="32"/>
          <w:u w:val="single"/>
        </w:rPr>
      </w:pPr>
    </w:p>
    <w:p w14:paraId="2C1F0EE4" w14:textId="1E8F3DDD" w:rsidR="00AE0BF4" w:rsidRPr="00D44A51" w:rsidRDefault="00AE0BF4" w:rsidP="00D44A51">
      <w:pPr>
        <w:jc w:val="center"/>
        <w:rPr>
          <w:rFonts w:ascii="Arial" w:hAnsi="Arial" w:cs="Arial"/>
          <w:b/>
          <w:bCs/>
          <w:sz w:val="32"/>
          <w:szCs w:val="32"/>
          <w:u w:val="single"/>
        </w:rPr>
      </w:pPr>
      <w:proofErr w:type="spellStart"/>
      <w:r w:rsidRPr="00D44A51">
        <w:rPr>
          <w:rFonts w:ascii="Arial" w:hAnsi="Arial" w:cs="Arial"/>
          <w:b/>
          <w:bCs/>
          <w:sz w:val="32"/>
          <w:szCs w:val="32"/>
          <w:u w:val="single"/>
        </w:rPr>
        <w:t>Lusharnia</w:t>
      </w:r>
      <w:proofErr w:type="spellEnd"/>
      <w:r w:rsidRPr="00D44A51">
        <w:rPr>
          <w:rFonts w:ascii="Arial" w:hAnsi="Arial" w:cs="Arial"/>
          <w:b/>
          <w:bCs/>
          <w:sz w:val="32"/>
          <w:szCs w:val="32"/>
          <w:u w:val="single"/>
        </w:rPr>
        <w:t xml:space="preserve"> Gordon</w:t>
      </w:r>
    </w:p>
    <w:p w14:paraId="44CCB18F" w14:textId="799A28FD" w:rsidR="00AE0BF4" w:rsidRPr="00D44A51" w:rsidRDefault="00AE0BF4" w:rsidP="00D44A51">
      <w:pPr>
        <w:jc w:val="center"/>
        <w:rPr>
          <w:rFonts w:ascii="Arial" w:hAnsi="Arial" w:cs="Arial"/>
          <w:b/>
          <w:bCs/>
          <w:sz w:val="32"/>
          <w:szCs w:val="32"/>
          <w:u w:val="single"/>
        </w:rPr>
      </w:pPr>
      <w:r w:rsidRPr="00D44A51">
        <w:rPr>
          <w:rFonts w:ascii="Arial" w:hAnsi="Arial" w:cs="Arial"/>
          <w:b/>
          <w:bCs/>
          <w:sz w:val="32"/>
          <w:szCs w:val="32"/>
          <w:u w:val="single"/>
        </w:rPr>
        <w:t>1905474</w:t>
      </w:r>
    </w:p>
    <w:p w14:paraId="2A237A35" w14:textId="2E140651" w:rsidR="00AE0BF4" w:rsidRPr="00D44A51" w:rsidRDefault="00AE0BF4" w:rsidP="00D44A51">
      <w:pPr>
        <w:jc w:val="center"/>
        <w:rPr>
          <w:rFonts w:ascii="Arial" w:hAnsi="Arial" w:cs="Arial"/>
          <w:b/>
          <w:bCs/>
          <w:sz w:val="32"/>
          <w:szCs w:val="32"/>
          <w:u w:val="single"/>
        </w:rPr>
      </w:pPr>
    </w:p>
    <w:p w14:paraId="51431AB4" w14:textId="5DCD3692" w:rsidR="00AE0BF4" w:rsidRPr="00D44A51" w:rsidRDefault="00743038" w:rsidP="00D44A51">
      <w:pPr>
        <w:jc w:val="center"/>
        <w:rPr>
          <w:rFonts w:ascii="Arial" w:hAnsi="Arial" w:cs="Arial"/>
          <w:b/>
          <w:bCs/>
          <w:sz w:val="32"/>
          <w:szCs w:val="32"/>
          <w:u w:val="single"/>
        </w:rPr>
      </w:pPr>
      <w:r w:rsidRPr="00D44A51">
        <w:rPr>
          <w:rFonts w:ascii="Arial" w:hAnsi="Arial" w:cs="Arial"/>
          <w:b/>
          <w:bCs/>
          <w:sz w:val="32"/>
          <w:szCs w:val="32"/>
          <w:u w:val="single"/>
        </w:rPr>
        <w:t>Component 2 Essay</w:t>
      </w:r>
    </w:p>
    <w:p w14:paraId="24B3683E" w14:textId="46D809D4" w:rsidR="00743038" w:rsidRPr="00D44A51" w:rsidRDefault="28956BC2" w:rsidP="00D44A51">
      <w:pPr>
        <w:jc w:val="center"/>
        <w:rPr>
          <w:rFonts w:ascii="Arial" w:hAnsi="Arial" w:cs="Arial"/>
          <w:b/>
          <w:bCs/>
          <w:sz w:val="32"/>
          <w:szCs w:val="32"/>
          <w:u w:val="single"/>
        </w:rPr>
      </w:pPr>
      <w:r w:rsidRPr="012EEF54">
        <w:rPr>
          <w:rFonts w:ascii="Arial" w:hAnsi="Arial" w:cs="Arial"/>
          <w:b/>
          <w:bCs/>
          <w:sz w:val="32"/>
          <w:szCs w:val="32"/>
          <w:u w:val="single"/>
        </w:rPr>
        <w:t>08/04/2022</w:t>
      </w:r>
    </w:p>
    <w:p w14:paraId="23255AD4" w14:textId="39949618" w:rsidR="012EEF54" w:rsidRDefault="012EEF54" w:rsidP="012EEF54">
      <w:pPr>
        <w:jc w:val="center"/>
        <w:rPr>
          <w:rFonts w:ascii="Arial" w:hAnsi="Arial" w:cs="Arial"/>
          <w:b/>
          <w:bCs/>
          <w:sz w:val="32"/>
          <w:szCs w:val="32"/>
          <w:u w:val="single"/>
        </w:rPr>
      </w:pPr>
    </w:p>
    <w:p w14:paraId="0E8D6535" w14:textId="77777777" w:rsidR="00A23EA8" w:rsidRPr="00D44A51" w:rsidRDefault="00A23EA8" w:rsidP="00D44A51">
      <w:pPr>
        <w:jc w:val="center"/>
        <w:rPr>
          <w:rFonts w:ascii="Arial" w:hAnsi="Arial" w:cs="Arial"/>
          <w:b/>
          <w:bCs/>
          <w:sz w:val="32"/>
          <w:szCs w:val="32"/>
          <w:u w:val="single"/>
        </w:rPr>
      </w:pPr>
    </w:p>
    <w:p w14:paraId="7AC83285" w14:textId="5BB275FE" w:rsidR="00A22D93" w:rsidRDefault="00A22D93">
      <w:pPr>
        <w:rPr>
          <w:b/>
          <w:bCs/>
          <w:u w:val="single"/>
        </w:rPr>
      </w:pPr>
      <w:r>
        <w:rPr>
          <w:b/>
          <w:bCs/>
          <w:u w:val="single"/>
        </w:rPr>
        <w:br w:type="page"/>
      </w:r>
    </w:p>
    <w:p w14:paraId="6F59F664" w14:textId="3424972C" w:rsidR="4EDEEB7C" w:rsidRPr="007A759A" w:rsidRDefault="4EDEEB7C" w:rsidP="6E8A6523">
      <w:pPr>
        <w:spacing w:line="360" w:lineRule="auto"/>
        <w:rPr>
          <w:rFonts w:ascii="Arial" w:eastAsia="Arial" w:hAnsi="Arial" w:cs="Arial"/>
          <w:b/>
          <w:bCs/>
          <w:u w:val="single"/>
        </w:rPr>
      </w:pPr>
      <w:r w:rsidRPr="6E8A6523">
        <w:rPr>
          <w:rFonts w:ascii="Arial" w:eastAsia="Arial" w:hAnsi="Arial" w:cs="Arial"/>
          <w:b/>
          <w:bCs/>
          <w:u w:val="single"/>
        </w:rPr>
        <w:lastRenderedPageBreak/>
        <w:t>Introduction</w:t>
      </w:r>
    </w:p>
    <w:p w14:paraId="34ACAE12" w14:textId="6C415760" w:rsidR="28CC3857" w:rsidRDefault="28CC3857" w:rsidP="6E8A6523">
      <w:pPr>
        <w:spacing w:line="360" w:lineRule="auto"/>
        <w:rPr>
          <w:rFonts w:ascii="Arial" w:eastAsia="Arial" w:hAnsi="Arial" w:cs="Arial"/>
        </w:rPr>
      </w:pPr>
      <w:r w:rsidRPr="6E8A6523">
        <w:rPr>
          <w:rFonts w:ascii="Arial" w:eastAsia="Arial" w:hAnsi="Arial" w:cs="Arial"/>
        </w:rPr>
        <w:t>This paper will look at what it means to be an older person in the United Kingdom today, it will examine population increase and highlight challenges that older persons may encounter. The attention will then shift to the Covid-19 pandemic, the resulting restrictions, and the impact on the elderly population. Current legislation, policy, and practice, as well as relevant theory, including specific theories of ageing, will all be examined.</w:t>
      </w:r>
    </w:p>
    <w:p w14:paraId="500002BE" w14:textId="7FD54C06" w:rsidR="4EDEEB7C" w:rsidRPr="007A759A" w:rsidRDefault="4EDEEB7C" w:rsidP="6E8A6523">
      <w:pPr>
        <w:spacing w:line="360" w:lineRule="auto"/>
        <w:rPr>
          <w:rFonts w:ascii="Arial" w:eastAsia="Arial" w:hAnsi="Arial" w:cs="Arial"/>
        </w:rPr>
      </w:pPr>
      <w:r w:rsidRPr="6E8A6523">
        <w:rPr>
          <w:rFonts w:ascii="Arial" w:eastAsia="Arial" w:hAnsi="Arial" w:cs="Arial"/>
        </w:rPr>
        <w:t xml:space="preserve">In principle, anyone above the age of 65 is considered an elderly person. However, applying a precise representation is difficult since people age biologically at various rates; for instance, someone at 75 may be healthier than someone aged 60. People are, nevertheless, living healthier and longer lives. Since 2018, a 65-year-old male might expect to live for another 18.6 years, while a 65-year-old woman could expect to live for a further 21 years (NHS,2020). </w:t>
      </w:r>
    </w:p>
    <w:p w14:paraId="796D9758" w14:textId="0EF793D5" w:rsidR="4EDEEB7C" w:rsidRPr="007A759A" w:rsidRDefault="4CFD8446" w:rsidP="6E8A6523">
      <w:pPr>
        <w:spacing w:line="360" w:lineRule="auto"/>
        <w:rPr>
          <w:rFonts w:ascii="Arial" w:eastAsia="Arial" w:hAnsi="Arial" w:cs="Arial"/>
        </w:rPr>
      </w:pPr>
      <w:r w:rsidRPr="012EEF54">
        <w:rPr>
          <w:rFonts w:ascii="Arial" w:eastAsia="Arial" w:hAnsi="Arial" w:cs="Arial"/>
        </w:rPr>
        <w:t>In a socially structured context, old age is defined as the loss of functions that accompany bodily deterioration, which is thought to be crucial in defining old age. In many emerging regions, old age is seen as the beginning when active participation is no longer feasible, and it is also regarded as the biological benchmark that marks life phases in the civilized world (</w:t>
      </w:r>
      <w:proofErr w:type="spellStart"/>
      <w:r w:rsidRPr="012EEF54">
        <w:rPr>
          <w:rFonts w:ascii="Arial" w:eastAsia="Arial" w:hAnsi="Arial" w:cs="Arial"/>
        </w:rPr>
        <w:t>Beales</w:t>
      </w:r>
      <w:proofErr w:type="spellEnd"/>
      <w:r w:rsidRPr="012EEF54">
        <w:rPr>
          <w:rFonts w:ascii="Arial" w:eastAsia="Arial" w:hAnsi="Arial" w:cs="Arial"/>
        </w:rPr>
        <w:t xml:space="preserve"> and Gorman, 2003).</w:t>
      </w:r>
    </w:p>
    <w:p w14:paraId="54408E8D" w14:textId="7439B26C" w:rsidR="4EDEEB7C" w:rsidRPr="007A759A" w:rsidRDefault="4EDEEB7C" w:rsidP="6E8A6523">
      <w:pPr>
        <w:spacing w:line="360" w:lineRule="auto"/>
        <w:rPr>
          <w:rFonts w:ascii="Arial" w:eastAsia="Arial" w:hAnsi="Arial" w:cs="Arial"/>
        </w:rPr>
      </w:pPr>
      <w:r w:rsidRPr="6E8A6523">
        <w:rPr>
          <w:rFonts w:ascii="Arial" w:eastAsia="Arial" w:hAnsi="Arial" w:cs="Arial"/>
        </w:rPr>
        <w:t>Globally, the ageing process is viewed as a natural process with its own cycle, mostly beyond human control, and susceptible to the conceptions through which each community makes meaning of old age. In the industrialized world, the chronological age of 60 or 65 is like retirement age and is considered the start of old age. In many underdeveloped countries, chronological time is devoid of any real value in defining old age (WHO, 2002).</w:t>
      </w:r>
    </w:p>
    <w:p w14:paraId="3A777B27" w14:textId="6FA58833" w:rsidR="28CC3857" w:rsidRDefault="30D3956B" w:rsidP="012EEF54">
      <w:pPr>
        <w:spacing w:line="360" w:lineRule="auto"/>
        <w:rPr>
          <w:rFonts w:ascii="Arial" w:eastAsia="Arial" w:hAnsi="Arial" w:cs="Arial"/>
        </w:rPr>
      </w:pPr>
      <w:r w:rsidRPr="012EEF54">
        <w:rPr>
          <w:rFonts w:ascii="Arial" w:eastAsia="Arial" w:hAnsi="Arial" w:cs="Arial"/>
        </w:rPr>
        <w:t>However, when referring to the older population throughout this paper, the general term of anyone over the age of 65 will be used.</w:t>
      </w:r>
    </w:p>
    <w:p w14:paraId="45882A2F" w14:textId="7EB1D939" w:rsidR="28CC3857" w:rsidRDefault="28CC3857" w:rsidP="012EEF54">
      <w:pPr>
        <w:spacing w:line="360" w:lineRule="auto"/>
        <w:rPr>
          <w:rFonts w:ascii="Arial" w:eastAsia="Arial" w:hAnsi="Arial" w:cs="Arial"/>
        </w:rPr>
      </w:pPr>
    </w:p>
    <w:p w14:paraId="419E8B26" w14:textId="45101630" w:rsidR="28CC3857" w:rsidRDefault="28CC3857" w:rsidP="012EEF54">
      <w:pPr>
        <w:spacing w:line="360" w:lineRule="auto"/>
        <w:rPr>
          <w:rFonts w:ascii="Arial" w:eastAsia="Arial" w:hAnsi="Arial" w:cs="Arial"/>
        </w:rPr>
      </w:pPr>
    </w:p>
    <w:p w14:paraId="3326631F" w14:textId="52EBD951" w:rsidR="28CC3857" w:rsidRDefault="28CC3857" w:rsidP="012EEF54">
      <w:pPr>
        <w:spacing w:line="360" w:lineRule="auto"/>
        <w:rPr>
          <w:rFonts w:ascii="Arial" w:eastAsia="Arial" w:hAnsi="Arial" w:cs="Arial"/>
        </w:rPr>
      </w:pPr>
    </w:p>
    <w:p w14:paraId="4C1C51E3" w14:textId="6FAC9E3F" w:rsidR="28CC3857" w:rsidRDefault="28CC3857" w:rsidP="012EEF54">
      <w:pPr>
        <w:spacing w:line="360" w:lineRule="auto"/>
        <w:rPr>
          <w:rFonts w:ascii="Arial" w:eastAsia="Arial" w:hAnsi="Arial" w:cs="Arial"/>
        </w:rPr>
      </w:pPr>
    </w:p>
    <w:p w14:paraId="6A1B830B" w14:textId="2B7235C4" w:rsidR="28CC3857" w:rsidRDefault="28CC3857" w:rsidP="012EEF54">
      <w:pPr>
        <w:spacing w:line="360" w:lineRule="auto"/>
        <w:rPr>
          <w:rFonts w:ascii="Arial" w:eastAsia="Arial" w:hAnsi="Arial" w:cs="Arial"/>
        </w:rPr>
      </w:pPr>
    </w:p>
    <w:p w14:paraId="5AFDC5FA" w14:textId="4173C97E" w:rsidR="28CC3857" w:rsidRDefault="28CC3857" w:rsidP="012EEF54">
      <w:pPr>
        <w:spacing w:line="360" w:lineRule="auto"/>
        <w:rPr>
          <w:rFonts w:ascii="Arial" w:eastAsia="Arial" w:hAnsi="Arial" w:cs="Arial"/>
        </w:rPr>
      </w:pPr>
    </w:p>
    <w:p w14:paraId="09B9DD2B" w14:textId="2AA753D7" w:rsidR="28CC3857" w:rsidRDefault="28CC3857" w:rsidP="012EEF54">
      <w:pPr>
        <w:spacing w:line="360" w:lineRule="auto"/>
      </w:pPr>
      <w:r>
        <w:lastRenderedPageBreak/>
        <w:br w:type="page"/>
      </w:r>
    </w:p>
    <w:p w14:paraId="4097CB0F" w14:textId="43695FF1" w:rsidR="28CC3857" w:rsidRDefault="4CFD8446" w:rsidP="012EEF54">
      <w:pPr>
        <w:spacing w:line="360" w:lineRule="auto"/>
        <w:rPr>
          <w:rFonts w:ascii="Arial" w:eastAsia="Arial" w:hAnsi="Arial" w:cs="Arial"/>
        </w:rPr>
      </w:pPr>
      <w:r w:rsidRPr="012EEF54">
        <w:rPr>
          <w:rFonts w:ascii="Arial" w:eastAsia="Arial" w:hAnsi="Arial" w:cs="Arial"/>
          <w:b/>
          <w:bCs/>
          <w:u w:val="single"/>
        </w:rPr>
        <w:lastRenderedPageBreak/>
        <w:t>Discussion</w:t>
      </w:r>
      <w:r w:rsidR="012EEF54" w:rsidRPr="012EEF54">
        <w:rPr>
          <w:rFonts w:ascii="Arial" w:eastAsia="Arial" w:hAnsi="Arial" w:cs="Arial"/>
          <w:b/>
          <w:bCs/>
          <w:i/>
          <w:iCs/>
        </w:rPr>
        <w:t xml:space="preserve"> </w:t>
      </w:r>
    </w:p>
    <w:p w14:paraId="44685A3A" w14:textId="1E6121FF" w:rsidR="28CC3857" w:rsidRDefault="2DA422AD" w:rsidP="012EEF54">
      <w:pPr>
        <w:spacing w:line="360" w:lineRule="auto"/>
        <w:rPr>
          <w:rFonts w:ascii="Arial" w:eastAsia="Arial" w:hAnsi="Arial" w:cs="Arial"/>
          <w:b/>
          <w:bCs/>
          <w:i/>
          <w:iCs/>
        </w:rPr>
      </w:pPr>
      <w:r w:rsidRPr="012EEF54">
        <w:rPr>
          <w:rFonts w:ascii="Arial" w:eastAsia="Arial" w:hAnsi="Arial" w:cs="Arial"/>
          <w:b/>
          <w:bCs/>
          <w:i/>
          <w:iCs/>
        </w:rPr>
        <w:t>Associated Issues</w:t>
      </w:r>
    </w:p>
    <w:p w14:paraId="1130C4AD" w14:textId="02CF2E5D" w:rsidR="28CC3857" w:rsidRDefault="28CC3857" w:rsidP="6E8A6523">
      <w:pPr>
        <w:spacing w:line="360" w:lineRule="auto"/>
        <w:rPr>
          <w:rFonts w:ascii="Arial" w:eastAsia="Arial" w:hAnsi="Arial" w:cs="Arial"/>
        </w:rPr>
      </w:pPr>
      <w:r w:rsidRPr="6E8A6523">
        <w:rPr>
          <w:rFonts w:ascii="Arial" w:eastAsia="Arial" w:hAnsi="Arial" w:cs="Arial"/>
        </w:rPr>
        <w:t xml:space="preserve">As we age in our society, our life cycle changes, as do our looks. Many of these changes are physical, biological, cognitive, and social in nature. Some instances of such changes include worsening in eyesight and hearing, loss of senses, and a decrease in strength and stamina, agility, and balance (Saxon, </w:t>
      </w:r>
      <w:proofErr w:type="spellStart"/>
      <w:r w:rsidRPr="6E8A6523">
        <w:rPr>
          <w:rFonts w:ascii="Arial" w:eastAsia="Arial" w:hAnsi="Arial" w:cs="Arial"/>
        </w:rPr>
        <w:t>Etten</w:t>
      </w:r>
      <w:proofErr w:type="spellEnd"/>
      <w:r w:rsidRPr="6E8A6523">
        <w:rPr>
          <w:rFonts w:ascii="Arial" w:eastAsia="Arial" w:hAnsi="Arial" w:cs="Arial"/>
        </w:rPr>
        <w:t xml:space="preserve"> and Perkins, 2015). Ageing increases the risk of many life-threatening diseases and holds several biological pathways that are important in the development of chronic diseases such as heart disease, dementia, and diabetes, and cognitive changes such as memory impairments including forgetfulness and short-term and long-term malfunctions (Coleman and O’Hanlon, 2017).</w:t>
      </w:r>
    </w:p>
    <w:p w14:paraId="00A2A5ED" w14:textId="6D472025" w:rsidR="4EDEEB7C" w:rsidRDefault="4CFD8446" w:rsidP="6E8A6523">
      <w:pPr>
        <w:spacing w:line="360" w:lineRule="auto"/>
        <w:rPr>
          <w:rFonts w:ascii="Arial" w:eastAsia="Arial" w:hAnsi="Arial" w:cs="Arial"/>
        </w:rPr>
      </w:pPr>
      <w:r w:rsidRPr="012EEF54">
        <w:rPr>
          <w:rFonts w:ascii="Arial" w:eastAsia="Arial" w:hAnsi="Arial" w:cs="Arial"/>
        </w:rPr>
        <w:t>Ageism and discrimination, financial concerns, health care expenditures, loss and grief, abuse and neglect, deterioration in physical and mental health, and social isolation and loneliness are among issues that the elderly face (Walker,2018).</w:t>
      </w:r>
    </w:p>
    <w:p w14:paraId="4C9E77AA" w14:textId="46AA32FC" w:rsidR="012EEF54" w:rsidRDefault="012EEF54" w:rsidP="012EEF54">
      <w:pPr>
        <w:spacing w:line="360" w:lineRule="auto"/>
        <w:rPr>
          <w:rFonts w:ascii="Arial" w:eastAsia="Arial" w:hAnsi="Arial" w:cs="Arial"/>
          <w:b/>
          <w:bCs/>
          <w:i/>
          <w:iCs/>
        </w:rPr>
      </w:pPr>
    </w:p>
    <w:p w14:paraId="7EE5361B" w14:textId="45DA04C3" w:rsidR="4EDEEB7C" w:rsidRPr="007A759A" w:rsidRDefault="4CFD8446" w:rsidP="012EEF54">
      <w:pPr>
        <w:spacing w:line="360" w:lineRule="auto"/>
        <w:rPr>
          <w:rFonts w:ascii="Arial" w:eastAsia="Arial" w:hAnsi="Arial" w:cs="Arial"/>
          <w:b/>
          <w:bCs/>
          <w:i/>
          <w:iCs/>
        </w:rPr>
      </w:pPr>
      <w:r w:rsidRPr="012EEF54">
        <w:rPr>
          <w:rFonts w:ascii="Arial" w:eastAsia="Arial" w:hAnsi="Arial" w:cs="Arial"/>
          <w:b/>
          <w:bCs/>
          <w:i/>
          <w:iCs/>
        </w:rPr>
        <w:t>The Ageing Population</w:t>
      </w:r>
    </w:p>
    <w:p w14:paraId="357433C5" w14:textId="32448185" w:rsidR="28CC3857" w:rsidRDefault="28CC3857" w:rsidP="6E8A6523">
      <w:pPr>
        <w:spacing w:line="360" w:lineRule="auto"/>
        <w:rPr>
          <w:rFonts w:ascii="Arial" w:eastAsia="Arial" w:hAnsi="Arial" w:cs="Arial"/>
        </w:rPr>
      </w:pPr>
      <w:r w:rsidRPr="6E8A6523">
        <w:rPr>
          <w:rFonts w:ascii="Arial" w:eastAsia="Arial" w:hAnsi="Arial" w:cs="Arial"/>
        </w:rPr>
        <w:t>Advances in health care have enabled individuals in England to live longer lives than previously. As a result, the number of older people in England is increasing rapidly, and this trend is expected to accelerate over the next 20 years. More than one-fifth of us are now over the age of 60, and the number of individuals over 60 is predicted to rise from 14.9 million in 2014 to 18.5 million in 2025 (ONS, 2015). We tend to develop long-term diseases as we become older, necessitating more health and social care. In the UK, 75% of 75-year-olds have more than one long-term ailment, rising to 82% of 85-year-olds (Barnett et al, 2012). If the ageing population is not accompanied by health improvements, the demand for state finances will be much higher, as a smaller working-age population supports increased spending on health, social care, and pensions (Parliament UK, 2015).</w:t>
      </w:r>
    </w:p>
    <w:p w14:paraId="05D5C8D8" w14:textId="5E24D118" w:rsidR="4EDEEB7C" w:rsidRPr="007A759A" w:rsidRDefault="4D021EA6" w:rsidP="6E8A6523">
      <w:pPr>
        <w:spacing w:line="360" w:lineRule="auto"/>
        <w:rPr>
          <w:rFonts w:ascii="Arial" w:eastAsia="Arial" w:hAnsi="Arial" w:cs="Arial"/>
        </w:rPr>
      </w:pPr>
      <w:r w:rsidRPr="6E8A6523">
        <w:rPr>
          <w:rFonts w:ascii="Arial" w:eastAsia="Arial" w:hAnsi="Arial" w:cs="Arial"/>
        </w:rPr>
        <w:t xml:space="preserve">The most obvious advantage of an ageing population is that more people will live to be old. We should be grateful for the fact that we are living longer lives. People now have more time to spend with friends and family, as well as to enjoy life, thanks to increased life expectancy. Seniors make significant contributions to society, most notably by continuing to work, providing informal care for grandchildren and other relatives, and volunteering (Raymond et al., 2021). However, as people age, they are more likely to develop health issues and become frail. One of </w:t>
      </w:r>
      <w:r w:rsidRPr="6E8A6523">
        <w:rPr>
          <w:rFonts w:ascii="Arial" w:eastAsia="Arial" w:hAnsi="Arial" w:cs="Arial"/>
        </w:rPr>
        <w:lastRenderedPageBreak/>
        <w:t>its most significant disadvantages of an ageing population is an increase in pension and health-care costs. A rise in the number of older people in the general population expresses concern about how to adequately fund them.</w:t>
      </w:r>
    </w:p>
    <w:p w14:paraId="335D4522" w14:textId="5A67DA84" w:rsidR="4EDEEB7C" w:rsidRPr="007A759A" w:rsidRDefault="4EDEEB7C" w:rsidP="6E8A6523">
      <w:pPr>
        <w:spacing w:line="360" w:lineRule="auto"/>
        <w:rPr>
          <w:rFonts w:ascii="Arial" w:eastAsia="Arial" w:hAnsi="Arial" w:cs="Arial"/>
          <w:b/>
          <w:bCs/>
          <w:i/>
          <w:iCs/>
        </w:rPr>
      </w:pPr>
    </w:p>
    <w:p w14:paraId="58549AA2" w14:textId="045B4EBC" w:rsidR="012EEF54" w:rsidRDefault="012EEF54" w:rsidP="012EEF54">
      <w:pPr>
        <w:spacing w:line="360" w:lineRule="auto"/>
        <w:rPr>
          <w:rFonts w:ascii="Arial" w:eastAsia="Arial" w:hAnsi="Arial" w:cs="Arial"/>
          <w:b/>
          <w:bCs/>
          <w:i/>
          <w:iCs/>
        </w:rPr>
      </w:pPr>
    </w:p>
    <w:p w14:paraId="4008F4E0" w14:textId="690CD6CE" w:rsidR="012EEF54" w:rsidRDefault="012EEF54" w:rsidP="012EEF54">
      <w:pPr>
        <w:spacing w:line="360" w:lineRule="auto"/>
        <w:rPr>
          <w:rFonts w:ascii="Arial" w:eastAsia="Arial" w:hAnsi="Arial" w:cs="Arial"/>
          <w:b/>
          <w:bCs/>
          <w:i/>
          <w:iCs/>
        </w:rPr>
      </w:pPr>
    </w:p>
    <w:p w14:paraId="4F74C5DD" w14:textId="606A03CD" w:rsidR="012EEF54" w:rsidRDefault="012EEF54" w:rsidP="012EEF54">
      <w:pPr>
        <w:spacing w:line="360" w:lineRule="auto"/>
        <w:rPr>
          <w:rFonts w:ascii="Arial" w:eastAsia="Arial" w:hAnsi="Arial" w:cs="Arial"/>
          <w:b/>
          <w:bCs/>
          <w:i/>
          <w:iCs/>
        </w:rPr>
      </w:pPr>
    </w:p>
    <w:p w14:paraId="283AA3A0" w14:textId="172F8EBE" w:rsidR="4EDEEB7C" w:rsidRPr="007A759A" w:rsidRDefault="4EDEEB7C" w:rsidP="6E8A6523">
      <w:pPr>
        <w:spacing w:line="360" w:lineRule="auto"/>
        <w:rPr>
          <w:rFonts w:ascii="Arial" w:eastAsia="Arial" w:hAnsi="Arial" w:cs="Arial"/>
          <w:b/>
          <w:bCs/>
          <w:i/>
          <w:iCs/>
        </w:rPr>
      </w:pPr>
      <w:r w:rsidRPr="6E8A6523">
        <w:rPr>
          <w:rFonts w:ascii="Arial" w:eastAsia="Arial" w:hAnsi="Arial" w:cs="Arial"/>
          <w:b/>
          <w:bCs/>
          <w:i/>
          <w:iCs/>
        </w:rPr>
        <w:t>Effects of the COVID-19 Pandemic</w:t>
      </w:r>
    </w:p>
    <w:p w14:paraId="50662B6F" w14:textId="7DC2B536" w:rsidR="4EDEEB7C" w:rsidRPr="007A759A" w:rsidRDefault="4EDEEB7C" w:rsidP="6E8A6523">
      <w:pPr>
        <w:spacing w:line="360" w:lineRule="auto"/>
        <w:rPr>
          <w:rFonts w:ascii="Arial" w:eastAsia="Arial" w:hAnsi="Arial" w:cs="Arial"/>
        </w:rPr>
      </w:pPr>
      <w:r w:rsidRPr="6E8A6523">
        <w:rPr>
          <w:rFonts w:ascii="Arial" w:eastAsia="Arial" w:hAnsi="Arial" w:cs="Arial"/>
        </w:rPr>
        <w:t xml:space="preserve">COVID-19 has significantly impacted older people, whether in the hospital, in the community, or in nursing homes. Adults aged 60 and over account for more than 95 percent of fatalities in Europe (WHO Europe, 2020). The pandemic's impact on the older population has been critical, resulting in de-conditioning and muscle weakness, anxiety due to the serious threat of the virus, a diminished sense of balance, which increases the likelihood of falls, emerging mental impairment, depression and low moods, sense of hopelessness, deteriorating physical health and increased pain associated with untreated conditions, a lack of support for meal preparations, and effected appetites and nutrition (Age </w:t>
      </w:r>
      <w:proofErr w:type="spellStart"/>
      <w:r w:rsidRPr="6E8A6523">
        <w:rPr>
          <w:rFonts w:ascii="Arial" w:eastAsia="Arial" w:hAnsi="Arial" w:cs="Arial"/>
        </w:rPr>
        <w:t>Uk</w:t>
      </w:r>
      <w:proofErr w:type="spellEnd"/>
      <w:r w:rsidRPr="6E8A6523">
        <w:rPr>
          <w:rFonts w:ascii="Arial" w:eastAsia="Arial" w:hAnsi="Arial" w:cs="Arial"/>
        </w:rPr>
        <w:t>, 2020).</w:t>
      </w:r>
    </w:p>
    <w:p w14:paraId="45BB7A4D" w14:textId="3F89BFD1" w:rsidR="6E8A6523" w:rsidRDefault="6E8A6523" w:rsidP="6E8A6523">
      <w:pPr>
        <w:spacing w:line="360" w:lineRule="auto"/>
        <w:rPr>
          <w:rFonts w:ascii="Arial" w:eastAsia="Arial" w:hAnsi="Arial" w:cs="Arial"/>
        </w:rPr>
      </w:pPr>
      <w:r w:rsidRPr="6E8A6523">
        <w:rPr>
          <w:rFonts w:ascii="Arial" w:eastAsia="Arial" w:hAnsi="Arial" w:cs="Arial"/>
        </w:rPr>
        <w:t xml:space="preserve">During periods of significant community transmission of the coronavirus disease 2019, breakdowns in routine and non-emergency medical care access and delivery were discovered. However, delaying or avoiding medical care could increase the morbidity and mortality dangers related with treatable and avoidable health conditions, which may contribute to reported deaths directly or indirectly related to the disease </w:t>
      </w:r>
      <w:r w:rsidRPr="6E8A6523">
        <w:rPr>
          <w:rFonts w:ascii="Arial" w:eastAsia="Arial" w:hAnsi="Arial" w:cs="Arial"/>
          <w:color w:val="000000" w:themeColor="text1"/>
        </w:rPr>
        <w:t>(</w:t>
      </w:r>
      <w:proofErr w:type="spellStart"/>
      <w:r w:rsidRPr="6E8A6523">
        <w:rPr>
          <w:rFonts w:ascii="Arial" w:eastAsia="Arial" w:hAnsi="Arial" w:cs="Arial"/>
          <w:color w:val="000000" w:themeColor="text1"/>
        </w:rPr>
        <w:t>Czeisler</w:t>
      </w:r>
      <w:proofErr w:type="spellEnd"/>
      <w:r w:rsidRPr="6E8A6523">
        <w:rPr>
          <w:rFonts w:ascii="Arial" w:eastAsia="Arial" w:hAnsi="Arial" w:cs="Arial"/>
          <w:color w:val="000000" w:themeColor="text1"/>
        </w:rPr>
        <w:t xml:space="preserve">, </w:t>
      </w:r>
      <w:proofErr w:type="spellStart"/>
      <w:r w:rsidRPr="6E8A6523">
        <w:rPr>
          <w:rFonts w:ascii="Arial" w:eastAsia="Arial" w:hAnsi="Arial" w:cs="Arial"/>
          <w:color w:val="000000" w:themeColor="text1"/>
        </w:rPr>
        <w:t>Marynak</w:t>
      </w:r>
      <w:proofErr w:type="spellEnd"/>
      <w:r w:rsidRPr="6E8A6523">
        <w:rPr>
          <w:rFonts w:ascii="Arial" w:eastAsia="Arial" w:hAnsi="Arial" w:cs="Arial"/>
          <w:color w:val="000000" w:themeColor="text1"/>
        </w:rPr>
        <w:t xml:space="preserve"> and Clarke et al., 2020)</w:t>
      </w:r>
      <w:r w:rsidRPr="6E8A6523">
        <w:rPr>
          <w:rFonts w:ascii="Arial" w:eastAsia="Arial" w:hAnsi="Arial" w:cs="Arial"/>
        </w:rPr>
        <w:t>. In the early phases of the pandemic, non-COVID-19 hospital care was postponed or discontinued to free up capacity and reduce the possibility of critical care being overrun by patients infected with the virus. Other services, including primary care, were reconfigured to protect employees and patients from infection, resulting in a severe interruption in the regular flow of patients through the health care system and thousands of individuals waiting for hospital treatment, some of whom will have worsened (</w:t>
      </w:r>
      <w:proofErr w:type="spellStart"/>
      <w:r w:rsidRPr="6E8A6523">
        <w:rPr>
          <w:rFonts w:ascii="Arial" w:eastAsia="Arial" w:hAnsi="Arial" w:cs="Arial"/>
        </w:rPr>
        <w:t>Thorlby</w:t>
      </w:r>
      <w:proofErr w:type="spellEnd"/>
      <w:r w:rsidRPr="6E8A6523">
        <w:rPr>
          <w:rFonts w:ascii="Arial" w:eastAsia="Arial" w:hAnsi="Arial" w:cs="Arial"/>
        </w:rPr>
        <w:t>, Fraser and Gardner, 2020).</w:t>
      </w:r>
    </w:p>
    <w:p w14:paraId="3656AEF8" w14:textId="2D8554A6" w:rsidR="4EDEEB7C" w:rsidRPr="007A759A" w:rsidRDefault="4CFD8446" w:rsidP="012EEF54">
      <w:pPr>
        <w:spacing w:line="360" w:lineRule="auto"/>
        <w:rPr>
          <w:rFonts w:ascii="Arial" w:eastAsia="Arial" w:hAnsi="Arial" w:cs="Arial"/>
        </w:rPr>
      </w:pPr>
      <w:r w:rsidRPr="012EEF54">
        <w:rPr>
          <w:rFonts w:ascii="Arial" w:eastAsia="Arial" w:hAnsi="Arial" w:cs="Arial"/>
        </w:rPr>
        <w:t xml:space="preserve">Whilst persons of all ages are at risk of getting COVID-19, older people are at a higher risk of contracting serious illness due to physiological changes associated with ageing and probable underlying health issues. The pandemic has a rapid and devastating lengthy impact on social support service utilization for older persons and people with dementia, which has shown a </w:t>
      </w:r>
      <w:r w:rsidRPr="012EEF54">
        <w:rPr>
          <w:rFonts w:ascii="Arial" w:eastAsia="Arial" w:hAnsi="Arial" w:cs="Arial"/>
        </w:rPr>
        <w:lastRenderedPageBreak/>
        <w:t>modest rise in utilization, particularly during the first few months of the nationwide lockdown. Some agencies have offered remote help, but not everyone has been able to use them, exposing many individuals with hardly any assistance (</w:t>
      </w:r>
      <w:proofErr w:type="spellStart"/>
      <w:r w:rsidRPr="012EEF54">
        <w:rPr>
          <w:rFonts w:ascii="Arial" w:eastAsia="Arial" w:hAnsi="Arial" w:cs="Arial"/>
        </w:rPr>
        <w:t>Giebel</w:t>
      </w:r>
      <w:proofErr w:type="spellEnd"/>
      <w:r w:rsidRPr="012EEF54">
        <w:rPr>
          <w:rFonts w:ascii="Arial" w:eastAsia="Arial" w:hAnsi="Arial" w:cs="Arial"/>
        </w:rPr>
        <w:t xml:space="preserve"> et al., 2021).</w:t>
      </w:r>
    </w:p>
    <w:p w14:paraId="66578C88" w14:textId="5776B27F" w:rsidR="4EDEEB7C" w:rsidRPr="007A759A" w:rsidRDefault="70F76969" w:rsidP="6E8A6523">
      <w:pPr>
        <w:spacing w:line="360" w:lineRule="auto"/>
        <w:rPr>
          <w:rFonts w:ascii="Arial" w:eastAsia="Arial" w:hAnsi="Arial" w:cs="Arial"/>
        </w:rPr>
      </w:pPr>
      <w:r w:rsidRPr="012EEF54">
        <w:rPr>
          <w:rFonts w:ascii="Arial" w:eastAsia="Arial" w:hAnsi="Arial" w:cs="Arial"/>
        </w:rPr>
        <w:t>The use of technology to preserve social relationships became the most important strategy throughout the epidemic. The elderly is thought to be the most physiologically vulnerable cohort to contracting COVID-19, and they are at risk of additional mental health difficulties because of the social isolation imposed by viruses control measures. Many devices have been developed to help minimize the mental health impacts of the pandemic's social separation. Technology is being adopted by an increasing proportion of the elderly population, and technology-facilitated social connection programs have a strong research foundation for enhancing the mental and physical health of older persons (</w:t>
      </w:r>
      <w:proofErr w:type="spellStart"/>
      <w:r w:rsidRPr="012EEF54">
        <w:rPr>
          <w:rFonts w:ascii="Arial" w:eastAsia="Arial" w:hAnsi="Arial" w:cs="Arial"/>
        </w:rPr>
        <w:t>Haase</w:t>
      </w:r>
      <w:proofErr w:type="spellEnd"/>
      <w:r w:rsidRPr="012EEF54">
        <w:rPr>
          <w:rFonts w:ascii="Arial" w:eastAsia="Arial" w:hAnsi="Arial" w:cs="Arial"/>
        </w:rPr>
        <w:t xml:space="preserve"> et al., 2021).</w:t>
      </w:r>
    </w:p>
    <w:p w14:paraId="04A70541" w14:textId="2E67D765" w:rsidR="012EEF54" w:rsidRDefault="012EEF54" w:rsidP="012EEF54">
      <w:pPr>
        <w:spacing w:line="360" w:lineRule="auto"/>
        <w:rPr>
          <w:rFonts w:ascii="Arial" w:eastAsia="Arial" w:hAnsi="Arial" w:cs="Arial"/>
        </w:rPr>
      </w:pPr>
    </w:p>
    <w:p w14:paraId="549277EA" w14:textId="47559E15" w:rsidR="012EEF54" w:rsidRDefault="012EEF54" w:rsidP="012EEF54">
      <w:pPr>
        <w:spacing w:line="360" w:lineRule="auto"/>
        <w:rPr>
          <w:rFonts w:ascii="Arial" w:eastAsia="Arial" w:hAnsi="Arial" w:cs="Arial"/>
        </w:rPr>
      </w:pPr>
    </w:p>
    <w:p w14:paraId="68265979" w14:textId="2AF58098" w:rsidR="012EEF54" w:rsidRDefault="012EEF54" w:rsidP="012EEF54">
      <w:pPr>
        <w:spacing w:line="360" w:lineRule="auto"/>
        <w:rPr>
          <w:rFonts w:ascii="Arial" w:eastAsia="Arial" w:hAnsi="Arial" w:cs="Arial"/>
        </w:rPr>
      </w:pPr>
    </w:p>
    <w:p w14:paraId="38ED104B" w14:textId="622458AB" w:rsidR="52FA9A59" w:rsidRDefault="52FA9A59" w:rsidP="6E8A6523">
      <w:pPr>
        <w:spacing w:line="360" w:lineRule="auto"/>
        <w:rPr>
          <w:rFonts w:ascii="Arial" w:eastAsia="Arial" w:hAnsi="Arial" w:cs="Arial"/>
        </w:rPr>
      </w:pPr>
      <w:r w:rsidRPr="6E8A6523">
        <w:rPr>
          <w:rFonts w:ascii="Arial" w:eastAsia="Arial" w:hAnsi="Arial" w:cs="Arial"/>
        </w:rPr>
        <w:t>While digital technology is a valuable invention, we also need measures to empower older people to be active users of technology rather than passive consumers. More consistent and conscientious efforts are required to assist older people with digital technology and make their lives easier for socializing now and in the future. Government organizations, businesses, and banks must be aware of the issue of older people's digital inclusion and must work together to assist older people in navigating the specific digital challenges they may face in the future (Centre for Ageing Better, 2021).</w:t>
      </w:r>
    </w:p>
    <w:p w14:paraId="0BDF659F" w14:textId="7ED0A1EC" w:rsidR="4EDEEB7C" w:rsidRPr="007A759A" w:rsidRDefault="4CFD8446" w:rsidP="012EEF54">
      <w:pPr>
        <w:spacing w:line="360" w:lineRule="auto"/>
        <w:rPr>
          <w:rFonts w:ascii="Arial" w:eastAsia="Arial" w:hAnsi="Arial" w:cs="Arial"/>
        </w:rPr>
      </w:pPr>
      <w:r w:rsidRPr="012EEF54">
        <w:rPr>
          <w:rFonts w:ascii="Arial" w:eastAsia="Arial" w:hAnsi="Arial" w:cs="Arial"/>
        </w:rPr>
        <w:t>The senior population was one of the primary groups struck the most by the COVID-19 pandemic, with figures showing that nine out of ten COVID-19 deaths in England and Wales occurred among those over the age of 65 (WHO, 2020). More than one-quarter of these deaths were dementia patients, and two-fifths were in a nursing home at the time. Initial pandemic study found that people who were the most solitary before the pandemic in the UK now had even greater degrees of loneliness. This rise began with the implementation of physical distance, isolating, and lockdown precautions.</w:t>
      </w:r>
    </w:p>
    <w:p w14:paraId="4124FB6B" w14:textId="56EEEEF5" w:rsidR="52FA9A59" w:rsidRDefault="70F76969" w:rsidP="6E8A6523">
      <w:pPr>
        <w:spacing w:line="360" w:lineRule="auto"/>
        <w:rPr>
          <w:rFonts w:ascii="Arial" w:eastAsia="Arial" w:hAnsi="Arial" w:cs="Arial"/>
        </w:rPr>
      </w:pPr>
      <w:r w:rsidRPr="012EEF54">
        <w:rPr>
          <w:rFonts w:ascii="Arial" w:eastAsia="Arial" w:hAnsi="Arial" w:cs="Arial"/>
        </w:rPr>
        <w:t xml:space="preserve">The COVID-19 epidemic will have long-term and severe consequences for the health and well-being of the elderly. Social isolation and loneliness are predicted to be among the most severely impacted health impacts (Wu, 2020). Social isolation and loneliness are significant risk factors </w:t>
      </w:r>
      <w:r w:rsidRPr="012EEF54">
        <w:rPr>
          <w:rFonts w:ascii="Arial" w:eastAsia="Arial" w:hAnsi="Arial" w:cs="Arial"/>
        </w:rPr>
        <w:lastRenderedPageBreak/>
        <w:t xml:space="preserve">for poor physical and mental health. Social isolation may be especially hazardous to family caregivers in the setting of the pandemic since the majority are older people who are already vulnerable to stress, anxiety, and depression. While some elderly individuals used the months of lockdown to get more exercise and improve their fitness, research indicates that many have seen their health decline because of isolation and diminished opportunities to socialize and be physically active. Clubs, events, and volunteering in which older people were formerly participated had been suspended, while friends and relatives were told to stay away, leaving many older people feeling lonely and alienated (Age </w:t>
      </w:r>
      <w:proofErr w:type="spellStart"/>
      <w:r w:rsidRPr="012EEF54">
        <w:rPr>
          <w:rFonts w:ascii="Arial" w:eastAsia="Arial" w:hAnsi="Arial" w:cs="Arial"/>
        </w:rPr>
        <w:t>Uk</w:t>
      </w:r>
      <w:proofErr w:type="spellEnd"/>
      <w:r w:rsidRPr="012EEF54">
        <w:rPr>
          <w:rFonts w:ascii="Arial" w:eastAsia="Arial" w:hAnsi="Arial" w:cs="Arial"/>
        </w:rPr>
        <w:t xml:space="preserve">, 2020). While many individuals shifted their lives online, four million people over the age of 65 have never used the internet and so cannot video chat with friends or family (Age </w:t>
      </w:r>
      <w:proofErr w:type="spellStart"/>
      <w:r w:rsidRPr="012EEF54">
        <w:rPr>
          <w:rFonts w:ascii="Arial" w:eastAsia="Arial" w:hAnsi="Arial" w:cs="Arial"/>
        </w:rPr>
        <w:t>Uk</w:t>
      </w:r>
      <w:proofErr w:type="spellEnd"/>
      <w:r w:rsidRPr="012EEF54">
        <w:rPr>
          <w:rFonts w:ascii="Arial" w:eastAsia="Arial" w:hAnsi="Arial" w:cs="Arial"/>
        </w:rPr>
        <w:t>, 2018).</w:t>
      </w:r>
    </w:p>
    <w:p w14:paraId="49E253DD" w14:textId="7282B23D" w:rsidR="012EEF54" w:rsidRDefault="012EEF54">
      <w:r>
        <w:br w:type="page"/>
      </w:r>
    </w:p>
    <w:p w14:paraId="4C91FDB7" w14:textId="6B3EA9D0" w:rsidR="012EEF54" w:rsidRDefault="012EEF54" w:rsidP="012EEF54">
      <w:pPr>
        <w:spacing w:line="360" w:lineRule="auto"/>
        <w:rPr>
          <w:rFonts w:ascii="Arial" w:eastAsia="Arial" w:hAnsi="Arial" w:cs="Arial"/>
        </w:rPr>
      </w:pPr>
    </w:p>
    <w:p w14:paraId="54C9EC29" w14:textId="2999AA7B" w:rsidR="4EDEEB7C" w:rsidRPr="007A759A" w:rsidRDefault="4CFD8446" w:rsidP="012EEF54">
      <w:pPr>
        <w:spacing w:line="360" w:lineRule="auto"/>
        <w:rPr>
          <w:rFonts w:ascii="Arial" w:eastAsia="Arial" w:hAnsi="Arial" w:cs="Arial"/>
        </w:rPr>
      </w:pPr>
      <w:r w:rsidRPr="012EEF54">
        <w:rPr>
          <w:rFonts w:ascii="Arial" w:eastAsia="Arial" w:hAnsi="Arial" w:cs="Arial"/>
        </w:rPr>
        <w:t xml:space="preserve">Research suggests that older Black, Asian, and minority ethnic persons have been adversely targeted by the virus and are more likely to have had the most severe COVID-19 outcomes. Growing evidence indicates that BAME persons are more prone to contract COVID-19 because of their housing and familial conditions. BAME seniors are more likely than white seniors to have family members in key worker jobs where they are more likely to come into touch with people who have COVID 19 (ONS, 2020). They are also more likely to live in intergenerational families, where there is a higher risk of virus infection. Below 2% of white persons aged 70 and above live in inter families, however data from the Black, Asian, and minority ethnic communities reveal that 56% of Bangladeshis, 35% of Pakistanis, 13% of Indians, 11% of Black Africans, and 6% of Black </w:t>
      </w:r>
      <w:proofErr w:type="spellStart"/>
      <w:r w:rsidRPr="012EEF54">
        <w:rPr>
          <w:rFonts w:ascii="Arial" w:eastAsia="Arial" w:hAnsi="Arial" w:cs="Arial"/>
        </w:rPr>
        <w:t>Caribbeans</w:t>
      </w:r>
      <w:proofErr w:type="spellEnd"/>
      <w:r w:rsidRPr="012EEF54">
        <w:rPr>
          <w:rFonts w:ascii="Arial" w:eastAsia="Arial" w:hAnsi="Arial" w:cs="Arial"/>
        </w:rPr>
        <w:t xml:space="preserve"> do (Age </w:t>
      </w:r>
      <w:proofErr w:type="spellStart"/>
      <w:r w:rsidRPr="012EEF54">
        <w:rPr>
          <w:rFonts w:ascii="Arial" w:eastAsia="Arial" w:hAnsi="Arial" w:cs="Arial"/>
        </w:rPr>
        <w:t>Uk</w:t>
      </w:r>
      <w:proofErr w:type="spellEnd"/>
      <w:r w:rsidRPr="012EEF54">
        <w:rPr>
          <w:rFonts w:ascii="Arial" w:eastAsia="Arial" w:hAnsi="Arial" w:cs="Arial"/>
        </w:rPr>
        <w:t>, 2021).</w:t>
      </w:r>
    </w:p>
    <w:p w14:paraId="10AFACAC" w14:textId="2CEDCED2" w:rsidR="4EDEEB7C" w:rsidRPr="007A759A" w:rsidRDefault="4EDEEB7C" w:rsidP="6E8A6523">
      <w:pPr>
        <w:spacing w:line="360" w:lineRule="auto"/>
        <w:rPr>
          <w:rFonts w:ascii="Arial" w:eastAsia="Arial" w:hAnsi="Arial" w:cs="Arial"/>
        </w:rPr>
      </w:pPr>
    </w:p>
    <w:p w14:paraId="64863DDB" w14:textId="03BE83BD" w:rsidR="4EDEEB7C" w:rsidRPr="007A759A" w:rsidRDefault="4EDEEB7C" w:rsidP="6E8A6523">
      <w:pPr>
        <w:spacing w:line="360" w:lineRule="auto"/>
        <w:rPr>
          <w:rFonts w:ascii="Arial" w:eastAsia="Arial" w:hAnsi="Arial" w:cs="Arial"/>
          <w:b/>
          <w:bCs/>
          <w:i/>
          <w:iCs/>
        </w:rPr>
      </w:pPr>
      <w:r w:rsidRPr="6E8A6523">
        <w:rPr>
          <w:rFonts w:ascii="Arial" w:eastAsia="Arial" w:hAnsi="Arial" w:cs="Arial"/>
          <w:b/>
          <w:bCs/>
          <w:i/>
          <w:iCs/>
        </w:rPr>
        <w:t>Policy and Initiatives</w:t>
      </w:r>
    </w:p>
    <w:p w14:paraId="340C1AE6" w14:textId="36C30BBA" w:rsidR="4EDEEB7C" w:rsidRPr="007A759A" w:rsidRDefault="4EDEEB7C" w:rsidP="6E8A6523">
      <w:pPr>
        <w:spacing w:line="360" w:lineRule="auto"/>
        <w:rPr>
          <w:rFonts w:ascii="Arial" w:eastAsia="Arial" w:hAnsi="Arial" w:cs="Arial"/>
        </w:rPr>
      </w:pPr>
      <w:r w:rsidRPr="6E8A6523">
        <w:rPr>
          <w:rFonts w:ascii="Arial" w:eastAsia="Arial" w:hAnsi="Arial" w:cs="Arial"/>
        </w:rPr>
        <w:t xml:space="preserve">Aid for the elderly, their families, and </w:t>
      </w:r>
      <w:proofErr w:type="spellStart"/>
      <w:r w:rsidRPr="6E8A6523">
        <w:rPr>
          <w:rFonts w:ascii="Arial" w:eastAsia="Arial" w:hAnsi="Arial" w:cs="Arial"/>
        </w:rPr>
        <w:t>carers</w:t>
      </w:r>
      <w:proofErr w:type="spellEnd"/>
      <w:r w:rsidRPr="6E8A6523">
        <w:rPr>
          <w:rFonts w:ascii="Arial" w:eastAsia="Arial" w:hAnsi="Arial" w:cs="Arial"/>
        </w:rPr>
        <w:t xml:space="preserve"> is a critical component of the UK's complete pandemic response. During periods of seclusion and quarantine, older people require secure access to healthy food, basic supplies, money, and medicine to sustain their physical and social well-being. Precise data distribution is crucial to ensure that older people receive clear information and services on how to keep physically and psychologically well throughout the pandemic and what to do if they become ill (Euro.Who.int,2020).</w:t>
      </w:r>
    </w:p>
    <w:p w14:paraId="4AE90F1B" w14:textId="6EAC70EF" w:rsidR="6E8A6523" w:rsidRDefault="6E8A6523" w:rsidP="6E8A6523">
      <w:pPr>
        <w:spacing w:line="360" w:lineRule="auto"/>
        <w:rPr>
          <w:rFonts w:ascii="Arial" w:eastAsia="Arial" w:hAnsi="Arial" w:cs="Arial"/>
        </w:rPr>
      </w:pPr>
      <w:r w:rsidRPr="6E8A6523">
        <w:rPr>
          <w:rFonts w:ascii="Arial" w:eastAsia="Arial" w:hAnsi="Arial" w:cs="Arial"/>
        </w:rPr>
        <w:t xml:space="preserve">During the coronavirus pandemic and time of social isolation, the government started a massive campaign to combat loneliness. On December 23, 2020, a £7.5 million financing package to combat winter loneliness was announced; this sum was later increased by £2 million to allow </w:t>
      </w:r>
      <w:proofErr w:type="spellStart"/>
      <w:r w:rsidRPr="6E8A6523">
        <w:rPr>
          <w:rFonts w:ascii="Arial" w:eastAsia="Arial" w:hAnsi="Arial" w:cs="Arial"/>
        </w:rPr>
        <w:t>programmes</w:t>
      </w:r>
      <w:proofErr w:type="spellEnd"/>
      <w:r w:rsidRPr="6E8A6523">
        <w:rPr>
          <w:rFonts w:ascii="Arial" w:eastAsia="Arial" w:hAnsi="Arial" w:cs="Arial"/>
        </w:rPr>
        <w:t xml:space="preserve"> to continue operating throughout the winter (Gov.Uk,2020). The concept intended to guarantee that being at home does not have to lead to loneliness for people of all ages and backgrounds. As part of this strategy, national organizations working to combat loneliness and foster social connections were encouraged to apply for a share of £5 million in funding, which the government spent to assist them in continuing and adapting their essential work.</w:t>
      </w:r>
    </w:p>
    <w:p w14:paraId="36478317" w14:textId="73251A28" w:rsidR="4EDEEB7C" w:rsidRPr="007A759A" w:rsidRDefault="4EDEEB7C" w:rsidP="6E8A6523">
      <w:pPr>
        <w:spacing w:line="360" w:lineRule="auto"/>
        <w:rPr>
          <w:rFonts w:ascii="Arial" w:eastAsia="Arial" w:hAnsi="Arial" w:cs="Arial"/>
        </w:rPr>
      </w:pPr>
      <w:r w:rsidRPr="6E8A6523">
        <w:rPr>
          <w:rFonts w:ascii="Arial" w:eastAsia="Arial" w:hAnsi="Arial" w:cs="Arial"/>
        </w:rPr>
        <w:t xml:space="preserve">The UK government's primary objective for adult social care is to ensure that everyone who requires assistance receives it throughout the COVID-19 epidemic (Gov.Uk, 2020). Adult social care, which is supported by the Care Act, assists a wide range of individuals, including the aged, the disabled, those with long-term diseases, and those in need of assistance to retain </w:t>
      </w:r>
      <w:r w:rsidRPr="6E8A6523">
        <w:rPr>
          <w:rFonts w:ascii="Arial" w:eastAsia="Arial" w:hAnsi="Arial" w:cs="Arial"/>
        </w:rPr>
        <w:lastRenderedPageBreak/>
        <w:t>good mental health. In such challenging circumstances, the adult social care system is one of the most essential methods to help individuals stay healthy, autonomous, and connected to their family and communities.</w:t>
      </w:r>
    </w:p>
    <w:p w14:paraId="5A9A32B5" w14:textId="5701E4D0" w:rsidR="4EDEEB7C" w:rsidRPr="007A759A" w:rsidRDefault="4EDEEB7C" w:rsidP="6E8A6523">
      <w:pPr>
        <w:spacing w:line="360" w:lineRule="auto"/>
        <w:rPr>
          <w:rFonts w:ascii="Arial" w:eastAsia="Arial" w:hAnsi="Arial" w:cs="Arial"/>
        </w:rPr>
      </w:pPr>
      <w:r w:rsidRPr="6E8A6523">
        <w:rPr>
          <w:rFonts w:ascii="Arial" w:eastAsia="Arial" w:hAnsi="Arial" w:cs="Arial"/>
        </w:rPr>
        <w:t>The government's action plan is divided into four framework facilitates: infection control, workforce assistance, independence support, persons nearing the end of their life, as well as responding to their specific requirements, and support for local governments and providers of care. The action plan establishes a strategy for providing adult social care in all locations and situations, including people's own homes, nursing facilities, and other community settings. It refers to those people who receive government payments and personal budgets, as well as those who pay for their own care (Gov.Uk,2020). The action plan also helped to strengthen responsive solutions for those who rely on innovation care and monitoring.</w:t>
      </w:r>
    </w:p>
    <w:p w14:paraId="41A5301E" w14:textId="1B54B262" w:rsidR="4EDEEB7C" w:rsidRPr="007A759A" w:rsidRDefault="4CFD8446" w:rsidP="6E8A6523">
      <w:pPr>
        <w:spacing w:line="360" w:lineRule="auto"/>
        <w:rPr>
          <w:rFonts w:ascii="Arial" w:eastAsia="Arial" w:hAnsi="Arial" w:cs="Arial"/>
        </w:rPr>
      </w:pPr>
      <w:r w:rsidRPr="012EEF54">
        <w:rPr>
          <w:rFonts w:ascii="Arial" w:eastAsia="Arial" w:hAnsi="Arial" w:cs="Arial"/>
        </w:rPr>
        <w:t xml:space="preserve">Local authorities have responsibility under the Care Act 2014 to design local care provision and ensure services remain viable and standard of care is maintained (Legislation. </w:t>
      </w:r>
      <w:proofErr w:type="spellStart"/>
      <w:r w:rsidRPr="012EEF54">
        <w:rPr>
          <w:rFonts w:ascii="Arial" w:eastAsia="Arial" w:hAnsi="Arial" w:cs="Arial"/>
        </w:rPr>
        <w:t>Gov</w:t>
      </w:r>
      <w:proofErr w:type="spellEnd"/>
      <w:r w:rsidRPr="012EEF54">
        <w:rPr>
          <w:rFonts w:ascii="Arial" w:eastAsia="Arial" w:hAnsi="Arial" w:cs="Arial"/>
        </w:rPr>
        <w:t xml:space="preserve">, 2014). The COVID-19 epidemic presents a clear threat to older people's equitable human rights and fundamental freedoms. Elders have the same rights as everyone else, and they must be similarly safeguarded during the epidemic. </w:t>
      </w:r>
      <w:r w:rsidR="64A625E1" w:rsidRPr="012EEF54">
        <w:rPr>
          <w:rFonts w:ascii="Arial" w:eastAsia="Arial" w:hAnsi="Arial" w:cs="Arial"/>
        </w:rPr>
        <w:t>Additional national policies in effect include the Human Rights Act of 1998, the Equality Act of 2010, and both national and regional NHS policies, as well as other non-specific safeguarding measures.</w:t>
      </w:r>
    </w:p>
    <w:p w14:paraId="75F85016" w14:textId="35B7F29D" w:rsidR="012EEF54" w:rsidRDefault="012EEF54">
      <w:r>
        <w:br w:type="page"/>
      </w:r>
    </w:p>
    <w:p w14:paraId="69599E96" w14:textId="76724CF6" w:rsidR="4EDEEB7C" w:rsidRPr="007A759A" w:rsidRDefault="2DA422AD" w:rsidP="012EEF54">
      <w:pPr>
        <w:spacing w:line="360" w:lineRule="auto"/>
        <w:rPr>
          <w:rFonts w:ascii="Arial" w:eastAsia="Arial" w:hAnsi="Arial" w:cs="Arial"/>
          <w:b/>
          <w:bCs/>
          <w:i/>
          <w:iCs/>
        </w:rPr>
      </w:pPr>
      <w:r w:rsidRPr="012EEF54">
        <w:rPr>
          <w:rFonts w:ascii="Arial" w:eastAsia="Arial" w:hAnsi="Arial" w:cs="Arial"/>
          <w:b/>
          <w:bCs/>
          <w:i/>
          <w:iCs/>
        </w:rPr>
        <w:lastRenderedPageBreak/>
        <w:t>Health and Social Care Provision</w:t>
      </w:r>
    </w:p>
    <w:p w14:paraId="4E7D5DD1" w14:textId="2E8783E0" w:rsidR="28CC3857" w:rsidRDefault="28CC3857" w:rsidP="6E8A6523">
      <w:pPr>
        <w:spacing w:line="360" w:lineRule="auto"/>
        <w:rPr>
          <w:rFonts w:ascii="Arial" w:eastAsia="Arial" w:hAnsi="Arial" w:cs="Arial"/>
        </w:rPr>
      </w:pPr>
      <w:r w:rsidRPr="6E8A6523">
        <w:rPr>
          <w:rFonts w:ascii="Arial" w:eastAsia="Arial" w:hAnsi="Arial" w:cs="Arial"/>
        </w:rPr>
        <w:t>Health and social care is a term that refers to services provided by health and social care providers in the United Kingdom. A healthcare need is one that is associated with the treatment, control, and prevention of a disease, illness, accident, or disability, as well as the care or aftercare of a person who has these requirements. A social care need is centered on giving assistance with daily living tasks; this assistance might include practical activities, personal care, and social work, all of which are meant to enable persons receiving social care to live peacefully (Mind.org, 2018).</w:t>
      </w:r>
    </w:p>
    <w:p w14:paraId="7ECC53E9" w14:textId="46A862E1" w:rsidR="52FA9A59" w:rsidRDefault="52FA9A59" w:rsidP="6E8A6523">
      <w:pPr>
        <w:spacing w:line="360" w:lineRule="auto"/>
        <w:rPr>
          <w:rFonts w:ascii="Arial" w:eastAsia="Arial" w:hAnsi="Arial" w:cs="Arial"/>
        </w:rPr>
      </w:pPr>
      <w:r w:rsidRPr="6E8A6523">
        <w:rPr>
          <w:rFonts w:ascii="Arial" w:eastAsia="Arial" w:hAnsi="Arial" w:cs="Arial"/>
        </w:rPr>
        <w:t>There are eight primary issues that highlight what is wrong with social care, such as fragmented care, delayed transfers of care, and a lack of integration with health (Kings Fund, 2021). In result of the expensive prices, some individuals are being compelled to sell their homes to pay for care. The unmet need that stops many individuals from receiving the necessary treatment and assistance, as well as the financial appraisal, which considers the amount of money involved. Because of pay and working conditions, employees are underpaid and overworked. Inadequate care quality, with patients confined to 15-minute sessions and disregarded for most of the time. The market's instability has resulted in the closure of several care home businesses.</w:t>
      </w:r>
    </w:p>
    <w:p w14:paraId="59598031" w14:textId="4A382AE9" w:rsidR="28CC3857" w:rsidRDefault="28CC3857" w:rsidP="6E8A6523">
      <w:pPr>
        <w:spacing w:line="360" w:lineRule="auto"/>
        <w:rPr>
          <w:rFonts w:ascii="Arial" w:eastAsia="Arial" w:hAnsi="Arial" w:cs="Arial"/>
        </w:rPr>
      </w:pPr>
      <w:r w:rsidRPr="6E8A6523">
        <w:rPr>
          <w:rFonts w:ascii="Arial" w:eastAsia="Arial" w:hAnsi="Arial" w:cs="Arial"/>
        </w:rPr>
        <w:t>Despite the remarkable and relentless efforts of social care employees, the pandemic revealed a variety of staff shortages within the social care sector, putting strains on the current workforce (Gov.Uk, 2022). The government response to COVID-19 is complicated and developing, and the issues in safeguarding persons who need and provide social care during the pandemic are not limited to England. The challenge of safeguarding social care is inextricably linked to the larger mission of protecting the population from the pandemic. During the initial wave of the pandemic, however, central government assistance for social care in England was extremely slow and much too limited, resulting in poor protection for individuals requiring and giving care (Dunn et al.,2021; Scie.org, 2020).</w:t>
      </w:r>
    </w:p>
    <w:p w14:paraId="2EFC21B2" w14:textId="28FA1765" w:rsidR="28CC3857" w:rsidRDefault="28CC3857" w:rsidP="6E8A6523">
      <w:pPr>
        <w:spacing w:line="360" w:lineRule="auto"/>
        <w:rPr>
          <w:rFonts w:ascii="Arial" w:eastAsia="Arial" w:hAnsi="Arial" w:cs="Arial"/>
        </w:rPr>
      </w:pPr>
      <w:r w:rsidRPr="6E8A6523">
        <w:rPr>
          <w:rFonts w:ascii="Arial" w:eastAsia="Arial" w:hAnsi="Arial" w:cs="Arial"/>
        </w:rPr>
        <w:t>There have also been chronic gaps in the national policy response, such as assistance for social care workers and people who provide unpaid care. Support has increased in certain areas, such as access to PPE, and the importance given to social care by national authorities appears to be improving, with groups utilizing and giving care being prioritized for the COVID-19 vaccinations. Even though severe issues exist, policies in various sectors continue to be delayed, fragmented, and only short-term in structure, and gaps in policy response risk exacerbating inequality (Dunn et al., 2021).</w:t>
      </w:r>
    </w:p>
    <w:p w14:paraId="4FCF00EE" w14:textId="736C6A0B" w:rsidR="28CC3857" w:rsidRDefault="28CC3857" w:rsidP="6E8A6523">
      <w:pPr>
        <w:spacing w:line="360" w:lineRule="auto"/>
        <w:rPr>
          <w:rFonts w:ascii="Arial" w:eastAsia="Arial" w:hAnsi="Arial" w:cs="Arial"/>
        </w:rPr>
      </w:pPr>
      <w:r w:rsidRPr="6E8A6523">
        <w:rPr>
          <w:rFonts w:ascii="Arial" w:eastAsia="Arial" w:hAnsi="Arial" w:cs="Arial"/>
        </w:rPr>
        <w:lastRenderedPageBreak/>
        <w:t>According to the government, the pandemic has put tremendous strain on the social care sector. Recently, the prime minister's approach to adult social care difficulties was to integrate the health and social care systems closer together, ensuring that all individuals are cared for in the most suitable setting for their needs, whether in hospital, care, or at home. In addition to creating a health and social care levy that will benefit the entire UK, new revenue will be provided to help health and social care services in England, Scotland, Wales, and Northern Ireland (Gov.Uk, 2022).</w:t>
      </w:r>
    </w:p>
    <w:p w14:paraId="30CE8EB3" w14:textId="429F57F0" w:rsidR="28CC3857" w:rsidRDefault="2DA422AD" w:rsidP="6E8A6523">
      <w:pPr>
        <w:spacing w:line="360" w:lineRule="auto"/>
        <w:rPr>
          <w:rFonts w:ascii="Arial" w:eastAsia="Arial" w:hAnsi="Arial" w:cs="Arial"/>
        </w:rPr>
      </w:pPr>
      <w:r w:rsidRPr="012EEF54">
        <w:rPr>
          <w:rFonts w:ascii="Arial" w:eastAsia="Arial" w:hAnsi="Arial" w:cs="Arial"/>
        </w:rPr>
        <w:t xml:space="preserve">This is neither a progressive nor fair tax policy since it takes from the poor while leaving the wealthy undisturbed. If a tax must be levied, it must be fair to all income levels and generations. The government is adamant on imposing a regressive tax on industrious citizens and British companies. MP Kim Johnsons voiced worry that a vital worker earning £26,000 per year would face an increase in NI contributions on top of a wage freeze, increased council tax, and a frozen personal allowance for income tax, all while food, fuel, and energy prices have risen </w:t>
      </w:r>
      <w:r w:rsidR="64A625E1" w:rsidRPr="012EEF54">
        <w:rPr>
          <w:rFonts w:ascii="Arial" w:eastAsia="Arial" w:hAnsi="Arial" w:cs="Arial"/>
          <w:color w:val="000000" w:themeColor="text1"/>
        </w:rPr>
        <w:t>(Chartered Institute of Taxation, 2021)</w:t>
      </w:r>
      <w:r w:rsidRPr="012EEF54">
        <w:rPr>
          <w:rFonts w:ascii="Arial" w:eastAsia="Arial" w:hAnsi="Arial" w:cs="Arial"/>
        </w:rPr>
        <w:t>.</w:t>
      </w:r>
    </w:p>
    <w:p w14:paraId="44800F84" w14:textId="24DC5550" w:rsidR="28CC3857" w:rsidRDefault="28CC3857" w:rsidP="012EEF54">
      <w:pPr>
        <w:spacing w:line="360" w:lineRule="auto"/>
      </w:pPr>
      <w:r>
        <w:br w:type="page"/>
      </w:r>
    </w:p>
    <w:p w14:paraId="189EBA95" w14:textId="1F86E6E2" w:rsidR="28CC3857" w:rsidRDefault="2DA422AD" w:rsidP="012EEF54">
      <w:pPr>
        <w:spacing w:line="360" w:lineRule="auto"/>
        <w:rPr>
          <w:rFonts w:ascii="Arial" w:eastAsia="Arial" w:hAnsi="Arial" w:cs="Arial"/>
          <w:b/>
          <w:bCs/>
          <w:u w:val="single"/>
        </w:rPr>
      </w:pPr>
      <w:r w:rsidRPr="012EEF54">
        <w:rPr>
          <w:rFonts w:ascii="Arial" w:eastAsia="Arial" w:hAnsi="Arial" w:cs="Arial"/>
          <w:b/>
          <w:bCs/>
          <w:u w:val="single"/>
        </w:rPr>
        <w:lastRenderedPageBreak/>
        <w:t>Conclusion</w:t>
      </w:r>
    </w:p>
    <w:p w14:paraId="33FA06DD" w14:textId="3E22B226" w:rsidR="28CC3857" w:rsidRDefault="52FA9A59" w:rsidP="6E8A6523">
      <w:pPr>
        <w:spacing w:line="360" w:lineRule="auto"/>
        <w:rPr>
          <w:rFonts w:ascii="Arial" w:eastAsia="Arial" w:hAnsi="Arial" w:cs="Arial"/>
        </w:rPr>
      </w:pPr>
      <w:r w:rsidRPr="6E8A6523">
        <w:rPr>
          <w:rFonts w:ascii="Arial" w:eastAsia="Arial" w:hAnsi="Arial" w:cs="Arial"/>
        </w:rPr>
        <w:t>Finally, after thoroughly reviewing the data as well as opposing viewpoints and hypotheses, I will form a conclusion and provide recommendations based on my findings. The COVID-19 pandemic will have a long-term and significant impact on the health and well-being of older adults worldwide. The pandemic instilled anxiety and uncertainty in the elderly population, especially given the high mortality rates; it also discouraged older people from seeking medical help for non-</w:t>
      </w:r>
      <w:proofErr w:type="spellStart"/>
      <w:r w:rsidRPr="6E8A6523">
        <w:rPr>
          <w:rFonts w:ascii="Arial" w:eastAsia="Arial" w:hAnsi="Arial" w:cs="Arial"/>
        </w:rPr>
        <w:t>Covid</w:t>
      </w:r>
      <w:proofErr w:type="spellEnd"/>
      <w:r w:rsidRPr="6E8A6523">
        <w:rPr>
          <w:rFonts w:ascii="Arial" w:eastAsia="Arial" w:hAnsi="Arial" w:cs="Arial"/>
        </w:rPr>
        <w:t xml:space="preserve"> concerns, and it had a major influence on their mental health attributed to loneliness brought on by self-isolation. From the information presented throughout this study, it is reasonable to conclude that the pandemic has had a negative influence on the older population of the United Kingdom. On the plus side, it has pushed a greater number of senior citizens to adopt technology.</w:t>
      </w:r>
    </w:p>
    <w:p w14:paraId="276C6D86" w14:textId="1FA2129B" w:rsidR="28CC3857" w:rsidRDefault="28CC3857" w:rsidP="6E8A6523">
      <w:pPr>
        <w:spacing w:line="360" w:lineRule="auto"/>
        <w:rPr>
          <w:rFonts w:ascii="Arial" w:eastAsia="Arial" w:hAnsi="Arial" w:cs="Arial"/>
        </w:rPr>
      </w:pPr>
    </w:p>
    <w:p w14:paraId="7C3A597E" w14:textId="38ED1832" w:rsidR="28CC3857" w:rsidRDefault="70F76969" w:rsidP="012EEF54">
      <w:pPr>
        <w:spacing w:line="360" w:lineRule="auto"/>
        <w:rPr>
          <w:rFonts w:ascii="Arial" w:eastAsia="Arial" w:hAnsi="Arial" w:cs="Arial"/>
          <w:b/>
          <w:bCs/>
          <w:i/>
          <w:iCs/>
        </w:rPr>
      </w:pPr>
      <w:r w:rsidRPr="012EEF54">
        <w:rPr>
          <w:rFonts w:ascii="Arial" w:eastAsia="Arial" w:hAnsi="Arial" w:cs="Arial"/>
          <w:b/>
          <w:bCs/>
          <w:i/>
          <w:iCs/>
        </w:rPr>
        <w:t>Recommendations</w:t>
      </w:r>
    </w:p>
    <w:p w14:paraId="7AC61AB7" w14:textId="5BD8E79A" w:rsidR="00453D3C" w:rsidRPr="00453D3C" w:rsidRDefault="00453D3C" w:rsidP="012EEF54">
      <w:pPr>
        <w:spacing w:line="360" w:lineRule="auto"/>
        <w:rPr>
          <w:rFonts w:ascii="Arial" w:eastAsia="Arial" w:hAnsi="Arial" w:cs="Arial"/>
        </w:rPr>
      </w:pPr>
      <w:r w:rsidRPr="00453D3C">
        <w:rPr>
          <w:rFonts w:ascii="Arial" w:eastAsia="Arial" w:hAnsi="Arial" w:cs="Arial"/>
        </w:rPr>
        <w:t xml:space="preserve">To reflect the new meaning of ageing and, with it, the altered needs and capacities of older people, changes in </w:t>
      </w:r>
      <w:r w:rsidR="006E35E8" w:rsidRPr="00453D3C">
        <w:rPr>
          <w:rFonts w:ascii="Arial" w:eastAsia="Arial" w:hAnsi="Arial" w:cs="Arial"/>
        </w:rPr>
        <w:t>behavior</w:t>
      </w:r>
      <w:r w:rsidRPr="00453D3C">
        <w:rPr>
          <w:rFonts w:ascii="Arial" w:eastAsia="Arial" w:hAnsi="Arial" w:cs="Arial"/>
        </w:rPr>
        <w:t xml:space="preserve">, institutions, and public policies are required. This requires investing in older people so that they can keep learning and add to society; revamping business </w:t>
      </w:r>
      <w:r w:rsidR="006E35E8" w:rsidRPr="00453D3C">
        <w:rPr>
          <w:rFonts w:ascii="Arial" w:eastAsia="Arial" w:hAnsi="Arial" w:cs="Arial"/>
        </w:rPr>
        <w:t>practices</w:t>
      </w:r>
      <w:r w:rsidRPr="00453D3C">
        <w:rPr>
          <w:rFonts w:ascii="Arial" w:eastAsia="Arial" w:hAnsi="Arial" w:cs="Arial"/>
        </w:rPr>
        <w:t xml:space="preserve"> to encourage older workers to participate; and transforming pension and health systems to better meet the needs of older people.</w:t>
      </w:r>
    </w:p>
    <w:p w14:paraId="07BCB95F" w14:textId="38F4E287" w:rsidR="28CC3857" w:rsidRDefault="4D021EA6" w:rsidP="6E8A6523">
      <w:pPr>
        <w:spacing w:line="360" w:lineRule="auto"/>
        <w:rPr>
          <w:rFonts w:ascii="Arial" w:eastAsia="Arial" w:hAnsi="Arial" w:cs="Arial"/>
        </w:rPr>
      </w:pPr>
      <w:r w:rsidRPr="6E8A6523">
        <w:rPr>
          <w:rFonts w:ascii="Arial" w:eastAsia="Arial" w:hAnsi="Arial" w:cs="Arial"/>
        </w:rPr>
        <w:t xml:space="preserve">Governments need to put in place policies that support older people to live active and healthy lives. Where public systems for old age security are still lacking, urgent action is needed to put in place structures to provide protection for older people when they are unable to continue to work or support themselves. </w:t>
      </w:r>
    </w:p>
    <w:p w14:paraId="50E46361" w14:textId="0BE09ACA" w:rsidR="4D021EA6" w:rsidRDefault="4D021EA6" w:rsidP="6E8A6523">
      <w:pPr>
        <w:spacing w:line="360" w:lineRule="auto"/>
        <w:rPr>
          <w:rFonts w:ascii="Arial" w:eastAsia="Arial" w:hAnsi="Arial" w:cs="Arial"/>
        </w:rPr>
      </w:pPr>
    </w:p>
    <w:p w14:paraId="77E36FDB" w14:textId="41FDA7A8" w:rsidR="4D021EA6" w:rsidRDefault="4D021EA6" w:rsidP="6E8A6523">
      <w:pPr>
        <w:spacing w:line="360" w:lineRule="auto"/>
        <w:rPr>
          <w:rFonts w:ascii="Arial" w:eastAsia="Arial" w:hAnsi="Arial" w:cs="Arial"/>
          <w:b/>
          <w:bCs/>
        </w:rPr>
      </w:pPr>
    </w:p>
    <w:p w14:paraId="521BA44F" w14:textId="4CC3EF16" w:rsidR="012EEF54" w:rsidRDefault="012EEF54" w:rsidP="012EEF54">
      <w:pPr>
        <w:spacing w:line="360" w:lineRule="auto"/>
        <w:rPr>
          <w:rFonts w:ascii="Arial" w:eastAsia="Arial" w:hAnsi="Arial" w:cs="Arial"/>
          <w:b/>
          <w:bCs/>
          <w:u w:val="single"/>
        </w:rPr>
      </w:pPr>
    </w:p>
    <w:p w14:paraId="61394518" w14:textId="26F8C61A" w:rsidR="012EEF54" w:rsidRDefault="012EEF54" w:rsidP="012EEF54">
      <w:pPr>
        <w:spacing w:line="360" w:lineRule="auto"/>
        <w:rPr>
          <w:rFonts w:ascii="Arial" w:eastAsia="Arial" w:hAnsi="Arial" w:cs="Arial"/>
          <w:b/>
          <w:bCs/>
          <w:u w:val="single"/>
        </w:rPr>
      </w:pPr>
    </w:p>
    <w:p w14:paraId="62BFC3A1" w14:textId="259F32EE" w:rsidR="012EEF54" w:rsidRDefault="012EEF54" w:rsidP="012EEF54">
      <w:pPr>
        <w:spacing w:line="360" w:lineRule="auto"/>
        <w:rPr>
          <w:rFonts w:ascii="Arial" w:eastAsia="Arial" w:hAnsi="Arial" w:cs="Arial"/>
          <w:b/>
          <w:bCs/>
          <w:u w:val="single"/>
        </w:rPr>
      </w:pPr>
    </w:p>
    <w:p w14:paraId="455E31E7" w14:textId="4211C0B6" w:rsidR="012EEF54" w:rsidRDefault="012EEF54" w:rsidP="012EEF54">
      <w:pPr>
        <w:spacing w:line="360" w:lineRule="auto"/>
        <w:rPr>
          <w:rFonts w:ascii="Arial" w:eastAsia="Arial" w:hAnsi="Arial" w:cs="Arial"/>
          <w:b/>
          <w:bCs/>
          <w:u w:val="single"/>
        </w:rPr>
      </w:pPr>
    </w:p>
    <w:p w14:paraId="7BD21689" w14:textId="6392357C" w:rsidR="012EEF54" w:rsidRDefault="012EEF54" w:rsidP="012EEF54">
      <w:pPr>
        <w:spacing w:line="360" w:lineRule="auto"/>
        <w:rPr>
          <w:rFonts w:ascii="Arial" w:eastAsia="Arial" w:hAnsi="Arial" w:cs="Arial"/>
          <w:b/>
          <w:bCs/>
          <w:u w:val="single"/>
        </w:rPr>
      </w:pPr>
    </w:p>
    <w:p w14:paraId="24AAB6E7" w14:textId="2028C993" w:rsidR="28CC3857" w:rsidRDefault="2DA422AD" w:rsidP="012EEF54">
      <w:pPr>
        <w:spacing w:line="360" w:lineRule="auto"/>
        <w:rPr>
          <w:rFonts w:ascii="Arial" w:eastAsia="Arial" w:hAnsi="Arial" w:cs="Arial"/>
          <w:b/>
          <w:bCs/>
          <w:u w:val="single"/>
        </w:rPr>
      </w:pPr>
      <w:r w:rsidRPr="012EEF54">
        <w:rPr>
          <w:rFonts w:ascii="Arial" w:eastAsia="Arial" w:hAnsi="Arial" w:cs="Arial"/>
          <w:b/>
          <w:bCs/>
          <w:u w:val="single"/>
        </w:rPr>
        <w:lastRenderedPageBreak/>
        <w:t>References</w:t>
      </w:r>
    </w:p>
    <w:p w14:paraId="471C3052" w14:textId="29DE2416"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Age UK, 2018. [online] Ageuk.org.uk. Available at: &lt;https://www.ageuk.org.uk/globalassets/age-uk/documents/reports-and-publications/age_uk_digital_inclusion_evidence_review_2018.pdf&gt; [Accessed 1 April 2022].</w:t>
      </w:r>
    </w:p>
    <w:p w14:paraId="56B835CB" w14:textId="7A874D4D"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Age UK, 2020. [online] Age UK. Available at: &lt;https://www.ageuk.org.uk/our-impact/policy-research/loneliness-research-and-resources/loneliness-and-digital-inclusion/&gt; [Accessed 1 April 2022].</w:t>
      </w:r>
    </w:p>
    <w:p w14:paraId="1E070448" w14:textId="3D9C0ADC"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Age </w:t>
      </w:r>
      <w:proofErr w:type="spellStart"/>
      <w:r w:rsidRPr="6E8A6523">
        <w:rPr>
          <w:rFonts w:ascii="Arial" w:eastAsia="Arial" w:hAnsi="Arial" w:cs="Arial"/>
          <w:color w:val="000000" w:themeColor="text1"/>
        </w:rPr>
        <w:t>Uk</w:t>
      </w:r>
      <w:proofErr w:type="spellEnd"/>
      <w:r w:rsidRPr="6E8A6523">
        <w:rPr>
          <w:rFonts w:ascii="Arial" w:eastAsia="Arial" w:hAnsi="Arial" w:cs="Arial"/>
          <w:color w:val="000000" w:themeColor="text1"/>
        </w:rPr>
        <w:t>, 2020. [online] Ageuk.org.uk. Available at: &lt;https://www.ageuk.org.uk/globalassets/age-uk/documents/reports-and-publications/reports-and-briefings/health--wellbeing/the-impact-of-covid-19-on-older-people_age-uk.pdf&gt; [Accessed 4 April 2022].</w:t>
      </w:r>
    </w:p>
    <w:p w14:paraId="57952AB9" w14:textId="74881DFA"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Barnett, K., Mercer, S., </w:t>
      </w:r>
      <w:proofErr w:type="spellStart"/>
      <w:r w:rsidRPr="6E8A6523">
        <w:rPr>
          <w:rFonts w:ascii="Arial" w:eastAsia="Arial" w:hAnsi="Arial" w:cs="Arial"/>
          <w:color w:val="000000" w:themeColor="text1"/>
        </w:rPr>
        <w:t>Norbury</w:t>
      </w:r>
      <w:proofErr w:type="spellEnd"/>
      <w:r w:rsidRPr="6E8A6523">
        <w:rPr>
          <w:rFonts w:ascii="Arial" w:eastAsia="Arial" w:hAnsi="Arial" w:cs="Arial"/>
          <w:color w:val="000000" w:themeColor="text1"/>
        </w:rPr>
        <w:t xml:space="preserve">, M., Watt, G., </w:t>
      </w:r>
      <w:proofErr w:type="spellStart"/>
      <w:r w:rsidRPr="6E8A6523">
        <w:rPr>
          <w:rFonts w:ascii="Arial" w:eastAsia="Arial" w:hAnsi="Arial" w:cs="Arial"/>
          <w:color w:val="000000" w:themeColor="text1"/>
        </w:rPr>
        <w:t>Wyke</w:t>
      </w:r>
      <w:proofErr w:type="spellEnd"/>
      <w:r w:rsidRPr="6E8A6523">
        <w:rPr>
          <w:rFonts w:ascii="Arial" w:eastAsia="Arial" w:hAnsi="Arial" w:cs="Arial"/>
          <w:color w:val="000000" w:themeColor="text1"/>
        </w:rPr>
        <w:t xml:space="preserve">, S. and Guthrie, B., 2012. Epidemiology of </w:t>
      </w:r>
      <w:proofErr w:type="spellStart"/>
      <w:r w:rsidRPr="6E8A6523">
        <w:rPr>
          <w:rFonts w:ascii="Arial" w:eastAsia="Arial" w:hAnsi="Arial" w:cs="Arial"/>
          <w:color w:val="000000" w:themeColor="text1"/>
        </w:rPr>
        <w:t>multimorbidity</w:t>
      </w:r>
      <w:proofErr w:type="spellEnd"/>
      <w:r w:rsidRPr="6E8A6523">
        <w:rPr>
          <w:rFonts w:ascii="Arial" w:eastAsia="Arial" w:hAnsi="Arial" w:cs="Arial"/>
          <w:color w:val="000000" w:themeColor="text1"/>
        </w:rPr>
        <w:t xml:space="preserve"> and implications for health care, research, and medical education: a cross-sectional study. </w:t>
      </w:r>
      <w:r w:rsidRPr="6E8A6523">
        <w:rPr>
          <w:rFonts w:ascii="Arial" w:eastAsia="Arial" w:hAnsi="Arial" w:cs="Arial"/>
          <w:i/>
          <w:iCs/>
          <w:color w:val="000000" w:themeColor="text1"/>
        </w:rPr>
        <w:t>The Lancet</w:t>
      </w:r>
      <w:r w:rsidRPr="6E8A6523">
        <w:rPr>
          <w:rFonts w:ascii="Arial" w:eastAsia="Arial" w:hAnsi="Arial" w:cs="Arial"/>
          <w:color w:val="000000" w:themeColor="text1"/>
        </w:rPr>
        <w:t>, 380(9836), pp.37-43.</w:t>
      </w:r>
    </w:p>
    <w:p w14:paraId="2178A2F9" w14:textId="6A75F0CE"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t>Beales</w:t>
      </w:r>
      <w:proofErr w:type="spellEnd"/>
      <w:r w:rsidRPr="6E8A6523">
        <w:rPr>
          <w:rFonts w:ascii="Arial" w:eastAsia="Arial" w:hAnsi="Arial" w:cs="Arial"/>
          <w:color w:val="000000" w:themeColor="text1"/>
        </w:rPr>
        <w:t xml:space="preserve">, S. and Gorman, M., 2003. </w:t>
      </w:r>
      <w:r w:rsidRPr="6E8A6523">
        <w:rPr>
          <w:rFonts w:ascii="Arial" w:eastAsia="Arial" w:hAnsi="Arial" w:cs="Arial"/>
          <w:i/>
          <w:iCs/>
          <w:color w:val="000000" w:themeColor="text1"/>
        </w:rPr>
        <w:t>Population ageing and development</w:t>
      </w:r>
      <w:r w:rsidRPr="6E8A6523">
        <w:rPr>
          <w:rFonts w:ascii="Arial" w:eastAsia="Arial" w:hAnsi="Arial" w:cs="Arial"/>
          <w:color w:val="000000" w:themeColor="text1"/>
        </w:rPr>
        <w:t xml:space="preserve">. London: </w:t>
      </w:r>
      <w:proofErr w:type="spellStart"/>
      <w:r w:rsidRPr="6E8A6523">
        <w:rPr>
          <w:rFonts w:ascii="Arial" w:eastAsia="Arial" w:hAnsi="Arial" w:cs="Arial"/>
          <w:color w:val="000000" w:themeColor="text1"/>
        </w:rPr>
        <w:t>HelpAge</w:t>
      </w:r>
      <w:proofErr w:type="spellEnd"/>
      <w:r w:rsidRPr="6E8A6523">
        <w:rPr>
          <w:rFonts w:ascii="Arial" w:eastAsia="Arial" w:hAnsi="Arial" w:cs="Arial"/>
          <w:color w:val="000000" w:themeColor="text1"/>
        </w:rPr>
        <w:t xml:space="preserve"> International.</w:t>
      </w:r>
    </w:p>
    <w:p w14:paraId="3E528D46" w14:textId="70F83D26"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Centre for Better Ageing, 2021. </w:t>
      </w:r>
      <w:r w:rsidRPr="6E8A6523">
        <w:rPr>
          <w:rFonts w:ascii="Arial" w:eastAsia="Arial" w:hAnsi="Arial" w:cs="Arial"/>
          <w:i/>
          <w:iCs/>
          <w:color w:val="000000" w:themeColor="text1"/>
        </w:rPr>
        <w:t>Digital inclusion</w:t>
      </w:r>
      <w:r w:rsidRPr="6E8A6523">
        <w:rPr>
          <w:rFonts w:ascii="Arial" w:eastAsia="Arial" w:hAnsi="Arial" w:cs="Arial"/>
          <w:color w:val="000000" w:themeColor="text1"/>
        </w:rPr>
        <w:t xml:space="preserve">. [online] Centre for Ageing Better. Available at: &lt;https://ageing-better.org.uk/digital-inclusion&gt; [Accessed 4 April 2022]. </w:t>
      </w:r>
    </w:p>
    <w:p w14:paraId="35473603" w14:textId="25BB8879"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Chartered Institute of Taxation, 2021. [online] Tax.org.uk. Available at: &lt;https://www.tax.org.uk/mps-line-up-to-criticise-health-and-social-care-levy-but-it-passes-commons&gt; [Accessed 4 April 2022].</w:t>
      </w:r>
    </w:p>
    <w:p w14:paraId="6B03CFBB" w14:textId="5CCDF5F5"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Coleman, P. and O'Hanlon, A., 2017. </w:t>
      </w:r>
      <w:r w:rsidRPr="6E8A6523">
        <w:rPr>
          <w:rFonts w:ascii="Arial" w:eastAsia="Arial" w:hAnsi="Arial" w:cs="Arial"/>
          <w:i/>
          <w:iCs/>
          <w:color w:val="000000" w:themeColor="text1"/>
        </w:rPr>
        <w:t>Aging and Development</w:t>
      </w:r>
      <w:r w:rsidRPr="6E8A6523">
        <w:rPr>
          <w:rFonts w:ascii="Arial" w:eastAsia="Arial" w:hAnsi="Arial" w:cs="Arial"/>
          <w:color w:val="000000" w:themeColor="text1"/>
        </w:rPr>
        <w:t>. Florence: Taylor and Francis.</w:t>
      </w:r>
    </w:p>
    <w:p w14:paraId="0C302749" w14:textId="2F24A88B"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t>Czeisler</w:t>
      </w:r>
      <w:proofErr w:type="spellEnd"/>
      <w:r w:rsidRPr="6E8A6523">
        <w:rPr>
          <w:rFonts w:ascii="Arial" w:eastAsia="Arial" w:hAnsi="Arial" w:cs="Arial"/>
          <w:color w:val="000000" w:themeColor="text1"/>
        </w:rPr>
        <w:t xml:space="preserve">, </w:t>
      </w:r>
      <w:proofErr w:type="spellStart"/>
      <w:r w:rsidRPr="6E8A6523">
        <w:rPr>
          <w:rFonts w:ascii="Arial" w:eastAsia="Arial" w:hAnsi="Arial" w:cs="Arial"/>
          <w:color w:val="000000" w:themeColor="text1"/>
        </w:rPr>
        <w:t>Marynak</w:t>
      </w:r>
      <w:proofErr w:type="spellEnd"/>
      <w:r w:rsidRPr="6E8A6523">
        <w:rPr>
          <w:rFonts w:ascii="Arial" w:eastAsia="Arial" w:hAnsi="Arial" w:cs="Arial"/>
          <w:color w:val="000000" w:themeColor="text1"/>
        </w:rPr>
        <w:t xml:space="preserve"> and Clarke et al., 2020. </w:t>
      </w:r>
      <w:r w:rsidRPr="6E8A6523">
        <w:rPr>
          <w:rFonts w:ascii="Arial" w:eastAsia="Arial" w:hAnsi="Arial" w:cs="Arial"/>
          <w:i/>
          <w:iCs/>
          <w:color w:val="000000" w:themeColor="text1"/>
        </w:rPr>
        <w:t>Delay or Avoidance of Medical Care Because of COVID-19–Related Concerns</w:t>
      </w:r>
      <w:r w:rsidRPr="6E8A6523">
        <w:rPr>
          <w:rFonts w:ascii="Arial" w:eastAsia="Arial" w:hAnsi="Arial" w:cs="Arial"/>
          <w:color w:val="000000" w:themeColor="text1"/>
        </w:rPr>
        <w:t>. [online] Available at: &lt;https://www.cdc.gov/mmwr/volumes/69/wr/mm6936a4.htm&gt; [Accessed 4 April 2022].</w:t>
      </w:r>
    </w:p>
    <w:p w14:paraId="619A301D" w14:textId="3FA9FE22"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Dunn, P., Allen, L., Grimm, F., Humphries, R., </w:t>
      </w:r>
      <w:proofErr w:type="spellStart"/>
      <w:r w:rsidRPr="6E8A6523">
        <w:rPr>
          <w:rFonts w:ascii="Arial" w:eastAsia="Arial" w:hAnsi="Arial" w:cs="Arial"/>
          <w:color w:val="000000" w:themeColor="text1"/>
        </w:rPr>
        <w:t>Alderwick</w:t>
      </w:r>
      <w:proofErr w:type="spellEnd"/>
      <w:r w:rsidRPr="6E8A6523">
        <w:rPr>
          <w:rFonts w:ascii="Arial" w:eastAsia="Arial" w:hAnsi="Arial" w:cs="Arial"/>
          <w:color w:val="000000" w:themeColor="text1"/>
        </w:rPr>
        <w:t xml:space="preserve">, H. and </w:t>
      </w:r>
      <w:proofErr w:type="spellStart"/>
      <w:r w:rsidRPr="6E8A6523">
        <w:rPr>
          <w:rFonts w:ascii="Arial" w:eastAsia="Arial" w:hAnsi="Arial" w:cs="Arial"/>
          <w:color w:val="000000" w:themeColor="text1"/>
        </w:rPr>
        <w:t>Allarilla</w:t>
      </w:r>
      <w:proofErr w:type="spellEnd"/>
      <w:r w:rsidRPr="6E8A6523">
        <w:rPr>
          <w:rFonts w:ascii="Arial" w:eastAsia="Arial" w:hAnsi="Arial" w:cs="Arial"/>
          <w:color w:val="000000" w:themeColor="text1"/>
        </w:rPr>
        <w:t xml:space="preserve">, A., 2021. </w:t>
      </w:r>
      <w:r w:rsidRPr="6E8A6523">
        <w:rPr>
          <w:rFonts w:ascii="Arial" w:eastAsia="Arial" w:hAnsi="Arial" w:cs="Arial"/>
          <w:i/>
          <w:iCs/>
          <w:color w:val="000000" w:themeColor="text1"/>
        </w:rPr>
        <w:t>Adult social care and COVID-19 after the first wave: assessing the policy response in England</w:t>
      </w:r>
      <w:r w:rsidRPr="6E8A6523">
        <w:rPr>
          <w:rFonts w:ascii="Arial" w:eastAsia="Arial" w:hAnsi="Arial" w:cs="Arial"/>
          <w:color w:val="000000" w:themeColor="text1"/>
        </w:rPr>
        <w:t>. [online] The Health Foundation. Available at: &lt;https://www.health.org.uk/publications/reports/adult-social-care-and-covid-19-after-the-first-wave&gt; [Accessed 1 April 2022].</w:t>
      </w:r>
    </w:p>
    <w:p w14:paraId="5F7021C2" w14:textId="7EF4ED5E"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lastRenderedPageBreak/>
        <w:t>Euro.WHO.Int</w:t>
      </w:r>
      <w:proofErr w:type="spellEnd"/>
      <w:r w:rsidRPr="6E8A6523">
        <w:rPr>
          <w:rFonts w:ascii="Arial" w:eastAsia="Arial" w:hAnsi="Arial" w:cs="Arial"/>
          <w:color w:val="000000" w:themeColor="text1"/>
        </w:rPr>
        <w:t xml:space="preserve">, 2020. </w:t>
      </w:r>
      <w:r w:rsidRPr="6E8A6523">
        <w:rPr>
          <w:rFonts w:ascii="Arial" w:eastAsia="Arial" w:hAnsi="Arial" w:cs="Arial"/>
          <w:i/>
          <w:iCs/>
          <w:color w:val="000000" w:themeColor="text1"/>
        </w:rPr>
        <w:t>Supporting older people during the COVID-19 pandemic is everyone’s business</w:t>
      </w:r>
      <w:r w:rsidRPr="6E8A6523">
        <w:rPr>
          <w:rFonts w:ascii="Arial" w:eastAsia="Arial" w:hAnsi="Arial" w:cs="Arial"/>
          <w:color w:val="000000" w:themeColor="text1"/>
        </w:rPr>
        <w:t xml:space="preserve">. [online] </w:t>
      </w:r>
      <w:proofErr w:type="spellStart"/>
      <w:r w:rsidRPr="6E8A6523">
        <w:rPr>
          <w:rFonts w:ascii="Arial" w:eastAsia="Arial" w:hAnsi="Arial" w:cs="Arial"/>
          <w:color w:val="000000" w:themeColor="text1"/>
        </w:rPr>
        <w:t>Euro.who.int</w:t>
      </w:r>
      <w:proofErr w:type="spellEnd"/>
      <w:r w:rsidRPr="6E8A6523">
        <w:rPr>
          <w:rFonts w:ascii="Arial" w:eastAsia="Arial" w:hAnsi="Arial" w:cs="Arial"/>
          <w:color w:val="000000" w:themeColor="text1"/>
        </w:rPr>
        <w:t>. Available at: &lt;https://www.euro.who.int/en/health-topics/health-emergencies/coronavirus-covid-19/news/news/2020/4/supporting-older-people-during-the-covid-19-pandemic-is-everyones-business&gt; [Accessed 4 April 2022].</w:t>
      </w:r>
    </w:p>
    <w:p w14:paraId="65E70DEA" w14:textId="31377AD8"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t>Giebel</w:t>
      </w:r>
      <w:proofErr w:type="spellEnd"/>
      <w:r w:rsidRPr="6E8A6523">
        <w:rPr>
          <w:rFonts w:ascii="Arial" w:eastAsia="Arial" w:hAnsi="Arial" w:cs="Arial"/>
          <w:color w:val="000000" w:themeColor="text1"/>
        </w:rPr>
        <w:t xml:space="preserve">, C., Pulford, D., Cooper, C., Lord, K., Shenton, J., Cannon, J., Shaw, L., </w:t>
      </w:r>
      <w:proofErr w:type="spellStart"/>
      <w:r w:rsidRPr="6E8A6523">
        <w:rPr>
          <w:rFonts w:ascii="Arial" w:eastAsia="Arial" w:hAnsi="Arial" w:cs="Arial"/>
          <w:color w:val="000000" w:themeColor="text1"/>
        </w:rPr>
        <w:t>Tetlow</w:t>
      </w:r>
      <w:proofErr w:type="spellEnd"/>
      <w:r w:rsidRPr="6E8A6523">
        <w:rPr>
          <w:rFonts w:ascii="Arial" w:eastAsia="Arial" w:hAnsi="Arial" w:cs="Arial"/>
          <w:color w:val="000000" w:themeColor="text1"/>
        </w:rPr>
        <w:t xml:space="preserve">, H., </w:t>
      </w:r>
      <w:proofErr w:type="spellStart"/>
      <w:r w:rsidRPr="6E8A6523">
        <w:rPr>
          <w:rFonts w:ascii="Arial" w:eastAsia="Arial" w:hAnsi="Arial" w:cs="Arial"/>
          <w:color w:val="000000" w:themeColor="text1"/>
        </w:rPr>
        <w:t>Limbert</w:t>
      </w:r>
      <w:proofErr w:type="spellEnd"/>
      <w:r w:rsidRPr="6E8A6523">
        <w:rPr>
          <w:rFonts w:ascii="Arial" w:eastAsia="Arial" w:hAnsi="Arial" w:cs="Arial"/>
          <w:color w:val="000000" w:themeColor="text1"/>
        </w:rPr>
        <w:t xml:space="preserve">, S., Callaghan, S., Whittington, R., Rogers, C., </w:t>
      </w:r>
      <w:proofErr w:type="spellStart"/>
      <w:r w:rsidRPr="6E8A6523">
        <w:rPr>
          <w:rFonts w:ascii="Arial" w:eastAsia="Arial" w:hAnsi="Arial" w:cs="Arial"/>
          <w:color w:val="000000" w:themeColor="text1"/>
        </w:rPr>
        <w:t>Komuravelli</w:t>
      </w:r>
      <w:proofErr w:type="spellEnd"/>
      <w:r w:rsidRPr="6E8A6523">
        <w:rPr>
          <w:rFonts w:ascii="Arial" w:eastAsia="Arial" w:hAnsi="Arial" w:cs="Arial"/>
          <w:color w:val="000000" w:themeColor="text1"/>
        </w:rPr>
        <w:t xml:space="preserve">, A., </w:t>
      </w:r>
      <w:proofErr w:type="spellStart"/>
      <w:r w:rsidRPr="6E8A6523">
        <w:rPr>
          <w:rFonts w:ascii="Arial" w:eastAsia="Arial" w:hAnsi="Arial" w:cs="Arial"/>
          <w:color w:val="000000" w:themeColor="text1"/>
        </w:rPr>
        <w:t>Rajagopal</w:t>
      </w:r>
      <w:proofErr w:type="spellEnd"/>
      <w:r w:rsidRPr="6E8A6523">
        <w:rPr>
          <w:rFonts w:ascii="Arial" w:eastAsia="Arial" w:hAnsi="Arial" w:cs="Arial"/>
          <w:color w:val="000000" w:themeColor="text1"/>
        </w:rPr>
        <w:t xml:space="preserve">, M., </w:t>
      </w:r>
      <w:proofErr w:type="spellStart"/>
      <w:r w:rsidRPr="6E8A6523">
        <w:rPr>
          <w:rFonts w:ascii="Arial" w:eastAsia="Arial" w:hAnsi="Arial" w:cs="Arial"/>
          <w:color w:val="000000" w:themeColor="text1"/>
        </w:rPr>
        <w:t>Eley</w:t>
      </w:r>
      <w:proofErr w:type="spellEnd"/>
      <w:r w:rsidRPr="6E8A6523">
        <w:rPr>
          <w:rFonts w:ascii="Arial" w:eastAsia="Arial" w:hAnsi="Arial" w:cs="Arial"/>
          <w:color w:val="000000" w:themeColor="text1"/>
        </w:rPr>
        <w:t xml:space="preserve">, R., Downs, M., Reilly, S., Ward, K., </w:t>
      </w:r>
      <w:proofErr w:type="spellStart"/>
      <w:r w:rsidRPr="6E8A6523">
        <w:rPr>
          <w:rFonts w:ascii="Arial" w:eastAsia="Arial" w:hAnsi="Arial" w:cs="Arial"/>
          <w:color w:val="000000" w:themeColor="text1"/>
        </w:rPr>
        <w:t>Gaughan</w:t>
      </w:r>
      <w:proofErr w:type="spellEnd"/>
      <w:r w:rsidRPr="6E8A6523">
        <w:rPr>
          <w:rFonts w:ascii="Arial" w:eastAsia="Arial" w:hAnsi="Arial" w:cs="Arial"/>
          <w:color w:val="000000" w:themeColor="text1"/>
        </w:rPr>
        <w:t xml:space="preserve">, A., </w:t>
      </w:r>
      <w:proofErr w:type="spellStart"/>
      <w:r w:rsidRPr="6E8A6523">
        <w:rPr>
          <w:rFonts w:ascii="Arial" w:eastAsia="Arial" w:hAnsi="Arial" w:cs="Arial"/>
          <w:color w:val="000000" w:themeColor="text1"/>
        </w:rPr>
        <w:t>Butchard</w:t>
      </w:r>
      <w:proofErr w:type="spellEnd"/>
      <w:r w:rsidRPr="6E8A6523">
        <w:rPr>
          <w:rFonts w:ascii="Arial" w:eastAsia="Arial" w:hAnsi="Arial" w:cs="Arial"/>
          <w:color w:val="000000" w:themeColor="text1"/>
        </w:rPr>
        <w:t xml:space="preserve">, S., Beresford, J., Watkins, C., Bennett, K. and </w:t>
      </w:r>
      <w:proofErr w:type="spellStart"/>
      <w:r w:rsidRPr="6E8A6523">
        <w:rPr>
          <w:rFonts w:ascii="Arial" w:eastAsia="Arial" w:hAnsi="Arial" w:cs="Arial"/>
          <w:color w:val="000000" w:themeColor="text1"/>
        </w:rPr>
        <w:t>Gabbay</w:t>
      </w:r>
      <w:proofErr w:type="spellEnd"/>
      <w:r w:rsidRPr="6E8A6523">
        <w:rPr>
          <w:rFonts w:ascii="Arial" w:eastAsia="Arial" w:hAnsi="Arial" w:cs="Arial"/>
          <w:color w:val="000000" w:themeColor="text1"/>
        </w:rPr>
        <w:t xml:space="preserve">, M., 2021. COVID-19-related social support service closures and mental well-being in older adults and those affected by dementia: a UK longitudinal survey. </w:t>
      </w:r>
      <w:r w:rsidRPr="6E8A6523">
        <w:rPr>
          <w:rFonts w:ascii="Arial" w:eastAsia="Arial" w:hAnsi="Arial" w:cs="Arial"/>
          <w:i/>
          <w:iCs/>
          <w:color w:val="000000" w:themeColor="text1"/>
        </w:rPr>
        <w:t>BMJ Open</w:t>
      </w:r>
      <w:r w:rsidRPr="6E8A6523">
        <w:rPr>
          <w:rFonts w:ascii="Arial" w:eastAsia="Arial" w:hAnsi="Arial" w:cs="Arial"/>
          <w:color w:val="000000" w:themeColor="text1"/>
        </w:rPr>
        <w:t>, 11(1), p.e045889.</w:t>
      </w:r>
    </w:p>
    <w:p w14:paraId="532880E9" w14:textId="705393B7"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Gov.UK, 2022. </w:t>
      </w:r>
      <w:r w:rsidRPr="6E8A6523">
        <w:rPr>
          <w:rFonts w:ascii="Arial" w:eastAsia="Arial" w:hAnsi="Arial" w:cs="Arial"/>
          <w:i/>
          <w:iCs/>
          <w:color w:val="000000" w:themeColor="text1"/>
        </w:rPr>
        <w:t>Build Back Better: Our Plan for Health and Social Care</w:t>
      </w:r>
      <w:r w:rsidRPr="6E8A6523">
        <w:rPr>
          <w:rFonts w:ascii="Arial" w:eastAsia="Arial" w:hAnsi="Arial" w:cs="Arial"/>
          <w:color w:val="000000" w:themeColor="text1"/>
        </w:rPr>
        <w:t>. [online] GOV.UK. Available at: &lt;https://www.gov.uk/government/publications/build-back-better-our-plan-for-health-and-social-care&gt; [Accessed 1 April 2022].</w:t>
      </w:r>
    </w:p>
    <w:p w14:paraId="5C241D07" w14:textId="7C0938FF"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Gov.UK, 2020. </w:t>
      </w:r>
      <w:r w:rsidRPr="6E8A6523">
        <w:rPr>
          <w:rFonts w:ascii="Arial" w:eastAsia="Arial" w:hAnsi="Arial" w:cs="Arial"/>
          <w:i/>
          <w:iCs/>
          <w:color w:val="000000" w:themeColor="text1"/>
        </w:rPr>
        <w:t>COVID-19: our action plan for adult social care</w:t>
      </w:r>
      <w:r w:rsidRPr="6E8A6523">
        <w:rPr>
          <w:rFonts w:ascii="Arial" w:eastAsia="Arial" w:hAnsi="Arial" w:cs="Arial"/>
          <w:color w:val="000000" w:themeColor="text1"/>
        </w:rPr>
        <w:t>. [online] GOV.UK. Available at: &lt;https://www.gov.uk/government/publications/coronavirus-covid-19-adult-social-care-action-plan/covid-19-our-action-plan-for-adult-social-care&gt; [Accessed 1 April 2022].</w:t>
      </w:r>
    </w:p>
    <w:p w14:paraId="10E5D45A" w14:textId="5176F5BE"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Gov.UK, 2020. [online] Assets.publishing.service.gov.uk. Available at: &lt;https://assets.publishing.service.gov.uk/government/uploads/system/uploads/attachment_data/file/957124/gov-resp-to-hscc-rep-on-asc-funding-and-workforce-web-accessible.pdf&gt; [Accessed 4 April 2022].</w:t>
      </w:r>
    </w:p>
    <w:p w14:paraId="3379EFA2" w14:textId="7AFD91CD"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Gov.UK, 2020. </w:t>
      </w:r>
      <w:r w:rsidRPr="6E8A6523">
        <w:rPr>
          <w:rFonts w:ascii="Arial" w:eastAsia="Arial" w:hAnsi="Arial" w:cs="Arial"/>
          <w:i/>
          <w:iCs/>
          <w:color w:val="000000" w:themeColor="text1"/>
        </w:rPr>
        <w:t>Government’s work on tackling loneliness</w:t>
      </w:r>
      <w:r w:rsidRPr="6E8A6523">
        <w:rPr>
          <w:rFonts w:ascii="Arial" w:eastAsia="Arial" w:hAnsi="Arial" w:cs="Arial"/>
          <w:color w:val="000000" w:themeColor="text1"/>
        </w:rPr>
        <w:t>. [online] GOV.UK. Available at: &lt;https://www.gov.uk/government/collections/governments-work-on-tackling-loneliness&gt; [Accessed 1 April 2022].</w:t>
      </w:r>
    </w:p>
    <w:p w14:paraId="11C7F34E" w14:textId="204AA5A2"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Gov.UK, 2022. </w:t>
      </w:r>
      <w:r w:rsidRPr="6E8A6523">
        <w:rPr>
          <w:rFonts w:ascii="Arial" w:eastAsia="Arial" w:hAnsi="Arial" w:cs="Arial"/>
          <w:i/>
          <w:iCs/>
          <w:color w:val="000000" w:themeColor="text1"/>
        </w:rPr>
        <w:t>Prepare for the Health and Social Care Levy</w:t>
      </w:r>
      <w:r w:rsidRPr="6E8A6523">
        <w:rPr>
          <w:rFonts w:ascii="Arial" w:eastAsia="Arial" w:hAnsi="Arial" w:cs="Arial"/>
          <w:color w:val="000000" w:themeColor="text1"/>
        </w:rPr>
        <w:t>. [online] GOV.UK. Available at: &lt;https://www.gov.uk/guidance/prepare-for-the-health-and-social-care-levy&gt; [Accessed 4 April 2022].</w:t>
      </w:r>
    </w:p>
    <w:p w14:paraId="4773BA0E" w14:textId="57EC4318"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t>Haase</w:t>
      </w:r>
      <w:proofErr w:type="spellEnd"/>
      <w:r w:rsidRPr="6E8A6523">
        <w:rPr>
          <w:rFonts w:ascii="Arial" w:eastAsia="Arial" w:hAnsi="Arial" w:cs="Arial"/>
          <w:color w:val="000000" w:themeColor="text1"/>
        </w:rPr>
        <w:t xml:space="preserve">, K., </w:t>
      </w:r>
      <w:proofErr w:type="spellStart"/>
      <w:r w:rsidRPr="6E8A6523">
        <w:rPr>
          <w:rFonts w:ascii="Arial" w:eastAsia="Arial" w:hAnsi="Arial" w:cs="Arial"/>
          <w:color w:val="000000" w:themeColor="text1"/>
        </w:rPr>
        <w:t>Cosco</w:t>
      </w:r>
      <w:proofErr w:type="spellEnd"/>
      <w:r w:rsidRPr="6E8A6523">
        <w:rPr>
          <w:rFonts w:ascii="Arial" w:eastAsia="Arial" w:hAnsi="Arial" w:cs="Arial"/>
          <w:color w:val="000000" w:themeColor="text1"/>
        </w:rPr>
        <w:t xml:space="preserve">, T., </w:t>
      </w:r>
      <w:proofErr w:type="spellStart"/>
      <w:r w:rsidRPr="6E8A6523">
        <w:rPr>
          <w:rFonts w:ascii="Arial" w:eastAsia="Arial" w:hAnsi="Arial" w:cs="Arial"/>
          <w:color w:val="000000" w:themeColor="text1"/>
        </w:rPr>
        <w:t>Kervin</w:t>
      </w:r>
      <w:proofErr w:type="spellEnd"/>
      <w:r w:rsidRPr="6E8A6523">
        <w:rPr>
          <w:rFonts w:ascii="Arial" w:eastAsia="Arial" w:hAnsi="Arial" w:cs="Arial"/>
          <w:color w:val="000000" w:themeColor="text1"/>
        </w:rPr>
        <w:t xml:space="preserve">, L., </w:t>
      </w:r>
      <w:proofErr w:type="spellStart"/>
      <w:r w:rsidRPr="6E8A6523">
        <w:rPr>
          <w:rFonts w:ascii="Arial" w:eastAsia="Arial" w:hAnsi="Arial" w:cs="Arial"/>
          <w:color w:val="000000" w:themeColor="text1"/>
        </w:rPr>
        <w:t>Riadi</w:t>
      </w:r>
      <w:proofErr w:type="spellEnd"/>
      <w:r w:rsidRPr="6E8A6523">
        <w:rPr>
          <w:rFonts w:ascii="Arial" w:eastAsia="Arial" w:hAnsi="Arial" w:cs="Arial"/>
          <w:color w:val="000000" w:themeColor="text1"/>
        </w:rPr>
        <w:t xml:space="preserve">, I. and O'Connell, M., 2021. Older Adults’ Experiences With Using Technology for Socialization During the COVID-19 Pandemic: Cross-sectional Survey Study. </w:t>
      </w:r>
      <w:r w:rsidRPr="6E8A6523">
        <w:rPr>
          <w:rFonts w:ascii="Arial" w:eastAsia="Arial" w:hAnsi="Arial" w:cs="Arial"/>
          <w:i/>
          <w:iCs/>
          <w:color w:val="000000" w:themeColor="text1"/>
        </w:rPr>
        <w:t>JMIR Aging</w:t>
      </w:r>
      <w:r w:rsidRPr="6E8A6523">
        <w:rPr>
          <w:rFonts w:ascii="Arial" w:eastAsia="Arial" w:hAnsi="Arial" w:cs="Arial"/>
          <w:color w:val="000000" w:themeColor="text1"/>
        </w:rPr>
        <w:t>, 4(2), p.e28010.</w:t>
      </w:r>
    </w:p>
    <w:p w14:paraId="3971A875" w14:textId="660AC0D4"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Kings Fund, 2021. [online] Available at: &lt;https://www.kingsfund.org.uk/publications/radically-realistic-vision-adult-social-care&gt; [Accessed 1 April 2022].</w:t>
      </w:r>
    </w:p>
    <w:p w14:paraId="0B83D369" w14:textId="41334AF6"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lastRenderedPageBreak/>
        <w:t xml:space="preserve">Legislation. </w:t>
      </w:r>
      <w:proofErr w:type="spellStart"/>
      <w:r w:rsidRPr="6E8A6523">
        <w:rPr>
          <w:rFonts w:ascii="Arial" w:eastAsia="Arial" w:hAnsi="Arial" w:cs="Arial"/>
          <w:color w:val="000000" w:themeColor="text1"/>
        </w:rPr>
        <w:t>Gov</w:t>
      </w:r>
      <w:proofErr w:type="spellEnd"/>
      <w:r w:rsidRPr="6E8A6523">
        <w:rPr>
          <w:rFonts w:ascii="Arial" w:eastAsia="Arial" w:hAnsi="Arial" w:cs="Arial"/>
          <w:color w:val="000000" w:themeColor="text1"/>
        </w:rPr>
        <w:t xml:space="preserve">, 2014. </w:t>
      </w:r>
      <w:r w:rsidRPr="6E8A6523">
        <w:rPr>
          <w:rFonts w:ascii="Arial" w:eastAsia="Arial" w:hAnsi="Arial" w:cs="Arial"/>
          <w:i/>
          <w:iCs/>
          <w:color w:val="000000" w:themeColor="text1"/>
        </w:rPr>
        <w:t>Care Act 2014</w:t>
      </w:r>
      <w:r w:rsidRPr="6E8A6523">
        <w:rPr>
          <w:rFonts w:ascii="Arial" w:eastAsia="Arial" w:hAnsi="Arial" w:cs="Arial"/>
          <w:color w:val="000000" w:themeColor="text1"/>
        </w:rPr>
        <w:t>. [online] Legislation.gov.uk. Available at: &lt;https://www.legislation.gov.uk/ukpga/2014/23/part/1/enacted&gt; [Accessed 7 April 2022].</w:t>
      </w:r>
    </w:p>
    <w:p w14:paraId="2A91AB4C" w14:textId="2041C6B9"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Mind.org, 2018. [online] Available at: &lt;https://www.mind.org.uk/information-support/legal-rights/health-and-social-care-rights/about-social-care/&gt; [Accessed 7 April 2022].</w:t>
      </w:r>
    </w:p>
    <w:p w14:paraId="1977CB93" w14:textId="1EEF6E74"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NHS England, 2020. </w:t>
      </w:r>
      <w:r w:rsidRPr="6E8A6523">
        <w:rPr>
          <w:rFonts w:ascii="Arial" w:eastAsia="Arial" w:hAnsi="Arial" w:cs="Arial"/>
          <w:i/>
          <w:iCs/>
          <w:color w:val="000000" w:themeColor="text1"/>
        </w:rPr>
        <w:t>NHS England » Improving care for older people</w:t>
      </w:r>
      <w:r w:rsidRPr="6E8A6523">
        <w:rPr>
          <w:rFonts w:ascii="Arial" w:eastAsia="Arial" w:hAnsi="Arial" w:cs="Arial"/>
          <w:color w:val="000000" w:themeColor="text1"/>
        </w:rPr>
        <w:t>. [online] England.nhs.uk. Available at: &lt;https://www.england.nhs.uk/ourwork/clinical-policy/older-people/improving-care-for-older-people/&gt; [Accessed 1 April 2022].</w:t>
      </w:r>
    </w:p>
    <w:p w14:paraId="236C3A34" w14:textId="61CBA0BA"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ONS, 2015. </w:t>
      </w:r>
      <w:r w:rsidRPr="6E8A6523">
        <w:rPr>
          <w:rFonts w:ascii="Arial" w:eastAsia="Arial" w:hAnsi="Arial" w:cs="Arial"/>
          <w:i/>
          <w:iCs/>
          <w:color w:val="000000" w:themeColor="text1"/>
        </w:rPr>
        <w:t>Living longer - Office for National Statistics</w:t>
      </w:r>
      <w:r w:rsidRPr="6E8A6523">
        <w:rPr>
          <w:rFonts w:ascii="Arial" w:eastAsia="Arial" w:hAnsi="Arial" w:cs="Arial"/>
          <w:color w:val="000000" w:themeColor="text1"/>
        </w:rPr>
        <w:t xml:space="preserve">. [online] Ons.gov.uk. Available at: &lt;https://www.ons.gov.uk/peoplepopulationandcommunity/birthsdeathsandmarriages/ageing/articles/livinglongerhowourpopulationischangingandwhyitmatters/2018-08-13&gt; [Accessed 4 April 2022]. </w:t>
      </w:r>
    </w:p>
    <w:p w14:paraId="09362DA7" w14:textId="24DFC7CC"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ONS, 2020. </w:t>
      </w:r>
      <w:r w:rsidRPr="6E8A6523">
        <w:rPr>
          <w:rFonts w:ascii="Arial" w:eastAsia="Arial" w:hAnsi="Arial" w:cs="Arial"/>
          <w:i/>
          <w:iCs/>
          <w:color w:val="000000" w:themeColor="text1"/>
        </w:rPr>
        <w:t>Why have Black and South Asian people been hit hardest by COVID-19? - Office for National Statistics</w:t>
      </w:r>
      <w:r w:rsidRPr="6E8A6523">
        <w:rPr>
          <w:rFonts w:ascii="Arial" w:eastAsia="Arial" w:hAnsi="Arial" w:cs="Arial"/>
          <w:color w:val="000000" w:themeColor="text1"/>
        </w:rPr>
        <w:t>. [online] Ons.gov.uk. Available at: &lt;https://www.ons.gov.uk/peoplepopulationandcommunity/healthandsocialcare/conditionsanddiseases/articles/whyhaveblackandsouthasianpeoplebeenhithardestbycovid19/2020-12-14&gt; [Accessed 7 April 2022].</w:t>
      </w:r>
    </w:p>
    <w:p w14:paraId="44610ED0" w14:textId="1A91481E"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Parliament UK, 2015. [online] Available at: &lt;https://www.parliament.uk/business/publications/research/key-issues-parliament-2015/social-change/ageing-population/&gt; [Accessed 4 April 2022].</w:t>
      </w:r>
    </w:p>
    <w:p w14:paraId="5985D9DA" w14:textId="7AC284BF"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Raymond, A., </w:t>
      </w:r>
      <w:proofErr w:type="spellStart"/>
      <w:r w:rsidRPr="6E8A6523">
        <w:rPr>
          <w:rFonts w:ascii="Arial" w:eastAsia="Arial" w:hAnsi="Arial" w:cs="Arial"/>
          <w:color w:val="000000" w:themeColor="text1"/>
        </w:rPr>
        <w:t>Bazeer</w:t>
      </w:r>
      <w:proofErr w:type="spellEnd"/>
      <w:r w:rsidRPr="6E8A6523">
        <w:rPr>
          <w:rFonts w:ascii="Arial" w:eastAsia="Arial" w:hAnsi="Arial" w:cs="Arial"/>
          <w:color w:val="000000" w:themeColor="text1"/>
        </w:rPr>
        <w:t xml:space="preserve">, N., Barclay, C., </w:t>
      </w:r>
      <w:proofErr w:type="spellStart"/>
      <w:r w:rsidRPr="6E8A6523">
        <w:rPr>
          <w:rFonts w:ascii="Arial" w:eastAsia="Arial" w:hAnsi="Arial" w:cs="Arial"/>
          <w:color w:val="000000" w:themeColor="text1"/>
        </w:rPr>
        <w:t>Krelle</w:t>
      </w:r>
      <w:proofErr w:type="spellEnd"/>
      <w:r w:rsidRPr="6E8A6523">
        <w:rPr>
          <w:rFonts w:ascii="Arial" w:eastAsia="Arial" w:hAnsi="Arial" w:cs="Arial"/>
          <w:color w:val="000000" w:themeColor="text1"/>
        </w:rPr>
        <w:t xml:space="preserve">, H., </w:t>
      </w:r>
      <w:proofErr w:type="spellStart"/>
      <w:r w:rsidRPr="6E8A6523">
        <w:rPr>
          <w:rFonts w:ascii="Arial" w:eastAsia="Arial" w:hAnsi="Arial" w:cs="Arial"/>
          <w:color w:val="000000" w:themeColor="text1"/>
        </w:rPr>
        <w:t>Idriss</w:t>
      </w:r>
      <w:proofErr w:type="spellEnd"/>
      <w:r w:rsidRPr="6E8A6523">
        <w:rPr>
          <w:rFonts w:ascii="Arial" w:eastAsia="Arial" w:hAnsi="Arial" w:cs="Arial"/>
          <w:color w:val="000000" w:themeColor="text1"/>
        </w:rPr>
        <w:t xml:space="preserve">, O., </w:t>
      </w:r>
      <w:proofErr w:type="spellStart"/>
      <w:r w:rsidRPr="6E8A6523">
        <w:rPr>
          <w:rFonts w:ascii="Arial" w:eastAsia="Arial" w:hAnsi="Arial" w:cs="Arial"/>
          <w:color w:val="000000" w:themeColor="text1"/>
        </w:rPr>
        <w:t>Tallack</w:t>
      </w:r>
      <w:proofErr w:type="spellEnd"/>
      <w:r w:rsidRPr="6E8A6523">
        <w:rPr>
          <w:rFonts w:ascii="Arial" w:eastAsia="Arial" w:hAnsi="Arial" w:cs="Arial"/>
          <w:color w:val="000000" w:themeColor="text1"/>
        </w:rPr>
        <w:t xml:space="preserve">, C. and Kelly, E., 2021. </w:t>
      </w:r>
      <w:r w:rsidRPr="6E8A6523">
        <w:rPr>
          <w:rFonts w:ascii="Arial" w:eastAsia="Arial" w:hAnsi="Arial" w:cs="Arial"/>
          <w:i/>
          <w:iCs/>
          <w:color w:val="000000" w:themeColor="text1"/>
        </w:rPr>
        <w:t>Our ageing population</w:t>
      </w:r>
      <w:r w:rsidRPr="6E8A6523">
        <w:rPr>
          <w:rFonts w:ascii="Arial" w:eastAsia="Arial" w:hAnsi="Arial" w:cs="Arial"/>
          <w:color w:val="000000" w:themeColor="text1"/>
        </w:rPr>
        <w:t>. [online] The Health Foundation. Available at: &lt;https://www.health.org.uk/publications/our-ageing-population&gt; [Accessed 4 April 2022].</w:t>
      </w:r>
    </w:p>
    <w:p w14:paraId="6EAC17A6" w14:textId="41154F89"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Saxon, S., </w:t>
      </w:r>
      <w:proofErr w:type="spellStart"/>
      <w:r w:rsidRPr="6E8A6523">
        <w:rPr>
          <w:rFonts w:ascii="Arial" w:eastAsia="Arial" w:hAnsi="Arial" w:cs="Arial"/>
          <w:color w:val="000000" w:themeColor="text1"/>
        </w:rPr>
        <w:t>Etten</w:t>
      </w:r>
      <w:proofErr w:type="spellEnd"/>
      <w:r w:rsidRPr="6E8A6523">
        <w:rPr>
          <w:rFonts w:ascii="Arial" w:eastAsia="Arial" w:hAnsi="Arial" w:cs="Arial"/>
          <w:color w:val="000000" w:themeColor="text1"/>
        </w:rPr>
        <w:t xml:space="preserve">, M. and Perkins, E., 2015. </w:t>
      </w:r>
      <w:r w:rsidRPr="6E8A6523">
        <w:rPr>
          <w:rFonts w:ascii="Arial" w:eastAsia="Arial" w:hAnsi="Arial" w:cs="Arial"/>
          <w:i/>
          <w:iCs/>
          <w:color w:val="000000" w:themeColor="text1"/>
        </w:rPr>
        <w:t>Physical change and aging: A guide for the helping professions (6th ed.)</w:t>
      </w:r>
      <w:r w:rsidRPr="6E8A6523">
        <w:rPr>
          <w:rFonts w:ascii="Arial" w:eastAsia="Arial" w:hAnsi="Arial" w:cs="Arial"/>
          <w:color w:val="000000" w:themeColor="text1"/>
        </w:rPr>
        <w:t>. Springer Publishing Co.</w:t>
      </w:r>
    </w:p>
    <w:p w14:paraId="721AC2EB" w14:textId="227174E6"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SCIE.org, 2020. </w:t>
      </w:r>
      <w:r w:rsidRPr="6E8A6523">
        <w:rPr>
          <w:rFonts w:ascii="Arial" w:eastAsia="Arial" w:hAnsi="Arial" w:cs="Arial"/>
          <w:i/>
          <w:iCs/>
          <w:color w:val="000000" w:themeColor="text1"/>
        </w:rPr>
        <w:t>Beyond COVID-19: Negative impacts of COVID-19 on social care</w:t>
      </w:r>
      <w:r w:rsidRPr="6E8A6523">
        <w:rPr>
          <w:rFonts w:ascii="Arial" w:eastAsia="Arial" w:hAnsi="Arial" w:cs="Arial"/>
          <w:color w:val="000000" w:themeColor="text1"/>
        </w:rPr>
        <w:t>. [online] Social Care Institute for Excellence (SCIE). Available at: &lt;https://www.scie.org.uk/care-providers/coronavirus-covid-19/beyond/adult-social-care/negative-impacts&gt; [Accessed 4 April 2022].</w:t>
      </w:r>
    </w:p>
    <w:p w14:paraId="7BC51B7B" w14:textId="3011E9EA" w:rsidR="6E8A6523" w:rsidRDefault="6E8A6523" w:rsidP="6E8A6523">
      <w:pPr>
        <w:spacing w:line="360" w:lineRule="auto"/>
        <w:jc w:val="both"/>
        <w:rPr>
          <w:rFonts w:ascii="Arial" w:eastAsia="Arial" w:hAnsi="Arial" w:cs="Arial"/>
          <w:color w:val="000000" w:themeColor="text1"/>
        </w:rPr>
      </w:pPr>
      <w:proofErr w:type="spellStart"/>
      <w:r w:rsidRPr="6E8A6523">
        <w:rPr>
          <w:rFonts w:ascii="Arial" w:eastAsia="Arial" w:hAnsi="Arial" w:cs="Arial"/>
          <w:color w:val="000000" w:themeColor="text1"/>
        </w:rPr>
        <w:t>Thorlby</w:t>
      </w:r>
      <w:proofErr w:type="spellEnd"/>
      <w:r w:rsidRPr="6E8A6523">
        <w:rPr>
          <w:rFonts w:ascii="Arial" w:eastAsia="Arial" w:hAnsi="Arial" w:cs="Arial"/>
          <w:color w:val="000000" w:themeColor="text1"/>
        </w:rPr>
        <w:t xml:space="preserve">, R., Fraser, C. and Gardner, T., 2020. </w:t>
      </w:r>
      <w:r w:rsidRPr="6E8A6523">
        <w:rPr>
          <w:rFonts w:ascii="Arial" w:eastAsia="Arial" w:hAnsi="Arial" w:cs="Arial"/>
          <w:i/>
          <w:iCs/>
          <w:color w:val="000000" w:themeColor="text1"/>
        </w:rPr>
        <w:t>Non-COVID-19 NHS care during the pandemic</w:t>
      </w:r>
      <w:r w:rsidRPr="6E8A6523">
        <w:rPr>
          <w:rFonts w:ascii="Arial" w:eastAsia="Arial" w:hAnsi="Arial" w:cs="Arial"/>
          <w:color w:val="000000" w:themeColor="text1"/>
        </w:rPr>
        <w:t>. [online] The Health Foundation. Available at: &lt;https://www.health.org.uk/news-and-</w:t>
      </w:r>
      <w:r w:rsidRPr="6E8A6523">
        <w:rPr>
          <w:rFonts w:ascii="Arial" w:eastAsia="Arial" w:hAnsi="Arial" w:cs="Arial"/>
          <w:color w:val="000000" w:themeColor="text1"/>
        </w:rPr>
        <w:lastRenderedPageBreak/>
        <w:t>comment/charts-and-infographics/non-covid-19-nhs-care-during-the-pandemic&gt; [Accessed 4 April 2022].</w:t>
      </w:r>
    </w:p>
    <w:p w14:paraId="6CD99032" w14:textId="2747D28B"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Walker, A., 2018. </w:t>
      </w:r>
      <w:r w:rsidRPr="6E8A6523">
        <w:rPr>
          <w:rFonts w:ascii="Arial" w:eastAsia="Arial" w:hAnsi="Arial" w:cs="Arial"/>
          <w:i/>
          <w:iCs/>
          <w:color w:val="000000" w:themeColor="text1"/>
        </w:rPr>
        <w:t>The New Dynamics of Ageing. Volume 1. Great Britain: Policy Press, 368 pp. ISBN 978 1 4473 1473 8 (paperback) Alan Walker (e</w:t>
      </w:r>
      <w:r w:rsidRPr="6E8A6523">
        <w:rPr>
          <w:rFonts w:ascii="Arial" w:eastAsia="Arial" w:hAnsi="Arial" w:cs="Arial"/>
          <w:color w:val="000000" w:themeColor="text1"/>
        </w:rPr>
        <w:t>.</w:t>
      </w:r>
    </w:p>
    <w:p w14:paraId="4153B2CA" w14:textId="5A33EE0B"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Webb, D., 2021. [online] Age UK. Available at: &lt;https://www.ageuk.org.uk/discover/2020/10/coronavirus-and-black-older-people/&gt; [Accessed 1 April 2022]. </w:t>
      </w:r>
    </w:p>
    <w:p w14:paraId="0209BF24" w14:textId="4E872CFC"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WHO Europe, 2020. </w:t>
      </w:r>
      <w:r w:rsidRPr="6E8A6523">
        <w:rPr>
          <w:rFonts w:ascii="Arial" w:eastAsia="Arial" w:hAnsi="Arial" w:cs="Arial"/>
          <w:i/>
          <w:iCs/>
          <w:color w:val="000000" w:themeColor="text1"/>
        </w:rPr>
        <w:t>Supporting older people during the COVID-19 pandemic is everyone’s business</w:t>
      </w:r>
      <w:r w:rsidRPr="6E8A6523">
        <w:rPr>
          <w:rFonts w:ascii="Arial" w:eastAsia="Arial" w:hAnsi="Arial" w:cs="Arial"/>
          <w:color w:val="000000" w:themeColor="text1"/>
        </w:rPr>
        <w:t xml:space="preserve">. [online] </w:t>
      </w:r>
      <w:proofErr w:type="spellStart"/>
      <w:r w:rsidRPr="6E8A6523">
        <w:rPr>
          <w:rFonts w:ascii="Arial" w:eastAsia="Arial" w:hAnsi="Arial" w:cs="Arial"/>
          <w:color w:val="000000" w:themeColor="text1"/>
        </w:rPr>
        <w:t>Euro.who.int</w:t>
      </w:r>
      <w:proofErr w:type="spellEnd"/>
      <w:r w:rsidRPr="6E8A6523">
        <w:rPr>
          <w:rFonts w:ascii="Arial" w:eastAsia="Arial" w:hAnsi="Arial" w:cs="Arial"/>
          <w:color w:val="000000" w:themeColor="text1"/>
        </w:rPr>
        <w:t>. Available at: &lt;https://www.euro.who.int/en/health-topics/health-emergencies/coronavirus-covid-19/news/news/2020/4/supporting-older-people-during-the-covid-19-pandemic-is-everyones-business&gt; [Accessed 4 April 2022].</w:t>
      </w:r>
    </w:p>
    <w:p w14:paraId="62762D76" w14:textId="139309B3"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WHO, 2020. </w:t>
      </w:r>
      <w:r w:rsidRPr="6E8A6523">
        <w:rPr>
          <w:rFonts w:ascii="Arial" w:eastAsia="Arial" w:hAnsi="Arial" w:cs="Arial"/>
          <w:i/>
          <w:iCs/>
          <w:color w:val="000000" w:themeColor="text1"/>
        </w:rPr>
        <w:t>Statements</w:t>
      </w:r>
      <w:r w:rsidRPr="6E8A6523">
        <w:rPr>
          <w:rFonts w:ascii="Arial" w:eastAsia="Arial" w:hAnsi="Arial" w:cs="Arial"/>
          <w:color w:val="000000" w:themeColor="text1"/>
        </w:rPr>
        <w:t xml:space="preserve">. [online] </w:t>
      </w:r>
      <w:proofErr w:type="spellStart"/>
      <w:r w:rsidRPr="6E8A6523">
        <w:rPr>
          <w:rFonts w:ascii="Arial" w:eastAsia="Arial" w:hAnsi="Arial" w:cs="Arial"/>
          <w:color w:val="000000" w:themeColor="text1"/>
        </w:rPr>
        <w:t>Euro.who.int</w:t>
      </w:r>
      <w:proofErr w:type="spellEnd"/>
      <w:r w:rsidRPr="6E8A6523">
        <w:rPr>
          <w:rFonts w:ascii="Arial" w:eastAsia="Arial" w:hAnsi="Arial" w:cs="Arial"/>
          <w:color w:val="000000" w:themeColor="text1"/>
        </w:rPr>
        <w:t>. Available at: &lt;https://www.euro.who.int/en/health-topics/health-emergencies/coronavirus-covid-19/statements&gt; [Accessed 4 April 2022].</w:t>
      </w:r>
    </w:p>
    <w:p w14:paraId="7C4AC389" w14:textId="137BB567" w:rsidR="6E8A6523" w:rsidRDefault="6E8A6523" w:rsidP="6E8A6523">
      <w:pPr>
        <w:spacing w:line="360" w:lineRule="auto"/>
        <w:jc w:val="both"/>
        <w:rPr>
          <w:rFonts w:ascii="Arial" w:eastAsia="Arial" w:hAnsi="Arial" w:cs="Arial"/>
          <w:color w:val="000000" w:themeColor="text1"/>
        </w:rPr>
      </w:pPr>
      <w:r w:rsidRPr="6E8A6523">
        <w:rPr>
          <w:rFonts w:ascii="Arial" w:eastAsia="Arial" w:hAnsi="Arial" w:cs="Arial"/>
          <w:color w:val="000000" w:themeColor="text1"/>
        </w:rPr>
        <w:t xml:space="preserve">Wu, B., 2020. Social isolation and loneliness among older adults in the context of COVID-19: a global challenge. </w:t>
      </w:r>
      <w:r w:rsidRPr="6E8A6523">
        <w:rPr>
          <w:rFonts w:ascii="Arial" w:eastAsia="Arial" w:hAnsi="Arial" w:cs="Arial"/>
          <w:i/>
          <w:iCs/>
          <w:color w:val="000000" w:themeColor="text1"/>
        </w:rPr>
        <w:t>Global Health Research and Policy</w:t>
      </w:r>
      <w:r w:rsidRPr="6E8A6523">
        <w:rPr>
          <w:rFonts w:ascii="Arial" w:eastAsia="Arial" w:hAnsi="Arial" w:cs="Arial"/>
          <w:color w:val="000000" w:themeColor="text1"/>
        </w:rPr>
        <w:t>, 5(1).</w:t>
      </w:r>
    </w:p>
    <w:p w14:paraId="2673ED1A" w14:textId="50C5005F" w:rsidR="6E8A6523" w:rsidRDefault="6E8A6523" w:rsidP="6E8A6523">
      <w:pPr>
        <w:spacing w:line="360" w:lineRule="auto"/>
        <w:jc w:val="both"/>
        <w:rPr>
          <w:rFonts w:ascii="Arial" w:eastAsia="Arial" w:hAnsi="Arial" w:cs="Arial"/>
          <w:b/>
          <w:bCs/>
        </w:rPr>
      </w:pPr>
    </w:p>
    <w:p w14:paraId="1EDC6426" w14:textId="3F92EA70" w:rsidR="6E8A6523" w:rsidRDefault="6E8A6523" w:rsidP="6E8A6523">
      <w:pPr>
        <w:spacing w:line="360" w:lineRule="auto"/>
        <w:jc w:val="both"/>
        <w:rPr>
          <w:rFonts w:ascii="Arial" w:eastAsia="Arial" w:hAnsi="Arial" w:cs="Arial"/>
          <w:b/>
          <w:bCs/>
        </w:rPr>
      </w:pPr>
    </w:p>
    <w:sectPr w:rsidR="6E8A6523">
      <w:headerReference w:type="default" r:id="rId7"/>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06605" w14:textId="77777777" w:rsidR="00DC535E" w:rsidRDefault="00DC535E" w:rsidP="006646E4">
      <w:pPr>
        <w:spacing w:after="0" w:line="240" w:lineRule="auto"/>
      </w:pPr>
      <w:r>
        <w:separator/>
      </w:r>
    </w:p>
  </w:endnote>
  <w:endnote w:type="continuationSeparator" w:id="0">
    <w:p w14:paraId="771AF651" w14:textId="77777777" w:rsidR="00DC535E" w:rsidRDefault="00DC535E" w:rsidP="00664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0CC49" w14:textId="4154B6F3" w:rsidR="007A759A" w:rsidRDefault="007A759A" w:rsidP="00FA32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529828CF" w14:textId="77777777" w:rsidR="007A759A" w:rsidRDefault="007A759A" w:rsidP="007A75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3290905"/>
      <w:docPartObj>
        <w:docPartGallery w:val="Page Numbers (Bottom of Page)"/>
        <w:docPartUnique/>
      </w:docPartObj>
    </w:sdtPr>
    <w:sdtEndPr>
      <w:rPr>
        <w:rStyle w:val="PageNumber"/>
      </w:rPr>
    </w:sdtEndPr>
    <w:sdtContent>
      <w:p w14:paraId="0F2E1146" w14:textId="17FFC9E7" w:rsidR="00FA3255" w:rsidRDefault="00FA3255" w:rsidP="00A461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9E5D92" w14:textId="34C1F057" w:rsidR="6E8A6523" w:rsidRDefault="6E8A6523" w:rsidP="00FA3255">
    <w:pPr>
      <w:pStyle w:val="Footer"/>
      <w:ind w:right="360"/>
      <w:jc w:val="right"/>
    </w:pPr>
  </w:p>
  <w:p w14:paraId="03F53DDC" w14:textId="77777777" w:rsidR="007A759A" w:rsidRDefault="007A759A" w:rsidP="007A75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B4B0FB" w14:textId="77777777" w:rsidR="00DC535E" w:rsidRDefault="00DC535E" w:rsidP="006646E4">
      <w:pPr>
        <w:spacing w:after="0" w:line="240" w:lineRule="auto"/>
      </w:pPr>
      <w:r>
        <w:separator/>
      </w:r>
    </w:p>
  </w:footnote>
  <w:footnote w:type="continuationSeparator" w:id="0">
    <w:p w14:paraId="6B2CCFCC" w14:textId="77777777" w:rsidR="00DC535E" w:rsidRDefault="00DC535E" w:rsidP="00664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6E8A6523" w14:paraId="320098BE" w14:textId="77777777" w:rsidTr="6E8A6523">
      <w:tc>
        <w:tcPr>
          <w:tcW w:w="3120" w:type="dxa"/>
        </w:tcPr>
        <w:p w14:paraId="4E37FCE0" w14:textId="2531B0B2" w:rsidR="6E8A6523" w:rsidRDefault="6E8A6523" w:rsidP="6E8A6523">
          <w:pPr>
            <w:pStyle w:val="Header"/>
            <w:ind w:left="-115"/>
          </w:pPr>
        </w:p>
      </w:tc>
      <w:tc>
        <w:tcPr>
          <w:tcW w:w="3120" w:type="dxa"/>
        </w:tcPr>
        <w:p w14:paraId="355578D2" w14:textId="621E1D60" w:rsidR="6E8A6523" w:rsidRDefault="6E8A6523" w:rsidP="6E8A6523">
          <w:pPr>
            <w:pStyle w:val="Header"/>
            <w:jc w:val="center"/>
          </w:pPr>
        </w:p>
      </w:tc>
      <w:tc>
        <w:tcPr>
          <w:tcW w:w="3120" w:type="dxa"/>
        </w:tcPr>
        <w:p w14:paraId="4E95D67C" w14:textId="0E6AE1A5" w:rsidR="6E8A6523" w:rsidRDefault="6E8A6523" w:rsidP="6E8A6523">
          <w:pPr>
            <w:pStyle w:val="Header"/>
            <w:ind w:right="-115"/>
            <w:jc w:val="right"/>
          </w:pPr>
        </w:p>
      </w:tc>
    </w:tr>
  </w:tbl>
  <w:p w14:paraId="4758D814" w14:textId="26428F45" w:rsidR="6E8A6523" w:rsidRDefault="6E8A6523" w:rsidP="6E8A6523">
    <w:pPr>
      <w:pStyle w:val="Header"/>
    </w:pPr>
  </w:p>
</w:hdr>
</file>

<file path=word/intelligence.xml><?xml version="1.0" encoding="utf-8"?>
<int:Intelligence xmlns:int="http://schemas.microsoft.com/office/intelligence/2019/intelligence">
  <int:OnDemandWorkflows>
    <int:OnDemandWorkflow Type="SimilarityCheck" ParagraphVersions="993644912-1152575622 1711679841-1780453693 1477693558-883799461 119422600-322923100 48236421-1737302106 740232932-512703965 1154265487-2040146173 706968117-773064273 1363352244-1573729938 615737406-373112375 244147509-2004318071 2059940485-1538422270 1868166756-874813228 883731986-1824516746 1104900792-1295498680 2037225304-1358244840 1413516941-1949938284 116189935-451913349 980908839-1102858477 1147689530-2024079741 288408749-47132253 10659309-1833377829 1182542986-31465746 1470246203-1132539945 1545382496-1135388685 2128950811-1950733688 896807877-1448130824 97896664-2004008357 861750562-1516755588 674931616-388992702 1348873071-121427229 911650552-629573080 1717013640-616975111 955060299-1828852875 996444559-1429724937 199189919-1719042136 128212191-488523089 1092942699-1536272002 1312026174-1906207458 1987955851-1794753531 1422519337-993084971 279948460-753782482 1686519259-62817213 873208550-918752186 910656279-242544297 1520054965-509407569 1101344798-725711941 1025581159-928565217 1767480982-1580497179 1316838865-780633056 2127320041-246932096 1499037745-470741805 788275634-687478629 1338966254-1770507700 818843315-1902267839 1694979834-1320498448 1133859624-163828938 363533797-1253343306 1668549631-1205038530 894751130-309479260 413055637-1965305633 129808735-852329803 710012274-1612283786 95631602-1322166721 66403804-2004318071 18926665-1096070899 1385703631-2004318071"/>
  </int:OnDemandWorkflows>
  <int:IntelligenceSettings/>
  <int:Manifest>
    <int:WordHash hashCode="MqKi+oYQwIA1A3" id="TJurQV2l"/>
    <int:WordHash hashCode="KnD4pMty+MuU0l" id="WWDOGHSU"/>
    <int:ParagraphRange paragraphId="1316838865" textId="621706746" start="23" length="2" invalidationStart="23" invalidationLength="2" id="nU4dtLL2"/>
    <int:ParagraphRange paragraphId="1316838865" textId="53654640" start="23" length="2" invalidationStart="23" invalidationLength="2" id="YZMEAnh5"/>
    <int:WordHash hashCode="dqskqK0gBOXM8Q" id="GXhWBtfx"/>
    <int:WordHash hashCode="wZJwFukREOxU7T" id="zWGqgf89"/>
    <int:WordHash hashCode="RI+x6rlcEuqWVI" id="cqpiMzAo"/>
    <int:WordHash hashCode="XdnpUm5JO8EzPr" id="MGAtYEsJ"/>
    <int:WordHash hashCode="OrtZNwJC/JiGrS" id="iXbq77NS"/>
    <int:WordHash hashCode="Fp1aiyWz7dQCIF" id="8OofK2ip"/>
    <int:WordHash hashCode="aMQqMhlppqvxzx" id="TXNkJsmQ"/>
    <int:WordHash hashCode="rFSmyL15mwXhmS" id="orLnszKr"/>
    <int:WordHash hashCode="jFGu+c6tQQGiEX" id="NONLfrrn"/>
    <int:WordHash hashCode="/i9UD4LQYP8Glt" id="rvzybUjR"/>
    <int:WordHash hashCode="lf2sHZ1S/SZpXA" id="4eS2LG04"/>
    <int:WordHash hashCode="CUsP4OMChUrxMR" id="exqqfIR9"/>
    <int:WordHash hashCode="3Pw5DfGxl7YqZs" id="p2U4rGqV"/>
    <int:WordHash hashCode="lmBNlLbYTli/Vo" id="XOrbhEBX"/>
    <int:WordHash hashCode="pr84CJgBeJHBAJ" id="XdBWW9MB"/>
    <int:WordHash hashCode="O92VI93wvDVYWR" id="ay5p7INI"/>
    <int:WordHash hashCode="Wl+mx3R4XHU3U8" id="hhpX07Fr"/>
    <int:WordHash hashCode="H9Lc4dP542zaEF" id="IBIyG5Xo"/>
    <int:WordHash hashCode="YRQpX4vI6EAKKI" id="csmq7b7H"/>
    <int:WordHash hashCode="q3FD8xLo5/00jC" id="qIX3oUnt"/>
    <int:WordHash hashCode="fpMSPujOkO2El0" id="Yua63oXo"/>
    <int:WordHash hashCode="d70b3zz4lZEEh4" id="vfBayXnU"/>
  </int:Manifest>
  <int:Observations>
    <int:Content id="TJurQV2l">
      <int:Rejection type="LegacyProofing"/>
    </int:Content>
    <int:Content id="WWDOGHSU">
      <int:Rejection type="LegacyProofing"/>
    </int:Content>
    <int:Content id="nU4dtLL2">
      <int:Rejection type="LegacyProofing"/>
    </int:Content>
    <int:Content id="YZMEAnh5">
      <int:Rejection type="LegacyProofing"/>
    </int:Content>
    <int:Content id="GXhWBtfx">
      <int:Rejection type="AugLoop_Text_Critique"/>
    </int:Content>
    <int:Content id="zWGqgf89">
      <int:Rejection type="AugLoop_Text_Critique"/>
    </int:Content>
    <int:Content id="cqpiMzAo">
      <int:Rejection type="LegacyProofing"/>
    </int:Content>
    <int:Content id="MGAtYEsJ">
      <int:Rejection type="LegacyProofing"/>
    </int:Content>
    <int:Content id="iXbq77NS">
      <int:Rejection type="LegacyProofing"/>
    </int:Content>
    <int:Content id="8OofK2ip">
      <int:Rejection type="LegacyProofing"/>
    </int:Content>
    <int:Content id="TXNkJsmQ">
      <int:Rejection type="LegacyProofing"/>
    </int:Content>
    <int:Content id="orLnszKr">
      <int:Rejection type="LegacyProofing"/>
    </int:Content>
    <int:Content id="NONLfrrn">
      <int:Rejection type="LegacyProofing"/>
    </int:Content>
    <int:Content id="rvzybUjR">
      <int:Rejection type="LegacyProofing"/>
    </int:Content>
    <int:Content id="4eS2LG04">
      <int:Rejection type="LegacyProofing"/>
    </int:Content>
    <int:Content id="exqqfIR9">
      <int:Rejection type="LegacyProofing"/>
    </int:Content>
    <int:Content id="p2U4rGqV">
      <int:Rejection type="LegacyProofing"/>
    </int:Content>
    <int:Content id="XOrbhEBX">
      <int:Rejection type="LegacyProofing"/>
    </int:Content>
    <int:Content id="XdBWW9MB">
      <int:Rejection type="LegacyProofing"/>
    </int:Content>
    <int:Content id="ay5p7INI">
      <int:Rejection type="LegacyProofing"/>
    </int:Content>
    <int:Content id="hhpX07Fr">
      <int:Rejection type="LegacyProofing"/>
    </int:Content>
    <int:Content id="IBIyG5Xo">
      <int:Rejection type="LegacyProofing"/>
    </int:Content>
    <int:Content id="csmq7b7H">
      <int:Rejection type="LegacyProofing"/>
    </int:Content>
    <int:Content id="qIX3oUnt">
      <int:Rejection type="LegacyProofing"/>
    </int:Content>
    <int:Content id="Yua63oXo">
      <int:Rejection type="LegacyProofing"/>
    </int:Content>
    <int:Content id="vfBayXn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E2256"/>
    <w:multiLevelType w:val="hybridMultilevel"/>
    <w:tmpl w:val="FFFFFFFF"/>
    <w:lvl w:ilvl="0" w:tplc="D2A45886">
      <w:start w:val="1"/>
      <w:numFmt w:val="decimal"/>
      <w:lvlText w:val="%1."/>
      <w:lvlJc w:val="left"/>
      <w:pPr>
        <w:ind w:left="720" w:hanging="360"/>
      </w:pPr>
    </w:lvl>
    <w:lvl w:ilvl="1" w:tplc="655862FC">
      <w:start w:val="1"/>
      <w:numFmt w:val="lowerLetter"/>
      <w:lvlText w:val="%2."/>
      <w:lvlJc w:val="left"/>
      <w:pPr>
        <w:ind w:left="1440" w:hanging="360"/>
      </w:pPr>
    </w:lvl>
    <w:lvl w:ilvl="2" w:tplc="D4FE98BA">
      <w:start w:val="1"/>
      <w:numFmt w:val="lowerRoman"/>
      <w:lvlText w:val="%3."/>
      <w:lvlJc w:val="right"/>
      <w:pPr>
        <w:ind w:left="2160" w:hanging="180"/>
      </w:pPr>
    </w:lvl>
    <w:lvl w:ilvl="3" w:tplc="A4025354">
      <w:start w:val="1"/>
      <w:numFmt w:val="decimal"/>
      <w:lvlText w:val="%4."/>
      <w:lvlJc w:val="left"/>
      <w:pPr>
        <w:ind w:left="2880" w:hanging="360"/>
      </w:pPr>
    </w:lvl>
    <w:lvl w:ilvl="4" w:tplc="1C181ED8">
      <w:start w:val="1"/>
      <w:numFmt w:val="lowerLetter"/>
      <w:lvlText w:val="%5."/>
      <w:lvlJc w:val="left"/>
      <w:pPr>
        <w:ind w:left="3600" w:hanging="360"/>
      </w:pPr>
    </w:lvl>
    <w:lvl w:ilvl="5" w:tplc="9AD8CF3E">
      <w:start w:val="1"/>
      <w:numFmt w:val="lowerRoman"/>
      <w:lvlText w:val="%6."/>
      <w:lvlJc w:val="right"/>
      <w:pPr>
        <w:ind w:left="4320" w:hanging="180"/>
      </w:pPr>
    </w:lvl>
    <w:lvl w:ilvl="6" w:tplc="318AF9DE">
      <w:start w:val="1"/>
      <w:numFmt w:val="decimal"/>
      <w:lvlText w:val="%7."/>
      <w:lvlJc w:val="left"/>
      <w:pPr>
        <w:ind w:left="5040" w:hanging="360"/>
      </w:pPr>
    </w:lvl>
    <w:lvl w:ilvl="7" w:tplc="6B70476C">
      <w:start w:val="1"/>
      <w:numFmt w:val="lowerLetter"/>
      <w:lvlText w:val="%8."/>
      <w:lvlJc w:val="left"/>
      <w:pPr>
        <w:ind w:left="5760" w:hanging="360"/>
      </w:pPr>
    </w:lvl>
    <w:lvl w:ilvl="8" w:tplc="58EAA054">
      <w:start w:val="1"/>
      <w:numFmt w:val="lowerRoman"/>
      <w:lvlText w:val="%9."/>
      <w:lvlJc w:val="right"/>
      <w:pPr>
        <w:ind w:left="6480" w:hanging="180"/>
      </w:pPr>
    </w:lvl>
  </w:abstractNum>
  <w:abstractNum w:abstractNumId="1" w15:restartNumberingAfterBreak="0">
    <w:nsid w:val="1BF13319"/>
    <w:multiLevelType w:val="hybridMultilevel"/>
    <w:tmpl w:val="FFFFFFFF"/>
    <w:lvl w:ilvl="0" w:tplc="EBD83DF4">
      <w:start w:val="1"/>
      <w:numFmt w:val="decimal"/>
      <w:lvlText w:val="%1."/>
      <w:lvlJc w:val="left"/>
      <w:pPr>
        <w:ind w:left="720" w:hanging="360"/>
      </w:pPr>
    </w:lvl>
    <w:lvl w:ilvl="1" w:tplc="41A245A4">
      <w:start w:val="1"/>
      <w:numFmt w:val="lowerLetter"/>
      <w:lvlText w:val="%2."/>
      <w:lvlJc w:val="left"/>
      <w:pPr>
        <w:ind w:left="1440" w:hanging="360"/>
      </w:pPr>
    </w:lvl>
    <w:lvl w:ilvl="2" w:tplc="3A5A03B0">
      <w:start w:val="1"/>
      <w:numFmt w:val="lowerRoman"/>
      <w:lvlText w:val="%3."/>
      <w:lvlJc w:val="right"/>
      <w:pPr>
        <w:ind w:left="2160" w:hanging="180"/>
      </w:pPr>
    </w:lvl>
    <w:lvl w:ilvl="3" w:tplc="F2CC3146">
      <w:start w:val="1"/>
      <w:numFmt w:val="decimal"/>
      <w:lvlText w:val="%4."/>
      <w:lvlJc w:val="left"/>
      <w:pPr>
        <w:ind w:left="2880" w:hanging="360"/>
      </w:pPr>
    </w:lvl>
    <w:lvl w:ilvl="4" w:tplc="9ACAC5AA">
      <w:start w:val="1"/>
      <w:numFmt w:val="lowerLetter"/>
      <w:lvlText w:val="%5."/>
      <w:lvlJc w:val="left"/>
      <w:pPr>
        <w:ind w:left="3600" w:hanging="360"/>
      </w:pPr>
    </w:lvl>
    <w:lvl w:ilvl="5" w:tplc="7EEA4928">
      <w:start w:val="1"/>
      <w:numFmt w:val="lowerRoman"/>
      <w:lvlText w:val="%6."/>
      <w:lvlJc w:val="right"/>
      <w:pPr>
        <w:ind w:left="4320" w:hanging="180"/>
      </w:pPr>
    </w:lvl>
    <w:lvl w:ilvl="6" w:tplc="EDE4CB6A">
      <w:start w:val="1"/>
      <w:numFmt w:val="decimal"/>
      <w:lvlText w:val="%7."/>
      <w:lvlJc w:val="left"/>
      <w:pPr>
        <w:ind w:left="5040" w:hanging="360"/>
      </w:pPr>
    </w:lvl>
    <w:lvl w:ilvl="7" w:tplc="3EF4758C">
      <w:start w:val="1"/>
      <w:numFmt w:val="lowerLetter"/>
      <w:lvlText w:val="%8."/>
      <w:lvlJc w:val="left"/>
      <w:pPr>
        <w:ind w:left="5760" w:hanging="360"/>
      </w:pPr>
    </w:lvl>
    <w:lvl w:ilvl="8" w:tplc="E9DE9B0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3365C7"/>
    <w:rsid w:val="00453D3C"/>
    <w:rsid w:val="00542C58"/>
    <w:rsid w:val="006646E4"/>
    <w:rsid w:val="006C3CB6"/>
    <w:rsid w:val="006E35E8"/>
    <w:rsid w:val="00743038"/>
    <w:rsid w:val="007A759A"/>
    <w:rsid w:val="00A22D93"/>
    <w:rsid w:val="00A23EA8"/>
    <w:rsid w:val="00AE0BF4"/>
    <w:rsid w:val="00B1129C"/>
    <w:rsid w:val="00CF2F5C"/>
    <w:rsid w:val="00D44A51"/>
    <w:rsid w:val="00DC535E"/>
    <w:rsid w:val="00FA3255"/>
    <w:rsid w:val="012EEF54"/>
    <w:rsid w:val="015AE322"/>
    <w:rsid w:val="027933DB"/>
    <w:rsid w:val="030E52E1"/>
    <w:rsid w:val="037C4E40"/>
    <w:rsid w:val="04559533"/>
    <w:rsid w:val="06EDA7FD"/>
    <w:rsid w:val="07784D1B"/>
    <w:rsid w:val="078F3DA3"/>
    <w:rsid w:val="0889785E"/>
    <w:rsid w:val="09131424"/>
    <w:rsid w:val="093365C7"/>
    <w:rsid w:val="09D9F166"/>
    <w:rsid w:val="0BEAB698"/>
    <w:rsid w:val="0D0A0829"/>
    <w:rsid w:val="0D6E238F"/>
    <w:rsid w:val="0EA5CDAF"/>
    <w:rsid w:val="0ED1030A"/>
    <w:rsid w:val="0FE74D60"/>
    <w:rsid w:val="1073CEA1"/>
    <w:rsid w:val="10F1A3DF"/>
    <w:rsid w:val="12679083"/>
    <w:rsid w:val="1314C4D3"/>
    <w:rsid w:val="13813733"/>
    <w:rsid w:val="154ED309"/>
    <w:rsid w:val="15FDA495"/>
    <w:rsid w:val="170EB3CC"/>
    <w:rsid w:val="1717C04C"/>
    <w:rsid w:val="176D5A9A"/>
    <w:rsid w:val="178C0FE3"/>
    <w:rsid w:val="19C2FB67"/>
    <w:rsid w:val="19F078B7"/>
    <w:rsid w:val="1AD78AE2"/>
    <w:rsid w:val="1B33E06D"/>
    <w:rsid w:val="1B94ADAA"/>
    <w:rsid w:val="1EFD2E25"/>
    <w:rsid w:val="1F5F4422"/>
    <w:rsid w:val="200533D6"/>
    <w:rsid w:val="205D2EA5"/>
    <w:rsid w:val="205FBA3B"/>
    <w:rsid w:val="20796B80"/>
    <w:rsid w:val="2098FE86"/>
    <w:rsid w:val="2226DE49"/>
    <w:rsid w:val="23D40E77"/>
    <w:rsid w:val="23FDE878"/>
    <w:rsid w:val="24384749"/>
    <w:rsid w:val="243DE38C"/>
    <w:rsid w:val="245ECFA1"/>
    <w:rsid w:val="2616C1FE"/>
    <w:rsid w:val="26610060"/>
    <w:rsid w:val="26B5D362"/>
    <w:rsid w:val="276C436A"/>
    <w:rsid w:val="278CDB68"/>
    <w:rsid w:val="27F48A27"/>
    <w:rsid w:val="2815F91E"/>
    <w:rsid w:val="28956BC2"/>
    <w:rsid w:val="28CC3857"/>
    <w:rsid w:val="2A5B3ED0"/>
    <w:rsid w:val="2B2C2AE9"/>
    <w:rsid w:val="2B4F4D71"/>
    <w:rsid w:val="2C87771F"/>
    <w:rsid w:val="2D5AD1E0"/>
    <w:rsid w:val="2D7066E4"/>
    <w:rsid w:val="2DA422AD"/>
    <w:rsid w:val="2DF68767"/>
    <w:rsid w:val="2E31AA47"/>
    <w:rsid w:val="3037355F"/>
    <w:rsid w:val="30D3956B"/>
    <w:rsid w:val="30E4063B"/>
    <w:rsid w:val="329775FA"/>
    <w:rsid w:val="32CBC5C4"/>
    <w:rsid w:val="33AE15FC"/>
    <w:rsid w:val="33C89349"/>
    <w:rsid w:val="341E6DA1"/>
    <w:rsid w:val="34679625"/>
    <w:rsid w:val="347CE0F1"/>
    <w:rsid w:val="34D8FB71"/>
    <w:rsid w:val="358AF92A"/>
    <w:rsid w:val="35D992FD"/>
    <w:rsid w:val="369D8B4F"/>
    <w:rsid w:val="371E8302"/>
    <w:rsid w:val="376AE71D"/>
    <w:rsid w:val="39D52C11"/>
    <w:rsid w:val="3B70FC72"/>
    <w:rsid w:val="3BBECF85"/>
    <w:rsid w:val="3C826777"/>
    <w:rsid w:val="3CEE5334"/>
    <w:rsid w:val="3D5CD77B"/>
    <w:rsid w:val="3E8AC12F"/>
    <w:rsid w:val="3EB17947"/>
    <w:rsid w:val="3EB4A181"/>
    <w:rsid w:val="41038706"/>
    <w:rsid w:val="4154FE07"/>
    <w:rsid w:val="428768F1"/>
    <w:rsid w:val="429F7FA0"/>
    <w:rsid w:val="4485A775"/>
    <w:rsid w:val="456C1C5D"/>
    <w:rsid w:val="45F4C0AA"/>
    <w:rsid w:val="46001FA7"/>
    <w:rsid w:val="462177D6"/>
    <w:rsid w:val="4684983D"/>
    <w:rsid w:val="468C995E"/>
    <w:rsid w:val="49C4EF34"/>
    <w:rsid w:val="4AC5EA71"/>
    <w:rsid w:val="4ADF61EC"/>
    <w:rsid w:val="4B664E45"/>
    <w:rsid w:val="4BD03334"/>
    <w:rsid w:val="4CFD8446"/>
    <w:rsid w:val="4D021EA6"/>
    <w:rsid w:val="4DC677D6"/>
    <w:rsid w:val="4DCEDD74"/>
    <w:rsid w:val="4DFD8B33"/>
    <w:rsid w:val="4EDEEB7C"/>
    <w:rsid w:val="4FE85494"/>
    <w:rsid w:val="51B87B37"/>
    <w:rsid w:val="522F96FA"/>
    <w:rsid w:val="52FA9A59"/>
    <w:rsid w:val="5475A8CA"/>
    <w:rsid w:val="54A588CA"/>
    <w:rsid w:val="55BDBA75"/>
    <w:rsid w:val="5611792B"/>
    <w:rsid w:val="563C6AE5"/>
    <w:rsid w:val="56D23FAF"/>
    <w:rsid w:val="57D83B46"/>
    <w:rsid w:val="59E7EDBE"/>
    <w:rsid w:val="59FF7F84"/>
    <w:rsid w:val="5A11F185"/>
    <w:rsid w:val="5A392BCC"/>
    <w:rsid w:val="5ACCE755"/>
    <w:rsid w:val="5B65BEB0"/>
    <w:rsid w:val="5B99B831"/>
    <w:rsid w:val="5CE232FF"/>
    <w:rsid w:val="5D499247"/>
    <w:rsid w:val="5F2BD4EB"/>
    <w:rsid w:val="5F6F96C8"/>
    <w:rsid w:val="60E20046"/>
    <w:rsid w:val="616880C5"/>
    <w:rsid w:val="61B4AD56"/>
    <w:rsid w:val="62A7378A"/>
    <w:rsid w:val="63D9F8A9"/>
    <w:rsid w:val="645C8FDA"/>
    <w:rsid w:val="64A625E1"/>
    <w:rsid w:val="64DB679E"/>
    <w:rsid w:val="653F1178"/>
    <w:rsid w:val="65E6C953"/>
    <w:rsid w:val="660D860B"/>
    <w:rsid w:val="66DAE1D9"/>
    <w:rsid w:val="66F40A36"/>
    <w:rsid w:val="672FB4DB"/>
    <w:rsid w:val="678590B2"/>
    <w:rsid w:val="688FDA97"/>
    <w:rsid w:val="6B004898"/>
    <w:rsid w:val="6B9755AE"/>
    <w:rsid w:val="6BBD17C9"/>
    <w:rsid w:val="6C1317B9"/>
    <w:rsid w:val="6C7CC78F"/>
    <w:rsid w:val="6CE70663"/>
    <w:rsid w:val="6D9C6AC9"/>
    <w:rsid w:val="6DC119CB"/>
    <w:rsid w:val="6DC23B26"/>
    <w:rsid w:val="6E537904"/>
    <w:rsid w:val="6E8A6523"/>
    <w:rsid w:val="6E998FA3"/>
    <w:rsid w:val="6FA8916C"/>
    <w:rsid w:val="706AC6D1"/>
    <w:rsid w:val="70A08CDC"/>
    <w:rsid w:val="70C4644B"/>
    <w:rsid w:val="70F76969"/>
    <w:rsid w:val="71DBA3A3"/>
    <w:rsid w:val="72108C0A"/>
    <w:rsid w:val="7279F181"/>
    <w:rsid w:val="73990417"/>
    <w:rsid w:val="73D6E51B"/>
    <w:rsid w:val="74771F91"/>
    <w:rsid w:val="74A13F3A"/>
    <w:rsid w:val="756E8F75"/>
    <w:rsid w:val="76CF96AC"/>
    <w:rsid w:val="76D0A4D9"/>
    <w:rsid w:val="77809FCD"/>
    <w:rsid w:val="78086D34"/>
    <w:rsid w:val="7999F32A"/>
    <w:rsid w:val="79A43D95"/>
    <w:rsid w:val="7A48651F"/>
    <w:rsid w:val="7ADB42C4"/>
    <w:rsid w:val="7BD9E07D"/>
    <w:rsid w:val="7BF0546C"/>
    <w:rsid w:val="7C8771FE"/>
    <w:rsid w:val="7CA360FF"/>
    <w:rsid w:val="7E6BAE05"/>
    <w:rsid w:val="7E6D644D"/>
    <w:rsid w:val="7FC4120B"/>
    <w:rsid w:val="7FFF2D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365C7"/>
  <w15:chartTrackingRefBased/>
  <w15:docId w15:val="{CF92FC2F-FA34-4872-98AD-C3ABCE5B1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4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6E4"/>
  </w:style>
  <w:style w:type="paragraph" w:styleId="Footer">
    <w:name w:val="footer"/>
    <w:basedOn w:val="Normal"/>
    <w:link w:val="FooterChar"/>
    <w:uiPriority w:val="99"/>
    <w:unhideWhenUsed/>
    <w:rsid w:val="00664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6E4"/>
  </w:style>
  <w:style w:type="character" w:styleId="PageNumber">
    <w:name w:val="page number"/>
    <w:basedOn w:val="DefaultParagraphFont"/>
    <w:uiPriority w:val="99"/>
    <w:semiHidden/>
    <w:unhideWhenUsed/>
    <w:rsid w:val="007A759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 Id="R3a17c613e26640ba" Type="http://schemas.microsoft.com/office/2019/09/relationships/intelligence" Target="intelligenc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4097</Words>
  <Characters>23358</Characters>
  <Application>Microsoft Office Word</Application>
  <DocSecurity>0</DocSecurity>
  <Lines>194</Lines>
  <Paragraphs>54</Paragraphs>
  <ScaleCrop>false</ScaleCrop>
  <Company/>
  <LinksUpToDate>false</LinksUpToDate>
  <CharactersWithSpaces>27401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Lusharnia Gordon (1905474)</dc:creator>
  <cp:keywords/>
  <dc:description/>
  <cp:lastModifiedBy>King K</cp:lastModifiedBy>
  <cp:revision>11</cp:revision>
  <dcterms:created xsi:type="dcterms:W3CDTF">2022-03-11T09:36:00Z</dcterms:created>
  <dcterms:modified xsi:type="dcterms:W3CDTF">2022-04-08T07:42:00Z</dcterms:modified>
</cp:coreProperties>
</file>