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jc w:val="center"/>
        <w:rPr>
          <w:sz w:val="32"/>
          <w:szCs w:val="32"/>
        </w:rPr>
      </w:pPr>
      <w:r>
        <w:rPr>
          <w:sz w:val="32"/>
          <w:szCs w:val="32"/>
          <w:lang w:eastAsia="en-GB"/>
        </w:rPr>
        <w:drawing xmlns:mc="http://schemas.openxmlformats.org/markup-compatibility/2006">
          <wp:inline distT="0" distB="0" distL="0" distR="0">
            <wp:extent cx="3419952" cy="1476581"/>
            <wp:effectExtent l="0" t="0" r="0" b="0"/>
            <wp:docPr id="42171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srcRect/>
                    <a:stretch>
                      <a:fillRect/>
                    </a:stretch>
                  </pic:blipFill>
                  <pic:spPr>
                    <a:xfrm>
                      <a:off x="0" y="0"/>
                      <a:ext cx="3419952" cy="1476581"/>
                    </a:xfrm>
                    <a:prstGeom prst="rect">
                      <a:avLst/>
                    </a:prstGeom>
                  </pic:spPr>
                </pic:pic>
              </a:graphicData>
            </a:graphic>
          </wp:inline>
        </w:drawing>
      </w:r>
    </w:p>
    <w:p>
      <w:pPr>
        <w:jc w:val="center"/>
        <w:rPr>
          <w:sz w:val="32"/>
          <w:szCs w:val="32"/>
        </w:rPr>
      </w:pPr>
      <w:r>
        <w:rPr>
          <w:rFonts w:ascii="Arial" w:cs="Arial" w:eastAsia="Arial" w:hAnsi="Arial"/>
          <w:b/>
          <w:sz w:val="40"/>
        </w:rPr>
        <w:t>School</w:t>
      </w:r>
      <w:r>
        <w:rPr>
          <w:rFonts w:ascii="Arial" w:cs="Arial" w:eastAsia="Arial" w:hAnsi="Arial"/>
          <w:b/>
          <w:spacing w:val="-4"/>
          <w:sz w:val="40"/>
        </w:rPr>
        <w:t xml:space="preserve"> </w:t>
      </w:r>
      <w:r>
        <w:rPr>
          <w:rFonts w:ascii="Arial" w:cs="Arial" w:eastAsia="Arial" w:hAnsi="Arial"/>
          <w:b/>
          <w:sz w:val="40"/>
        </w:rPr>
        <w:t>of Hospitality</w:t>
      </w:r>
      <w:r>
        <w:rPr>
          <w:rFonts w:ascii="Arial" w:cs="Arial" w:eastAsia="Arial" w:hAnsi="Arial"/>
          <w:b/>
          <w:spacing w:val="-2"/>
          <w:sz w:val="40"/>
        </w:rPr>
        <w:t xml:space="preserve"> </w:t>
      </w:r>
      <w:r>
        <w:rPr>
          <w:rFonts w:ascii="Arial" w:cs="Arial" w:eastAsia="Arial" w:hAnsi="Arial"/>
          <w:b/>
          <w:sz w:val="40"/>
        </w:rPr>
        <w:t>and</w:t>
      </w:r>
      <w:r>
        <w:rPr>
          <w:rFonts w:ascii="Arial" w:cs="Arial" w:eastAsia="Arial" w:hAnsi="Arial"/>
          <w:b/>
          <w:spacing w:val="-2"/>
          <w:sz w:val="40"/>
        </w:rPr>
        <w:t xml:space="preserve"> </w:t>
      </w:r>
      <w:r>
        <w:rPr>
          <w:rFonts w:ascii="Arial" w:cs="Arial" w:eastAsia="Arial" w:hAnsi="Arial"/>
          <w:b/>
          <w:sz w:val="40"/>
        </w:rPr>
        <w:t>Tourism</w:t>
      </w:r>
      <w:r>
        <w:rPr>
          <w:rFonts w:ascii="Arial" w:cs="Arial" w:eastAsia="Arial" w:hAnsi="Arial"/>
          <w:b/>
          <w:spacing w:val="-4"/>
          <w:sz w:val="40"/>
        </w:rPr>
        <w:t xml:space="preserve"> </w:t>
      </w:r>
      <w:r>
        <w:rPr>
          <w:rFonts w:ascii="Arial" w:cs="Arial" w:eastAsia="Arial" w:hAnsi="Arial"/>
          <w:b/>
          <w:sz w:val="40"/>
        </w:rPr>
        <w:t>Management</w:t>
      </w:r>
    </w:p>
    <w:p>
      <w:pPr>
        <w:spacing w:before="272" w:after="0" w:line="240" w:lineRule="auto"/>
        <w:ind w:right="630"/>
        <w:jc w:val="center"/>
        <w:rPr>
          <w:rFonts w:ascii="Arial" w:cs="Arial" w:eastAsia="Arial" w:hAnsi="Arial"/>
          <w:b/>
          <w:sz w:val="36"/>
          <w:u w:val="single"/>
        </w:rPr>
      </w:pPr>
      <w:r>
        <w:rPr>
          <w:rFonts w:ascii="Arial" w:cs="Arial" w:eastAsia="Arial" w:hAnsi="Arial"/>
          <w:b/>
          <w:sz w:val="36"/>
        </w:rPr>
        <w:t>BA</w:t>
      </w:r>
      <w:r>
        <w:rPr>
          <w:rFonts w:ascii="Arial" w:cs="Arial" w:eastAsia="Arial" w:hAnsi="Arial"/>
          <w:b/>
          <w:spacing w:val="-3"/>
          <w:sz w:val="36"/>
        </w:rPr>
        <w:t xml:space="preserve"> </w:t>
      </w:r>
      <w:r>
        <w:rPr>
          <w:rFonts w:ascii="Arial" w:cs="Arial" w:eastAsia="Arial" w:hAnsi="Arial"/>
          <w:b/>
          <w:sz w:val="36"/>
        </w:rPr>
        <w:t>International</w:t>
      </w:r>
      <w:r>
        <w:rPr>
          <w:rFonts w:ascii="Arial" w:cs="Arial" w:eastAsia="Arial" w:hAnsi="Arial"/>
          <w:b/>
          <w:spacing w:val="-2"/>
          <w:sz w:val="36"/>
        </w:rPr>
        <w:t xml:space="preserve"> </w:t>
      </w:r>
      <w:r>
        <w:rPr>
          <w:rFonts w:ascii="Arial" w:cs="Arial" w:eastAsia="Arial" w:hAnsi="Arial"/>
          <w:b/>
          <w:sz w:val="36"/>
        </w:rPr>
        <w:t>Hotel</w:t>
      </w:r>
      <w:r>
        <w:rPr>
          <w:rFonts w:ascii="Arial" w:cs="Arial" w:eastAsia="Arial" w:hAnsi="Arial"/>
          <w:b/>
          <w:spacing w:val="-2"/>
          <w:sz w:val="36"/>
        </w:rPr>
        <w:t xml:space="preserve"> </w:t>
      </w:r>
      <w:r>
        <w:rPr>
          <w:rFonts w:ascii="Arial" w:cs="Arial" w:eastAsia="Arial" w:hAnsi="Arial"/>
          <w:b/>
          <w:sz w:val="36"/>
        </w:rPr>
        <w:t>Management</w:t>
      </w:r>
    </w:p>
    <w:p>
      <w:pPr>
        <w:spacing w:after="0" w:line="240" w:lineRule="auto"/>
        <w:ind w:right="630"/>
        <w:jc w:val="center"/>
        <w:rPr>
          <w:rFonts w:ascii="Arial" w:cs="Arial" w:eastAsia="Arial" w:hAnsi="Arial"/>
          <w:b/>
          <w:sz w:val="36"/>
          <w:u w:val="single"/>
        </w:rPr>
      </w:pPr>
    </w:p>
    <w:p>
      <w:pPr>
        <w:spacing w:after="0" w:line="240" w:lineRule="auto"/>
        <w:ind w:right="630"/>
        <w:jc w:val="center"/>
        <w:rPr>
          <w:rFonts w:ascii="Arial" w:cs="Arial" w:eastAsia="Arial" w:hAnsi="Arial"/>
          <w:b/>
          <w:sz w:val="36"/>
        </w:rPr>
      </w:pPr>
      <w:r>
        <w:rPr>
          <w:rFonts w:ascii="Arial" w:cs="Arial" w:eastAsia="Arial" w:hAnsi="Arial"/>
          <w:b/>
          <w:sz w:val="36"/>
          <w:u w:val="single"/>
        </w:rPr>
        <w:t>Module</w:t>
      </w:r>
      <w:r>
        <w:rPr>
          <w:rFonts w:ascii="Arial" w:cs="Arial" w:eastAsia="Arial" w:hAnsi="Arial"/>
          <w:b/>
          <w:spacing w:val="-3"/>
          <w:sz w:val="36"/>
          <w:u w:val="single"/>
        </w:rPr>
        <w:t xml:space="preserve"> </w:t>
      </w:r>
      <w:r>
        <w:rPr>
          <w:rFonts w:ascii="Arial" w:cs="Arial" w:eastAsia="Arial" w:hAnsi="Arial"/>
          <w:b/>
          <w:sz w:val="36"/>
          <w:u w:val="single"/>
        </w:rPr>
        <w:t>Handbook</w:t>
      </w:r>
    </w:p>
    <w:p>
      <w:pPr>
        <w:spacing w:before="288" w:after="0" w:line="240" w:lineRule="auto"/>
        <w:ind w:right="630"/>
        <w:jc w:val="center"/>
        <w:rPr>
          <w:rFonts w:ascii="Arial" w:cs="Arial" w:eastAsia="Arial" w:hAnsi="Arial"/>
          <w:b/>
          <w:sz w:val="36"/>
        </w:rPr>
      </w:pPr>
      <w:r>
        <w:rPr>
          <w:rFonts w:ascii="Arial" w:cs="Arial" w:eastAsia="Arial" w:hAnsi="Arial"/>
          <w:b/>
          <w:sz w:val="36"/>
        </w:rPr>
        <w:t>BMIH5007</w:t>
      </w:r>
    </w:p>
    <w:p>
      <w:pPr>
        <w:spacing w:before="288" w:after="0" w:line="240" w:lineRule="auto"/>
        <w:ind w:right="630"/>
        <w:jc w:val="center"/>
        <w:rPr>
          <w:rFonts w:ascii="Arial" w:cs="Arial" w:eastAsia="Arial" w:hAnsi="Arial"/>
          <w:b/>
          <w:sz w:val="36"/>
        </w:rPr>
      </w:pPr>
      <w:r>
        <w:rPr>
          <w:rFonts w:ascii="Arial" w:cs="Arial" w:eastAsia="Arial" w:hAnsi="Arial"/>
          <w:b/>
          <w:sz w:val="36"/>
        </w:rPr>
        <w:t>Financial Management for the Hotel Industry</w:t>
      </w:r>
    </w:p>
    <w:p>
      <w:pPr>
        <w:spacing w:before="288" w:after="0" w:line="240" w:lineRule="auto"/>
        <w:ind w:right="630"/>
        <w:jc w:val="center"/>
        <w:rPr>
          <w:rFonts w:ascii="Arial" w:cs="Arial" w:eastAsia="Arial" w:hAnsi="Arial"/>
          <w:b/>
          <w:sz w:val="36"/>
        </w:rPr>
      </w:pPr>
      <w:r>
        <w:rPr>
          <w:rFonts w:ascii="Arial" w:cs="Arial" w:eastAsia="Arial" w:hAnsi="Arial"/>
          <w:b/>
          <w:sz w:val="36"/>
        </w:rPr>
        <w:t>LEVEL</w:t>
      </w:r>
      <w:r>
        <w:rPr>
          <w:rFonts w:ascii="Arial" w:cs="Arial" w:eastAsia="Arial" w:hAnsi="Arial"/>
          <w:b/>
          <w:spacing w:val="-1"/>
          <w:sz w:val="36"/>
        </w:rPr>
        <w:t xml:space="preserve"> </w:t>
      </w:r>
      <w:r>
        <w:rPr>
          <w:rFonts w:ascii="Arial" w:cs="Arial" w:eastAsia="Arial" w:hAnsi="Arial"/>
          <w:b/>
          <w:spacing w:val="-10"/>
          <w:sz w:val="36"/>
        </w:rPr>
        <w:t>5  (Group C)</w:t>
      </w:r>
    </w:p>
    <w:p>
      <w:pPr>
        <w:spacing w:after="0" w:line="240" w:lineRule="auto"/>
        <w:ind w:right="630"/>
        <w:jc w:val="center"/>
        <w:rPr>
          <w:rFonts w:ascii="Arial" w:cs="Arial" w:eastAsia="Arial" w:hAnsi="Arial"/>
          <w:b/>
          <w:sz w:val="36"/>
          <w:u w:val="single"/>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center"/>
        <w:rPr>
          <w:rFonts w:ascii="Segoe UI"/>
          <w:color w:val="000000"/>
          <w:sz w:val="18"/>
          <w:lang w:val="en-US"/>
        </w:rPr>
      </w:pPr>
      <w:r>
        <w:rPr>
          <w:rFonts w:ascii="Arial" w:cs="Arial" w:eastAsia="Arial" w:hAnsi="Arial"/>
          <w:b/>
          <w:sz w:val="36"/>
          <w:u w:val="single"/>
        </w:rPr>
        <w:t>Module</w:t>
      </w:r>
      <w:r>
        <w:rPr>
          <w:rFonts w:ascii="Arial" w:cs="Arial" w:eastAsia="Arial" w:hAnsi="Arial"/>
          <w:b/>
          <w:spacing w:val="-5"/>
          <w:sz w:val="36"/>
          <w:u w:val="single"/>
        </w:rPr>
        <w:t xml:space="preserve"> </w:t>
      </w:r>
      <w:r>
        <w:rPr>
          <w:rFonts w:ascii="Arial" w:cs="Arial" w:eastAsia="Arial" w:hAnsi="Arial"/>
          <w:b/>
          <w:spacing w:val="-5"/>
          <w:sz w:val="36"/>
          <w:u w:val="single"/>
        </w:rPr>
        <w:t>Lectuer: Dale Clarke</w:t>
      </w:r>
    </w:p>
    <w:p>
      <w:pPr>
        <w:spacing w:before="27" w:after="0" w:line="247" w:lineRule="auto"/>
        <w:ind w:right="630"/>
        <w:jc w:val="center"/>
        <w:rPr>
          <w:sz w:val="32"/>
          <w:szCs w:val="32"/>
        </w:rPr>
      </w:pPr>
    </w:p>
    <w:p>
      <w:pPr>
        <w:jc w:val="center"/>
        <w:rPr>
          <w:sz w:val="32"/>
          <w:szCs w:val="32"/>
        </w:rPr>
      </w:pPr>
    </w:p>
    <w:p>
      <w:pPr>
        <w:spacing w:line="259" w:lineRule="auto"/>
        <w:jc w:val="left"/>
        <w:rPr/>
      </w:pPr>
      <w:r>
        <w:rPr/>
        <w:br w:type="page"/>
      </w:r>
    </w:p>
    <w:p>
      <w:pPr>
        <w:pStyle w:val="TOCHeading"/>
        <w:rPr/>
      </w:pPr>
      <w:r>
        <w:t>Contents</w:t>
      </w:r>
    </w:p>
    <w:p>
      <w:pPr>
        <w:pStyle w:val="Toc1"/>
        <w:tabs>
          <w:tab w:val="right" w:leader="dot" w:pos="9350"/>
        </w:tabs>
        <w:rPr>
          <w:rFonts w:asciiTheme="minorHAnsi" w:eastAsiaTheme="minorEastAsia" w:hAnsiTheme="minorHAnsi"/>
          <w:sz w:val="22"/>
          <w:lang w:eastAsia="en-GB"/>
        </w:rPr>
      </w:pPr>
      <w:r>
        <w:fldChar w:fldCharType="begin"/>
      </w:r>
      <w:r>
        <w:instrText xml:space="preserve"> TOC \o "1-3" \h \z \u </w:instrText>
      </w:r>
      <w:r>
        <w:fldChar w:fldCharType="separate"/>
      </w:r>
      <w:r>
        <w:fldChar w:fldCharType="begin"/>
      </w:r>
      <w:r>
        <w:instrText xml:space="preserve">HYPERLINK \l "_Toc135297209" </w:instrText>
      </w:r>
      <w:r>
        <w:fldChar w:fldCharType="separate"/>
      </w:r>
      <w:r>
        <w:rPr>
          <w:rStyle w:val="Hyperlink"/>
        </w:rPr>
        <w:t>Introduction</w:t>
      </w:r>
      <w:r>
        <w:tab/>
      </w:r>
      <w:r>
        <w:fldChar w:fldCharType="begin"/>
      </w:r>
      <w:r>
        <w:instrText xml:space="preserve"> PAGEREF _Toc135297209 \h </w:instrText>
      </w:r>
      <w:r>
        <w:fldChar w:fldCharType="separate"/>
      </w:r>
      <w:r>
        <w:t>3</w:t>
      </w:r>
      <w:r>
        <w:fldChar w:fldCharType="end"/>
      </w:r>
      <w:r>
        <w:fldChar w:fldCharType="end"/>
      </w:r>
    </w:p>
    <w:p>
      <w:pPr>
        <w:pStyle w:val="Toc2"/>
        <w:tabs>
          <w:tab w:val="right" w:leader="dot" w:pos="9350"/>
        </w:tabs>
        <w:rPr>
          <w:rFonts w:asciiTheme="minorHAnsi" w:eastAsiaTheme="minorEastAsia" w:hAnsiTheme="minorHAnsi"/>
          <w:sz w:val="22"/>
          <w:lang w:eastAsia="en-GB"/>
        </w:rPr>
      </w:pPr>
      <w:r>
        <w:fldChar w:fldCharType="begin"/>
      </w:r>
      <w:r>
        <w:instrText xml:space="preserve">HYPERLINK \l "_Toc135297210" </w:instrText>
      </w:r>
      <w:r>
        <w:fldChar w:fldCharType="separate"/>
      </w:r>
      <w:r>
        <w:rPr>
          <w:rStyle w:val="Hyperlink"/>
        </w:rPr>
        <w:t>Overview of Both Organisations</w:t>
      </w:r>
      <w:r>
        <w:tab/>
      </w:r>
      <w:r>
        <w:fldChar w:fldCharType="begin"/>
      </w:r>
      <w:r>
        <w:instrText xml:space="preserve"> PAGEREF _Toc135297210 \h </w:instrText>
      </w:r>
      <w:r>
        <w:fldChar w:fldCharType="separate"/>
      </w:r>
      <w:r>
        <w:t>4</w:t>
      </w:r>
      <w:r>
        <w:fldChar w:fldCharType="end"/>
      </w:r>
      <w:r>
        <w:fldChar w:fldCharType="end"/>
      </w:r>
    </w:p>
    <w:p>
      <w:pPr>
        <w:pStyle w:val="Toc2"/>
        <w:tabs>
          <w:tab w:val="right" w:leader="dot" w:pos="9350"/>
        </w:tabs>
        <w:rPr>
          <w:rFonts w:asciiTheme="minorHAnsi" w:eastAsiaTheme="minorEastAsia" w:hAnsiTheme="minorHAnsi"/>
          <w:sz w:val="22"/>
          <w:lang w:eastAsia="en-GB"/>
        </w:rPr>
      </w:pPr>
      <w:r>
        <w:fldChar w:fldCharType="begin"/>
      </w:r>
      <w:r>
        <w:instrText xml:space="preserve">HYPERLINK \l "_Toc135297211" </w:instrText>
      </w:r>
      <w:r>
        <w:fldChar w:fldCharType="separate"/>
      </w:r>
      <w:r>
        <w:rPr>
          <w:rStyle w:val="Hyperlink"/>
        </w:rPr>
        <w:t>Comparison between the Total Revenue of the two Organisation</w:t>
      </w:r>
      <w:r>
        <w:tab/>
      </w:r>
      <w:r>
        <w:fldChar w:fldCharType="begin"/>
      </w:r>
      <w:r>
        <w:instrText xml:space="preserve"> PAGEREF _Toc135297211 \h </w:instrText>
      </w:r>
      <w:r>
        <w:fldChar w:fldCharType="separate"/>
      </w:r>
      <w:r>
        <w:t>5</w:t>
      </w:r>
      <w:r>
        <w:fldChar w:fldCharType="end"/>
      </w:r>
      <w:r>
        <w:fldChar w:fldCharType="end"/>
      </w:r>
    </w:p>
    <w:p>
      <w:pPr>
        <w:pStyle w:val="Toc2"/>
        <w:tabs>
          <w:tab w:val="right" w:leader="dot" w:pos="9350"/>
        </w:tabs>
        <w:rPr>
          <w:rFonts w:asciiTheme="minorHAnsi" w:eastAsiaTheme="minorEastAsia" w:hAnsiTheme="minorHAnsi"/>
          <w:sz w:val="22"/>
          <w:lang w:eastAsia="en-GB"/>
        </w:rPr>
      </w:pPr>
      <w:r>
        <w:fldChar w:fldCharType="begin"/>
      </w:r>
      <w:r>
        <w:instrText xml:space="preserve">HYPERLINK \l "_Toc135297212" </w:instrText>
      </w:r>
      <w:r>
        <w:fldChar w:fldCharType="separate"/>
      </w:r>
      <w:r>
        <w:rPr>
          <w:rStyle w:val="Hyperlink"/>
        </w:rPr>
        <w:t>Compare between the Market Position of both Organisations</w:t>
      </w:r>
      <w:r>
        <w:tab/>
      </w:r>
      <w:r>
        <w:fldChar w:fldCharType="begin"/>
      </w:r>
      <w:r>
        <w:instrText xml:space="preserve"> PAGEREF _Toc135297212 \h </w:instrText>
      </w:r>
      <w:r>
        <w:fldChar w:fldCharType="separate"/>
      </w:r>
      <w:r>
        <w:t>7</w:t>
      </w:r>
      <w:r>
        <w:fldChar w:fldCharType="end"/>
      </w:r>
      <w:r>
        <w:fldChar w:fldCharType="end"/>
      </w:r>
    </w:p>
    <w:p>
      <w:pPr>
        <w:pStyle w:val="Toc2"/>
        <w:tabs>
          <w:tab w:val="right" w:leader="dot" w:pos="9350"/>
        </w:tabs>
        <w:rPr>
          <w:rFonts w:asciiTheme="minorHAnsi" w:eastAsiaTheme="minorEastAsia" w:hAnsiTheme="minorHAnsi"/>
          <w:sz w:val="22"/>
          <w:lang w:eastAsia="en-GB"/>
        </w:rPr>
      </w:pPr>
      <w:r>
        <w:fldChar w:fldCharType="begin"/>
      </w:r>
      <w:r>
        <w:instrText xml:space="preserve">HYPERLINK \l "_Toc135297213" </w:instrText>
      </w:r>
      <w:r>
        <w:fldChar w:fldCharType="separate"/>
      </w:r>
      <w:r>
        <w:rPr>
          <w:rStyle w:val="Hyperlink"/>
        </w:rPr>
        <w:t>Comparison between the Growth Potential of two Organisation</w:t>
      </w:r>
      <w:r>
        <w:tab/>
      </w:r>
      <w:r>
        <w:fldChar w:fldCharType="begin"/>
      </w:r>
      <w:r>
        <w:instrText xml:space="preserve"> PAGEREF _Toc135297213 \h </w:instrText>
      </w:r>
      <w:r>
        <w:fldChar w:fldCharType="separate"/>
      </w:r>
      <w:r>
        <w:t>9</w:t>
      </w:r>
      <w:r>
        <w:fldChar w:fldCharType="end"/>
      </w:r>
      <w:r>
        <w:fldChar w:fldCharType="end"/>
      </w:r>
    </w:p>
    <w:p>
      <w:pPr>
        <w:pStyle w:val="Toc2"/>
        <w:tabs>
          <w:tab w:val="right" w:leader="dot" w:pos="9350"/>
        </w:tabs>
        <w:rPr>
          <w:rFonts w:asciiTheme="minorHAnsi" w:eastAsiaTheme="minorEastAsia" w:hAnsiTheme="minorHAnsi"/>
          <w:sz w:val="22"/>
          <w:lang w:eastAsia="en-GB"/>
        </w:rPr>
      </w:pPr>
      <w:r>
        <w:fldChar w:fldCharType="begin"/>
      </w:r>
      <w:r>
        <w:instrText xml:space="preserve">HYPERLINK \l "_Toc135297214" </w:instrText>
      </w:r>
      <w:r>
        <w:fldChar w:fldCharType="separate"/>
      </w:r>
      <w:r>
        <w:rPr>
          <w:rStyle w:val="Hyperlink"/>
        </w:rPr>
        <w:t>Comparison between the Financial Commitment of CSR of two Organisation</w:t>
      </w:r>
      <w:r>
        <w:tab/>
      </w:r>
      <w:r>
        <w:fldChar w:fldCharType="begin"/>
      </w:r>
      <w:r>
        <w:instrText xml:space="preserve"> PAGEREF _Toc135297214 \h </w:instrText>
      </w:r>
      <w:r>
        <w:fldChar w:fldCharType="separate"/>
      </w:r>
      <w:r>
        <w:t>11</w:t>
      </w:r>
      <w:r>
        <w:fldChar w:fldCharType="end"/>
      </w:r>
      <w:r>
        <w:fldChar w:fldCharType="end"/>
      </w:r>
    </w:p>
    <w:p>
      <w:pPr>
        <w:pStyle w:val="Toc1"/>
        <w:tabs>
          <w:tab w:val="right" w:leader="dot" w:pos="9350"/>
        </w:tabs>
        <w:rPr>
          <w:rFonts w:asciiTheme="minorHAnsi" w:eastAsiaTheme="minorEastAsia" w:hAnsiTheme="minorHAnsi"/>
          <w:sz w:val="22"/>
          <w:lang w:eastAsia="en-GB"/>
        </w:rPr>
      </w:pPr>
      <w:r>
        <w:fldChar w:fldCharType="begin"/>
      </w:r>
      <w:r>
        <w:instrText xml:space="preserve">HYPERLINK \l "_Toc135297215" </w:instrText>
      </w:r>
      <w:r>
        <w:fldChar w:fldCharType="separate"/>
      </w:r>
      <w:r>
        <w:rPr>
          <w:rStyle w:val="Hyperlink"/>
        </w:rPr>
        <w:t>Conclusion and Recommendations</w:t>
      </w:r>
      <w:r>
        <w:tab/>
      </w:r>
      <w:r>
        <w:fldChar w:fldCharType="begin"/>
      </w:r>
      <w:r>
        <w:instrText xml:space="preserve"> PAGEREF _Toc135297215 \h </w:instrText>
      </w:r>
      <w:r>
        <w:fldChar w:fldCharType="separate"/>
      </w:r>
      <w:r>
        <w:t>13</w:t>
      </w:r>
      <w:r>
        <w:fldChar w:fldCharType="end"/>
      </w:r>
      <w:r>
        <w:fldChar w:fldCharType="end"/>
      </w:r>
    </w:p>
    <w:p>
      <w:pPr>
        <w:pStyle w:val="Toc1"/>
        <w:tabs>
          <w:tab w:val="right" w:leader="dot" w:pos="9350"/>
        </w:tabs>
        <w:rPr>
          <w:rFonts w:asciiTheme="minorHAnsi" w:eastAsiaTheme="minorEastAsia" w:hAnsiTheme="minorHAnsi"/>
          <w:sz w:val="22"/>
          <w:lang w:eastAsia="en-GB"/>
        </w:rPr>
      </w:pPr>
      <w:r>
        <w:fldChar w:fldCharType="begin"/>
      </w:r>
      <w:r>
        <w:instrText xml:space="preserve">HYPERLINK \l "_Toc135297216" </w:instrText>
      </w:r>
      <w:r>
        <w:fldChar w:fldCharType="separate"/>
      </w:r>
      <w:r>
        <w:rPr>
          <w:rStyle w:val="Hyperlink"/>
        </w:rPr>
        <w:t>References</w:t>
      </w:r>
      <w:r>
        <w:tab/>
      </w:r>
      <w:r>
        <w:fldChar w:fldCharType="begin"/>
      </w:r>
      <w:r>
        <w:instrText xml:space="preserve"> PAGEREF _Toc135297216 \h </w:instrText>
      </w:r>
      <w:r>
        <w:fldChar w:fldCharType="separate"/>
      </w:r>
      <w:r>
        <w:t>14</w:t>
      </w:r>
      <w:r>
        <w:fldChar w:fldCharType="end"/>
      </w:r>
      <w:r>
        <w:fldChar w:fldCharType="end"/>
      </w:r>
    </w:p>
    <w:p>
      <w:r>
        <w:fldChar w:fldCharType="end"/>
      </w:r>
    </w:p>
    <w:p>
      <w:pPr>
        <w:spacing w:line="259" w:lineRule="auto"/>
        <w:jc w:val="left"/>
        <w:rPr/>
      </w:pPr>
      <w:r>
        <w:rPr/>
        <w:br w:type="page"/>
      </w:r>
      <w:bookmarkStart w:id="0" w:name="_GoBack"/>
      <w:bookmarkEnd w:id="0"/>
    </w:p>
    <w:p>
      <w:pPr>
        <w:pStyle w:val="Heading1"/>
        <w:rPr/>
      </w:pPr>
      <w:bookmarkStart w:id="1" w:name="_Toc135297209"/>
      <w:r>
        <w:t>Introduction</w:t>
      </w:r>
      <w:bookmarkEnd w:id="1"/>
    </w:p>
    <w:p>
      <w:r>
        <w:t xml:space="preserve">This research project compares and contrasts Marriott International and Accor International, two industry leaders. Each company's methods of financial management and degree of dedication to CSR (Corporate Social Responsibility) are scrutinised. The examination of key parameters including total revenue, market position, growth potential, and financial commitment to corporate social responsibility will help us better grasp the financial plans and sustainable goals of these firms. </w:t>
      </w:r>
      <w:r>
        <w:t>Marriott International and Accor International, being the two largest hotel companies globally, cater to distinct categories of travellers through their respective brand portfolios. This study investigates the methods employed by these enterprises to optimise revenue, reduce costs, and efficiently distribute resources, considering the significance of effective financial administration in achieving corporate objectives and promoting growth. The concept of Corporate Social Responsibility (CSR) has gained significant prominence as a crucial consideration for companies to contemplate in conjunction with financial management. Marriott and Accor have implemented sustainable business practises to mitigate their adverse impact on the environment and promote responsible conduct among their staff. The study focuses on the analysis of the corporate social responsibility (CSR) expenditures of the organisation and their integration into the broader financial management strategies.</w:t>
      </w:r>
      <w:r>
        <w:rPr/>
        <w:br w:type="page"/>
      </w:r>
    </w:p>
    <w:p>
      <w:pPr>
        <w:pStyle w:val="Heading2"/>
        <w:rPr/>
      </w:pPr>
      <w:bookmarkStart w:id="2" w:name="_Toc135297210"/>
      <w:r>
        <w:t>Overview of Both Organisations</w:t>
      </w:r>
      <w:bookmarkEnd w:id="2"/>
    </w:p>
    <w:p>
      <w:r>
        <w:rPr>
          <w:b/>
          <w:bCs/>
        </w:rPr>
        <w:t>Marriot International:</w:t>
      </w:r>
      <w:r>
        <w:t xml:space="preserve"> Marriott International is a globally renowned hotel chain that holds a prominent position in the hospitality sector due to its expansive size and industry leadership. The organisation functions as a worldwide frontrunner in delivering advanced hospitality services and maintains a presence in all significant markets</w:t>
      </w:r>
      <w:r>
        <w:t xml:space="preserve"> (</w:t>
      </w:r>
      <w:r>
        <w:rPr>
          <w:shd w:val="clear" w:color="auto" w:fill="ffffff"/>
        </w:rPr>
        <w:t>How et al, 2021)</w:t>
      </w:r>
      <w:r>
        <w:t>. Marriott has expressed its dedication to enhancing its market position through the optimisation of its revenue streams, the establishment of strategic partnerships, and the implementation of sustainability initiatives.</w:t>
      </w:r>
    </w:p>
    <w:p>
      <w:r>
        <w:rPr>
          <w:b/>
          <w:bCs/>
        </w:rPr>
        <w:t>Accor International:</w:t>
      </w:r>
      <w:r>
        <w:t xml:space="preserve"> Accor International is a prominent hotel conglomerate that functions in various hotel markets, including the economy, mid-range, and luxury segments. Due to its extensive global presence, Accor has emerged as a significant player in the hospitality industry. The company prioritises franchise partnerships, acquisitions, and environmentally sustainable business strategies as a means of expanding and adjusting to the evolving needs of global travellers</w:t>
      </w:r>
      <w:r>
        <w:t xml:space="preserve"> (</w:t>
      </w:r>
      <w:r>
        <w:rPr>
          <w:shd w:val="clear" w:color="auto" w:fill="ffffff"/>
        </w:rPr>
        <w:t>POPȘA</w:t>
      </w:r>
      <w:r>
        <w:rPr>
          <w:shd w:val="clear" w:color="auto" w:fill="ffffff"/>
        </w:rPr>
        <w:t>, 2021)</w:t>
      </w:r>
      <w:r>
        <w:t>.</w:t>
      </w:r>
    </w:p>
    <w:p>
      <w:pPr>
        <w:spacing w:line="259" w:lineRule="auto"/>
        <w:jc w:val="center"/>
        <w:rPr/>
      </w:pPr>
      <w:r>
        <w:rPr>
          <w:lang w:eastAsia="en-GB"/>
          <w14:ligatures w14:val="standardContextual"/>
        </w:rPr>
        <w:drawing xmlns:mc="http://schemas.openxmlformats.org/markup-compatibility/2006">
          <wp:inline distT="0" distB="0" distL="0" distR="0">
            <wp:extent cx="3200400" cy="1457325"/>
            <wp:effectExtent l="0" t="0" r="12471" b="39397"/>
            <wp:docPr id="421719806"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spacing w:line="259" w:lineRule="auto"/>
        <w:jc w:val="center"/>
        <w:rPr/>
      </w:pPr>
      <w:r>
        <w:t>Figure: Marriot International and Accor International</w:t>
      </w:r>
    </w:p>
    <w:p>
      <w:pPr>
        <w:spacing w:line="259" w:lineRule="auto"/>
        <w:jc w:val="center"/>
        <w:rPr/>
      </w:pPr>
      <w:r>
        <w:t>Source: (Author, 2023)</w:t>
      </w:r>
      <w:r>
        <w:rPr/>
        <w:br w:type="page"/>
      </w:r>
    </w:p>
    <w:p>
      <w:pPr>
        <w:pStyle w:val="Heading2"/>
        <w:rPr/>
      </w:pPr>
      <w:bookmarkStart w:id="3" w:name="_Toc135297211"/>
      <w:r>
        <w:t xml:space="preserve">Comparison between </w:t>
      </w:r>
      <w:r>
        <w:t>the T</w:t>
      </w:r>
      <w:r>
        <w:t xml:space="preserve">otal </w:t>
      </w:r>
      <w:r>
        <w:t>R</w:t>
      </w:r>
      <w:r>
        <w:t>evenue of the two Organisation</w:t>
      </w:r>
      <w:bookmarkEnd w:id="3"/>
    </w:p>
    <w:p>
      <w:r>
        <w:t>In the realm of the hospitality industry, Marriott International and Accor International are widely acknowledged as prominent entities, renowned for their extensive hotel chains and global presence. Comparing these businesses based on total revenue is significant as it is directly linked to their financial management.</w:t>
      </w:r>
    </w:p>
    <w:p>
      <w:r>
        <w:t>The total revenue generated by a company is a crucial metric for evaluating its performance and competitiveness. Marriott International exhibits superior financial performance in comparison to Accor International. According to recent financial data, Marriott generated a revenue of $15 billion, whereas Accor recorded a revenue of $5.7 billion. The significant difference in the performance of hotels can be attributed to various factors, including the extent of their hotel networks, their worldwide reach, and their pricing strategy</w:t>
      </w:r>
      <w:r>
        <w:t xml:space="preserve"> (</w:t>
      </w:r>
      <w:r>
        <w:rPr>
          <w:shd w:val="clear" w:color="auto" w:fill="ffffff"/>
        </w:rPr>
        <w:t>Guzeller</w:t>
      </w:r>
      <w:r>
        <w:rPr>
          <w:shd w:val="clear" w:color="auto" w:fill="ffffff"/>
        </w:rPr>
        <w:t xml:space="preserve"> et al, 2020)</w:t>
      </w:r>
      <w:r>
        <w:t>.</w:t>
      </w:r>
    </w:p>
    <w:p>
      <w:r>
        <w:t xml:space="preserve">Marriott International operates a diverse portfolio of hotel brands, including Marriott, </w:t>
      </w:r>
      <w:r>
        <w:t>JW</w:t>
      </w:r>
      <w:r>
        <w:t xml:space="preserve"> Marriott, Ritz-Carlton, and other proprietary labels. These corporations target the demographic of upper-middle-class and affluent customers, leading to a higher revenue stream. Marriott's profitability can be attributed to its successful operations in key regions such as the United States, Europe, and Asia, which have contributed significantly to the company's financial success relative to its competitors</w:t>
      </w:r>
      <w:r>
        <w:t xml:space="preserve"> (</w:t>
      </w:r>
      <w:r>
        <w:rPr>
          <w:shd w:val="clear" w:color="auto" w:fill="ffffff"/>
        </w:rPr>
        <w:t>Guzzo</w:t>
      </w:r>
      <w:r>
        <w:rPr>
          <w:shd w:val="clear" w:color="auto" w:fill="ffffff"/>
        </w:rPr>
        <w:t xml:space="preserve"> et al, 2020)</w:t>
      </w:r>
      <w:r>
        <w:t>.</w:t>
      </w:r>
    </w:p>
    <w:p>
      <w:r>
        <w:t>In contrast, Accor International oversees a diverse range of brands spanning various price tiers, encompassing budget, upper-middle-class, and luxury categories. The capacity of Accor to cater to a larger clientele and enhance its market participation can be directly attributed to the firm's diversification strategy. It is plausible that Accor's overall revenue may be comparatively lower than that of Marriott, given that the mean price point of Accor's brand portfolio is lower in comparison to the premium brand offerings of Marriott.</w:t>
      </w:r>
    </w:p>
    <w:p>
      <w:r>
        <w:t xml:space="preserve">The prudent management of finances is crucial for the prosperity of both enterprises. Marriott International adopts a strategic financial management approach by placing emphasis on revenue optimisation and expense reduction. The company employs advanced revenue management software to enhance lodging rates and occupancy. Marriott emphasises the importance of loyalty programmes such as Marriott </w:t>
      </w:r>
      <w:r>
        <w:t>Bonvoy</w:t>
      </w:r>
      <w:r>
        <w:t xml:space="preserve"> in promoting repeat visits and generating additional revenue streams</w:t>
      </w:r>
      <w:r>
        <w:t xml:space="preserve"> (</w:t>
      </w:r>
      <w:r>
        <w:rPr>
          <w:shd w:val="clear" w:color="auto" w:fill="ffffff"/>
        </w:rPr>
        <w:t>Guzzo</w:t>
      </w:r>
      <w:r>
        <w:rPr>
          <w:shd w:val="clear" w:color="auto" w:fill="ffffff"/>
        </w:rPr>
        <w:t xml:space="preserve"> et al, 2020)</w:t>
      </w:r>
      <w:r>
        <w:t>.</w:t>
      </w:r>
    </w:p>
    <w:p>
      <w:r>
        <w:t>Accor International places a high emphasis on financial efficiency in its efforts to enhance its profitability. The company employs revenue management techniques to establish pricing and occupancy levels that are most advantageous for its diverse range of brands, with the ultimate goal of maximising profits</w:t>
      </w:r>
      <w:r>
        <w:t xml:space="preserve"> (</w:t>
      </w:r>
      <w:r>
        <w:rPr>
          <w:shd w:val="clear" w:color="auto" w:fill="ffffff"/>
        </w:rPr>
        <w:t>Guzeller</w:t>
      </w:r>
      <w:r>
        <w:rPr>
          <w:shd w:val="clear" w:color="auto" w:fill="ffffff"/>
        </w:rPr>
        <w:t xml:space="preserve"> et al, 2020)</w:t>
      </w:r>
      <w:r>
        <w:t>. Accor leverages its franchise strategy to swiftly penetrate new markets and augment its revenue stream through franchise fees, while simultaneously containing expenses.</w:t>
      </w:r>
    </w:p>
    <w:p>
      <w:pPr>
        <w:rPr>
          <w:lang w:val="en-US"/>
        </w:rPr>
      </w:pPr>
      <w:r>
        <w:t xml:space="preserve">Marriott and Accor have acknowledged the significance of diversifying their business models to encompass revenue streams beyond lodging charges. To enhance customer experience and increase revenue, investments are made in amenities such as a spa and restaurant. </w:t>
      </w:r>
      <w:r>
        <w:t>As a result of enacting these measures, their total income has increased.</w:t>
      </w:r>
    </w:p>
    <w:p/>
    <w:p>
      <w:r>
        <w:rPr/>
        <w:br w:type="page"/>
      </w:r>
    </w:p>
    <w:p>
      <w:pPr>
        <w:pStyle w:val="Heading2"/>
        <w:rPr/>
      </w:pPr>
      <w:bookmarkStart w:id="4" w:name="_Toc135297212"/>
      <w:r>
        <w:t>Compar</w:t>
      </w:r>
      <w:r>
        <w:t>e</w:t>
      </w:r>
      <w:r>
        <w:t xml:space="preserve"> between the Market Position of</w:t>
      </w:r>
      <w:r>
        <w:t xml:space="preserve"> both</w:t>
      </w:r>
      <w:r>
        <w:t xml:space="preserve"> Organisation</w:t>
      </w:r>
      <w:r>
        <w:t>s</w:t>
      </w:r>
      <w:bookmarkEnd w:id="4"/>
    </w:p>
    <w:p>
      <w:r>
        <w:t>A company's success or failure in a given market is heavily dependent on its standing and share in that market. Many important considerations should be considered when comparing Marriott International with Accor International in terms of their market standing and financial management.</w:t>
      </w:r>
    </w:p>
    <w:p>
      <w:r>
        <w:t xml:space="preserve">Marriott International has a significant position in the international hotel business. The company is responsible for running various five-star hotels, including </w:t>
      </w:r>
      <w:r>
        <w:t>Marriotts</w:t>
      </w:r>
      <w:r>
        <w:t xml:space="preserve">, </w:t>
      </w:r>
      <w:r>
        <w:t>JW</w:t>
      </w:r>
      <w:r>
        <w:t xml:space="preserve"> </w:t>
      </w:r>
      <w:r>
        <w:t>Marriotts</w:t>
      </w:r>
      <w:r>
        <w:t>, and The Ritz-Carlton. The prestigious reputation and substantial financial resources associated with these brands are largely responsible for Marriott's ability to establish a presence in the higher echelons of the market. According to Morgan and Pritchard (2019), Marriott's strategic positioning in the market is what allows the company to consistently create high profits and remain ahead of the competition.</w:t>
      </w:r>
    </w:p>
    <w:p>
      <w:r>
        <w:t>Unlike any other hotel network, Accor International manages a wide variety of hotel brands, from budget to luxury. Accor is better positioned strategically in the market since it represents hotels across a wide range of price points. Because of its flexibility and readiness to serve a wide range of consumers, including those with modest means, Accor has become a market leader (</w:t>
      </w:r>
      <w:r>
        <w:t>Giousmpasoglou</w:t>
      </w:r>
      <w:r>
        <w:t xml:space="preserve"> et al, 2021).</w:t>
      </w:r>
    </w:p>
    <w:p>
      <w:r>
        <w:t>Marriott International has had a substantial impact on various vital areas throughout the world. The corporation possesses numerous assets situated in prominent urban centres across the United States, Europe, and Asia. Marriott's extensive network provides it with a competitive advantage, enabling the company to leverage economies of scale, establish strategic partnerships, and expand its customer base, thereby enhancing its market share.</w:t>
      </w:r>
    </w:p>
    <w:p>
      <w:r>
        <w:t>Accor International has attained a robust standing in the corporate realm and a pervasive global footprint. The corporation maintains a worldwide reach, with its business activities spanning Europe, the Asia-Pacific region, and South America. Accor has expanded its market presence and diversified its operations through strategic mergers, collaborations, and franchising arrangements.</w:t>
      </w:r>
    </w:p>
    <w:p>
      <w:r>
        <w:t xml:space="preserve">Marriott and Accor place significant emphasis on effective financial management to sustain and enhance their market position. Marriott International emphasises financial management strategies that prioritise revenue optimisation and cost reduction. The firm employs advanced revenue management tools and pricing techniques to optimise hotel prices and occupancy rates. Marriott's </w:t>
      </w:r>
      <w:r>
        <w:t>ability to sustain its premium market position and augment its average daily fee can be attributed, in part, to its astute financial management</w:t>
      </w:r>
      <w:r>
        <w:t xml:space="preserve"> (</w:t>
      </w:r>
      <w:r>
        <w:rPr>
          <w:shd w:val="clear" w:color="auto" w:fill="ffffff"/>
        </w:rPr>
        <w:t>Morgan and Pritchard, 2019)</w:t>
      </w:r>
      <w:r>
        <w:t>.</w:t>
      </w:r>
    </w:p>
    <w:p>
      <w:r>
        <w:t>Accor International's robust market position and sound financial management practises are integral to its success. The corporation utilises revenue management strategies to optimise profits across its diverse portfolio of brands. Accor has achieved rapid expansion into new areas and consolidation of its position in existing ones due to the efficacy and scalability of its franchise model.</w:t>
      </w:r>
    </w:p>
    <w:p>
      <w:r>
        <w:t>Sustaining their market shares necessitates continual innovation and investment in their lodging establishments and amenities, a concept that is well comprehended by both Marriott and Accor. The organisation allocates funds for enhancing the facility, upgrading the infrastructure, and providing amenities for guests. These expenditures have the potential to enhance client retention, foster positive brand awareness, and facilitate new client acquisition.</w:t>
      </w:r>
    </w:p>
    <w:p>
      <w:pPr>
        <w:spacing w:line="259" w:lineRule="auto"/>
        <w:jc w:val="left"/>
        <w:rPr/>
      </w:pPr>
      <w:r>
        <w:rPr/>
        <w:br w:type="page"/>
      </w:r>
    </w:p>
    <w:p>
      <w:pPr>
        <w:pStyle w:val="Heading2"/>
        <w:rPr/>
      </w:pPr>
      <w:bookmarkStart w:id="5" w:name="_Toc135297213"/>
      <w:r>
        <w:t>Comparison between the Growth Potential of two Organisation</w:t>
      </w:r>
      <w:bookmarkEnd w:id="5"/>
    </w:p>
    <w:p>
      <w:r>
        <w:t>Effective financial management is a crucial element in facilitating and enhancing a firm's growth prospects, thereby serving as a key determinant of the company's sustained prosperity. When comparing Marriott International and Accor International in terms of development potential and its correlation with financial management, various crucial factors come into consideration.</w:t>
      </w:r>
    </w:p>
    <w:p>
      <w:r>
        <w:t>The ascent and expansion of Marriott International have been extensively recorded. To attain natural expansion, the company is focusing on augmenting its brand portfolio, exploring novel domains, and leveraging its customer retention strategies. Marriott's financial management practises are aligned with the company's growth objectives by directing resources towards strategic projects that are geared towards development</w:t>
      </w:r>
      <w:r>
        <w:t xml:space="preserve"> (</w:t>
      </w:r>
      <w:r>
        <w:rPr>
          <w:rFonts w:eastAsia="Arial"/>
        </w:rPr>
        <w:t>Drury et al, 2015)</w:t>
      </w:r>
      <w:r>
        <w:t>. To increase its market share and diversify its product portfolio, the company meticulously evaluates potential investment opportunities and proactively pursues strategic partnerships and acquisitions. Marriott's strategic financial management enables the organisation to allocate resources towards expansion initiatives and capitalise on nascent business prospects.</w:t>
      </w:r>
    </w:p>
    <w:p>
      <w:r>
        <w:t>Accor International has identified the hospitality sector as a promising area for development. The corporation endeavours to achieve growth through diverse avenues such as exploring novel markets, executing strategic acquisitions, and establishing franchise collaborations. Accor's strategic plans are focused on optimising its growth potential to achieve maximum development. The franchise model enables Accor to expand rapidly into novel territories with minimal initial capital investment</w:t>
      </w:r>
      <w:r>
        <w:t xml:space="preserve"> (</w:t>
      </w:r>
      <w:r>
        <w:rPr>
          <w:rFonts w:eastAsia="Arial"/>
        </w:rPr>
        <w:t>Guilding</w:t>
      </w:r>
      <w:r>
        <w:rPr>
          <w:rFonts w:eastAsia="Arial"/>
        </w:rPr>
        <w:t>, 2013)</w:t>
      </w:r>
      <w:r>
        <w:t>. Accor leverages rigorous fiscal management practises, such as revenue optimisation and cost control techniques, to effectively maximise profits and allocate them towards expansion initiatives.</w:t>
      </w:r>
    </w:p>
    <w:p>
      <w:r>
        <w:t>Marriott and Accor comprehend the significance of adaptability in the context of changing customer preferences and industry dynamics, as it is crucial to sustaining their rates of expansion. The company allocated funds towards research and development to deliver exceptional service to its clientele and maintain a competitive edge. Effective financial management is crucial for directing resources towards research and development, technological advancements, and service enhancements</w:t>
      </w:r>
      <w:r>
        <w:t xml:space="preserve"> (</w:t>
      </w:r>
      <w:r>
        <w:t>Atrill</w:t>
      </w:r>
      <w:r>
        <w:t xml:space="preserve"> and </w:t>
      </w:r>
      <w:r>
        <w:t>McLaney</w:t>
      </w:r>
      <w:r>
        <w:t>, 2015)</w:t>
      </w:r>
      <w:r>
        <w:t>. Consequent to these disbursements, the enterprise is more proficient in attracting novel customers and retaining its existing clientele.</w:t>
      </w:r>
    </w:p>
    <w:p>
      <w:r>
        <w:t>Both entities acknowledge the significance of expanding their financial bases beyond the conventional hotel room tariff. The organisation is consistently seeking novel opportunities for expansion through diversification into associated sectors such as the hospitality industry. The success of these endeavours can be facilitated by proficient financial management, which can furnish the necessary capital for investment in novel revenue-generating ventures and guarantee their profitability.</w:t>
      </w:r>
    </w:p>
    <w:p>
      <w:r>
        <w:t>The hospitality industry has undergone significant growth due to its adoption of sustainable practises and commitment to environmental stewardship. Marriott and Accor have demonstrated their dedication to environmental responsibility by implementing sustainable practises across their respective enterprises. Due to their meticulous financial management, they possess the capability to allocate resources towards the acquisition of energy-efficient technology, implementation of waste reduction strategies, and adoption of ethical sourcing practises</w:t>
      </w:r>
      <w:r>
        <w:t xml:space="preserve"> (</w:t>
      </w:r>
      <w:r>
        <w:rPr>
          <w:rFonts w:eastAsia="Arial"/>
        </w:rPr>
        <w:t>Tranter et al, 2013)</w:t>
      </w:r>
      <w:r>
        <w:t>. Both enterprises stand to gain from the burgeoning market of environmentally aware consumers, owing to their demonstrated commitment to sustainable practises.</w:t>
      </w:r>
    </w:p>
    <w:p>
      <w:pPr>
        <w:spacing w:line="259" w:lineRule="auto"/>
        <w:jc w:val="left"/>
        <w:rPr/>
      </w:pPr>
      <w:r>
        <w:rPr/>
        <w:br w:type="page"/>
      </w:r>
    </w:p>
    <w:p>
      <w:pPr>
        <w:pStyle w:val="Heading2"/>
        <w:rPr/>
      </w:pPr>
      <w:bookmarkStart w:id="6" w:name="_Toc135297214"/>
      <w:r>
        <w:t>Comparison between the Financial Commitment of CSR of two Organisation</w:t>
      </w:r>
      <w:bookmarkEnd w:id="6"/>
    </w:p>
    <w:p>
      <w:r>
        <w:t>Effective financial management is a crucial element in facilitating and enhancing a firm's growth prospects, thereby serving as a key determinant of the company's sustained prosperity. When comparing Marriott International and Accor International in terms of development potential and its correlation with financial management, various crucial factors come into consideration.</w:t>
      </w:r>
    </w:p>
    <w:p>
      <w:r>
        <w:t>The ascent and expansion of Marriott International have been extensively recorded. To attain natural expansion, the company is focusing on augmenting its brand portfolio, exploring novel domains, and leveraging its customer retention strategies. Marriott's financial management practises are aligned with the company's growth objectives by directing resources towards strategic projects that are geared towards development</w:t>
      </w:r>
      <w:r>
        <w:t xml:space="preserve"> (</w:t>
      </w:r>
      <w:r>
        <w:rPr>
          <w:shd w:val="clear" w:color="auto" w:fill="ffffff"/>
        </w:rPr>
        <w:t>Campos et al, 2022)</w:t>
      </w:r>
      <w:r>
        <w:t>. To increase its market share and diversify its product portfolio, the company meticulously evaluates potential investment opportunities and proactively pursues strategic partnerships and acquisitions. Marriott's strategic financial management enables the organisation to allocate resources towards expansion initiatives and capitalise on nascent business prospects.</w:t>
      </w:r>
    </w:p>
    <w:p>
      <w:r>
        <w:t>Accor International has identified the hospitality sector as a promising area for development. The corporation endeavours to achieve growth through diverse avenues such as exploring novel markets, executing strategic acquisitions, and establishing franchise collaborations. Accor's strategic plans are focused on optimising its growth potential to achieve maximum development. The franchise model enables Accor to expand rapidly into novel territories with minimal initial capital investment. Accor leverages rigorous fiscal management practises, such as revenue optimisation and cost control techniques, to effectively maximise profits and allocate them towards expansion initiatives.</w:t>
      </w:r>
    </w:p>
    <w:p>
      <w:r>
        <w:t>Marriott and Accor comprehend the significance of adaptability in the context of changing customer preferences and industry dynamics, as it is crucial to sustaining their rates of expansion. The company allocated funds towards research and development to deliver exceptional service to its clientele and maintain a competitive edge. Effective financial management is crucial for directing resources towards research and development, technological advancements, and service enhancements</w:t>
      </w:r>
      <w:r>
        <w:t xml:space="preserve"> (</w:t>
      </w:r>
      <w:r>
        <w:rPr>
          <w:shd w:val="clear" w:color="auto" w:fill="ffffff"/>
        </w:rPr>
        <w:t>Vărzaru</w:t>
      </w:r>
      <w:r>
        <w:rPr>
          <w:shd w:val="clear" w:color="auto" w:fill="ffffff"/>
        </w:rPr>
        <w:t xml:space="preserve"> et al, 2022)</w:t>
      </w:r>
      <w:r>
        <w:t>. Consequent to these disbursements, the enterprise is more proficient in attracting novel customers and retaining its existing clientele.</w:t>
      </w:r>
    </w:p>
    <w:p>
      <w:r>
        <w:t>Both entities acknowledge the significance of expanding their financial bases beyond the conventional hotel room tariff. The organisation is consistently seeking novel opportunities for expansion through diversification into associated sectors such as the hospitality industry. The success of these endeavours can be facilitated by proficient financial management, which can furnish the necessary capital for investment in novel revenue-generating ventures and guarantee their profitability.</w:t>
      </w:r>
    </w:p>
    <w:p>
      <w:r>
        <w:t>The hospitality industry has undergone significant growth due to its adoption of sustainable practises and commitment to environmental stewardship. Marriott and Accor have demonstrated their dedication to environmental responsibility by implementing sustainable practises across their respective enterprises. Due to their meticulous financial management, they possess the capability to allocate resources towards the acquisition of energy-efficient technology, implementation of waste reduction strategies, and adoption of ethical sourcing practises</w:t>
      </w:r>
      <w:r>
        <w:t xml:space="preserve"> (</w:t>
      </w:r>
      <w:r>
        <w:rPr>
          <w:shd w:val="clear" w:color="auto" w:fill="ffffff"/>
        </w:rPr>
        <w:t>Paulino</w:t>
      </w:r>
      <w:r>
        <w:rPr>
          <w:shd w:val="clear" w:color="auto" w:fill="ffffff"/>
        </w:rPr>
        <w:t xml:space="preserve"> et al, 2023)</w:t>
      </w:r>
      <w:r>
        <w:t>. Both enterprises stand to gain from the burgeoning market of environmentally aware consumers, owing to their demonstrated commitment to sustainable practises.</w:t>
      </w:r>
    </w:p>
    <w:p>
      <w:pPr>
        <w:spacing w:line="259" w:lineRule="auto"/>
        <w:jc w:val="left"/>
        <w:rPr/>
      </w:pPr>
      <w:r>
        <w:rPr/>
        <w:br w:type="page"/>
      </w:r>
    </w:p>
    <w:p>
      <w:pPr>
        <w:pStyle w:val="Heading1"/>
        <w:rPr/>
      </w:pPr>
      <w:bookmarkStart w:id="7" w:name="_Toc135297215"/>
      <w:r>
        <w:t>Conclusion</w:t>
      </w:r>
      <w:r>
        <w:t xml:space="preserve"> and Recommendations</w:t>
      </w:r>
      <w:bookmarkEnd w:id="7"/>
    </w:p>
    <w:p>
      <w:r>
        <w:t>To sum up, the analysis of Marriott International and Accor International demonstrates that these entities adopt distinct strategies in terms of financial administration and corporate social responsibility. Marriott's commitment to the luxury segment, global presence, and deliberate partnerships present a juxtaposition to Accor's emphasis on brand variety and expansion through franchising. Both entities prioritise revenue maximisation, cost control, and the financing of sustainable practises as fundamental principles of their financial management approaches. It is widely acknowledged that allocating resources towards corporate social responsibility (CSR) initiatives can yield positive outcomes for businesses, including enhanced brand loyalty, increased stakeholder engagement, and the promotion of sustainable profitability. Marriott and Accor have demonstrated their dedication to sustainability and ethical business practises within the highly competitive hotel industry by allocating financial resources towards corporate social responsibility objectives.</w:t>
      </w:r>
    </w:p>
    <w:p>
      <w:pPr>
        <w:spacing w:line="259" w:lineRule="auto"/>
        <w:jc w:val="left"/>
        <w:rPr/>
      </w:pPr>
      <w:r>
        <w:rPr/>
        <w:br w:type="page"/>
      </w:r>
    </w:p>
    <w:p>
      <w:pPr>
        <w:pStyle w:val="Heading1"/>
        <w:rPr/>
      </w:pPr>
      <w:bookmarkStart w:id="8" w:name="_Toc135297216"/>
      <w:r>
        <w:t>References</w:t>
      </w:r>
      <w:bookmarkEnd w:id="8"/>
    </w:p>
    <w:p>
      <w:r>
        <w:t>Atrill</w:t>
      </w:r>
      <w:r>
        <w:t xml:space="preserve"> P, </w:t>
      </w:r>
      <w:r>
        <w:t>McLaney</w:t>
      </w:r>
      <w:r>
        <w:t xml:space="preserve"> E (2015) Management Accounting for Decision Makers, FT Prentice Hall</w:t>
      </w:r>
    </w:p>
    <w:p>
      <w:pPr>
        <w:rPr>
          <w:shd w:val="clear" w:color="auto" w:fill="ffffff"/>
        </w:rPr>
      </w:pPr>
      <w:bookmarkStart w:id="9" w:name="_Hlk135256792"/>
      <w:r>
        <w:rPr>
          <w:shd w:val="clear" w:color="auto" w:fill="ffffff"/>
        </w:rPr>
        <w:t>Campos</w:t>
      </w:r>
      <w:bookmarkEnd w:id="9"/>
      <w:r>
        <w:rPr>
          <w:shd w:val="clear" w:color="auto" w:fill="ffffff"/>
        </w:rPr>
        <w:t>, F., Lima Santos, L., Gomes, C. and Cardoso, L., 2022. Management Accounting Practices in the Hospitality Industry: A Systematic Review and Critical Approach. </w:t>
      </w:r>
      <w:r>
        <w:rPr>
          <w:i/>
          <w:iCs/>
          <w:shd w:val="clear" w:color="auto" w:fill="ffffff"/>
        </w:rPr>
        <w:t>Tourism and Hospitality</w:t>
      </w:r>
      <w:r>
        <w:rPr>
          <w:shd w:val="clear" w:color="auto" w:fill="ffffff"/>
        </w:rPr>
        <w:t>, </w:t>
      </w:r>
      <w:r>
        <w:rPr>
          <w:i/>
          <w:iCs/>
          <w:shd w:val="clear" w:color="auto" w:fill="ffffff"/>
        </w:rPr>
        <w:t>3</w:t>
      </w:r>
      <w:r>
        <w:rPr>
          <w:shd w:val="clear" w:color="auto" w:fill="ffffff"/>
        </w:rPr>
        <w:t xml:space="preserve">(1), </w:t>
      </w:r>
      <w:r>
        <w:rPr>
          <w:shd w:val="clear" w:color="auto" w:fill="ffffff"/>
        </w:rPr>
        <w:t>pp.243</w:t>
      </w:r>
      <w:r>
        <w:rPr>
          <w:shd w:val="clear" w:color="auto" w:fill="ffffff"/>
        </w:rPr>
        <w:t>-264.</w:t>
      </w:r>
    </w:p>
    <w:p>
      <w:bookmarkStart w:id="10" w:name="_Hlk135256664"/>
      <w:r>
        <w:t xml:space="preserve">Drury </w:t>
      </w:r>
      <w:bookmarkEnd w:id="10"/>
      <w:r>
        <w:t>C (2015) (9</w:t>
      </w:r>
      <w:r>
        <w:rPr>
          <w:vertAlign w:val="superscript"/>
        </w:rPr>
        <w:t>th</w:t>
      </w:r>
      <w:r>
        <w:t xml:space="preserve"> Ed) Management and Cost Accounting, London, Prentice Hall</w:t>
      </w:r>
    </w:p>
    <w:p>
      <w:pPr>
        <w:rPr>
          <w:shd w:val="clear" w:color="auto" w:fill="ffffff"/>
        </w:rPr>
      </w:pPr>
      <w:bookmarkStart w:id="11" w:name="_Hlk135256618"/>
      <w:r>
        <w:rPr>
          <w:shd w:val="clear" w:color="auto" w:fill="ffffff"/>
        </w:rPr>
        <w:t>Giousmpasoglou</w:t>
      </w:r>
      <w:bookmarkEnd w:id="11"/>
      <w:r>
        <w:rPr>
          <w:shd w:val="clear" w:color="auto" w:fill="ffffff"/>
        </w:rPr>
        <w:t xml:space="preserve">, C., </w:t>
      </w:r>
      <w:r>
        <w:rPr>
          <w:shd w:val="clear" w:color="auto" w:fill="ffffff"/>
        </w:rPr>
        <w:t>Marinakou</w:t>
      </w:r>
      <w:r>
        <w:rPr>
          <w:shd w:val="clear" w:color="auto" w:fill="ffffff"/>
        </w:rPr>
        <w:t xml:space="preserve">, E. and </w:t>
      </w:r>
      <w:r>
        <w:rPr>
          <w:shd w:val="clear" w:color="auto" w:fill="ffffff"/>
        </w:rPr>
        <w:t>Zopiatis</w:t>
      </w:r>
      <w:r>
        <w:rPr>
          <w:shd w:val="clear" w:color="auto" w:fill="ffffff"/>
        </w:rPr>
        <w:t xml:space="preserve">, A., 2021. Hospitality managers in turbulent times: the </w:t>
      </w:r>
      <w:r>
        <w:rPr>
          <w:shd w:val="clear" w:color="auto" w:fill="ffffff"/>
        </w:rPr>
        <w:t>COVID</w:t>
      </w:r>
      <w:r>
        <w:rPr>
          <w:shd w:val="clear" w:color="auto" w:fill="ffffff"/>
        </w:rPr>
        <w:t>-19 crisis.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 xml:space="preserve">(4), </w:t>
      </w:r>
      <w:r>
        <w:rPr>
          <w:shd w:val="clear" w:color="auto" w:fill="ffffff"/>
        </w:rPr>
        <w:t>pp.1297</w:t>
      </w:r>
      <w:r>
        <w:rPr>
          <w:shd w:val="clear" w:color="auto" w:fill="ffffff"/>
        </w:rPr>
        <w:t>-1318.</w:t>
      </w:r>
    </w:p>
    <w:p>
      <w:bookmarkStart w:id="12" w:name="_Hlk135256692"/>
      <w:r>
        <w:t>Guilding</w:t>
      </w:r>
      <w:bookmarkEnd w:id="12"/>
      <w:r>
        <w:t>, C</w:t>
      </w:r>
      <w:r>
        <w:t>.(</w:t>
      </w:r>
      <w:r>
        <w:t>2013) Accounting Essentials for Hospitality Managers, London, Taylor and Francis.</w:t>
      </w:r>
    </w:p>
    <w:p>
      <w:pPr>
        <w:rPr>
          <w:shd w:val="clear" w:color="auto" w:fill="ffffff"/>
        </w:rPr>
      </w:pPr>
      <w:bookmarkStart w:id="13" w:name="_Hlk135256493"/>
      <w:r>
        <w:rPr>
          <w:shd w:val="clear" w:color="auto" w:fill="ffffff"/>
        </w:rPr>
        <w:t>Guzeller</w:t>
      </w:r>
      <w:bookmarkEnd w:id="13"/>
      <w:r>
        <w:rPr>
          <w:shd w:val="clear" w:color="auto" w:fill="ffffff"/>
        </w:rPr>
        <w:t xml:space="preserve">, C.O. and </w:t>
      </w:r>
      <w:r>
        <w:rPr>
          <w:shd w:val="clear" w:color="auto" w:fill="ffffff"/>
        </w:rPr>
        <w:t>Celiker</w:t>
      </w:r>
      <w:r>
        <w:rPr>
          <w:shd w:val="clear" w:color="auto" w:fill="ffffff"/>
        </w:rPr>
        <w:t>, N., 2020. Examining the relationship between organizational commitment and turnover intention via a meta-analysis. </w:t>
      </w:r>
      <w:r>
        <w:rPr>
          <w:i/>
          <w:iCs/>
          <w:shd w:val="clear" w:color="auto" w:fill="ffffff"/>
        </w:rPr>
        <w:t>International Journal of Culture, Tourism and Hospitality Research</w:t>
      </w:r>
      <w:r>
        <w:rPr>
          <w:shd w:val="clear" w:color="auto" w:fill="ffffff"/>
        </w:rPr>
        <w:t>, </w:t>
      </w:r>
      <w:r>
        <w:rPr>
          <w:i/>
          <w:iCs/>
          <w:shd w:val="clear" w:color="auto" w:fill="ffffff"/>
        </w:rPr>
        <w:t>14</w:t>
      </w:r>
      <w:r>
        <w:rPr>
          <w:shd w:val="clear" w:color="auto" w:fill="ffffff"/>
        </w:rPr>
        <w:t xml:space="preserve">(1), </w:t>
      </w:r>
      <w:r>
        <w:rPr>
          <w:shd w:val="clear" w:color="auto" w:fill="ffffff"/>
        </w:rPr>
        <w:t>pp.102</w:t>
      </w:r>
      <w:r>
        <w:rPr>
          <w:shd w:val="clear" w:color="auto" w:fill="ffffff"/>
        </w:rPr>
        <w:t>-120.</w:t>
      </w:r>
    </w:p>
    <w:p>
      <w:pPr>
        <w:rPr>
          <w:shd w:val="clear" w:color="auto" w:fill="ffffff"/>
        </w:rPr>
      </w:pPr>
      <w:bookmarkStart w:id="14" w:name="_Hlk135256526"/>
      <w:r>
        <w:rPr>
          <w:shd w:val="clear" w:color="auto" w:fill="ffffff"/>
        </w:rPr>
        <w:t>Guzzo</w:t>
      </w:r>
      <w:bookmarkEnd w:id="14"/>
      <w:r>
        <w:rPr>
          <w:shd w:val="clear" w:color="auto" w:fill="ffffff"/>
        </w:rPr>
        <w:t xml:space="preserve">, </w:t>
      </w:r>
      <w:r>
        <w:rPr>
          <w:shd w:val="clear" w:color="auto" w:fill="ffffff"/>
        </w:rPr>
        <w:t>R.F</w:t>
      </w:r>
      <w:r>
        <w:rPr>
          <w:shd w:val="clear" w:color="auto" w:fill="ffffff"/>
        </w:rPr>
        <w:t xml:space="preserve">., Abbott, J. and Madera, </w:t>
      </w:r>
      <w:r>
        <w:rPr>
          <w:shd w:val="clear" w:color="auto" w:fill="ffffff"/>
        </w:rPr>
        <w:t>J.M</w:t>
      </w:r>
      <w:r>
        <w:rPr>
          <w:shd w:val="clear" w:color="auto" w:fill="ffffff"/>
        </w:rPr>
        <w:t>., 2020. A micro-level view of CSR: A hospitality management systematic literature review. </w:t>
      </w:r>
      <w:r>
        <w:rPr>
          <w:i/>
          <w:iCs/>
          <w:shd w:val="clear" w:color="auto" w:fill="ffffff"/>
        </w:rPr>
        <w:t>Cornell Hospitality Quarterly</w:t>
      </w:r>
      <w:r>
        <w:rPr>
          <w:shd w:val="clear" w:color="auto" w:fill="ffffff"/>
        </w:rPr>
        <w:t>, </w:t>
      </w:r>
      <w:r>
        <w:rPr>
          <w:i/>
          <w:iCs/>
          <w:shd w:val="clear" w:color="auto" w:fill="ffffff"/>
        </w:rPr>
        <w:t>61</w:t>
      </w:r>
      <w:r>
        <w:rPr>
          <w:shd w:val="clear" w:color="auto" w:fill="ffffff"/>
        </w:rPr>
        <w:t xml:space="preserve">(3), </w:t>
      </w:r>
      <w:r>
        <w:rPr>
          <w:shd w:val="clear" w:color="auto" w:fill="ffffff"/>
        </w:rPr>
        <w:t>pp.332</w:t>
      </w:r>
      <w:r>
        <w:rPr>
          <w:shd w:val="clear" w:color="auto" w:fill="ffffff"/>
        </w:rPr>
        <w:t>-352.</w:t>
      </w:r>
    </w:p>
    <w:p>
      <w:pPr>
        <w:rPr>
          <w:shd w:val="clear" w:color="auto" w:fill="ffffff"/>
        </w:rPr>
      </w:pPr>
      <w:bookmarkStart w:id="15" w:name="_Hlk135256419"/>
      <w:r>
        <w:rPr>
          <w:shd w:val="clear" w:color="auto" w:fill="ffffff"/>
        </w:rPr>
        <w:t>How</w:t>
      </w:r>
      <w:bookmarkEnd w:id="15"/>
      <w:r>
        <w:rPr>
          <w:shd w:val="clear" w:color="auto" w:fill="ffffff"/>
        </w:rPr>
        <w:t xml:space="preserve">, </w:t>
      </w:r>
      <w:r>
        <w:rPr>
          <w:shd w:val="clear" w:color="auto" w:fill="ffffff"/>
        </w:rPr>
        <w:t>S.M</w:t>
      </w:r>
      <w:r>
        <w:rPr>
          <w:shd w:val="clear" w:color="auto" w:fill="ffffff"/>
        </w:rPr>
        <w:t>. and Lee, C.G., 2021. Customer satisfaction and financial performance-linear or non-linear relationship: a case study of Marriot International. </w:t>
      </w:r>
      <w:r>
        <w:rPr>
          <w:i/>
          <w:iCs/>
          <w:shd w:val="clear" w:color="auto" w:fill="ffffff"/>
        </w:rPr>
        <w:t>Current Issues in Tourism</w:t>
      </w:r>
      <w:r>
        <w:rPr>
          <w:shd w:val="clear" w:color="auto" w:fill="ffffff"/>
        </w:rPr>
        <w:t>, </w:t>
      </w:r>
      <w:r>
        <w:rPr>
          <w:i/>
          <w:iCs/>
          <w:shd w:val="clear" w:color="auto" w:fill="ffffff"/>
        </w:rPr>
        <w:t>24</w:t>
      </w:r>
      <w:r>
        <w:rPr>
          <w:shd w:val="clear" w:color="auto" w:fill="ffffff"/>
        </w:rPr>
        <w:t xml:space="preserve">(9), </w:t>
      </w:r>
      <w:r>
        <w:rPr>
          <w:shd w:val="clear" w:color="auto" w:fill="ffffff"/>
        </w:rPr>
        <w:t>pp.1184</w:t>
      </w:r>
      <w:r>
        <w:rPr>
          <w:shd w:val="clear" w:color="auto" w:fill="ffffff"/>
        </w:rPr>
        <w:t>-1189.</w:t>
      </w:r>
    </w:p>
    <w:p>
      <w:pPr>
        <w:rPr>
          <w:shd w:val="clear" w:color="auto" w:fill="ffffff"/>
        </w:rPr>
      </w:pPr>
      <w:bookmarkStart w:id="16" w:name="_Hlk135256580"/>
      <w:r>
        <w:rPr>
          <w:shd w:val="clear" w:color="auto" w:fill="ffffff"/>
        </w:rPr>
        <w:t>Morgan</w:t>
      </w:r>
      <w:bookmarkEnd w:id="16"/>
      <w:r>
        <w:rPr>
          <w:shd w:val="clear" w:color="auto" w:fill="ffffff"/>
        </w:rPr>
        <w:t>, N. and Pritchard, A., 2019. Gender Matters in Hospitality (invited paper for ‘luminaries’ special issue of International Journal of Hospitality Management). </w:t>
      </w:r>
      <w:r>
        <w:rPr>
          <w:i/>
          <w:iCs/>
          <w:shd w:val="clear" w:color="auto" w:fill="ffffff"/>
        </w:rPr>
        <w:t>International Journal of Hospitality Management</w:t>
      </w:r>
      <w:r>
        <w:rPr>
          <w:shd w:val="clear" w:color="auto" w:fill="ffffff"/>
        </w:rPr>
        <w:t>, </w:t>
      </w:r>
      <w:r>
        <w:rPr>
          <w:i/>
          <w:iCs/>
          <w:shd w:val="clear" w:color="auto" w:fill="ffffff"/>
        </w:rPr>
        <w:t>76</w:t>
      </w:r>
      <w:r>
        <w:rPr>
          <w:shd w:val="clear" w:color="auto" w:fill="ffffff"/>
        </w:rPr>
        <w:t xml:space="preserve">, </w:t>
      </w:r>
      <w:r>
        <w:rPr>
          <w:shd w:val="clear" w:color="auto" w:fill="ffffff"/>
        </w:rPr>
        <w:t>pp.38</w:t>
      </w:r>
      <w:r>
        <w:rPr>
          <w:shd w:val="clear" w:color="auto" w:fill="ffffff"/>
        </w:rPr>
        <w:t>-44.</w:t>
      </w:r>
    </w:p>
    <w:p>
      <w:bookmarkStart w:id="17" w:name="_Hlk135256831"/>
      <w:r>
        <w:rPr>
          <w:shd w:val="clear" w:color="auto" w:fill="ffffff"/>
        </w:rPr>
        <w:t>Paulino</w:t>
      </w:r>
      <w:bookmarkEnd w:id="17"/>
      <w:r>
        <w:rPr>
          <w:shd w:val="clear" w:color="auto" w:fill="ffffff"/>
        </w:rPr>
        <w:t xml:space="preserve">, </w:t>
      </w:r>
      <w:r>
        <w:rPr>
          <w:shd w:val="clear" w:color="auto" w:fill="ffffff"/>
        </w:rPr>
        <w:t>G.A.L</w:t>
      </w:r>
      <w:r>
        <w:rPr>
          <w:shd w:val="clear" w:color="auto" w:fill="ffffff"/>
        </w:rPr>
        <w:t>., 2023. </w:t>
      </w:r>
      <w:r>
        <w:rPr>
          <w:i/>
          <w:iCs/>
          <w:shd w:val="clear" w:color="auto" w:fill="ffffff"/>
        </w:rPr>
        <w:t>Management accounting in hospitality: A case study in a Lisbon 5-star hotel</w:t>
      </w:r>
      <w:r>
        <w:rPr>
          <w:shd w:val="clear" w:color="auto" w:fill="ffffff"/>
        </w:rPr>
        <w:t> (Master's thesis).</w:t>
      </w:r>
    </w:p>
    <w:p>
      <w:pPr>
        <w:rPr>
          <w:shd w:val="clear" w:color="auto" w:fill="ffffff"/>
        </w:rPr>
      </w:pPr>
      <w:bookmarkStart w:id="18" w:name="_Hlk135256438"/>
      <w:r>
        <w:rPr>
          <w:shd w:val="clear" w:color="auto" w:fill="ffffff"/>
        </w:rPr>
        <w:t>POPȘA</w:t>
      </w:r>
      <w:r>
        <w:rPr>
          <w:shd w:val="clear" w:color="auto" w:fill="ffffff"/>
        </w:rPr>
        <w:t xml:space="preserve">, </w:t>
      </w:r>
      <w:bookmarkEnd w:id="18"/>
      <w:r>
        <w:rPr>
          <w:shd w:val="clear" w:color="auto" w:fill="ffffff"/>
        </w:rPr>
        <w:t>R.E</w:t>
      </w:r>
      <w:r>
        <w:rPr>
          <w:shd w:val="clear" w:color="auto" w:fill="ffffff"/>
        </w:rPr>
        <w:t>., 2021. CONCEPTUALIZING BUSINESS MODELS OF INTERNATIONAL HOTEL CHAINS. </w:t>
      </w:r>
      <w:r>
        <w:rPr>
          <w:i/>
          <w:iCs/>
          <w:shd w:val="clear" w:color="auto" w:fill="ffffff"/>
        </w:rPr>
        <w:t>Revista Economica</w:t>
      </w:r>
      <w:r>
        <w:rPr>
          <w:shd w:val="clear" w:color="auto" w:fill="ffffff"/>
        </w:rPr>
        <w:t>, </w:t>
      </w:r>
      <w:r>
        <w:rPr>
          <w:i/>
          <w:iCs/>
          <w:shd w:val="clear" w:color="auto" w:fill="ffffff"/>
        </w:rPr>
        <w:t>73</w:t>
      </w:r>
      <w:r>
        <w:rPr>
          <w:shd w:val="clear" w:color="auto" w:fill="ffffff"/>
        </w:rPr>
        <w:t>(2).</w:t>
      </w:r>
    </w:p>
    <w:p>
      <w:bookmarkStart w:id="19" w:name="_Hlk135256771"/>
      <w:r>
        <w:t>Tranter</w:t>
      </w:r>
      <w:bookmarkEnd w:id="19"/>
      <w:r>
        <w:t>, K. Stuart-Hill, T. Parker, J. (2013) Introduction to Revenue Management for the Hospitality Industry, London, Pearson</w:t>
      </w:r>
    </w:p>
    <w:p>
      <w:pPr>
        <w:rPr>
          <w:shd w:val="clear" w:color="auto" w:fill="ffffff"/>
        </w:rPr>
      </w:pPr>
      <w:bookmarkStart w:id="20" w:name="_Hlk135256809"/>
      <w:r>
        <w:rPr>
          <w:shd w:val="clear" w:color="auto" w:fill="ffffff"/>
        </w:rPr>
        <w:t>Vărzaru</w:t>
      </w:r>
      <w:bookmarkEnd w:id="20"/>
      <w:r>
        <w:rPr>
          <w:shd w:val="clear" w:color="auto" w:fill="ffffff"/>
        </w:rPr>
        <w:t xml:space="preserve">, </w:t>
      </w:r>
      <w:r>
        <w:rPr>
          <w:shd w:val="clear" w:color="auto" w:fill="ffffff"/>
        </w:rPr>
        <w:t>A.A</w:t>
      </w:r>
      <w:r>
        <w:rPr>
          <w:shd w:val="clear" w:color="auto" w:fill="ffffff"/>
        </w:rPr>
        <w:t xml:space="preserve">., </w:t>
      </w:r>
      <w:r>
        <w:rPr>
          <w:shd w:val="clear" w:color="auto" w:fill="ffffff"/>
        </w:rPr>
        <w:t>Bocean</w:t>
      </w:r>
      <w:r>
        <w:rPr>
          <w:shd w:val="clear" w:color="auto" w:fill="ffffff"/>
        </w:rPr>
        <w:t xml:space="preserve">, C.G., </w:t>
      </w:r>
      <w:r>
        <w:rPr>
          <w:shd w:val="clear" w:color="auto" w:fill="ffffff"/>
        </w:rPr>
        <w:t>Mangra</w:t>
      </w:r>
      <w:r>
        <w:rPr>
          <w:shd w:val="clear" w:color="auto" w:fill="ffffff"/>
        </w:rPr>
        <w:t xml:space="preserve">, </w:t>
      </w:r>
      <w:r>
        <w:rPr>
          <w:shd w:val="clear" w:color="auto" w:fill="ffffff"/>
        </w:rPr>
        <w:t>M.G</w:t>
      </w:r>
      <w:r>
        <w:rPr>
          <w:shd w:val="clear" w:color="auto" w:fill="ffffff"/>
        </w:rPr>
        <w:t xml:space="preserve">. and </w:t>
      </w:r>
      <w:r>
        <w:rPr>
          <w:shd w:val="clear" w:color="auto" w:fill="ffffff"/>
        </w:rPr>
        <w:t>Mangra</w:t>
      </w:r>
      <w:r>
        <w:rPr>
          <w:shd w:val="clear" w:color="auto" w:fill="ffffff"/>
        </w:rPr>
        <w:t>, G.I., 2022. Assessing the Effects of Innovative Management Accounting Tools on Performance and Sustainability. </w:t>
      </w:r>
      <w:r>
        <w:rPr>
          <w:i/>
          <w:iCs/>
          <w:shd w:val="clear" w:color="auto" w:fill="ffffff"/>
        </w:rPr>
        <w:t>Sustainability</w:t>
      </w:r>
      <w:r>
        <w:rPr>
          <w:shd w:val="clear" w:color="auto" w:fill="ffffff"/>
        </w:rPr>
        <w:t>, </w:t>
      </w:r>
      <w:r>
        <w:rPr>
          <w:i/>
          <w:iCs/>
          <w:shd w:val="clear" w:color="auto" w:fill="ffffff"/>
        </w:rPr>
        <w:t>14</w:t>
      </w:r>
      <w:r>
        <w:rPr>
          <w:shd w:val="clear" w:color="auto" w:fill="ffffff"/>
        </w:rPr>
        <w:t xml:space="preserve">(9), </w:t>
      </w:r>
      <w:r>
        <w:rPr>
          <w:shd w:val="clear" w:color="auto" w:fill="ffffff"/>
        </w:rPr>
        <w:t>p.5585</w:t>
      </w:r>
      <w:r>
        <w:rPr>
          <w:shd w:val="clear" w:color="auto" w:fill="ffffff"/>
        </w:rPr>
        <w:t>.</w:t>
      </w:r>
    </w:p>
    <w:p/>
    <w:sectPr>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 w:name="source sans pro">
    <w:charset w:val="00"/>
  </w:font>
  <w:font w:name="Segoe UI">
    <w:charset w:val="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EF"/>
    <w:rsid w:val="000031AD"/>
    <w:rsid w:val="00110EE9"/>
    <w:rsid w:val="001A65FD"/>
    <w:rsid w:val="001B189D"/>
    <w:rsid w:val="001B6F17"/>
    <w:rsid w:val="001C1BBF"/>
    <w:rsid w:val="0028117F"/>
    <w:rsid w:val="002D708F"/>
    <w:rsid w:val="00327995"/>
    <w:rsid w:val="00393068"/>
    <w:rsid w:val="003B34E6"/>
    <w:rsid w:val="00434359"/>
    <w:rsid w:val="00434E92"/>
    <w:rsid w:val="00440FF6"/>
    <w:rsid w:val="00480985"/>
    <w:rsid w:val="00484CE1"/>
    <w:rsid w:val="004A086D"/>
    <w:rsid w:val="004F05F5"/>
    <w:rsid w:val="00541C42"/>
    <w:rsid w:val="005A6BEF"/>
    <w:rsid w:val="005D0FF0"/>
    <w:rsid w:val="00636AEA"/>
    <w:rsid w:val="00682C12"/>
    <w:rsid w:val="006D59F5"/>
    <w:rsid w:val="00746B90"/>
    <w:rsid w:val="00752763"/>
    <w:rsid w:val="00791F5D"/>
    <w:rsid w:val="007A00F5"/>
    <w:rsid w:val="007C64AA"/>
    <w:rsid w:val="00864330"/>
    <w:rsid w:val="008F0E43"/>
    <w:rsid w:val="00947763"/>
    <w:rsid w:val="00991E14"/>
    <w:rsid w:val="009F2559"/>
    <w:rsid w:val="009F2855"/>
    <w:rsid w:val="00AC34C2"/>
    <w:rsid w:val="00BB24A1"/>
    <w:rsid w:val="00C10159"/>
    <w:rsid w:val="00C637EB"/>
    <w:rsid w:val="00CA39F9"/>
    <w:rsid w:val="00CE7653"/>
    <w:rsid w:val="00CF6FDC"/>
    <w:rsid w:val="00D32931"/>
    <w:rsid w:val="00D8312E"/>
    <w:rsid w:val="00DC200A"/>
    <w:rsid w:val="00E429EC"/>
    <w:rsid w:val="00E60A9E"/>
    <w:rsid w:val="00F24D19"/>
    <w:rsid w:val="00F8591E"/>
    <w:rsid w:val="00FA5043"/>
    <w:rsid w:val="00FA6FC1"/>
    <w:rsid w:val="00FD7172"/>
    <w:rsid w:val="00FE13C5"/>
    <w:rsid w:val="00FF2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9F65"/>
  <w15:chartTrackingRefBased/>
  <w15:docId w15:val="{45B316AF-8392-4622-B2D6-9695DBE75D5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14:ligatures w14:val="standardContextual"/>
      </w:rPr>
    </w:rPrDefault>
    <w:pPrDefault>
      <w:pPr>
        <w:spacing w:after="160" w:line="259" w:lineRule="auto"/>
      </w:pPr>
    </w:pPrDefault>
  </w:docDefaults>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color w:val="4472c4" w:themeColor="accent1"/>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color w:val="5b9bd5" w:themeColor="accent5"/>
      <w:sz w:val="28"/>
      <w:szCs w:val="26"/>
    </w:rPr>
  </w:style>
  <w:style w:type="paragraph" w:styleId="Heading3">
    <w:name w:val="Heading 3"/>
    <w:basedOn w:val="Normal"/>
    <w:next w:val="Normal"/>
    <w:link w:val="Heading3Char"/>
    <w:uiPriority w:val="9"/>
    <w:unhideWhenUsed w:val="on"/>
    <w:qFormat w:val="on"/>
    <w:pPr>
      <w:keepNext w:val="on"/>
      <w:keepLines w:val="on"/>
      <w:spacing w:before="40" w:after="0"/>
    </w:pPr>
    <w:rPr>
      <w:rFonts w:cstheme="majorBidi" w:eastAsiaTheme="majorEastAsia"/>
      <w:b/>
      <w:color w:val="1f3763" w:themeColor="accent1" w:themeShade="7f"/>
      <w:szCs w:val="24"/>
    </w:rPr>
  </w:style>
  <w:style w:type="paragraph" w:styleId="Heading4">
    <w:name w:val="Heading 4"/>
    <w:basedOn w:val="Normal"/>
    <w:next w:val="Normal"/>
    <w:link w:val="Heading4Char"/>
    <w:uiPriority w:val="9"/>
    <w:unhideWhenUsed w:val="on"/>
    <w:qFormat w:val="on"/>
    <w:pPr>
      <w:keepNext w:val="on"/>
      <w:keepLines w:val="on"/>
      <w:spacing w:before="40" w:after="0"/>
    </w:pPr>
    <w:rPr>
      <w:rFonts w:asciiTheme="majorHAnsi" w:cstheme="majorBidi" w:eastAsiaTheme="majorEastAsia" w:hAnsiTheme="majorHAnsi"/>
      <w:i/>
      <w:iCs/>
      <w:color w:val="2f5395" w:themeColor="accent1" w:themeShade="bf"/>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color w:val="4472c4" w:themeColor="accent1"/>
      <w:sz w:val="32"/>
      <w:szCs w:val="32"/>
      <w:lang w:val="en-GB"/>
    </w:rPr>
  </w:style>
  <w:style w:type="character" w:customStyle="1" w:styleId="Heading2Char">
    <w:name w:val="Heading 2 Char"/>
    <w:basedOn w:val="DefaultParagraphFont"/>
    <w:link w:val="Heading2"/>
    <w:uiPriority w:val="9"/>
    <w:rPr>
      <w:rFonts w:ascii="Times New Roman" w:cstheme="majorBidi" w:eastAsiaTheme="majorEastAsia" w:hAnsi="Times New Roman"/>
      <w:color w:val="5b9bd5" w:themeColor="accent5"/>
      <w:sz w:val="28"/>
      <w:szCs w:val="26"/>
      <w:lang w:val="en-GB"/>
    </w:rPr>
  </w:style>
  <w:style w:type="paragraph" w:styleId="ListParagraph">
    <w:name w:val="List Paragraph"/>
    <w:basedOn w:val="Normal"/>
    <w:uiPriority w:val="34"/>
    <w:qFormat w:val="on"/>
    <w:pPr>
      <w:ind w:left="720"/>
      <w:contextualSpacing w:val="on"/>
    </w:pPr>
  </w:style>
  <w:style w:type="character" w:customStyle="1" w:styleId="Heading3Char">
    <w:name w:val="Heading 3 Char"/>
    <w:basedOn w:val="DefaultParagraphFont"/>
    <w:link w:val="Heading3"/>
    <w:uiPriority w:val="9"/>
    <w:rPr>
      <w:rFonts w:ascii="Times New Roman" w:cstheme="majorBidi" w:eastAsiaTheme="majorEastAsia" w:hAnsi="Times New Roman"/>
      <w:b/>
      <w:color w:val="1f3763" w:themeColor="accent1" w:themeShade="7f"/>
      <w:sz w:val="24"/>
      <w:szCs w:val="24"/>
      <w:lang w:val="en-GB"/>
    </w:rPr>
  </w:style>
  <w:style w:type="character" w:customStyle="1" w:styleId="Heading4Char">
    <w:name w:val="Heading 4 Char"/>
    <w:basedOn w:val="DefaultParagraphFont"/>
    <w:link w:val="Heading4"/>
    <w:uiPriority w:val="9"/>
    <w:rPr>
      <w:rFonts w:asciiTheme="majorHAnsi" w:cstheme="majorBidi" w:eastAsiaTheme="majorEastAsia" w:hAnsiTheme="majorHAnsi"/>
      <w:i/>
      <w:iCs/>
      <w:color w:val="2f5395" w:themeColor="accent1" w:themeShade="bf"/>
      <w:sz w:val="24"/>
      <w:lang w:val="en-GB"/>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color w:val="2f5395" w:themeColor="accent1" w:themeShade="bf"/>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paragraph" w:styleId="Toc2">
    <w:name w:val="Toc 2"/>
    <w:basedOn w:val="Normal"/>
    <w:next w:val="Normal"/>
    <w:uiPriority w:val="39"/>
    <w:unhideWhenUsed w:val="on"/>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14" Type="http://schemas.openxmlformats.org/officeDocument/2006/relationships/theme" Target="theme/theme1.xml"/><Relationship Id="rId15" Type="http://schemas.openxmlformats.org/officeDocument/2006/relationships/image" Target="media/image2.png"/><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1" Type="http://schemas.openxmlformats.org/officeDocument/2006/relationships/customXml" Target="../customXml/item1.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C.Wilkin@uwtsd.ac.uk" TargetMode="Externa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s>
</file>

<file path=word/_rels/numbering.xml.rels><?xml version="1.0" encoding="UTF-8" standalone="yes"?>
<Relationships xmlns="http://schemas.openxmlformats.org/package/2006/relationships"></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744D80-E1B2-4DE2-A5CA-C34CC30AE211}" type="doc">
      <dgm:prSet loTypeId="urn:microsoft.com/office/officeart/2005/8/layout/arrow5#1" loCatId="relationship" qsTypeId="urn:microsoft.com/office/officeart/2005/8/quickstyle/simple1" qsCatId="simple" csTypeId="urn:microsoft.com/office/officeart/2005/8/colors/colorful5" csCatId="colorful" phldr="1"/>
      <dgm:spPr/>
      <dgm:t>
        <a:bodyPr/>
        <a:lstStyle/>
        <a:p>
          <a:endParaRPr lang="en-US"/>
        </a:p>
      </dgm:t>
    </dgm:pt>
    <dgm:pt modelId="{43F996A3-2DA8-4311-A137-B3B0C0204218}">
      <dgm:prSet phldrT="[Text]"/>
      <dgm:spPr/>
      <dgm:t>
        <a:bodyPr/>
        <a:lstStyle/>
        <a:p>
          <a:r>
            <a:rPr lang="en-US"/>
            <a:t>Marriot International</a:t>
          </a:r>
        </a:p>
      </dgm:t>
    </dgm:pt>
    <dgm:pt modelId="{9D8AE400-ED9B-49A1-8F7B-FB3C6DE8B103}" type="parTrans" cxnId="{FDFF67EF-480C-444D-AEA2-C461F250C359}">
      <dgm:prSet/>
      <dgm:spPr/>
      <dgm:t>
        <a:bodyPr/>
        <a:lstStyle/>
        <a:p>
          <a:endParaRPr lang="en-US"/>
        </a:p>
      </dgm:t>
    </dgm:pt>
    <dgm:pt modelId="{BACD604B-4A43-42E7-B99B-1F034A1410C2}" type="sibTrans" cxnId="{FDFF67EF-480C-444D-AEA2-C461F250C359}">
      <dgm:prSet/>
      <dgm:spPr/>
      <dgm:t>
        <a:bodyPr/>
        <a:lstStyle/>
        <a:p>
          <a:endParaRPr lang="en-US"/>
        </a:p>
      </dgm:t>
    </dgm:pt>
    <dgm:pt modelId="{C4FAB8A0-FC0E-4F88-8744-833AC9D9467F}">
      <dgm:prSet phldrT="[Text]"/>
      <dgm:spPr/>
      <dgm:t>
        <a:bodyPr/>
        <a:lstStyle/>
        <a:p>
          <a:r>
            <a:rPr lang="en-US"/>
            <a:t>Accor International</a:t>
          </a:r>
        </a:p>
      </dgm:t>
    </dgm:pt>
    <dgm:pt modelId="{CF7FC0B6-2182-4BA0-89BE-FDB0CB9F72C2}" type="parTrans" cxnId="{165C6700-E97B-476E-9C8C-9B50F86BCD16}">
      <dgm:prSet/>
      <dgm:spPr/>
      <dgm:t>
        <a:bodyPr/>
        <a:lstStyle/>
        <a:p>
          <a:endParaRPr lang="en-US"/>
        </a:p>
      </dgm:t>
    </dgm:pt>
    <dgm:pt modelId="{C5F9C733-DE5B-407B-B9A7-D36C4D66AD89}" type="sibTrans" cxnId="{165C6700-E97B-476E-9C8C-9B50F86BCD16}">
      <dgm:prSet/>
      <dgm:spPr/>
      <dgm:t>
        <a:bodyPr/>
        <a:lstStyle/>
        <a:p>
          <a:endParaRPr lang="en-US"/>
        </a:p>
      </dgm:t>
    </dgm:pt>
    <dgm:pt modelId="{DE4CBD6C-6BCD-4149-9150-09E0159C2A10}" type="pres">
      <dgm:prSet presAssocID="{79744D80-E1B2-4DE2-A5CA-C34CC30AE211}" presName="diagram" presStyleCnt="0">
        <dgm:presLayoutVars>
          <dgm:dir/>
          <dgm:resizeHandles val="exact"/>
        </dgm:presLayoutVars>
      </dgm:prSet>
      <dgm:spPr/>
      <dgm:t>
        <a:bodyPr/>
        <a:lstStyle/>
        <a:p>
          <a:endParaRPr lang="en-GB"/>
        </a:p>
      </dgm:t>
    </dgm:pt>
    <dgm:pt modelId="{908F0AC3-BEED-49B7-B95E-0A56316F6763}" type="pres">
      <dgm:prSet presAssocID="{43F996A3-2DA8-4311-A137-B3B0C0204218}" presName="arrow" presStyleLbl="node1" presStyleIdx="0" presStyleCnt="2">
        <dgm:presLayoutVars>
          <dgm:bulletEnabled val="1"/>
        </dgm:presLayoutVars>
      </dgm:prSet>
      <dgm:spPr/>
      <dgm:t>
        <a:bodyPr/>
        <a:lstStyle/>
        <a:p>
          <a:endParaRPr lang="en-GB"/>
        </a:p>
      </dgm:t>
    </dgm:pt>
    <dgm:pt modelId="{BF68C7D3-04F4-4417-B3AC-831E93AFDEDC}" type="pres">
      <dgm:prSet presAssocID="{C4FAB8A0-FC0E-4F88-8744-833AC9D9467F}" presName="arrow" presStyleLbl="node1" presStyleIdx="1" presStyleCnt="2">
        <dgm:presLayoutVars>
          <dgm:bulletEnabled val="1"/>
        </dgm:presLayoutVars>
      </dgm:prSet>
      <dgm:spPr/>
      <dgm:t>
        <a:bodyPr/>
        <a:lstStyle/>
        <a:p>
          <a:endParaRPr lang="en-GB"/>
        </a:p>
      </dgm:t>
    </dgm:pt>
  </dgm:ptLst>
  <dgm:cxnLst>
    <dgm:cxn modelId="{FDFF67EF-480C-444D-AEA2-C461F250C359}" srcId="{79744D80-E1B2-4DE2-A5CA-C34CC30AE211}" destId="{43F996A3-2DA8-4311-A137-B3B0C0204218}" srcOrd="0" destOrd="0" parTransId="{9D8AE400-ED9B-49A1-8F7B-FB3C6DE8B103}" sibTransId="{BACD604B-4A43-42E7-B99B-1F034A1410C2}"/>
    <dgm:cxn modelId="{165C6700-E97B-476E-9C8C-9B50F86BCD16}" srcId="{79744D80-E1B2-4DE2-A5CA-C34CC30AE211}" destId="{C4FAB8A0-FC0E-4F88-8744-833AC9D9467F}" srcOrd="1" destOrd="0" parTransId="{CF7FC0B6-2182-4BA0-89BE-FDB0CB9F72C2}" sibTransId="{C5F9C733-DE5B-407B-B9A7-D36C4D66AD89}"/>
    <dgm:cxn modelId="{F953B17D-72EC-4C98-8B6E-ABA0C61E6F2B}" type="presOf" srcId="{C4FAB8A0-FC0E-4F88-8744-833AC9D9467F}" destId="{BF68C7D3-04F4-4417-B3AC-831E93AFDEDC}" srcOrd="0" destOrd="0" presId="urn:microsoft.com/office/officeart/2005/8/layout/arrow5#1"/>
    <dgm:cxn modelId="{32980CF6-73E5-4016-B6E8-2041106FE250}" type="presOf" srcId="{79744D80-E1B2-4DE2-A5CA-C34CC30AE211}" destId="{DE4CBD6C-6BCD-4149-9150-09E0159C2A10}" srcOrd="0" destOrd="0" presId="urn:microsoft.com/office/officeart/2005/8/layout/arrow5#1"/>
    <dgm:cxn modelId="{A7086076-B53F-459D-8F8C-69F3331B4FD5}" type="presOf" srcId="{43F996A3-2DA8-4311-A137-B3B0C0204218}" destId="{908F0AC3-BEED-49B7-B95E-0A56316F6763}" srcOrd="0" destOrd="0" presId="urn:microsoft.com/office/officeart/2005/8/layout/arrow5#1"/>
    <dgm:cxn modelId="{1C34482B-08AB-40C7-A924-D4C29E0D04AC}" type="presParOf" srcId="{DE4CBD6C-6BCD-4149-9150-09E0159C2A10}" destId="{908F0AC3-BEED-49B7-B95E-0A56316F6763}" srcOrd="0" destOrd="0" presId="urn:microsoft.com/office/officeart/2005/8/layout/arrow5#1"/>
    <dgm:cxn modelId="{D9C291DA-03A0-46E5-8AD3-935AB4F11DAF}" type="presParOf" srcId="{DE4CBD6C-6BCD-4149-9150-09E0159C2A10}" destId="{BF68C7D3-04F4-4417-B3AC-831E93AFDEDC}" srcOrd="1" destOrd="0" presId="urn:microsoft.com/office/officeart/2005/8/layout/arrow5#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F0AC3-BEED-49B7-B95E-0A56316F6763}">
      <dsp:nvSpPr>
        <dsp:cNvPr id="0" name=""/>
        <dsp:cNvSpPr/>
      </dsp:nvSpPr>
      <dsp:spPr>
        <a:xfrm rot="16200000">
          <a:off x="114" y="446"/>
          <a:ext cx="1456432" cy="1456432"/>
        </a:xfrm>
        <a:prstGeom prst="downArrow">
          <a:avLst>
            <a:gd name="adj1" fmla="val 50000"/>
            <a:gd name="adj2" fmla="val 35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Marriot International</a:t>
          </a:r>
        </a:p>
      </dsp:txBody>
      <dsp:txXfrm rot="5400000">
        <a:off x="114" y="364554"/>
        <a:ext cx="1201556" cy="728216"/>
      </dsp:txXfrm>
    </dsp:sp>
    <dsp:sp modelId="{BF68C7D3-04F4-4417-B3AC-831E93AFDEDC}">
      <dsp:nvSpPr>
        <dsp:cNvPr id="0" name=""/>
        <dsp:cNvSpPr/>
      </dsp:nvSpPr>
      <dsp:spPr>
        <a:xfrm rot="5400000">
          <a:off x="1743853" y="446"/>
          <a:ext cx="1456432" cy="1456432"/>
        </a:xfrm>
        <a:prstGeom prst="downArrow">
          <a:avLst>
            <a:gd name="adj1" fmla="val 50000"/>
            <a:gd name="adj2" fmla="val 35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Accor International</a:t>
          </a:r>
        </a:p>
      </dsp:txBody>
      <dsp:txXfrm rot="-5400000">
        <a:off x="1998729" y="364554"/>
        <a:ext cx="1201556" cy="728216"/>
      </dsp:txXfrm>
    </dsp:sp>
  </dsp:spTree>
</dsp:drawing>
</file>

<file path=word/diagrams/layout1.xml><?xml version="1.0" encoding="utf-8"?>
<dgm:layoutDef xmlns:dgm="http://schemas.openxmlformats.org/drawingml/2006/diagram" xmlns:a="http://schemas.openxmlformats.org/drawingml/2006/main" uniqueId="urn:microsoft.com/office/officeart/2005/8/layout/arrow5#1">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panAng" val="-360"/>
              <dgm:param type="stAng" val="9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837D1-48FA-4AB6-A63C-981D6C50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3218</Words>
  <Characters>18346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Saiful</dc:creator>
  <cp:lastModifiedBy>Marius Stroe</cp:lastModifiedBy>
</cp:coreProperties>
</file>