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290EC" w14:textId="77777777" w:rsidR="0043264E" w:rsidRDefault="0043264E" w:rsidP="0043264E">
      <w:pPr>
        <w:spacing w:line="360" w:lineRule="auto"/>
        <w:jc w:val="center"/>
        <w:rPr>
          <w:b/>
          <w:bCs/>
        </w:rPr>
      </w:pPr>
      <w:r w:rsidRPr="002558C0">
        <w:rPr>
          <w:noProof/>
          <w:lang w:val="en-GB" w:eastAsia="en-GB"/>
        </w:rPr>
        <w:drawing>
          <wp:inline distT="0" distB="0" distL="0" distR="0" wp14:anchorId="31F4CDA7" wp14:editId="17824880">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17FE99C9" w14:textId="77777777" w:rsidR="0043264E" w:rsidRDefault="0043264E" w:rsidP="0043264E">
      <w:pPr>
        <w:spacing w:line="360" w:lineRule="auto"/>
        <w:jc w:val="center"/>
        <w:rPr>
          <w:b/>
          <w:bCs/>
        </w:rPr>
      </w:pPr>
    </w:p>
    <w:p w14:paraId="494809B9" w14:textId="13E89DEC" w:rsidR="0043264E" w:rsidRPr="0043264E" w:rsidRDefault="0043264E" w:rsidP="008C0F6F">
      <w:pPr>
        <w:spacing w:line="480" w:lineRule="auto"/>
        <w:jc w:val="center"/>
      </w:pPr>
      <w:r w:rsidRPr="0043264E">
        <w:t>Programme Name: - Master of Business Administration</w:t>
      </w:r>
    </w:p>
    <w:p w14:paraId="318AEE83" w14:textId="5BCDCB26" w:rsidR="0043264E" w:rsidRPr="0043264E" w:rsidRDefault="008C0F6F" w:rsidP="0043264E">
      <w:pPr>
        <w:spacing w:line="480" w:lineRule="auto"/>
        <w:jc w:val="center"/>
      </w:pPr>
      <w:r>
        <w:t>Supervisor Name: Mazen J</w:t>
      </w:r>
      <w:r w:rsidR="0043264E">
        <w:t>oureih</w:t>
      </w:r>
    </w:p>
    <w:p w14:paraId="39ECDAF3" w14:textId="1075770D" w:rsidR="0043264E" w:rsidRPr="0043264E" w:rsidRDefault="0043264E" w:rsidP="0043264E">
      <w:pPr>
        <w:spacing w:line="480" w:lineRule="auto"/>
        <w:jc w:val="center"/>
      </w:pPr>
      <w:r w:rsidRPr="0043264E">
        <w:t>Student Name: - Navapara krisha Rajeshbhai</w:t>
      </w:r>
      <w:bookmarkStart w:id="0" w:name="_GoBack"/>
      <w:bookmarkEnd w:id="0"/>
      <w:r w:rsidRPr="0043264E">
        <w:t xml:space="preserve"> </w:t>
      </w:r>
    </w:p>
    <w:p w14:paraId="13738402" w14:textId="3B4A56C8" w:rsidR="0043264E" w:rsidRDefault="0043264E" w:rsidP="0043264E">
      <w:pPr>
        <w:spacing w:line="480" w:lineRule="auto"/>
        <w:jc w:val="center"/>
      </w:pPr>
      <w:r w:rsidRPr="0043264E">
        <w:t xml:space="preserve">Student Id: - </w:t>
      </w:r>
      <w:r>
        <w:t>2431955</w:t>
      </w:r>
    </w:p>
    <w:p w14:paraId="2DF00C9A" w14:textId="248D348C" w:rsidR="008C0F6F" w:rsidRDefault="008C0F6F" w:rsidP="0043264E">
      <w:pPr>
        <w:spacing w:line="480" w:lineRule="auto"/>
        <w:jc w:val="center"/>
      </w:pPr>
    </w:p>
    <w:p w14:paraId="5825ADE8" w14:textId="77777777" w:rsidR="008C0F6F" w:rsidRPr="0043264E" w:rsidRDefault="008C0F6F" w:rsidP="0043264E">
      <w:pPr>
        <w:spacing w:line="480" w:lineRule="auto"/>
        <w:jc w:val="center"/>
      </w:pPr>
    </w:p>
    <w:p w14:paraId="0A459186" w14:textId="36E95BAD" w:rsidR="0043264E" w:rsidRPr="0043264E" w:rsidRDefault="0043264E" w:rsidP="0043264E">
      <w:pPr>
        <w:spacing w:line="480" w:lineRule="auto"/>
        <w:jc w:val="center"/>
        <w:rPr>
          <w:color w:val="000000" w:themeColor="text1"/>
          <w:sz w:val="28"/>
          <w:szCs w:val="28"/>
          <w:lang w:val="en-GB"/>
        </w:rPr>
      </w:pPr>
      <w:r w:rsidRPr="0043264E">
        <w:rPr>
          <w:color w:val="000000" w:themeColor="text1"/>
          <w:sz w:val="28"/>
          <w:szCs w:val="28"/>
          <w:lang w:val="en-GB"/>
        </w:rPr>
        <w:t>Titel: - Analysing generative AI and predictive analytics for forecasting demand and inventory optimisation- A M&amp;S case study</w:t>
      </w:r>
    </w:p>
    <w:p w14:paraId="4E98816E" w14:textId="29EC657F" w:rsidR="0043264E" w:rsidRPr="002558C0" w:rsidRDefault="0043264E" w:rsidP="0043264E">
      <w:pPr>
        <w:spacing w:line="480" w:lineRule="auto"/>
        <w:jc w:val="center"/>
        <w:rPr>
          <w:b/>
          <w:bCs/>
        </w:rPr>
      </w:pPr>
    </w:p>
    <w:p w14:paraId="2DF1D7E9" w14:textId="6CFE8C3B" w:rsidR="0043264E" w:rsidRPr="00913D2B" w:rsidRDefault="0043264E" w:rsidP="0043264E">
      <w:pPr>
        <w:spacing w:line="360" w:lineRule="auto"/>
        <w:jc w:val="center"/>
        <w:rPr>
          <w:b/>
          <w:bCs/>
        </w:rPr>
      </w:pPr>
    </w:p>
    <w:p w14:paraId="3A84CBCD" w14:textId="77777777" w:rsidR="00EE22BF" w:rsidRPr="00FA4281" w:rsidRDefault="00EE22BF">
      <w:pPr>
        <w:spacing w:line="360" w:lineRule="auto"/>
        <w:jc w:val="center"/>
        <w:rPr>
          <w:b/>
          <w:bCs/>
          <w:color w:val="000000" w:themeColor="text1"/>
          <w:sz w:val="24"/>
          <w:szCs w:val="24"/>
          <w:lang w:val="en-GB"/>
        </w:rPr>
      </w:pPr>
    </w:p>
    <w:p w14:paraId="138B3C69" w14:textId="77777777" w:rsidR="00EE22BF" w:rsidRPr="00FA4281" w:rsidRDefault="00EE22BF">
      <w:pPr>
        <w:spacing w:line="360" w:lineRule="auto"/>
        <w:jc w:val="center"/>
        <w:rPr>
          <w:b/>
          <w:bCs/>
          <w:color w:val="000000" w:themeColor="text1"/>
          <w:sz w:val="24"/>
          <w:szCs w:val="24"/>
          <w:lang w:val="en-GB"/>
        </w:rPr>
      </w:pPr>
    </w:p>
    <w:p w14:paraId="5F993FD1" w14:textId="77777777" w:rsidR="00EE22BF" w:rsidRPr="00FA4281" w:rsidRDefault="00EE22BF">
      <w:pPr>
        <w:spacing w:line="360" w:lineRule="auto"/>
        <w:jc w:val="center"/>
        <w:rPr>
          <w:b/>
          <w:bCs/>
          <w:color w:val="000000" w:themeColor="text1"/>
          <w:sz w:val="24"/>
          <w:szCs w:val="24"/>
          <w:lang w:val="en-GB"/>
        </w:rPr>
      </w:pPr>
    </w:p>
    <w:p w14:paraId="15320D32" w14:textId="77777777" w:rsidR="00EE22BF" w:rsidRPr="00FA4281" w:rsidRDefault="00EE22BF">
      <w:pPr>
        <w:spacing w:line="360" w:lineRule="auto"/>
        <w:jc w:val="center"/>
        <w:rPr>
          <w:b/>
          <w:bCs/>
          <w:color w:val="000000" w:themeColor="text1"/>
          <w:sz w:val="24"/>
          <w:szCs w:val="24"/>
          <w:lang w:val="en-GB"/>
        </w:rPr>
      </w:pPr>
    </w:p>
    <w:p w14:paraId="3C30E997" w14:textId="77777777" w:rsidR="00EE22BF" w:rsidRPr="00FA4281" w:rsidRDefault="00EE22BF">
      <w:pPr>
        <w:spacing w:line="360" w:lineRule="auto"/>
        <w:jc w:val="center"/>
        <w:rPr>
          <w:b/>
          <w:bCs/>
          <w:color w:val="000000" w:themeColor="text1"/>
          <w:sz w:val="24"/>
          <w:szCs w:val="24"/>
          <w:lang w:val="en-GB"/>
        </w:rPr>
      </w:pPr>
    </w:p>
    <w:p w14:paraId="3B7E2910" w14:textId="77777777" w:rsidR="00EE22BF" w:rsidRPr="00FA4281" w:rsidRDefault="00EE22BF">
      <w:pPr>
        <w:spacing w:line="360" w:lineRule="auto"/>
        <w:jc w:val="center"/>
        <w:rPr>
          <w:b/>
          <w:bCs/>
          <w:color w:val="000000" w:themeColor="text1"/>
          <w:sz w:val="24"/>
          <w:szCs w:val="24"/>
          <w:lang w:val="en-GB"/>
        </w:rPr>
      </w:pPr>
    </w:p>
    <w:p w14:paraId="71FA112B" w14:textId="77777777" w:rsidR="00EE22BF" w:rsidRPr="00FA4281" w:rsidRDefault="00EE22BF">
      <w:pPr>
        <w:spacing w:line="360" w:lineRule="auto"/>
        <w:jc w:val="center"/>
        <w:rPr>
          <w:b/>
          <w:bCs/>
          <w:color w:val="000000" w:themeColor="text1"/>
          <w:sz w:val="28"/>
          <w:szCs w:val="28"/>
          <w:lang w:val="en-GB"/>
        </w:rPr>
      </w:pPr>
    </w:p>
    <w:p w14:paraId="1EFCB609" w14:textId="77777777" w:rsidR="00520A89" w:rsidRPr="00FA4281" w:rsidRDefault="00520A89">
      <w:pPr>
        <w:spacing w:line="360" w:lineRule="auto"/>
        <w:jc w:val="center"/>
        <w:rPr>
          <w:b/>
          <w:bCs/>
          <w:color w:val="000000" w:themeColor="text1"/>
          <w:sz w:val="24"/>
          <w:szCs w:val="24"/>
          <w:lang w:val="en-GB"/>
        </w:rPr>
      </w:pPr>
    </w:p>
    <w:p w14:paraId="2CDBB5E3" w14:textId="0D333850" w:rsidR="00EE22BF" w:rsidRPr="00FA4281" w:rsidRDefault="00EE22BF">
      <w:pPr>
        <w:spacing w:line="360" w:lineRule="auto"/>
        <w:jc w:val="center"/>
        <w:rPr>
          <w:b/>
          <w:bCs/>
          <w:color w:val="000000" w:themeColor="text1"/>
          <w:sz w:val="24"/>
          <w:szCs w:val="24"/>
          <w:lang w:val="en-GB"/>
        </w:rPr>
      </w:pPr>
    </w:p>
    <w:p w14:paraId="03DD83E2" w14:textId="77777777" w:rsidR="00EE22BF" w:rsidRDefault="00A07567">
      <w:pPr>
        <w:spacing w:line="360" w:lineRule="auto"/>
        <w:jc w:val="both"/>
        <w:rPr>
          <w:color w:val="000000" w:themeColor="text1"/>
          <w:lang w:val="en-GB"/>
        </w:rPr>
      </w:pPr>
      <w:r w:rsidRPr="00FA4281">
        <w:rPr>
          <w:color w:val="000000" w:themeColor="text1"/>
          <w:lang w:val="en-GB"/>
        </w:rPr>
        <w:br w:type="page"/>
      </w:r>
    </w:p>
    <w:sdt>
      <w:sdtPr>
        <w:rPr>
          <w:rFonts w:ascii="Arial" w:eastAsia="Arial" w:hAnsi="Arial" w:cs="Arial"/>
          <w:color w:val="auto"/>
          <w:sz w:val="24"/>
          <w:szCs w:val="24"/>
          <w:lang w:val="en" w:eastAsia="en-IN"/>
        </w:rPr>
        <w:id w:val="1797331984"/>
        <w:docPartObj>
          <w:docPartGallery w:val="Table of Contents"/>
          <w:docPartUnique/>
        </w:docPartObj>
      </w:sdtPr>
      <w:sdtEndPr>
        <w:rPr>
          <w:b/>
          <w:bCs/>
          <w:noProof/>
          <w:sz w:val="22"/>
          <w:szCs w:val="22"/>
        </w:rPr>
      </w:sdtEndPr>
      <w:sdtContent>
        <w:p w14:paraId="5239DEDF" w14:textId="3678E4A1" w:rsidR="00FA4281" w:rsidRPr="00FA4281" w:rsidRDefault="00FA4281" w:rsidP="00FA4281">
          <w:pPr>
            <w:pStyle w:val="TOCHeading"/>
            <w:spacing w:line="360" w:lineRule="auto"/>
            <w:jc w:val="center"/>
            <w:rPr>
              <w:rFonts w:ascii="Arial" w:hAnsi="Arial" w:cs="Arial"/>
              <w:b/>
              <w:bCs/>
              <w:color w:val="auto"/>
              <w:sz w:val="24"/>
              <w:szCs w:val="24"/>
            </w:rPr>
          </w:pPr>
          <w:r w:rsidRPr="00FA4281">
            <w:rPr>
              <w:rFonts w:ascii="Arial" w:hAnsi="Arial" w:cs="Arial"/>
              <w:b/>
              <w:bCs/>
              <w:color w:val="auto"/>
              <w:sz w:val="24"/>
              <w:szCs w:val="24"/>
            </w:rPr>
            <w:t>Table of Contents</w:t>
          </w:r>
        </w:p>
        <w:p w14:paraId="51ABC598" w14:textId="39B298F3" w:rsidR="00FA4281" w:rsidRPr="00FA4281" w:rsidRDefault="00FA4281" w:rsidP="00FA4281">
          <w:pPr>
            <w:pStyle w:val="TOC1"/>
            <w:tabs>
              <w:tab w:val="right" w:leader="dot" w:pos="9350"/>
            </w:tabs>
            <w:spacing w:line="360" w:lineRule="auto"/>
            <w:jc w:val="both"/>
            <w:rPr>
              <w:noProof/>
              <w:sz w:val="24"/>
              <w:szCs w:val="24"/>
            </w:rPr>
          </w:pPr>
          <w:r w:rsidRPr="00FA4281">
            <w:rPr>
              <w:sz w:val="24"/>
              <w:szCs w:val="24"/>
            </w:rPr>
            <w:fldChar w:fldCharType="begin"/>
          </w:r>
          <w:r w:rsidRPr="00FA4281">
            <w:rPr>
              <w:sz w:val="24"/>
              <w:szCs w:val="24"/>
            </w:rPr>
            <w:instrText xml:space="preserve"> TOC \o "1-3" \h \z \u </w:instrText>
          </w:r>
          <w:r w:rsidRPr="00FA4281">
            <w:rPr>
              <w:sz w:val="24"/>
              <w:szCs w:val="24"/>
            </w:rPr>
            <w:fldChar w:fldCharType="separate"/>
          </w:r>
          <w:hyperlink w:anchor="_Toc231937245" w:history="1">
            <w:r w:rsidRPr="00FA4281">
              <w:rPr>
                <w:rStyle w:val="Hyperlink"/>
                <w:noProof/>
                <w:color w:val="auto"/>
                <w:sz w:val="24"/>
                <w:szCs w:val="24"/>
                <w:lang w:val="en-GB"/>
              </w:rPr>
              <w:t>1. Introduction, Background and Research Problem</w:t>
            </w:r>
            <w:r w:rsidRPr="00FA4281">
              <w:rPr>
                <w:noProof/>
                <w:webHidden/>
                <w:sz w:val="24"/>
                <w:szCs w:val="24"/>
              </w:rPr>
              <w:tab/>
            </w:r>
            <w:r w:rsidRPr="00FA4281">
              <w:rPr>
                <w:noProof/>
                <w:webHidden/>
                <w:sz w:val="24"/>
                <w:szCs w:val="24"/>
              </w:rPr>
              <w:fldChar w:fldCharType="begin"/>
            </w:r>
            <w:r w:rsidRPr="00FA4281">
              <w:rPr>
                <w:noProof/>
                <w:webHidden/>
                <w:sz w:val="24"/>
                <w:szCs w:val="24"/>
              </w:rPr>
              <w:instrText xml:space="preserve"> PAGEREF _Toc231937245 \h </w:instrText>
            </w:r>
            <w:r w:rsidRPr="00FA4281">
              <w:rPr>
                <w:noProof/>
                <w:webHidden/>
                <w:sz w:val="24"/>
                <w:szCs w:val="24"/>
              </w:rPr>
            </w:r>
            <w:r w:rsidRPr="00FA4281">
              <w:rPr>
                <w:noProof/>
                <w:webHidden/>
                <w:sz w:val="24"/>
                <w:szCs w:val="24"/>
              </w:rPr>
              <w:fldChar w:fldCharType="separate"/>
            </w:r>
            <w:r w:rsidRPr="00FA4281">
              <w:rPr>
                <w:noProof/>
                <w:webHidden/>
                <w:sz w:val="24"/>
                <w:szCs w:val="24"/>
              </w:rPr>
              <w:t>2</w:t>
            </w:r>
            <w:r w:rsidRPr="00FA4281">
              <w:rPr>
                <w:noProof/>
                <w:webHidden/>
                <w:sz w:val="24"/>
                <w:szCs w:val="24"/>
              </w:rPr>
              <w:fldChar w:fldCharType="end"/>
            </w:r>
          </w:hyperlink>
        </w:p>
        <w:p w14:paraId="45C83E0C" w14:textId="5A38AB50" w:rsidR="00FA4281" w:rsidRPr="00FA4281" w:rsidRDefault="00A07567" w:rsidP="00FA4281">
          <w:pPr>
            <w:pStyle w:val="TOC1"/>
            <w:tabs>
              <w:tab w:val="right" w:leader="dot" w:pos="9350"/>
            </w:tabs>
            <w:spacing w:line="360" w:lineRule="auto"/>
            <w:jc w:val="both"/>
            <w:rPr>
              <w:noProof/>
              <w:sz w:val="24"/>
              <w:szCs w:val="24"/>
            </w:rPr>
          </w:pPr>
          <w:hyperlink w:anchor="_Toc231937246" w:history="1">
            <w:r w:rsidR="00FA4281" w:rsidRPr="00FA4281">
              <w:rPr>
                <w:rStyle w:val="Hyperlink"/>
                <w:noProof/>
                <w:color w:val="auto"/>
                <w:sz w:val="24"/>
                <w:szCs w:val="24"/>
                <w:lang w:val="en-GB"/>
              </w:rPr>
              <w:t>2. Research Aim, Objectives and Research Question</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_Toc231937246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3</w:t>
            </w:r>
            <w:r w:rsidR="00FA4281" w:rsidRPr="00FA4281">
              <w:rPr>
                <w:noProof/>
                <w:webHidden/>
                <w:sz w:val="24"/>
                <w:szCs w:val="24"/>
              </w:rPr>
              <w:fldChar w:fldCharType="end"/>
            </w:r>
          </w:hyperlink>
        </w:p>
        <w:p w14:paraId="2E01266E" w14:textId="660F6112" w:rsidR="00FA4281" w:rsidRPr="00FA4281" w:rsidRDefault="00A07567" w:rsidP="00FA4281">
          <w:pPr>
            <w:pStyle w:val="TOC2"/>
            <w:tabs>
              <w:tab w:val="right" w:leader="dot" w:pos="9350"/>
            </w:tabs>
            <w:spacing w:line="360" w:lineRule="auto"/>
            <w:jc w:val="both"/>
            <w:rPr>
              <w:noProof/>
              <w:sz w:val="24"/>
              <w:szCs w:val="24"/>
            </w:rPr>
          </w:pPr>
          <w:hyperlink w:anchor="_Toc231937247" w:history="1">
            <w:r w:rsidR="00FA4281" w:rsidRPr="00FA4281">
              <w:rPr>
                <w:rStyle w:val="Hyperlink"/>
                <w:noProof/>
                <w:color w:val="auto"/>
                <w:sz w:val="24"/>
                <w:szCs w:val="24"/>
                <w:lang w:val="en-GB"/>
              </w:rPr>
              <w:t>2.1 Research Aim</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_Toc231937247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3</w:t>
            </w:r>
            <w:r w:rsidR="00FA4281" w:rsidRPr="00FA4281">
              <w:rPr>
                <w:noProof/>
                <w:webHidden/>
                <w:sz w:val="24"/>
                <w:szCs w:val="24"/>
              </w:rPr>
              <w:fldChar w:fldCharType="end"/>
            </w:r>
          </w:hyperlink>
        </w:p>
        <w:p w14:paraId="7D2C1C27" w14:textId="1AC91972" w:rsidR="00FA4281" w:rsidRPr="00FA4281" w:rsidRDefault="00A07567" w:rsidP="00FA4281">
          <w:pPr>
            <w:pStyle w:val="TOC2"/>
            <w:tabs>
              <w:tab w:val="right" w:leader="dot" w:pos="9350"/>
            </w:tabs>
            <w:spacing w:line="360" w:lineRule="auto"/>
            <w:jc w:val="both"/>
            <w:rPr>
              <w:noProof/>
              <w:sz w:val="24"/>
              <w:szCs w:val="24"/>
            </w:rPr>
          </w:pPr>
          <w:hyperlink w:anchor="_Toc231937248" w:history="1">
            <w:r w:rsidR="00FA4281" w:rsidRPr="00FA4281">
              <w:rPr>
                <w:rStyle w:val="Hyperlink"/>
                <w:noProof/>
                <w:color w:val="auto"/>
                <w:sz w:val="24"/>
                <w:szCs w:val="24"/>
                <w:lang w:val="en-GB"/>
              </w:rPr>
              <w:t>2.2 Research Objectives</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_Toc231937248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3</w:t>
            </w:r>
            <w:r w:rsidR="00FA4281" w:rsidRPr="00FA4281">
              <w:rPr>
                <w:noProof/>
                <w:webHidden/>
                <w:sz w:val="24"/>
                <w:szCs w:val="24"/>
              </w:rPr>
              <w:fldChar w:fldCharType="end"/>
            </w:r>
          </w:hyperlink>
        </w:p>
        <w:p w14:paraId="20410E57" w14:textId="0A969CA3" w:rsidR="00FA4281" w:rsidRPr="00FA4281" w:rsidRDefault="00A07567" w:rsidP="00FA4281">
          <w:pPr>
            <w:pStyle w:val="TOC2"/>
            <w:tabs>
              <w:tab w:val="right" w:leader="dot" w:pos="9350"/>
            </w:tabs>
            <w:spacing w:line="360" w:lineRule="auto"/>
            <w:jc w:val="both"/>
            <w:rPr>
              <w:noProof/>
              <w:sz w:val="24"/>
              <w:szCs w:val="24"/>
            </w:rPr>
          </w:pPr>
          <w:hyperlink w:anchor="_Toc231937249" w:history="1">
            <w:r w:rsidR="00FA4281" w:rsidRPr="00FA4281">
              <w:rPr>
                <w:rStyle w:val="Hyperlink"/>
                <w:noProof/>
                <w:color w:val="auto"/>
                <w:sz w:val="24"/>
                <w:szCs w:val="24"/>
                <w:lang w:val="en-GB"/>
              </w:rPr>
              <w:t>2.3 Research Question</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_Toc231937249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4</w:t>
            </w:r>
            <w:r w:rsidR="00FA4281" w:rsidRPr="00FA4281">
              <w:rPr>
                <w:noProof/>
                <w:webHidden/>
                <w:sz w:val="24"/>
                <w:szCs w:val="24"/>
              </w:rPr>
              <w:fldChar w:fldCharType="end"/>
            </w:r>
          </w:hyperlink>
        </w:p>
        <w:p w14:paraId="7ACFD0FB" w14:textId="600FB120" w:rsidR="00FA4281" w:rsidRPr="00FA4281" w:rsidRDefault="00A07567" w:rsidP="00FA4281">
          <w:pPr>
            <w:pStyle w:val="TOC1"/>
            <w:tabs>
              <w:tab w:val="right" w:leader="dot" w:pos="9350"/>
            </w:tabs>
            <w:spacing w:line="360" w:lineRule="auto"/>
            <w:jc w:val="both"/>
            <w:rPr>
              <w:noProof/>
              <w:sz w:val="24"/>
              <w:szCs w:val="24"/>
            </w:rPr>
          </w:pPr>
          <w:hyperlink w:anchor="_Toc231937250" w:history="1">
            <w:r w:rsidR="00FA4281" w:rsidRPr="00FA4281">
              <w:rPr>
                <w:rStyle w:val="Hyperlink"/>
                <w:noProof/>
                <w:color w:val="auto"/>
                <w:sz w:val="24"/>
                <w:szCs w:val="24"/>
                <w:lang w:val="en-GB"/>
              </w:rPr>
              <w:t>3. Preliminary Literature Review</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_Toc231937250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4</w:t>
            </w:r>
            <w:r w:rsidR="00FA4281" w:rsidRPr="00FA4281">
              <w:rPr>
                <w:noProof/>
                <w:webHidden/>
                <w:sz w:val="24"/>
                <w:szCs w:val="24"/>
              </w:rPr>
              <w:fldChar w:fldCharType="end"/>
            </w:r>
          </w:hyperlink>
        </w:p>
        <w:p w14:paraId="119121ED" w14:textId="239C6785" w:rsidR="00FA4281" w:rsidRPr="00FA4281" w:rsidRDefault="00A07567" w:rsidP="00FA4281">
          <w:pPr>
            <w:pStyle w:val="TOC2"/>
            <w:tabs>
              <w:tab w:val="right" w:leader="dot" w:pos="9350"/>
            </w:tabs>
            <w:spacing w:line="360" w:lineRule="auto"/>
            <w:jc w:val="both"/>
            <w:rPr>
              <w:noProof/>
              <w:sz w:val="24"/>
              <w:szCs w:val="24"/>
            </w:rPr>
          </w:pPr>
          <w:hyperlink w:anchor="_Toc231937251" w:history="1">
            <w:r w:rsidR="00FA4281" w:rsidRPr="00FA4281">
              <w:rPr>
                <w:rStyle w:val="Hyperlink"/>
                <w:noProof/>
                <w:color w:val="auto"/>
                <w:sz w:val="24"/>
                <w:szCs w:val="24"/>
                <w:lang w:val="en-GB"/>
              </w:rPr>
              <w:t>3.1 AI and Supply Chain Management: Global Evidence</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_Toc231937251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4</w:t>
            </w:r>
            <w:r w:rsidR="00FA4281" w:rsidRPr="00FA4281">
              <w:rPr>
                <w:noProof/>
                <w:webHidden/>
                <w:sz w:val="24"/>
                <w:szCs w:val="24"/>
              </w:rPr>
              <w:fldChar w:fldCharType="end"/>
            </w:r>
          </w:hyperlink>
        </w:p>
        <w:p w14:paraId="07CF3494" w14:textId="184A30D0" w:rsidR="00FA4281" w:rsidRPr="00FA4281" w:rsidRDefault="00A07567" w:rsidP="00FA4281">
          <w:pPr>
            <w:pStyle w:val="TOC2"/>
            <w:tabs>
              <w:tab w:val="right" w:leader="dot" w:pos="9350"/>
            </w:tabs>
            <w:spacing w:line="360" w:lineRule="auto"/>
            <w:jc w:val="both"/>
            <w:rPr>
              <w:noProof/>
              <w:sz w:val="24"/>
              <w:szCs w:val="24"/>
            </w:rPr>
          </w:pPr>
          <w:hyperlink w:anchor="_Toc231937252" w:history="1">
            <w:r w:rsidR="00FA4281" w:rsidRPr="00FA4281">
              <w:rPr>
                <w:rStyle w:val="Hyperlink"/>
                <w:noProof/>
                <w:color w:val="auto"/>
                <w:sz w:val="24"/>
                <w:szCs w:val="24"/>
                <w:lang w:val="en-GB"/>
              </w:rPr>
              <w:t>3.2 Generative AI in Retail Demand Forecasting</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_Toc231937252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4</w:t>
            </w:r>
            <w:r w:rsidR="00FA4281" w:rsidRPr="00FA4281">
              <w:rPr>
                <w:noProof/>
                <w:webHidden/>
                <w:sz w:val="24"/>
                <w:szCs w:val="24"/>
              </w:rPr>
              <w:fldChar w:fldCharType="end"/>
            </w:r>
          </w:hyperlink>
        </w:p>
        <w:p w14:paraId="3320BD13" w14:textId="2643733C" w:rsidR="00FA4281" w:rsidRPr="00FA4281" w:rsidRDefault="00A07567" w:rsidP="00FA4281">
          <w:pPr>
            <w:pStyle w:val="TOC2"/>
            <w:tabs>
              <w:tab w:val="right" w:leader="dot" w:pos="9350"/>
            </w:tabs>
            <w:spacing w:line="360" w:lineRule="auto"/>
            <w:jc w:val="both"/>
            <w:rPr>
              <w:noProof/>
              <w:sz w:val="24"/>
              <w:szCs w:val="24"/>
            </w:rPr>
          </w:pPr>
          <w:hyperlink w:anchor="_Toc231937253" w:history="1">
            <w:r w:rsidR="00FA4281" w:rsidRPr="00FA4281">
              <w:rPr>
                <w:rStyle w:val="Hyperlink"/>
                <w:noProof/>
                <w:color w:val="auto"/>
                <w:sz w:val="24"/>
                <w:szCs w:val="24"/>
                <w:lang w:val="en-GB"/>
              </w:rPr>
              <w:t>3.3 Theoretical framework: Resource Based View and Research Gap</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_Toc231937253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5</w:t>
            </w:r>
            <w:r w:rsidR="00FA4281" w:rsidRPr="00FA4281">
              <w:rPr>
                <w:noProof/>
                <w:webHidden/>
                <w:sz w:val="24"/>
                <w:szCs w:val="24"/>
              </w:rPr>
              <w:fldChar w:fldCharType="end"/>
            </w:r>
          </w:hyperlink>
        </w:p>
        <w:p w14:paraId="0A025B4C" w14:textId="52C6B14D" w:rsidR="00FA4281" w:rsidRPr="00FA4281" w:rsidRDefault="00A07567" w:rsidP="00FA4281">
          <w:pPr>
            <w:pStyle w:val="TOC1"/>
            <w:tabs>
              <w:tab w:val="right" w:leader="dot" w:pos="9350"/>
            </w:tabs>
            <w:spacing w:line="360" w:lineRule="auto"/>
            <w:jc w:val="both"/>
            <w:rPr>
              <w:noProof/>
              <w:sz w:val="24"/>
              <w:szCs w:val="24"/>
            </w:rPr>
          </w:pPr>
          <w:hyperlink w:anchor="_Toc231937254" w:history="1">
            <w:r w:rsidR="00FA4281" w:rsidRPr="00FA4281">
              <w:rPr>
                <w:rStyle w:val="Hyperlink"/>
                <w:noProof/>
                <w:color w:val="auto"/>
                <w:sz w:val="24"/>
                <w:szCs w:val="24"/>
                <w:lang w:val="en-GB"/>
              </w:rPr>
              <w:t>4. Research Methodology</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_Toc231937254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5</w:t>
            </w:r>
            <w:r w:rsidR="00FA4281" w:rsidRPr="00FA4281">
              <w:rPr>
                <w:noProof/>
                <w:webHidden/>
                <w:sz w:val="24"/>
                <w:szCs w:val="24"/>
              </w:rPr>
              <w:fldChar w:fldCharType="end"/>
            </w:r>
          </w:hyperlink>
        </w:p>
        <w:p w14:paraId="17751A79" w14:textId="51229951" w:rsidR="00FA4281" w:rsidRPr="00FA4281" w:rsidRDefault="00A07567" w:rsidP="00FA4281">
          <w:pPr>
            <w:pStyle w:val="TOC1"/>
            <w:tabs>
              <w:tab w:val="right" w:leader="dot" w:pos="9350"/>
            </w:tabs>
            <w:spacing w:line="360" w:lineRule="auto"/>
            <w:jc w:val="both"/>
            <w:rPr>
              <w:noProof/>
              <w:sz w:val="24"/>
              <w:szCs w:val="24"/>
            </w:rPr>
          </w:pPr>
          <w:hyperlink w:anchor="_Toc231937255" w:history="1">
            <w:r w:rsidR="00FA4281" w:rsidRPr="00FA4281">
              <w:rPr>
                <w:rStyle w:val="Hyperlink"/>
                <w:noProof/>
                <w:color w:val="auto"/>
                <w:sz w:val="24"/>
                <w:szCs w:val="24"/>
                <w:lang w:val="en-GB"/>
              </w:rPr>
              <w:t>5. Risks</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_Toc231937255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6</w:t>
            </w:r>
            <w:r w:rsidR="00FA4281" w:rsidRPr="00FA4281">
              <w:rPr>
                <w:noProof/>
                <w:webHidden/>
                <w:sz w:val="24"/>
                <w:szCs w:val="24"/>
              </w:rPr>
              <w:fldChar w:fldCharType="end"/>
            </w:r>
          </w:hyperlink>
        </w:p>
        <w:p w14:paraId="02855FB7" w14:textId="11676EE4" w:rsidR="00FA4281" w:rsidRPr="00FA4281" w:rsidRDefault="00A07567" w:rsidP="00FA4281">
          <w:pPr>
            <w:pStyle w:val="TOC1"/>
            <w:tabs>
              <w:tab w:val="right" w:leader="dot" w:pos="9350"/>
            </w:tabs>
            <w:spacing w:line="360" w:lineRule="auto"/>
            <w:jc w:val="both"/>
            <w:rPr>
              <w:noProof/>
              <w:sz w:val="24"/>
              <w:szCs w:val="24"/>
            </w:rPr>
          </w:pPr>
          <w:hyperlink w:anchor="_Toc231937256" w:history="1">
            <w:r w:rsidR="00FA4281" w:rsidRPr="00FA4281">
              <w:rPr>
                <w:rStyle w:val="Hyperlink"/>
                <w:noProof/>
                <w:color w:val="auto"/>
                <w:sz w:val="24"/>
                <w:szCs w:val="24"/>
                <w:lang w:val="en-GB"/>
              </w:rPr>
              <w:t>6. Timeline</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_Toc231937256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7</w:t>
            </w:r>
            <w:r w:rsidR="00FA4281" w:rsidRPr="00FA4281">
              <w:rPr>
                <w:noProof/>
                <w:webHidden/>
                <w:sz w:val="24"/>
                <w:szCs w:val="24"/>
              </w:rPr>
              <w:fldChar w:fldCharType="end"/>
            </w:r>
          </w:hyperlink>
        </w:p>
        <w:p w14:paraId="51B59518" w14:textId="0B58A52A" w:rsidR="00FA4281" w:rsidRPr="00FA4281" w:rsidRDefault="00A07567" w:rsidP="00FA4281">
          <w:pPr>
            <w:pStyle w:val="TOC1"/>
            <w:tabs>
              <w:tab w:val="right" w:leader="dot" w:pos="9350"/>
            </w:tabs>
            <w:spacing w:line="360" w:lineRule="auto"/>
            <w:jc w:val="both"/>
            <w:rPr>
              <w:noProof/>
              <w:sz w:val="24"/>
              <w:szCs w:val="24"/>
            </w:rPr>
          </w:pPr>
          <w:hyperlink w:anchor="_Toc231937257" w:history="1">
            <w:r w:rsidR="00FA4281" w:rsidRPr="00FA4281">
              <w:rPr>
                <w:rStyle w:val="Hyperlink"/>
                <w:noProof/>
                <w:color w:val="auto"/>
                <w:sz w:val="24"/>
                <w:szCs w:val="24"/>
                <w:lang w:val="en-GB"/>
              </w:rPr>
              <w:t>Reference list</w:t>
            </w:r>
            <w:r w:rsidR="00FA4281" w:rsidRPr="00FA4281">
              <w:rPr>
                <w:noProof/>
                <w:webHidden/>
                <w:sz w:val="24"/>
                <w:szCs w:val="24"/>
              </w:rPr>
              <w:tab/>
            </w:r>
            <w:r w:rsidR="00FA4281" w:rsidRPr="00FA4281">
              <w:rPr>
                <w:noProof/>
                <w:webHidden/>
                <w:sz w:val="24"/>
                <w:szCs w:val="24"/>
              </w:rPr>
              <w:fldChar w:fldCharType="begin"/>
            </w:r>
            <w:r w:rsidR="00FA4281" w:rsidRPr="00FA4281">
              <w:rPr>
                <w:noProof/>
                <w:webHidden/>
                <w:sz w:val="24"/>
                <w:szCs w:val="24"/>
              </w:rPr>
              <w:instrText xml:space="preserve"> PAGEREF _Toc231937257 \h </w:instrText>
            </w:r>
            <w:r w:rsidR="00FA4281" w:rsidRPr="00FA4281">
              <w:rPr>
                <w:noProof/>
                <w:webHidden/>
                <w:sz w:val="24"/>
                <w:szCs w:val="24"/>
              </w:rPr>
            </w:r>
            <w:r w:rsidR="00FA4281" w:rsidRPr="00FA4281">
              <w:rPr>
                <w:noProof/>
                <w:webHidden/>
                <w:sz w:val="24"/>
                <w:szCs w:val="24"/>
              </w:rPr>
              <w:fldChar w:fldCharType="separate"/>
            </w:r>
            <w:r w:rsidR="00FA4281" w:rsidRPr="00FA4281">
              <w:rPr>
                <w:noProof/>
                <w:webHidden/>
                <w:sz w:val="24"/>
                <w:szCs w:val="24"/>
              </w:rPr>
              <w:t>9</w:t>
            </w:r>
            <w:r w:rsidR="00FA4281" w:rsidRPr="00FA4281">
              <w:rPr>
                <w:noProof/>
                <w:webHidden/>
                <w:sz w:val="24"/>
                <w:szCs w:val="24"/>
              </w:rPr>
              <w:fldChar w:fldCharType="end"/>
            </w:r>
          </w:hyperlink>
        </w:p>
        <w:p w14:paraId="112804DB" w14:textId="62C4E458" w:rsidR="00FA4281" w:rsidRDefault="00FA4281" w:rsidP="00FA4281">
          <w:pPr>
            <w:spacing w:line="360" w:lineRule="auto"/>
            <w:jc w:val="both"/>
          </w:pPr>
          <w:r w:rsidRPr="00FA4281">
            <w:rPr>
              <w:b/>
              <w:bCs/>
              <w:noProof/>
              <w:sz w:val="24"/>
              <w:szCs w:val="24"/>
            </w:rPr>
            <w:fldChar w:fldCharType="end"/>
          </w:r>
        </w:p>
      </w:sdtContent>
    </w:sdt>
    <w:p w14:paraId="0BC44C0C" w14:textId="77777777" w:rsidR="00FA4281" w:rsidRPr="00FA4281" w:rsidRDefault="00FA4281">
      <w:pPr>
        <w:spacing w:line="360" w:lineRule="auto"/>
        <w:jc w:val="both"/>
        <w:rPr>
          <w:color w:val="000000" w:themeColor="text1"/>
          <w:sz w:val="24"/>
          <w:szCs w:val="24"/>
          <w:lang w:val="en-GB"/>
        </w:rPr>
      </w:pPr>
    </w:p>
    <w:p w14:paraId="7AE58517" w14:textId="77777777" w:rsidR="00FA4281" w:rsidRDefault="00FA4281">
      <w:pPr>
        <w:rPr>
          <w:b/>
          <w:color w:val="000000" w:themeColor="text1"/>
          <w:sz w:val="24"/>
          <w:szCs w:val="40"/>
          <w:lang w:val="en-GB"/>
        </w:rPr>
      </w:pPr>
      <w:bookmarkStart w:id="1" w:name="_Toc231937245"/>
      <w:r>
        <w:rPr>
          <w:lang w:val="en-GB"/>
        </w:rPr>
        <w:br w:type="page"/>
      </w:r>
    </w:p>
    <w:p w14:paraId="64193457" w14:textId="6C9A6A1B" w:rsidR="00EE22BF" w:rsidRPr="00FA4281" w:rsidRDefault="00A07567" w:rsidP="00C2679C">
      <w:pPr>
        <w:pStyle w:val="Heading1"/>
        <w:rPr>
          <w:lang w:val="en-GB"/>
        </w:rPr>
      </w:pPr>
      <w:r w:rsidRPr="00FA4281">
        <w:rPr>
          <w:lang w:val="en-GB"/>
        </w:rPr>
        <w:lastRenderedPageBreak/>
        <w:t>1. Introduction, Background and Research Problem</w:t>
      </w:r>
      <w:bookmarkEnd w:id="1"/>
    </w:p>
    <w:p w14:paraId="35F9D322" w14:textId="6B7E1980" w:rsidR="00EE22BF" w:rsidRPr="00FA4281" w:rsidRDefault="00A07567">
      <w:pPr>
        <w:spacing w:line="360" w:lineRule="auto"/>
        <w:jc w:val="both"/>
        <w:rPr>
          <w:color w:val="000000" w:themeColor="text1"/>
          <w:sz w:val="24"/>
          <w:szCs w:val="24"/>
          <w:lang w:val="en-GB"/>
        </w:rPr>
      </w:pPr>
      <w:r w:rsidRPr="00FA4281">
        <w:rPr>
          <w:color w:val="000000" w:themeColor="text1"/>
          <w:sz w:val="24"/>
          <w:szCs w:val="24"/>
          <w:lang w:val="en-GB"/>
        </w:rPr>
        <w:t>The adoption of Artificial Intelligence (AI) in supply chain management (SCM) is among some of the most impactful technological advancements of the modern era in the business world. AI-powered supply chain tools, such as machine learning, predictive analyt</w:t>
      </w:r>
      <w:r w:rsidRPr="00FA4281">
        <w:rPr>
          <w:color w:val="000000" w:themeColor="text1"/>
          <w:sz w:val="24"/>
          <w:szCs w:val="24"/>
          <w:lang w:val="en-GB"/>
        </w:rPr>
        <w:t>ics, and demand-sensing platforms, have also proven to be effective in generating tangible operational benefits, particularly for large enterprises. AI mature organisations can expect to see logistics expense reductions of up to 15%, inventory reductions o</w:t>
      </w:r>
      <w:r w:rsidRPr="00FA4281">
        <w:rPr>
          <w:color w:val="000000" w:themeColor="text1"/>
          <w:sz w:val="24"/>
          <w:szCs w:val="24"/>
          <w:lang w:val="en-GB"/>
        </w:rPr>
        <w:t>f up to 35%, and service level improvements of up to 65% (McKinsey &amp; Company, 2021). The results, however, tend to be mostly confined to larger multinationals that have the technology and resources needed to support enterprise-level artificial intelligence</w:t>
      </w:r>
      <w:r w:rsidRPr="00FA4281">
        <w:rPr>
          <w:color w:val="000000" w:themeColor="text1"/>
          <w:sz w:val="24"/>
          <w:szCs w:val="24"/>
          <w:lang w:val="en-GB"/>
        </w:rPr>
        <w:t xml:space="preserve"> solutions. </w:t>
      </w:r>
    </w:p>
    <w:p w14:paraId="6D668871" w14:textId="1F96C12F" w:rsidR="0005488A" w:rsidRPr="00FA4281" w:rsidRDefault="0005488A" w:rsidP="0005488A">
      <w:pPr>
        <w:spacing w:line="360" w:lineRule="auto"/>
        <w:jc w:val="both"/>
        <w:rPr>
          <w:color w:val="000000" w:themeColor="text1"/>
          <w:sz w:val="24"/>
          <w:szCs w:val="24"/>
          <w:lang w:val="en-GB"/>
        </w:rPr>
      </w:pPr>
      <w:r w:rsidRPr="00FA4281">
        <w:rPr>
          <w:color w:val="000000" w:themeColor="text1"/>
          <w:sz w:val="24"/>
          <w:szCs w:val="24"/>
          <w:lang w:val="en-GB"/>
        </w:rPr>
        <w:t>Artificial Intelligence (AI) is one of the most impactful technological shifts in today's retail landscape, particularly in supply chain management (SCM). AI-driven solutions, including machine learning, predictive analytics and demand-sensing platforms, have proven to be very useful in terms of operations, especially for larger organizations. AI-ready companies have seen logistics costs cut up to 15%, inventory cut up to 35% and service levels improved up to 65% (McKinsey &amp; Company, 2021). Particularly this is important for the retail industry in the UK, where stock-outs, overstocks, and other associated mark-downs account for losses of around £11 billion per year for the retailers (Reuters</w:t>
      </w:r>
      <w:r w:rsidR="00BA12FD" w:rsidRPr="00FA4281">
        <w:rPr>
          <w:color w:val="000000" w:themeColor="text1"/>
          <w:sz w:val="24"/>
          <w:szCs w:val="24"/>
          <w:lang w:val="en-GB"/>
        </w:rPr>
        <w:t xml:space="preserve"> Staff</w:t>
      </w:r>
      <w:r w:rsidRPr="00FA4281">
        <w:rPr>
          <w:color w:val="000000" w:themeColor="text1"/>
          <w:sz w:val="24"/>
          <w:szCs w:val="24"/>
          <w:lang w:val="en-GB"/>
        </w:rPr>
        <w:t>, 2026).</w:t>
      </w:r>
    </w:p>
    <w:p w14:paraId="118D38FC" w14:textId="77777777" w:rsidR="0005488A" w:rsidRPr="00FA4281" w:rsidRDefault="0005488A" w:rsidP="0005488A">
      <w:pPr>
        <w:spacing w:line="360" w:lineRule="auto"/>
        <w:jc w:val="both"/>
        <w:rPr>
          <w:color w:val="000000" w:themeColor="text1"/>
          <w:sz w:val="24"/>
          <w:szCs w:val="24"/>
          <w:lang w:val="en-GB"/>
        </w:rPr>
      </w:pPr>
      <w:r w:rsidRPr="00FA4281">
        <w:rPr>
          <w:color w:val="000000" w:themeColor="text1"/>
          <w:sz w:val="24"/>
          <w:szCs w:val="24"/>
          <w:lang w:val="en-GB"/>
        </w:rPr>
        <w:t>Unlike predictive analytics, Generative AI (GenAI) is a qualitatively new capability. Typical ML models use structured data from past records to make demand forecasts; Generative AI can use unstructured data sources like social media sentiment, macroeconomic narratives, and weather forecasts to create scenario-based forecasts of demand (Hassani and Silva, 2024). However, by 2023, only 22% of supply chain leaders had taken AI forecasting tools beyond the pilot phase, indicating a significant disconnect between the use of AI tools and their implementation (</w:t>
      </w:r>
      <w:proofErr w:type="spellStart"/>
      <w:r w:rsidRPr="00FA4281">
        <w:rPr>
          <w:color w:val="000000" w:themeColor="text1"/>
          <w:sz w:val="24"/>
          <w:szCs w:val="24"/>
          <w:lang w:val="en-GB"/>
        </w:rPr>
        <w:t>Culot</w:t>
      </w:r>
      <w:proofErr w:type="spellEnd"/>
      <w:r w:rsidRPr="00FA4281">
        <w:rPr>
          <w:color w:val="000000" w:themeColor="text1"/>
          <w:sz w:val="24"/>
          <w:szCs w:val="24"/>
          <w:lang w:val="en-GB"/>
        </w:rPr>
        <w:t xml:space="preserve">, </w:t>
      </w:r>
      <w:proofErr w:type="spellStart"/>
      <w:r w:rsidRPr="00FA4281">
        <w:rPr>
          <w:color w:val="000000" w:themeColor="text1"/>
          <w:sz w:val="24"/>
          <w:szCs w:val="24"/>
          <w:lang w:val="en-GB"/>
        </w:rPr>
        <w:t>Podrecca</w:t>
      </w:r>
      <w:proofErr w:type="spellEnd"/>
      <w:r w:rsidRPr="00FA4281">
        <w:rPr>
          <w:color w:val="000000" w:themeColor="text1"/>
          <w:sz w:val="24"/>
          <w:szCs w:val="24"/>
          <w:lang w:val="en-GB"/>
        </w:rPr>
        <w:t xml:space="preserve"> and </w:t>
      </w:r>
      <w:proofErr w:type="spellStart"/>
      <w:r w:rsidRPr="00FA4281">
        <w:rPr>
          <w:color w:val="000000" w:themeColor="text1"/>
          <w:sz w:val="24"/>
          <w:szCs w:val="24"/>
          <w:lang w:val="en-GB"/>
        </w:rPr>
        <w:t>Nassimbeni</w:t>
      </w:r>
      <w:proofErr w:type="spellEnd"/>
      <w:r w:rsidRPr="00FA4281">
        <w:rPr>
          <w:color w:val="000000" w:themeColor="text1"/>
          <w:sz w:val="24"/>
          <w:szCs w:val="24"/>
          <w:lang w:val="en-GB"/>
        </w:rPr>
        <w:t>, 2024).</w:t>
      </w:r>
    </w:p>
    <w:p w14:paraId="71CFDE9B" w14:textId="77777777" w:rsidR="0005488A" w:rsidRPr="00FA4281" w:rsidRDefault="0005488A" w:rsidP="0005488A">
      <w:pPr>
        <w:spacing w:line="360" w:lineRule="auto"/>
        <w:jc w:val="both"/>
        <w:rPr>
          <w:color w:val="000000" w:themeColor="text1"/>
          <w:sz w:val="24"/>
          <w:szCs w:val="24"/>
          <w:lang w:val="en-GB"/>
        </w:rPr>
      </w:pPr>
      <w:r w:rsidRPr="00FA4281">
        <w:rPr>
          <w:color w:val="000000" w:themeColor="text1"/>
          <w:sz w:val="24"/>
          <w:szCs w:val="24"/>
          <w:lang w:val="en-GB"/>
        </w:rPr>
        <w:t xml:space="preserve">A case study context particularly relevant to Marks &amp; Spencer (M&amp;S) is presented. M&amp;S is one of the UK's most famous and largest retailers, selling clothing, food and homeware in over 1,400 stores worldwide, and has a developing e-commerce segment. Due to a number of key supply chain issues during the COVID-19 pandemic, M&amp;S launched its multi-year 'Never the Same Again' transformation programme, making AI and data </w:t>
      </w:r>
      <w:r w:rsidRPr="00FA4281">
        <w:rPr>
          <w:color w:val="000000" w:themeColor="text1"/>
          <w:sz w:val="24"/>
          <w:szCs w:val="24"/>
          <w:lang w:val="en-GB"/>
        </w:rPr>
        <w:lastRenderedPageBreak/>
        <w:t>analytics part of the core of the supply chain renewal. This has led to measurable results, as M&amp;S food revenue rose by 17.5% in FY23/24 and clothing and home revenue grew by 11.4% during the period, in part due to M&amp;S' enhanced demand management and supply chain agility (M&amp;S, 2024).</w:t>
      </w:r>
    </w:p>
    <w:p w14:paraId="5D8E56E7" w14:textId="3F0E6D35" w:rsidR="0005488A" w:rsidRPr="00FA4281" w:rsidRDefault="0005488A">
      <w:pPr>
        <w:spacing w:line="360" w:lineRule="auto"/>
        <w:jc w:val="both"/>
        <w:rPr>
          <w:color w:val="000000" w:themeColor="text1"/>
          <w:sz w:val="24"/>
          <w:szCs w:val="24"/>
          <w:lang w:val="en-GB"/>
        </w:rPr>
      </w:pPr>
      <w:r w:rsidRPr="00FA4281">
        <w:rPr>
          <w:color w:val="000000" w:themeColor="text1"/>
          <w:sz w:val="24"/>
          <w:szCs w:val="24"/>
          <w:lang w:val="en-GB"/>
        </w:rPr>
        <w:t>Despite the practitioner advances, the research on GenAI applications in retail supply chains is still in its nascent stages, and not much research at the organisational level is available. The majority of the current research is either algorithmic or conceptual, and few studies have focused on the case-specific, real-world dynamics in which these technologies are used for making decisions (</w:t>
      </w:r>
      <w:proofErr w:type="spellStart"/>
      <w:r w:rsidRPr="00FA4281">
        <w:rPr>
          <w:color w:val="000000" w:themeColor="text1"/>
          <w:sz w:val="24"/>
          <w:szCs w:val="24"/>
          <w:lang w:val="en-GB"/>
        </w:rPr>
        <w:t>Culot</w:t>
      </w:r>
      <w:proofErr w:type="spellEnd"/>
      <w:r w:rsidRPr="00FA4281">
        <w:rPr>
          <w:color w:val="000000" w:themeColor="text1"/>
          <w:sz w:val="24"/>
          <w:szCs w:val="24"/>
          <w:lang w:val="en-GB"/>
        </w:rPr>
        <w:t xml:space="preserve">, </w:t>
      </w:r>
      <w:proofErr w:type="spellStart"/>
      <w:r w:rsidRPr="00FA4281">
        <w:rPr>
          <w:color w:val="000000" w:themeColor="text1"/>
          <w:sz w:val="24"/>
          <w:szCs w:val="24"/>
          <w:lang w:val="en-GB"/>
        </w:rPr>
        <w:t>Podrecca</w:t>
      </w:r>
      <w:proofErr w:type="spellEnd"/>
      <w:r w:rsidRPr="00FA4281">
        <w:rPr>
          <w:color w:val="000000" w:themeColor="text1"/>
          <w:sz w:val="24"/>
          <w:szCs w:val="24"/>
          <w:lang w:val="en-GB"/>
        </w:rPr>
        <w:t xml:space="preserve"> and </w:t>
      </w:r>
      <w:proofErr w:type="spellStart"/>
      <w:r w:rsidRPr="00FA4281">
        <w:rPr>
          <w:color w:val="000000" w:themeColor="text1"/>
          <w:sz w:val="24"/>
          <w:szCs w:val="24"/>
          <w:lang w:val="en-GB"/>
        </w:rPr>
        <w:t>Nassimbeni</w:t>
      </w:r>
      <w:proofErr w:type="spellEnd"/>
      <w:r w:rsidRPr="00FA4281">
        <w:rPr>
          <w:color w:val="000000" w:themeColor="text1"/>
          <w:sz w:val="24"/>
          <w:szCs w:val="24"/>
          <w:lang w:val="en-GB"/>
        </w:rPr>
        <w:t>, 2024). This dissertation aims to remedy that, by conducting a focused secondary qualitative case study of M&amp;S.</w:t>
      </w:r>
    </w:p>
    <w:p w14:paraId="45561075" w14:textId="77777777" w:rsidR="00EE22BF" w:rsidRPr="00FA4281" w:rsidRDefault="00A07567" w:rsidP="00C2679C">
      <w:pPr>
        <w:pStyle w:val="Heading1"/>
        <w:rPr>
          <w:lang w:val="en-GB"/>
        </w:rPr>
      </w:pPr>
      <w:bookmarkStart w:id="2" w:name="_Toc231937246"/>
      <w:r w:rsidRPr="00FA4281">
        <w:rPr>
          <w:lang w:val="en-GB"/>
        </w:rPr>
        <w:t>2. Research Aim, Objectives and Research Question</w:t>
      </w:r>
      <w:bookmarkEnd w:id="2"/>
    </w:p>
    <w:p w14:paraId="11C23E56" w14:textId="77777777" w:rsidR="00EE22BF" w:rsidRPr="00FA4281" w:rsidRDefault="00A07567" w:rsidP="00C2679C">
      <w:pPr>
        <w:pStyle w:val="Heading2"/>
        <w:rPr>
          <w:lang w:val="en-GB"/>
        </w:rPr>
      </w:pPr>
      <w:bookmarkStart w:id="3" w:name="_Toc231937247"/>
      <w:r w:rsidRPr="00FA4281">
        <w:rPr>
          <w:lang w:val="en-GB"/>
        </w:rPr>
        <w:t>2.1 Research Aim</w:t>
      </w:r>
      <w:bookmarkEnd w:id="3"/>
    </w:p>
    <w:p w14:paraId="0496DCE6" w14:textId="301F8C2E" w:rsidR="00004DBC" w:rsidRPr="00FA4281" w:rsidRDefault="00004DBC" w:rsidP="00004DBC">
      <w:pPr>
        <w:spacing w:line="360" w:lineRule="auto"/>
        <w:jc w:val="both"/>
        <w:rPr>
          <w:color w:val="000000" w:themeColor="text1"/>
          <w:sz w:val="24"/>
          <w:szCs w:val="24"/>
          <w:lang w:val="en-GB"/>
        </w:rPr>
      </w:pPr>
      <w:r w:rsidRPr="00FA4281">
        <w:rPr>
          <w:color w:val="000000" w:themeColor="text1"/>
          <w:sz w:val="24"/>
          <w:szCs w:val="24"/>
          <w:lang w:val="en-GB"/>
        </w:rPr>
        <w:t>To explore the impact of Generative AI and predictive analytics on enhancing the demand forecast and inventory optimisation in the UK retail supply chain, with a case study example of Marks &amp; Spencer.</w:t>
      </w:r>
    </w:p>
    <w:p w14:paraId="5A233A79" w14:textId="2AA5208C" w:rsidR="00EE22BF" w:rsidRPr="00FA4281" w:rsidRDefault="00A07567" w:rsidP="00004DBC">
      <w:pPr>
        <w:pStyle w:val="Heading2"/>
        <w:rPr>
          <w:lang w:val="en-GB"/>
        </w:rPr>
      </w:pPr>
      <w:bookmarkStart w:id="4" w:name="_Toc231937248"/>
      <w:r w:rsidRPr="00FA4281">
        <w:rPr>
          <w:lang w:val="en-GB"/>
        </w:rPr>
        <w:t>2.2 Research Objectives</w:t>
      </w:r>
      <w:bookmarkEnd w:id="4"/>
    </w:p>
    <w:p w14:paraId="08C602A0" w14:textId="77777777" w:rsidR="00004DBC" w:rsidRPr="00FA4281" w:rsidRDefault="00004DBC" w:rsidP="00004DBC">
      <w:pPr>
        <w:numPr>
          <w:ilvl w:val="0"/>
          <w:numId w:val="3"/>
        </w:numPr>
        <w:spacing w:line="360" w:lineRule="auto"/>
        <w:jc w:val="both"/>
        <w:rPr>
          <w:color w:val="000000" w:themeColor="text1"/>
          <w:sz w:val="24"/>
          <w:szCs w:val="24"/>
          <w:lang w:val="en-GB"/>
        </w:rPr>
      </w:pPr>
      <w:r w:rsidRPr="00FA4281">
        <w:rPr>
          <w:color w:val="000000" w:themeColor="text1"/>
          <w:sz w:val="24"/>
          <w:szCs w:val="24"/>
          <w:lang w:val="en-GB"/>
        </w:rPr>
        <w:t>To explore the use of Generative AI and predictive analytics for demand forecasting and inventory optimisation in the retail supply chain.</w:t>
      </w:r>
    </w:p>
    <w:p w14:paraId="2F5F6E32" w14:textId="77777777" w:rsidR="00004DBC" w:rsidRPr="00FA4281" w:rsidRDefault="00004DBC" w:rsidP="00004DBC">
      <w:pPr>
        <w:numPr>
          <w:ilvl w:val="0"/>
          <w:numId w:val="3"/>
        </w:numPr>
        <w:spacing w:line="360" w:lineRule="auto"/>
        <w:jc w:val="both"/>
        <w:rPr>
          <w:color w:val="000000" w:themeColor="text1"/>
          <w:sz w:val="24"/>
          <w:szCs w:val="24"/>
          <w:lang w:val="en-GB"/>
        </w:rPr>
      </w:pPr>
      <w:r w:rsidRPr="00FA4281">
        <w:rPr>
          <w:color w:val="000000" w:themeColor="text1"/>
          <w:sz w:val="24"/>
          <w:szCs w:val="24"/>
          <w:lang w:val="en-GB"/>
        </w:rPr>
        <w:t>To assess the use of Generative AI and predictive analytics at Marks &amp; Spencer, and how it is helping to improve forecasting accuracy and inventory performance.</w:t>
      </w:r>
    </w:p>
    <w:p w14:paraId="7B13453C" w14:textId="77777777" w:rsidR="00004DBC" w:rsidRPr="00FA4281" w:rsidRDefault="00004DBC" w:rsidP="00004DBC">
      <w:pPr>
        <w:numPr>
          <w:ilvl w:val="0"/>
          <w:numId w:val="3"/>
        </w:numPr>
        <w:spacing w:line="360" w:lineRule="auto"/>
        <w:jc w:val="both"/>
        <w:rPr>
          <w:color w:val="000000" w:themeColor="text1"/>
          <w:sz w:val="24"/>
          <w:szCs w:val="24"/>
          <w:lang w:val="en-GB"/>
        </w:rPr>
      </w:pPr>
      <w:r w:rsidRPr="00FA4281">
        <w:rPr>
          <w:color w:val="000000" w:themeColor="text1"/>
          <w:sz w:val="24"/>
          <w:szCs w:val="24"/>
          <w:lang w:val="en-GB"/>
        </w:rPr>
        <w:t>To understand the opportunities and obstacles for the use of Generative AI and predictive analytics to improve the efficiency and competitiveness of the supply chain at Marks &amp; Spencer.</w:t>
      </w:r>
    </w:p>
    <w:p w14:paraId="6A338A52" w14:textId="77777777" w:rsidR="00EE22BF" w:rsidRPr="00FA4281" w:rsidRDefault="00A07567" w:rsidP="00C2679C">
      <w:pPr>
        <w:pStyle w:val="Heading2"/>
        <w:rPr>
          <w:lang w:val="en-GB"/>
        </w:rPr>
      </w:pPr>
      <w:bookmarkStart w:id="5" w:name="_Toc231937249"/>
      <w:r w:rsidRPr="00FA4281">
        <w:rPr>
          <w:lang w:val="en-GB"/>
        </w:rPr>
        <w:t>2.3 Research Question</w:t>
      </w:r>
      <w:bookmarkEnd w:id="5"/>
    </w:p>
    <w:p w14:paraId="35D7DA6F" w14:textId="77777777" w:rsidR="00004DBC" w:rsidRPr="00FA4281" w:rsidRDefault="00004DBC" w:rsidP="00004DBC">
      <w:pPr>
        <w:numPr>
          <w:ilvl w:val="0"/>
          <w:numId w:val="4"/>
        </w:numPr>
        <w:spacing w:line="360" w:lineRule="auto"/>
        <w:jc w:val="both"/>
        <w:rPr>
          <w:color w:val="000000" w:themeColor="text1"/>
          <w:sz w:val="24"/>
          <w:szCs w:val="24"/>
          <w:lang w:val="en-GB"/>
        </w:rPr>
      </w:pPr>
      <w:r w:rsidRPr="00FA4281">
        <w:rPr>
          <w:color w:val="000000" w:themeColor="text1"/>
          <w:sz w:val="24"/>
          <w:szCs w:val="24"/>
          <w:lang w:val="en-GB"/>
        </w:rPr>
        <w:t>In retail supply chains, how is Generative AI and predictive analytics used in demand forecasting &amp; inventory optimisation?</w:t>
      </w:r>
    </w:p>
    <w:p w14:paraId="34E3AC71" w14:textId="77777777" w:rsidR="00004DBC" w:rsidRPr="00FA4281" w:rsidRDefault="00004DBC" w:rsidP="00004DBC">
      <w:pPr>
        <w:numPr>
          <w:ilvl w:val="0"/>
          <w:numId w:val="4"/>
        </w:numPr>
        <w:spacing w:line="360" w:lineRule="auto"/>
        <w:jc w:val="both"/>
        <w:rPr>
          <w:color w:val="000000" w:themeColor="text1"/>
          <w:sz w:val="24"/>
          <w:szCs w:val="24"/>
          <w:lang w:val="en-GB"/>
        </w:rPr>
      </w:pPr>
      <w:r w:rsidRPr="00FA4281">
        <w:rPr>
          <w:color w:val="000000" w:themeColor="text1"/>
          <w:sz w:val="24"/>
          <w:szCs w:val="24"/>
          <w:lang w:val="en-GB"/>
        </w:rPr>
        <w:lastRenderedPageBreak/>
        <w:t>How has M&amp;S applied Generative AI and predictive analytics to enhance its demand forecasting and inventory performance?</w:t>
      </w:r>
    </w:p>
    <w:p w14:paraId="1D5B415F" w14:textId="77777777" w:rsidR="00004DBC" w:rsidRPr="00FA4281" w:rsidRDefault="00004DBC" w:rsidP="00004DBC">
      <w:pPr>
        <w:numPr>
          <w:ilvl w:val="0"/>
          <w:numId w:val="4"/>
        </w:numPr>
        <w:spacing w:line="360" w:lineRule="auto"/>
        <w:jc w:val="both"/>
        <w:rPr>
          <w:color w:val="000000" w:themeColor="text1"/>
          <w:sz w:val="24"/>
          <w:szCs w:val="24"/>
          <w:lang w:val="en-GB"/>
        </w:rPr>
      </w:pPr>
      <w:r w:rsidRPr="00FA4281">
        <w:rPr>
          <w:color w:val="000000" w:themeColor="text1"/>
          <w:sz w:val="24"/>
          <w:szCs w:val="24"/>
          <w:lang w:val="en-GB"/>
        </w:rPr>
        <w:t>What are the opportunities and challenges of implementing predictive analytics and Generative AI in enhancing the efficiency and competitiveness of the supply chain at Marks &amp; Spencer?</w:t>
      </w:r>
    </w:p>
    <w:p w14:paraId="14FCF5B7" w14:textId="77777777" w:rsidR="00EE22BF" w:rsidRPr="00FA4281" w:rsidRDefault="00A07567" w:rsidP="00C2679C">
      <w:pPr>
        <w:pStyle w:val="Heading1"/>
        <w:rPr>
          <w:lang w:val="en-GB"/>
        </w:rPr>
      </w:pPr>
      <w:bookmarkStart w:id="6" w:name="_Toc231937250"/>
      <w:r w:rsidRPr="00FA4281">
        <w:rPr>
          <w:lang w:val="en-GB"/>
        </w:rPr>
        <w:t>3. Preliminary Literature Review</w:t>
      </w:r>
      <w:bookmarkEnd w:id="6"/>
    </w:p>
    <w:p w14:paraId="7956FE68" w14:textId="2686C190" w:rsidR="00BA12FD" w:rsidRPr="00FA4281" w:rsidRDefault="00A07567" w:rsidP="00BA12FD">
      <w:pPr>
        <w:pStyle w:val="Heading2"/>
        <w:rPr>
          <w:lang w:val="en-GB"/>
        </w:rPr>
      </w:pPr>
      <w:bookmarkStart w:id="7" w:name="_Toc231937251"/>
      <w:r w:rsidRPr="00FA4281">
        <w:rPr>
          <w:lang w:val="en-GB"/>
        </w:rPr>
        <w:t xml:space="preserve">3.1 </w:t>
      </w:r>
      <w:r w:rsidR="00BA12FD" w:rsidRPr="00FA4281">
        <w:rPr>
          <w:szCs w:val="24"/>
          <w:lang w:val="en-GB"/>
        </w:rPr>
        <w:t>AI and Supply Chain Management: Global Evidence</w:t>
      </w:r>
      <w:bookmarkEnd w:id="7"/>
    </w:p>
    <w:p w14:paraId="196AE6A0" w14:textId="791D808B" w:rsidR="00BA12FD" w:rsidRPr="00FA4281" w:rsidRDefault="00BA12FD" w:rsidP="00BA12FD">
      <w:pPr>
        <w:spacing w:line="360" w:lineRule="auto"/>
        <w:jc w:val="both"/>
        <w:rPr>
          <w:color w:val="000000" w:themeColor="text1"/>
          <w:sz w:val="24"/>
          <w:szCs w:val="24"/>
          <w:lang w:val="en-GB"/>
        </w:rPr>
      </w:pPr>
      <w:r w:rsidRPr="00FA4281">
        <w:rPr>
          <w:color w:val="000000" w:themeColor="text1"/>
          <w:sz w:val="24"/>
          <w:szCs w:val="24"/>
          <w:lang w:val="en-GB"/>
        </w:rPr>
        <w:t xml:space="preserve">Since the outbreak of COVID-19, the body of research related to the application of AI in supply chain management has grown significantly. As mentioned by Remko (2020), the pandemic has shortened the time frame for digital supply chain transformation from 10 years to a few months and spurred customers to invest in AI for demand sensing and cloud supply chain management. Importantly, digitally mature companies performed much better than their less mature peers, thus providing direct implications for evaluating organisational readiness for GenAI adoption. Ivanov &amp; </w:t>
      </w:r>
      <w:proofErr w:type="spellStart"/>
      <w:r w:rsidRPr="00FA4281">
        <w:rPr>
          <w:color w:val="000000" w:themeColor="text1"/>
          <w:sz w:val="24"/>
          <w:szCs w:val="24"/>
          <w:lang w:val="en-GB"/>
        </w:rPr>
        <w:t>Dolgui</w:t>
      </w:r>
      <w:proofErr w:type="spellEnd"/>
      <w:r w:rsidRPr="00FA4281">
        <w:rPr>
          <w:color w:val="000000" w:themeColor="text1"/>
          <w:sz w:val="24"/>
          <w:szCs w:val="24"/>
          <w:lang w:val="en-GB"/>
        </w:rPr>
        <w:t xml:space="preserve"> (2021) built upon this analysis by suggesting a framework for viability of supply chains which points out that the real power of resilience is not buffering capacity but real-time adaptive decision-making with the help of AI. Further, Huang </w:t>
      </w:r>
      <w:r w:rsidRPr="00FA4281">
        <w:rPr>
          <w:i/>
          <w:iCs/>
          <w:color w:val="000000" w:themeColor="text1"/>
          <w:sz w:val="24"/>
          <w:szCs w:val="24"/>
          <w:lang w:val="en-GB"/>
        </w:rPr>
        <w:t xml:space="preserve">et al. </w:t>
      </w:r>
      <w:r w:rsidRPr="00FA4281">
        <w:rPr>
          <w:color w:val="000000" w:themeColor="text1"/>
          <w:sz w:val="24"/>
          <w:szCs w:val="24"/>
          <w:lang w:val="en-GB"/>
        </w:rPr>
        <w:t xml:space="preserve">(2023) show how autonomous risk response is being achieved on an entirely new scale when using the technologies of Industry 4.0, such as IoT and advanced analytics, as compared to the pre-digital supply chain. The key point raised by Queiroz </w:t>
      </w:r>
      <w:r w:rsidRPr="00FA4281">
        <w:rPr>
          <w:i/>
          <w:iCs/>
          <w:color w:val="000000" w:themeColor="text1"/>
          <w:sz w:val="24"/>
          <w:szCs w:val="24"/>
          <w:lang w:val="en-GB"/>
        </w:rPr>
        <w:t>et al</w:t>
      </w:r>
      <w:r w:rsidRPr="00FA4281">
        <w:rPr>
          <w:color w:val="000000" w:themeColor="text1"/>
          <w:sz w:val="24"/>
          <w:szCs w:val="24"/>
          <w:lang w:val="en-GB"/>
        </w:rPr>
        <w:t>. (2022) is that the adoption of algorithmic systems can lead to additional systemic vulnerabilities, such as increased susceptibility to cyber-attack, necessitating a balanced assessment of the capabilities of AI systems.</w:t>
      </w:r>
    </w:p>
    <w:p w14:paraId="62366C83" w14:textId="1C35169E" w:rsidR="00EE22BF" w:rsidRPr="00FA4281" w:rsidRDefault="00A07567" w:rsidP="00C2679C">
      <w:pPr>
        <w:pStyle w:val="Heading2"/>
        <w:rPr>
          <w:lang w:val="en-GB"/>
        </w:rPr>
      </w:pPr>
      <w:bookmarkStart w:id="8" w:name="_Toc231937252"/>
      <w:r w:rsidRPr="00FA4281">
        <w:rPr>
          <w:lang w:val="en-GB"/>
        </w:rPr>
        <w:t xml:space="preserve">3.2 </w:t>
      </w:r>
      <w:r w:rsidR="00BA12FD" w:rsidRPr="00FA4281">
        <w:rPr>
          <w:lang w:val="en-GB"/>
        </w:rPr>
        <w:t>Generative AI in Retail Demand Forecasting</w:t>
      </w:r>
      <w:bookmarkEnd w:id="8"/>
    </w:p>
    <w:p w14:paraId="5CEDD566" w14:textId="692E5DDB" w:rsidR="00EE22BF" w:rsidRPr="00FA4281" w:rsidRDefault="00BA12FD">
      <w:pPr>
        <w:spacing w:line="360" w:lineRule="auto"/>
        <w:jc w:val="both"/>
        <w:rPr>
          <w:color w:val="000000" w:themeColor="text1"/>
          <w:sz w:val="24"/>
          <w:szCs w:val="24"/>
          <w:lang w:val="en-GB"/>
        </w:rPr>
      </w:pPr>
      <w:r w:rsidRPr="00FA4281">
        <w:rPr>
          <w:color w:val="000000" w:themeColor="text1"/>
          <w:sz w:val="24"/>
          <w:szCs w:val="24"/>
          <w:lang w:val="en-GB"/>
        </w:rPr>
        <w:t xml:space="preserve">Traditional demand forecasting has been done based on structured historical sales data and statistical modelling, in the specific retail context. Chowdhury, Paul and </w:t>
      </w:r>
      <w:proofErr w:type="spellStart"/>
      <w:r w:rsidRPr="00FA4281">
        <w:rPr>
          <w:color w:val="000000" w:themeColor="text1"/>
          <w:sz w:val="24"/>
          <w:szCs w:val="24"/>
          <w:lang w:val="en-GB"/>
        </w:rPr>
        <w:t>Rozony</w:t>
      </w:r>
      <w:proofErr w:type="spellEnd"/>
      <w:r w:rsidRPr="00FA4281">
        <w:rPr>
          <w:color w:val="000000" w:themeColor="text1"/>
          <w:sz w:val="24"/>
          <w:szCs w:val="24"/>
          <w:lang w:val="en-GB"/>
        </w:rPr>
        <w:t xml:space="preserve"> (2025) determines that these methods are becoming insufficient in retail environments that are subject to fast changes in demand, short product life cycles and complexity within e-commerce. The breakthrough paradigm of generative AI is to shift from extrapolating </w:t>
      </w:r>
      <w:r w:rsidRPr="00FA4281">
        <w:rPr>
          <w:color w:val="000000" w:themeColor="text1"/>
          <w:sz w:val="24"/>
          <w:szCs w:val="24"/>
          <w:lang w:val="en-GB"/>
        </w:rPr>
        <w:lastRenderedPageBreak/>
        <w:t>from historic patterns to providing dynamic, scenario-based forecasts using the unstructured data that can be fed into AI models. Hassani and Silva (2024) theories’ that the predictions made by GenAI could be the new standard in forecasting practice. In the M&amp;S context, specifically, there is ample evidence of the use of AI-based demand forecasting in both food and clothes, with the measurable performance gains confirmed in the Annual Report 2024.</w:t>
      </w:r>
    </w:p>
    <w:p w14:paraId="2B2094E7" w14:textId="77777777" w:rsidR="00EE22BF" w:rsidRPr="00FA4281" w:rsidRDefault="00A07567" w:rsidP="00C2679C">
      <w:pPr>
        <w:pStyle w:val="Heading2"/>
        <w:rPr>
          <w:lang w:val="en-GB"/>
        </w:rPr>
      </w:pPr>
      <w:bookmarkStart w:id="9" w:name="_Toc231937253"/>
      <w:r w:rsidRPr="00FA4281">
        <w:rPr>
          <w:lang w:val="en-GB"/>
        </w:rPr>
        <w:t>3.3 Theoretical framework: Resour</w:t>
      </w:r>
      <w:r w:rsidRPr="00FA4281">
        <w:rPr>
          <w:lang w:val="en-GB"/>
        </w:rPr>
        <w:t>ce Based View and Research Gap</w:t>
      </w:r>
      <w:bookmarkEnd w:id="9"/>
    </w:p>
    <w:p w14:paraId="1FC83A7E" w14:textId="77777777" w:rsidR="00BA12FD" w:rsidRPr="00FA4281" w:rsidRDefault="00BA12FD" w:rsidP="00BA12FD">
      <w:pPr>
        <w:spacing w:line="360" w:lineRule="auto"/>
        <w:jc w:val="both"/>
        <w:rPr>
          <w:color w:val="000000" w:themeColor="text1"/>
          <w:sz w:val="24"/>
          <w:szCs w:val="24"/>
          <w:lang w:val="en-GB"/>
        </w:rPr>
      </w:pPr>
      <w:r w:rsidRPr="00FA4281">
        <w:rPr>
          <w:color w:val="000000" w:themeColor="text1"/>
          <w:sz w:val="24"/>
          <w:szCs w:val="24"/>
          <w:lang w:val="en-GB"/>
        </w:rPr>
        <w:t xml:space="preserve">This study was theoretically based on the Resource Based View (RBV) developed by Wernerfelt (1984) and later developed by Barney (1991). Sustained competitive advantage is believed to be possible through the use of resources that are valuable, rare, inimitable, and non-substitutable (VRIN) as proposed by RBV. In the context of Generative AI in retail supply chains, RBV provides a useful perspective on why organisations do not necessarily achieve the same results from accessing the same AI technology. There are systematic differences in firms in the extent to which they have the data infrastructure, management digital literacy, financial capacity and capability to make supplier-facing technology work as part of a productive outcome that facilitates the use of AI tools. The aforementioned lack of AI capability absorption is described by </w:t>
      </w:r>
      <w:proofErr w:type="spellStart"/>
      <w:r w:rsidRPr="00FA4281">
        <w:rPr>
          <w:color w:val="000000" w:themeColor="text1"/>
          <w:sz w:val="24"/>
          <w:szCs w:val="24"/>
          <w:lang w:val="en-GB"/>
        </w:rPr>
        <w:t>Wulandhari</w:t>
      </w:r>
      <w:proofErr w:type="spellEnd"/>
      <w:r w:rsidRPr="00FA4281">
        <w:rPr>
          <w:color w:val="000000" w:themeColor="text1"/>
          <w:sz w:val="24"/>
          <w:szCs w:val="24"/>
          <w:lang w:val="en-GB"/>
        </w:rPr>
        <w:t xml:space="preserve"> </w:t>
      </w:r>
      <w:r w:rsidRPr="00FA4281">
        <w:rPr>
          <w:i/>
          <w:iCs/>
          <w:color w:val="000000" w:themeColor="text1"/>
          <w:sz w:val="24"/>
          <w:szCs w:val="24"/>
          <w:lang w:val="en-GB"/>
        </w:rPr>
        <w:t xml:space="preserve">et al., </w:t>
      </w:r>
      <w:r w:rsidRPr="00FA4281">
        <w:rPr>
          <w:color w:val="000000" w:themeColor="text1"/>
          <w:sz w:val="24"/>
          <w:szCs w:val="24"/>
          <w:lang w:val="en-GB"/>
        </w:rPr>
        <w:t>(2022) as the concept of ‘technology adoption without capability absorption'. This makes RBV a useful tool to explore the impact of M&amp;S's specific resource endowments on the way its investment in GenAI and predictive analytics has been deployed and how this has affected the outcome of its investment, as well as identifying conditions that may need to be in place for its investment to be successful.</w:t>
      </w:r>
    </w:p>
    <w:p w14:paraId="7344D519" w14:textId="77777777" w:rsidR="00EE22BF" w:rsidRPr="00FA4281" w:rsidRDefault="00A07567" w:rsidP="00C2679C">
      <w:pPr>
        <w:pStyle w:val="Heading1"/>
        <w:rPr>
          <w:lang w:val="en-GB"/>
        </w:rPr>
      </w:pPr>
      <w:bookmarkStart w:id="10" w:name="_Toc231937254"/>
      <w:r w:rsidRPr="00FA4281">
        <w:rPr>
          <w:lang w:val="en-GB"/>
        </w:rPr>
        <w:t>4. Research Methodology</w:t>
      </w:r>
      <w:bookmarkEnd w:id="10"/>
    </w:p>
    <w:p w14:paraId="32B0186B" w14:textId="69512D7D" w:rsidR="00EE22BF" w:rsidRPr="00FA4281" w:rsidRDefault="00A07567">
      <w:pPr>
        <w:spacing w:line="360" w:lineRule="auto"/>
        <w:jc w:val="both"/>
        <w:rPr>
          <w:color w:val="000000" w:themeColor="text1"/>
          <w:sz w:val="24"/>
          <w:szCs w:val="24"/>
          <w:lang w:val="en-GB"/>
        </w:rPr>
      </w:pPr>
      <w:r w:rsidRPr="00FA4281">
        <w:rPr>
          <w:color w:val="000000" w:themeColor="text1"/>
          <w:sz w:val="24"/>
          <w:szCs w:val="24"/>
          <w:lang w:val="en-GB"/>
        </w:rPr>
        <w:t xml:space="preserve">This study takes an interpretivist philosophical approach as it assumes that in SMEs, the outcomes of the supply chain are not driven by deterministic causal relationships that can be measured by positivism, </w:t>
      </w:r>
      <w:r w:rsidRPr="00FA4281">
        <w:rPr>
          <w:color w:val="000000" w:themeColor="text1"/>
          <w:sz w:val="24"/>
          <w:szCs w:val="24"/>
          <w:lang w:val="en-GB"/>
        </w:rPr>
        <w:t>but rather by the meanings, judgements and resource endowments of the actors within the organisation (Bryman, 2016). In line with interpretivism, an inductive approach is used; theory will be developed as a result of repeated interactions with empirical da</w:t>
      </w:r>
      <w:r w:rsidRPr="00FA4281">
        <w:rPr>
          <w:color w:val="000000" w:themeColor="text1"/>
          <w:sz w:val="24"/>
          <w:szCs w:val="24"/>
          <w:lang w:val="en-GB"/>
        </w:rPr>
        <w:t xml:space="preserve">ta instead of testing hypotheses. This seems fitting </w:t>
      </w:r>
      <w:r w:rsidRPr="00FA4281">
        <w:rPr>
          <w:color w:val="000000" w:themeColor="text1"/>
          <w:sz w:val="24"/>
          <w:szCs w:val="24"/>
          <w:lang w:val="en-GB"/>
        </w:rPr>
        <w:lastRenderedPageBreak/>
        <w:t>because the current theoretical work such as RBV offer an incomplete and provisional explanation of the outcomes of and the adoption of AI in</w:t>
      </w:r>
      <w:r w:rsidR="00F177E2" w:rsidRPr="00FA4281">
        <w:rPr>
          <w:color w:val="000000" w:themeColor="text1"/>
          <w:sz w:val="24"/>
          <w:szCs w:val="24"/>
          <w:lang w:val="en-GB"/>
        </w:rPr>
        <w:t xml:space="preserve"> M&amp;S</w:t>
      </w:r>
      <w:r w:rsidRPr="00FA4281">
        <w:rPr>
          <w:color w:val="000000" w:themeColor="text1"/>
          <w:sz w:val="24"/>
          <w:szCs w:val="24"/>
          <w:lang w:val="en-GB"/>
        </w:rPr>
        <w:t>.</w:t>
      </w:r>
    </w:p>
    <w:p w14:paraId="6268BC70" w14:textId="77777777" w:rsidR="00F177E2" w:rsidRPr="00FA4281" w:rsidRDefault="00F177E2" w:rsidP="00F177E2">
      <w:pPr>
        <w:spacing w:line="360" w:lineRule="auto"/>
        <w:jc w:val="both"/>
        <w:rPr>
          <w:color w:val="000000" w:themeColor="text1"/>
          <w:sz w:val="24"/>
          <w:szCs w:val="24"/>
          <w:lang w:val="en-GB"/>
        </w:rPr>
      </w:pPr>
      <w:r w:rsidRPr="00FA4281">
        <w:rPr>
          <w:color w:val="000000" w:themeColor="text1"/>
          <w:sz w:val="24"/>
          <w:szCs w:val="24"/>
          <w:lang w:val="en-GB"/>
        </w:rPr>
        <w:t>The research design is a secondary qualitative case study with a focus on the published and public documents. Interviews or surveys to gather primary data are not pertinent to this study. Secondary sources will comprise M&amp;S Annual Reports (2022–2024) and company press releases and investor presentations, industry analyst reports from organisations, for instance, McKinsey &amp; Company and the Confederation of British Industry, and peer-reviewed academic literature, such as the International Journal of Production Research, Journal of Supply Chain Management, Computers in Industry. All sources will be published starting from 2021, except for some of the foundational theoretical sources. Grey literature such as publications by the UK Government's Office for Artificial Intelligence and the Department for Business and Trade will also be added.</w:t>
      </w:r>
    </w:p>
    <w:p w14:paraId="671202FB" w14:textId="787F39CD" w:rsidR="00F177E2" w:rsidRPr="00FA4281" w:rsidRDefault="00F177E2" w:rsidP="00F177E2">
      <w:pPr>
        <w:spacing w:line="360" w:lineRule="auto"/>
        <w:jc w:val="both"/>
        <w:rPr>
          <w:color w:val="000000" w:themeColor="text1"/>
          <w:sz w:val="24"/>
          <w:szCs w:val="24"/>
          <w:lang w:val="en-GB"/>
        </w:rPr>
      </w:pPr>
      <w:r w:rsidRPr="00FA4281">
        <w:rPr>
          <w:color w:val="000000" w:themeColor="text1"/>
          <w:sz w:val="24"/>
          <w:szCs w:val="24"/>
          <w:lang w:val="en-GB"/>
        </w:rPr>
        <w:t>Thematic Synthesis will be used as a data analysis method throughout 4 phases. Relevant secondary sources will be collected and recorded. Second, initial coding will uncover common themes across the terms of GenAI adoption, forecasting accuracy, inventory performance, enablers and barriers to implementation. Thirdly, codes will be grouped into coherent themes and sub themes. Fourth, themes will be analysed in the light of the research questions and the RBV model. There is no ethical issue with participant consent and data privacy with all data sources being public. The main ethical issue is the proper, clear and accurate credit of all sources.</w:t>
      </w:r>
    </w:p>
    <w:p w14:paraId="7741D384" w14:textId="77777777" w:rsidR="00EE22BF" w:rsidRPr="00FA4281" w:rsidRDefault="00A07567" w:rsidP="00C2679C">
      <w:pPr>
        <w:pStyle w:val="Heading1"/>
        <w:rPr>
          <w:lang w:val="en-GB"/>
        </w:rPr>
      </w:pPr>
      <w:bookmarkStart w:id="11" w:name="_Toc231937255"/>
      <w:r w:rsidRPr="00FA4281">
        <w:rPr>
          <w:lang w:val="en-GB"/>
        </w:rPr>
        <w:t>5. Risks</w:t>
      </w:r>
      <w:bookmarkEnd w:id="11"/>
    </w:p>
    <w:p w14:paraId="306639F0" w14:textId="6A3ABFFF" w:rsidR="00944E30" w:rsidRPr="00FA4281" w:rsidRDefault="00944E30" w:rsidP="00944E30">
      <w:pPr>
        <w:pStyle w:val="ListParagraph"/>
        <w:numPr>
          <w:ilvl w:val="0"/>
          <w:numId w:val="1"/>
        </w:numPr>
        <w:spacing w:line="360" w:lineRule="auto"/>
        <w:jc w:val="both"/>
        <w:rPr>
          <w:rFonts w:ascii="Times New Roman" w:eastAsia="Times New Roman" w:hAnsi="Times New Roman" w:cs="Times New Roman"/>
          <w:color w:val="000000" w:themeColor="text1"/>
          <w:sz w:val="24"/>
          <w:szCs w:val="24"/>
          <w:lang w:val="en-IN"/>
        </w:rPr>
      </w:pPr>
      <w:r w:rsidRPr="00FA4281">
        <w:rPr>
          <w:rFonts w:eastAsia="Times New Roman"/>
          <w:color w:val="000000" w:themeColor="text1"/>
          <w:sz w:val="24"/>
          <w:szCs w:val="24"/>
          <w:lang w:val="en-IN"/>
        </w:rPr>
        <w:t>As GenAI is a relatively new field of study, the</w:t>
      </w:r>
      <w:r w:rsidR="0045382F" w:rsidRPr="00FA4281">
        <w:rPr>
          <w:rFonts w:eastAsia="Times New Roman"/>
          <w:color w:val="000000" w:themeColor="text1"/>
          <w:sz w:val="24"/>
          <w:szCs w:val="24"/>
          <w:lang w:val="en-IN"/>
        </w:rPr>
        <w:t xml:space="preserve"> number</w:t>
      </w:r>
      <w:r w:rsidRPr="00FA4281">
        <w:rPr>
          <w:rFonts w:eastAsia="Times New Roman"/>
          <w:color w:val="000000" w:themeColor="text1"/>
          <w:sz w:val="24"/>
          <w:szCs w:val="24"/>
          <w:lang w:val="en-IN"/>
        </w:rPr>
        <w:t xml:space="preserve"> of peer-reviewed publications exclusively focused on GenAI in retail supply chain forecasting might be low. This will be addressed by balancing it with good quality institutional and industry reports.</w:t>
      </w:r>
    </w:p>
    <w:p w14:paraId="5CC9899F" w14:textId="77777777" w:rsidR="00944E30" w:rsidRPr="00FA4281" w:rsidRDefault="00944E30" w:rsidP="00944E30">
      <w:pPr>
        <w:pStyle w:val="ListParagraph"/>
        <w:numPr>
          <w:ilvl w:val="0"/>
          <w:numId w:val="1"/>
        </w:numPr>
        <w:spacing w:line="360" w:lineRule="auto"/>
        <w:jc w:val="both"/>
        <w:rPr>
          <w:rFonts w:ascii="Times New Roman" w:eastAsia="Times New Roman" w:hAnsi="Times New Roman" w:cs="Times New Roman"/>
          <w:color w:val="000000" w:themeColor="text1"/>
          <w:sz w:val="24"/>
          <w:szCs w:val="24"/>
          <w:lang w:val="en-IN"/>
        </w:rPr>
      </w:pPr>
      <w:r w:rsidRPr="00FA4281">
        <w:rPr>
          <w:rFonts w:eastAsia="Times New Roman"/>
          <w:color w:val="000000" w:themeColor="text1"/>
          <w:sz w:val="24"/>
          <w:szCs w:val="24"/>
          <w:lang w:val="en-IN"/>
        </w:rPr>
        <w:t>Reports produced by industry or company may have commercial or advocacy orientation. This risk will be tackled through triangulation between various sources and through a critical examination of the methodological underpinning of each source.</w:t>
      </w:r>
    </w:p>
    <w:p w14:paraId="3AB18602" w14:textId="77777777" w:rsidR="00944E30" w:rsidRPr="00FA4281" w:rsidRDefault="00944E30" w:rsidP="00944E30">
      <w:pPr>
        <w:pStyle w:val="ListParagraph"/>
        <w:numPr>
          <w:ilvl w:val="0"/>
          <w:numId w:val="1"/>
        </w:numPr>
        <w:spacing w:line="360" w:lineRule="auto"/>
        <w:jc w:val="both"/>
        <w:rPr>
          <w:rFonts w:ascii="Times New Roman" w:eastAsia="Times New Roman" w:hAnsi="Times New Roman" w:cs="Times New Roman"/>
          <w:color w:val="000000" w:themeColor="text1"/>
          <w:sz w:val="24"/>
          <w:szCs w:val="24"/>
          <w:lang w:val="en-IN"/>
        </w:rPr>
      </w:pPr>
      <w:r w:rsidRPr="00FA4281">
        <w:rPr>
          <w:rFonts w:eastAsia="Times New Roman"/>
          <w:color w:val="000000" w:themeColor="text1"/>
          <w:sz w:val="24"/>
          <w:szCs w:val="24"/>
          <w:lang w:val="en-IN"/>
        </w:rPr>
        <w:lastRenderedPageBreak/>
        <w:t>Scope management may be difficult because of the wide range of literature on the topics of AI, Supply Chain Management and Retail Strategy. The analyses will be focused by the application of strict inclusion and exclusion criteria based on research questions and the context of the M&amp;S case study.</w:t>
      </w:r>
    </w:p>
    <w:p w14:paraId="1C5FEAFC" w14:textId="220A09E6" w:rsidR="00EE22BF" w:rsidRPr="00FA4281" w:rsidRDefault="00A07567" w:rsidP="00FC5D1E">
      <w:pPr>
        <w:pStyle w:val="Heading1"/>
        <w:rPr>
          <w:lang w:val="en-GB"/>
        </w:rPr>
      </w:pPr>
      <w:bookmarkStart w:id="12" w:name="_Toc231937256"/>
      <w:r w:rsidRPr="00FA4281">
        <w:rPr>
          <w:lang w:val="en-GB"/>
        </w:rPr>
        <w:t>6. Timeline</w:t>
      </w:r>
      <w:bookmarkEnd w:id="12"/>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25"/>
        <w:gridCol w:w="518"/>
        <w:gridCol w:w="518"/>
        <w:gridCol w:w="518"/>
        <w:gridCol w:w="517"/>
        <w:gridCol w:w="517"/>
        <w:gridCol w:w="517"/>
        <w:gridCol w:w="517"/>
        <w:gridCol w:w="517"/>
        <w:gridCol w:w="517"/>
        <w:gridCol w:w="527"/>
        <w:gridCol w:w="527"/>
        <w:gridCol w:w="527"/>
        <w:gridCol w:w="527"/>
        <w:gridCol w:w="527"/>
        <w:gridCol w:w="527"/>
        <w:gridCol w:w="517"/>
      </w:tblGrid>
      <w:tr w:rsidR="00EE22BF" w:rsidRPr="00FA4281" w14:paraId="678B5FFE" w14:textId="77777777">
        <w:trPr>
          <w:trHeight w:val="945"/>
        </w:trPr>
        <w:tc>
          <w:tcPr>
            <w:tcW w:w="1023"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6C67846"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Tasks undertaken</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700EE26"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1</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9BCDDAD"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2</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D9126B1"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3</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4861CE9"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4</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80FCA7E"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5</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0D8384A"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6</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1F433BE"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7</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071D718"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8</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A5569BE"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9</w:t>
            </w:r>
          </w:p>
        </w:tc>
        <w:tc>
          <w:tcPr>
            <w:tcW w:w="52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9C67670"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10</w:t>
            </w:r>
          </w:p>
        </w:tc>
        <w:tc>
          <w:tcPr>
            <w:tcW w:w="52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DBA8D6A"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11</w:t>
            </w:r>
          </w:p>
        </w:tc>
        <w:tc>
          <w:tcPr>
            <w:tcW w:w="52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8CFF678"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12</w:t>
            </w:r>
          </w:p>
        </w:tc>
        <w:tc>
          <w:tcPr>
            <w:tcW w:w="52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D2F4711"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13</w:t>
            </w:r>
          </w:p>
        </w:tc>
        <w:tc>
          <w:tcPr>
            <w:tcW w:w="52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9C6191D"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14</w:t>
            </w:r>
          </w:p>
        </w:tc>
        <w:tc>
          <w:tcPr>
            <w:tcW w:w="52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FBE4162"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15</w:t>
            </w:r>
          </w:p>
        </w:tc>
        <w:tc>
          <w:tcPr>
            <w:tcW w:w="5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0DF09E4"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Week 16</w:t>
            </w:r>
          </w:p>
        </w:tc>
      </w:tr>
      <w:tr w:rsidR="00EE22BF" w:rsidRPr="00FA4281" w14:paraId="08447658" w14:textId="77777777">
        <w:trPr>
          <w:trHeight w:val="945"/>
        </w:trPr>
        <w:tc>
          <w:tcPr>
            <w:tcW w:w="1023"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8EE9040"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Topic selection</w:t>
            </w:r>
          </w:p>
        </w:tc>
        <w:tc>
          <w:tcPr>
            <w:tcW w:w="517" w:type="dxa"/>
            <w:tcBorders>
              <w:top w:val="nil"/>
              <w:left w:val="nil"/>
              <w:bottom w:val="single" w:sz="5" w:space="0" w:color="000000"/>
              <w:right w:val="single" w:sz="5" w:space="0" w:color="000000"/>
            </w:tcBorders>
            <w:shd w:val="clear" w:color="auto" w:fill="17365D"/>
            <w:tcMar>
              <w:top w:w="0" w:type="dxa"/>
              <w:left w:w="100" w:type="dxa"/>
              <w:bottom w:w="0" w:type="dxa"/>
              <w:right w:w="100" w:type="dxa"/>
            </w:tcMar>
          </w:tcPr>
          <w:p w14:paraId="2320E68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17365D"/>
            <w:tcMar>
              <w:top w:w="0" w:type="dxa"/>
              <w:left w:w="100" w:type="dxa"/>
              <w:bottom w:w="0" w:type="dxa"/>
              <w:right w:w="100" w:type="dxa"/>
            </w:tcMar>
          </w:tcPr>
          <w:p w14:paraId="4039A05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DC9F443"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7AC9E6F"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446D7F9"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6CD84884"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062E0B8"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C53DAEC"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8024EA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B910C80"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0699798C"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48D8AAD4"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3B1E5EFB"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172EA677"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3B4F08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F7D62C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r>
      <w:tr w:rsidR="00EE22BF" w:rsidRPr="00FA4281" w14:paraId="19FD7200" w14:textId="77777777">
        <w:trPr>
          <w:trHeight w:val="1215"/>
        </w:trPr>
        <w:tc>
          <w:tcPr>
            <w:tcW w:w="1023"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57CCB09"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Finalising Research aim and question</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5F85F388"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E36C0A"/>
            <w:tcMar>
              <w:top w:w="0" w:type="dxa"/>
              <w:left w:w="100" w:type="dxa"/>
              <w:bottom w:w="0" w:type="dxa"/>
              <w:right w:w="100" w:type="dxa"/>
            </w:tcMar>
          </w:tcPr>
          <w:p w14:paraId="30DC8B63"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E36C0A"/>
            <w:tcMar>
              <w:top w:w="0" w:type="dxa"/>
              <w:left w:w="100" w:type="dxa"/>
              <w:bottom w:w="0" w:type="dxa"/>
              <w:right w:w="100" w:type="dxa"/>
            </w:tcMar>
          </w:tcPr>
          <w:p w14:paraId="17DC2CC9"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E36C0A"/>
            <w:tcMar>
              <w:top w:w="0" w:type="dxa"/>
              <w:left w:w="100" w:type="dxa"/>
              <w:bottom w:w="0" w:type="dxa"/>
              <w:right w:w="100" w:type="dxa"/>
            </w:tcMar>
          </w:tcPr>
          <w:p w14:paraId="74AEC9FF"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E36C0A"/>
            <w:tcMar>
              <w:top w:w="0" w:type="dxa"/>
              <w:left w:w="100" w:type="dxa"/>
              <w:bottom w:w="0" w:type="dxa"/>
              <w:right w:w="100" w:type="dxa"/>
            </w:tcMar>
          </w:tcPr>
          <w:p w14:paraId="7088379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34C8A04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FBA6FBC"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E5D36E4"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590FC07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4C585865"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444047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06D1B87"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24C60E7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5D24DD64"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6A4E2516"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52F19C13"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r>
      <w:tr w:rsidR="00EE22BF" w:rsidRPr="00FA4281" w14:paraId="0ADD806F" w14:textId="77777777">
        <w:trPr>
          <w:trHeight w:val="1095"/>
        </w:trPr>
        <w:tc>
          <w:tcPr>
            <w:tcW w:w="1023"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B0B2F76"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Preparing research background</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672883F4"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185B096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7854FA5"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504D5DDC"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43169092"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53B50E19"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63EAC5D9"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40B4FDD5"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A7AB2B6"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5026E44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F0F806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10BEEE9B"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07D4607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9866D6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351F178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4D56DAF"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r>
      <w:tr w:rsidR="00EE22BF" w:rsidRPr="00FA4281" w14:paraId="5864AEE2" w14:textId="77777777">
        <w:trPr>
          <w:trHeight w:val="945"/>
        </w:trPr>
        <w:tc>
          <w:tcPr>
            <w:tcW w:w="1023"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E94DC17"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Collecting article journals</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5FCC6048"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3E9682CC"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F24A16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B4FD4D7"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30A50456"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5A434FA"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31849B"/>
            <w:tcMar>
              <w:top w:w="0" w:type="dxa"/>
              <w:left w:w="100" w:type="dxa"/>
              <w:bottom w:w="0" w:type="dxa"/>
              <w:right w:w="100" w:type="dxa"/>
            </w:tcMar>
          </w:tcPr>
          <w:p w14:paraId="47913D93"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31849B"/>
            <w:tcMar>
              <w:top w:w="0" w:type="dxa"/>
              <w:left w:w="100" w:type="dxa"/>
              <w:bottom w:w="0" w:type="dxa"/>
              <w:right w:w="100" w:type="dxa"/>
            </w:tcMar>
          </w:tcPr>
          <w:p w14:paraId="29F419A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31849B"/>
            <w:tcMar>
              <w:top w:w="0" w:type="dxa"/>
              <w:left w:w="100" w:type="dxa"/>
              <w:bottom w:w="0" w:type="dxa"/>
              <w:right w:w="100" w:type="dxa"/>
            </w:tcMar>
          </w:tcPr>
          <w:p w14:paraId="1489E38F"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31849B"/>
            <w:tcMar>
              <w:top w:w="0" w:type="dxa"/>
              <w:left w:w="100" w:type="dxa"/>
              <w:bottom w:w="0" w:type="dxa"/>
              <w:right w:w="100" w:type="dxa"/>
            </w:tcMar>
          </w:tcPr>
          <w:p w14:paraId="08EB9309"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31849B"/>
            <w:tcMar>
              <w:top w:w="0" w:type="dxa"/>
              <w:left w:w="100" w:type="dxa"/>
              <w:bottom w:w="0" w:type="dxa"/>
              <w:right w:w="100" w:type="dxa"/>
            </w:tcMar>
          </w:tcPr>
          <w:p w14:paraId="50746895"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1CDCEB55"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623CCF2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51E3081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0DBB4CA8"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65786FC4"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r>
      <w:tr w:rsidR="00EE22BF" w:rsidRPr="00FA4281" w14:paraId="51F296F9" w14:textId="77777777">
        <w:trPr>
          <w:trHeight w:val="630"/>
        </w:trPr>
        <w:tc>
          <w:tcPr>
            <w:tcW w:w="1023"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95F788" w14:textId="77777777" w:rsidR="00EE22BF" w:rsidRPr="00FA4281" w:rsidRDefault="00A07567">
            <w:pPr>
              <w:spacing w:line="360" w:lineRule="auto"/>
              <w:jc w:val="both"/>
              <w:rPr>
                <w:b/>
                <w:bCs/>
                <w:color w:val="000000" w:themeColor="text1"/>
                <w:sz w:val="20"/>
                <w:szCs w:val="20"/>
                <w:lang w:val="en-GB"/>
              </w:rPr>
            </w:pPr>
            <w:r w:rsidRPr="00FA4281">
              <w:rPr>
                <w:b/>
                <w:bCs/>
                <w:color w:val="000000" w:themeColor="text1"/>
                <w:sz w:val="20"/>
                <w:szCs w:val="20"/>
                <w:lang w:val="en-GB"/>
              </w:rPr>
              <w:t>Finalizing Methodology</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945F7AA"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C3B3E1B"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57CA4356"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586168F"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41C1709"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4AC78C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7A15EB4"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4BAEA04"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1B0985C"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948A54"/>
            <w:tcMar>
              <w:top w:w="0" w:type="dxa"/>
              <w:left w:w="100" w:type="dxa"/>
              <w:bottom w:w="0" w:type="dxa"/>
              <w:right w:w="100" w:type="dxa"/>
            </w:tcMar>
          </w:tcPr>
          <w:p w14:paraId="2ED1D378"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948A54"/>
            <w:tcMar>
              <w:top w:w="0" w:type="dxa"/>
              <w:left w:w="100" w:type="dxa"/>
              <w:bottom w:w="0" w:type="dxa"/>
              <w:right w:w="100" w:type="dxa"/>
            </w:tcMar>
          </w:tcPr>
          <w:p w14:paraId="42AA7876"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948A54"/>
            <w:tcMar>
              <w:top w:w="0" w:type="dxa"/>
              <w:left w:w="100" w:type="dxa"/>
              <w:bottom w:w="0" w:type="dxa"/>
              <w:right w:w="100" w:type="dxa"/>
            </w:tcMar>
          </w:tcPr>
          <w:p w14:paraId="20DC26DA"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38CB46D2"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6968C705"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3A7F7C2"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DD8D1BA"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r>
      <w:tr w:rsidR="00EE22BF" w:rsidRPr="00FA4281" w14:paraId="3AC268A5" w14:textId="77777777">
        <w:trPr>
          <w:trHeight w:val="945"/>
        </w:trPr>
        <w:tc>
          <w:tcPr>
            <w:tcW w:w="1023"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296B675"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lastRenderedPageBreak/>
              <w:t xml:space="preserve">Data collection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AE284D7"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6F0EF9E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C951B69"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6F49498F"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6997D88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15B7EC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E1A6A50"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66D3B62"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678BE60B"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D05286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49ED0E8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EE0000"/>
            <w:tcMar>
              <w:top w:w="0" w:type="dxa"/>
              <w:left w:w="100" w:type="dxa"/>
              <w:bottom w:w="0" w:type="dxa"/>
              <w:right w:w="100" w:type="dxa"/>
            </w:tcMar>
          </w:tcPr>
          <w:p w14:paraId="26523F29"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EE0000"/>
            <w:tcMar>
              <w:top w:w="0" w:type="dxa"/>
              <w:left w:w="100" w:type="dxa"/>
              <w:bottom w:w="0" w:type="dxa"/>
              <w:right w:w="100" w:type="dxa"/>
            </w:tcMar>
          </w:tcPr>
          <w:p w14:paraId="3C4DC8A2"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0F16C64C"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7C2041C"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69249058"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r>
      <w:tr w:rsidR="00EE22BF" w:rsidRPr="00FA4281" w14:paraId="2DBA7E73" w14:textId="77777777">
        <w:trPr>
          <w:trHeight w:val="630"/>
        </w:trPr>
        <w:tc>
          <w:tcPr>
            <w:tcW w:w="1023"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F355244" w14:textId="77777777" w:rsidR="00EE22BF" w:rsidRPr="00FA4281" w:rsidRDefault="00A07567">
            <w:pPr>
              <w:spacing w:line="360" w:lineRule="auto"/>
              <w:jc w:val="center"/>
              <w:rPr>
                <w:b/>
                <w:bCs/>
                <w:color w:val="000000" w:themeColor="text1"/>
                <w:sz w:val="20"/>
                <w:szCs w:val="20"/>
                <w:lang w:val="en-GB"/>
              </w:rPr>
            </w:pPr>
            <w:r w:rsidRPr="00FA4281">
              <w:rPr>
                <w:b/>
                <w:bCs/>
                <w:color w:val="000000" w:themeColor="text1"/>
                <w:sz w:val="20"/>
                <w:szCs w:val="20"/>
                <w:lang w:val="en-GB"/>
              </w:rPr>
              <w:t>Data analysis</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BA1C9C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18C5BCCB"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4E87CC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1606DD1F"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05D9C0C"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2382B29"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FDCA393"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4E7C3CE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F3874F5"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03EBA017"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016957F8"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41606EC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00B050"/>
            <w:tcMar>
              <w:top w:w="0" w:type="dxa"/>
              <w:left w:w="100" w:type="dxa"/>
              <w:bottom w:w="0" w:type="dxa"/>
              <w:right w:w="100" w:type="dxa"/>
            </w:tcMar>
          </w:tcPr>
          <w:p w14:paraId="2B85BBA8"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00B050"/>
            <w:tcMar>
              <w:top w:w="0" w:type="dxa"/>
              <w:left w:w="100" w:type="dxa"/>
              <w:bottom w:w="0" w:type="dxa"/>
              <w:right w:w="100" w:type="dxa"/>
            </w:tcMar>
          </w:tcPr>
          <w:p w14:paraId="447CDD4B"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shd w:val="clear" w:color="auto" w:fill="00B050"/>
            <w:tcMar>
              <w:top w:w="0" w:type="dxa"/>
              <w:left w:w="100" w:type="dxa"/>
              <w:bottom w:w="0" w:type="dxa"/>
              <w:right w:w="100" w:type="dxa"/>
            </w:tcMar>
          </w:tcPr>
          <w:p w14:paraId="0542681B"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5FA08FD3"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r>
      <w:tr w:rsidR="00EE22BF" w:rsidRPr="00FA4281" w14:paraId="1FEF31DF" w14:textId="77777777">
        <w:trPr>
          <w:trHeight w:val="945"/>
        </w:trPr>
        <w:tc>
          <w:tcPr>
            <w:tcW w:w="1023"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691D1B9" w14:textId="641807F1" w:rsidR="00EE22BF" w:rsidRPr="00FA4281" w:rsidRDefault="00C2679C">
            <w:pPr>
              <w:spacing w:line="360" w:lineRule="auto"/>
              <w:jc w:val="center"/>
              <w:rPr>
                <w:b/>
                <w:bCs/>
                <w:color w:val="000000" w:themeColor="text1"/>
                <w:sz w:val="20"/>
                <w:szCs w:val="20"/>
                <w:lang w:val="en-GB"/>
              </w:rPr>
            </w:pPr>
            <w:r w:rsidRPr="00FA4281">
              <w:rPr>
                <w:b/>
                <w:bCs/>
                <w:color w:val="000000" w:themeColor="text1"/>
                <w:sz w:val="20"/>
                <w:szCs w:val="20"/>
                <w:lang w:val="en-GB"/>
              </w:rPr>
              <w:t>Final conclusion and submission</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3279F25"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211085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27A9AE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349636FD"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01C846E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B55D9B8"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278E701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1E6E0F46"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tcMar>
              <w:top w:w="0" w:type="dxa"/>
              <w:left w:w="100" w:type="dxa"/>
              <w:bottom w:w="0" w:type="dxa"/>
              <w:right w:w="100" w:type="dxa"/>
            </w:tcMar>
          </w:tcPr>
          <w:p w14:paraId="7F4CB4C3"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3CBF8FDB"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1BFE9782"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11070CA1"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567C2B05"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748B30EF"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tcPr>
          <w:p w14:paraId="1AE14407"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c>
          <w:tcPr>
            <w:tcW w:w="517" w:type="dxa"/>
            <w:tcBorders>
              <w:top w:val="nil"/>
              <w:left w:val="nil"/>
              <w:bottom w:val="single" w:sz="5" w:space="0" w:color="000000"/>
              <w:right w:val="single" w:sz="5" w:space="0" w:color="000000"/>
            </w:tcBorders>
            <w:shd w:val="clear" w:color="auto" w:fill="5F497A"/>
            <w:tcMar>
              <w:top w:w="0" w:type="dxa"/>
              <w:left w:w="100" w:type="dxa"/>
              <w:bottom w:w="0" w:type="dxa"/>
              <w:right w:w="100" w:type="dxa"/>
            </w:tcMar>
          </w:tcPr>
          <w:p w14:paraId="4EFB761E" w14:textId="77777777" w:rsidR="00EE22BF" w:rsidRPr="00FA4281" w:rsidRDefault="00A07567">
            <w:pPr>
              <w:spacing w:line="360" w:lineRule="auto"/>
              <w:jc w:val="both"/>
              <w:rPr>
                <w:color w:val="000000" w:themeColor="text1"/>
                <w:sz w:val="20"/>
                <w:szCs w:val="20"/>
                <w:lang w:val="en-GB"/>
              </w:rPr>
            </w:pPr>
            <w:r w:rsidRPr="00FA4281">
              <w:rPr>
                <w:color w:val="000000" w:themeColor="text1"/>
                <w:sz w:val="20"/>
                <w:szCs w:val="20"/>
                <w:lang w:val="en-GB"/>
              </w:rPr>
              <w:t xml:space="preserve"> </w:t>
            </w:r>
          </w:p>
        </w:tc>
      </w:tr>
    </w:tbl>
    <w:p w14:paraId="3658EABD" w14:textId="77777777" w:rsidR="00EE22BF" w:rsidRPr="00FA4281" w:rsidRDefault="00EE22BF">
      <w:pPr>
        <w:spacing w:line="360" w:lineRule="auto"/>
        <w:jc w:val="both"/>
        <w:rPr>
          <w:color w:val="000000" w:themeColor="text1"/>
          <w:sz w:val="24"/>
          <w:szCs w:val="24"/>
          <w:lang w:val="en-GB"/>
        </w:rPr>
      </w:pPr>
    </w:p>
    <w:p w14:paraId="0C322D61" w14:textId="77777777" w:rsidR="00EE22BF" w:rsidRPr="00FA4281" w:rsidRDefault="00A07567">
      <w:pPr>
        <w:spacing w:line="360" w:lineRule="auto"/>
        <w:jc w:val="both"/>
        <w:rPr>
          <w:color w:val="000000" w:themeColor="text1"/>
          <w:sz w:val="24"/>
          <w:szCs w:val="24"/>
          <w:lang w:val="en-GB"/>
        </w:rPr>
      </w:pPr>
      <w:r w:rsidRPr="00FA4281">
        <w:rPr>
          <w:color w:val="000000" w:themeColor="text1"/>
          <w:lang w:val="en-GB"/>
        </w:rPr>
        <w:br w:type="page"/>
      </w:r>
    </w:p>
    <w:p w14:paraId="7C03981C" w14:textId="77777777" w:rsidR="00EE22BF" w:rsidRPr="00FA4281" w:rsidRDefault="00A07567" w:rsidP="00C2679C">
      <w:pPr>
        <w:pStyle w:val="Heading1"/>
        <w:rPr>
          <w:lang w:val="en-GB"/>
        </w:rPr>
      </w:pPr>
      <w:bookmarkStart w:id="13" w:name="_Toc231937257"/>
      <w:r w:rsidRPr="00FA4281">
        <w:rPr>
          <w:lang w:val="en-GB"/>
        </w:rPr>
        <w:lastRenderedPageBreak/>
        <w:t>Reference list</w:t>
      </w:r>
      <w:bookmarkEnd w:id="13"/>
    </w:p>
    <w:p w14:paraId="16F9D493" w14:textId="77777777" w:rsidR="005C5E1D" w:rsidRPr="00FA4281" w:rsidRDefault="005C5E1D" w:rsidP="00E7733C">
      <w:pPr>
        <w:spacing w:line="360" w:lineRule="auto"/>
        <w:jc w:val="both"/>
        <w:rPr>
          <w:color w:val="000000" w:themeColor="text1"/>
          <w:sz w:val="24"/>
          <w:szCs w:val="24"/>
          <w:lang w:val="en-GB"/>
        </w:rPr>
      </w:pPr>
      <w:r w:rsidRPr="00FA4281">
        <w:rPr>
          <w:color w:val="000000" w:themeColor="text1"/>
          <w:sz w:val="24"/>
          <w:szCs w:val="24"/>
          <w:lang w:val="en-GB"/>
        </w:rPr>
        <w:t xml:space="preserve"> </w:t>
      </w:r>
    </w:p>
    <w:p w14:paraId="095CC5ED" w14:textId="77777777" w:rsidR="005C5E1D" w:rsidRPr="00FA4281" w:rsidRDefault="005C5E1D" w:rsidP="00E7733C">
      <w:pPr>
        <w:spacing w:after="240" w:line="360" w:lineRule="auto"/>
        <w:jc w:val="both"/>
        <w:rPr>
          <w:color w:val="000000" w:themeColor="text1"/>
          <w:sz w:val="24"/>
          <w:szCs w:val="24"/>
          <w:lang w:val="en-GB"/>
        </w:rPr>
      </w:pPr>
      <w:r w:rsidRPr="00FA4281">
        <w:rPr>
          <w:color w:val="000000" w:themeColor="text1"/>
          <w:sz w:val="24"/>
          <w:szCs w:val="24"/>
          <w:lang w:val="en-GB"/>
        </w:rPr>
        <w:t xml:space="preserve">Bryman, A. (2016). </w:t>
      </w:r>
      <w:r w:rsidRPr="00FA4281">
        <w:rPr>
          <w:i/>
          <w:iCs/>
          <w:color w:val="000000" w:themeColor="text1"/>
          <w:sz w:val="24"/>
          <w:szCs w:val="24"/>
          <w:lang w:val="en-GB"/>
        </w:rPr>
        <w:t>Social Research Methods</w:t>
      </w:r>
      <w:r w:rsidRPr="00FA4281">
        <w:rPr>
          <w:color w:val="000000" w:themeColor="text1"/>
          <w:sz w:val="24"/>
          <w:szCs w:val="24"/>
          <w:lang w:val="en-GB"/>
        </w:rPr>
        <w:t>. 5th ed. [online] Oxford: Oxford University Press. Available at: https://ktpu.kpi.ua/wp-content/uploads/2014/02/social-research-methods-alan-bryman.pdf.</w:t>
      </w:r>
    </w:p>
    <w:p w14:paraId="4721C341" w14:textId="77777777" w:rsidR="005C5E1D" w:rsidRPr="00FA4281" w:rsidRDefault="005C5E1D" w:rsidP="00E7733C">
      <w:pPr>
        <w:spacing w:after="240" w:line="360" w:lineRule="auto"/>
        <w:jc w:val="both"/>
        <w:rPr>
          <w:color w:val="000000" w:themeColor="text1"/>
          <w:sz w:val="24"/>
          <w:szCs w:val="24"/>
          <w:lang w:val="en-GB"/>
        </w:rPr>
      </w:pPr>
      <w:proofErr w:type="spellStart"/>
      <w:r w:rsidRPr="00FA4281">
        <w:rPr>
          <w:color w:val="000000" w:themeColor="text1"/>
          <w:sz w:val="24"/>
          <w:szCs w:val="24"/>
          <w:lang w:val="en-GB"/>
        </w:rPr>
        <w:t>Culot</w:t>
      </w:r>
      <w:proofErr w:type="spellEnd"/>
      <w:r w:rsidRPr="00FA4281">
        <w:rPr>
          <w:color w:val="000000" w:themeColor="text1"/>
          <w:sz w:val="24"/>
          <w:szCs w:val="24"/>
          <w:lang w:val="en-GB"/>
        </w:rPr>
        <w:t xml:space="preserve">, G., </w:t>
      </w:r>
      <w:proofErr w:type="spellStart"/>
      <w:r w:rsidRPr="00FA4281">
        <w:rPr>
          <w:color w:val="000000" w:themeColor="text1"/>
          <w:sz w:val="24"/>
          <w:szCs w:val="24"/>
          <w:lang w:val="en-GB"/>
        </w:rPr>
        <w:t>Podrecca</w:t>
      </w:r>
      <w:proofErr w:type="spellEnd"/>
      <w:r w:rsidRPr="00FA4281">
        <w:rPr>
          <w:color w:val="000000" w:themeColor="text1"/>
          <w:sz w:val="24"/>
          <w:szCs w:val="24"/>
          <w:lang w:val="en-GB"/>
        </w:rPr>
        <w:t xml:space="preserve">, M. and </w:t>
      </w:r>
      <w:proofErr w:type="spellStart"/>
      <w:r w:rsidRPr="00FA4281">
        <w:rPr>
          <w:color w:val="000000" w:themeColor="text1"/>
          <w:sz w:val="24"/>
          <w:szCs w:val="24"/>
          <w:lang w:val="en-GB"/>
        </w:rPr>
        <w:t>Nassimbeni</w:t>
      </w:r>
      <w:proofErr w:type="spellEnd"/>
      <w:r w:rsidRPr="00FA4281">
        <w:rPr>
          <w:color w:val="000000" w:themeColor="text1"/>
          <w:sz w:val="24"/>
          <w:szCs w:val="24"/>
          <w:lang w:val="en-GB"/>
        </w:rPr>
        <w:t xml:space="preserve">, G. (2024). Artificial Intelligence in Supply Chain management: a Systematic Literature Review of Empirical Studies and Research Directions. </w:t>
      </w:r>
      <w:r w:rsidRPr="00FA4281">
        <w:rPr>
          <w:i/>
          <w:iCs/>
          <w:color w:val="000000" w:themeColor="text1"/>
          <w:sz w:val="24"/>
          <w:szCs w:val="24"/>
          <w:lang w:val="en-GB"/>
        </w:rPr>
        <w:t>Computers in Industry</w:t>
      </w:r>
      <w:r w:rsidRPr="00FA4281">
        <w:rPr>
          <w:color w:val="000000" w:themeColor="text1"/>
          <w:sz w:val="24"/>
          <w:szCs w:val="24"/>
          <w:lang w:val="en-GB"/>
        </w:rPr>
        <w:t xml:space="preserve">, [online] 162(1), pp.104132–104132. </w:t>
      </w:r>
      <w:proofErr w:type="spellStart"/>
      <w:r w:rsidRPr="00FA4281">
        <w:rPr>
          <w:color w:val="000000" w:themeColor="text1"/>
          <w:sz w:val="24"/>
          <w:szCs w:val="24"/>
          <w:lang w:val="en-GB"/>
        </w:rPr>
        <w:t>doi:https</w:t>
      </w:r>
      <w:proofErr w:type="spellEnd"/>
      <w:r w:rsidRPr="00FA4281">
        <w:rPr>
          <w:color w:val="000000" w:themeColor="text1"/>
          <w:sz w:val="24"/>
          <w:szCs w:val="24"/>
          <w:lang w:val="en-GB"/>
        </w:rPr>
        <w:t>://doi.org/10.1016/j.compind.2024.104132.</w:t>
      </w:r>
    </w:p>
    <w:p w14:paraId="754C6A41" w14:textId="77777777" w:rsidR="005C5E1D" w:rsidRPr="00FA4281" w:rsidRDefault="005C5E1D" w:rsidP="00E7733C">
      <w:pPr>
        <w:spacing w:line="360" w:lineRule="auto"/>
        <w:jc w:val="both"/>
        <w:rPr>
          <w:color w:val="000000" w:themeColor="text1"/>
          <w:sz w:val="24"/>
          <w:szCs w:val="24"/>
          <w:lang w:val="en-IN"/>
        </w:rPr>
      </w:pPr>
      <w:r w:rsidRPr="00FA4281">
        <w:rPr>
          <w:color w:val="000000" w:themeColor="text1"/>
          <w:sz w:val="24"/>
          <w:szCs w:val="24"/>
          <w:lang w:val="en-IN"/>
        </w:rPr>
        <w:t xml:space="preserve">Hassani, H. and Silva, E.S. (2024). Predictions from Generative Artificial Intelligence Models: Towards a New Benchmark in Forecasting Practice. </w:t>
      </w:r>
      <w:r w:rsidRPr="00FA4281">
        <w:rPr>
          <w:i/>
          <w:iCs/>
          <w:color w:val="000000" w:themeColor="text1"/>
          <w:sz w:val="24"/>
          <w:szCs w:val="24"/>
          <w:lang w:val="en-IN"/>
        </w:rPr>
        <w:t>Information</w:t>
      </w:r>
      <w:r w:rsidRPr="00FA4281">
        <w:rPr>
          <w:color w:val="000000" w:themeColor="text1"/>
          <w:sz w:val="24"/>
          <w:szCs w:val="24"/>
          <w:lang w:val="en-IN"/>
        </w:rPr>
        <w:t xml:space="preserve">, 15(6), pp.291–291. </w:t>
      </w:r>
      <w:proofErr w:type="spellStart"/>
      <w:r w:rsidRPr="00FA4281">
        <w:rPr>
          <w:color w:val="000000" w:themeColor="text1"/>
          <w:sz w:val="24"/>
          <w:szCs w:val="24"/>
          <w:lang w:val="en-IN"/>
        </w:rPr>
        <w:t>doi:https</w:t>
      </w:r>
      <w:proofErr w:type="spellEnd"/>
      <w:r w:rsidRPr="00FA4281">
        <w:rPr>
          <w:color w:val="000000" w:themeColor="text1"/>
          <w:sz w:val="24"/>
          <w:szCs w:val="24"/>
          <w:lang w:val="en-IN"/>
        </w:rPr>
        <w:t>://doi.org/10.3390/info15060291.</w:t>
      </w:r>
    </w:p>
    <w:p w14:paraId="0F95310F" w14:textId="77777777" w:rsidR="005C5E1D" w:rsidRPr="00FA4281" w:rsidRDefault="005C5E1D" w:rsidP="00E7733C">
      <w:pPr>
        <w:spacing w:after="240" w:line="360" w:lineRule="auto"/>
        <w:jc w:val="both"/>
        <w:rPr>
          <w:color w:val="000000" w:themeColor="text1"/>
          <w:sz w:val="24"/>
          <w:szCs w:val="24"/>
          <w:lang w:val="en-GB"/>
        </w:rPr>
      </w:pPr>
      <w:r w:rsidRPr="00FA4281">
        <w:rPr>
          <w:color w:val="000000" w:themeColor="text1"/>
          <w:sz w:val="24"/>
          <w:szCs w:val="24"/>
          <w:lang w:val="en-GB"/>
        </w:rPr>
        <w:t xml:space="preserve">Huang, K., Wang, K., Lee, P.K.C. and Yeung, A.C.L. (2023). The impact of industry 4.0 on supply chain capability and supply chain resilience: A dynamic resource-based view. </w:t>
      </w:r>
      <w:r w:rsidRPr="00FA4281">
        <w:rPr>
          <w:i/>
          <w:iCs/>
          <w:color w:val="000000" w:themeColor="text1"/>
          <w:sz w:val="24"/>
          <w:szCs w:val="24"/>
          <w:lang w:val="en-GB"/>
        </w:rPr>
        <w:t>International Journal of Production Economics</w:t>
      </w:r>
      <w:r w:rsidRPr="00FA4281">
        <w:rPr>
          <w:color w:val="000000" w:themeColor="text1"/>
          <w:sz w:val="24"/>
          <w:szCs w:val="24"/>
          <w:lang w:val="en-GB"/>
        </w:rPr>
        <w:t xml:space="preserve">, [online] 262. </w:t>
      </w:r>
      <w:proofErr w:type="spellStart"/>
      <w:r w:rsidRPr="00FA4281">
        <w:rPr>
          <w:color w:val="000000" w:themeColor="text1"/>
          <w:sz w:val="24"/>
          <w:szCs w:val="24"/>
          <w:lang w:val="en-GB"/>
        </w:rPr>
        <w:t>doi:https</w:t>
      </w:r>
      <w:proofErr w:type="spellEnd"/>
      <w:r w:rsidRPr="00FA4281">
        <w:rPr>
          <w:color w:val="000000" w:themeColor="text1"/>
          <w:sz w:val="24"/>
          <w:szCs w:val="24"/>
          <w:lang w:val="en-GB"/>
        </w:rPr>
        <w:t>://doi.org/10.1016/j.ijpe.2023.108913.</w:t>
      </w:r>
    </w:p>
    <w:p w14:paraId="6987C039" w14:textId="77777777" w:rsidR="005C5E1D" w:rsidRPr="00FA4281" w:rsidRDefault="005C5E1D" w:rsidP="00E7733C">
      <w:pPr>
        <w:spacing w:after="240" w:line="360" w:lineRule="auto"/>
        <w:jc w:val="both"/>
        <w:rPr>
          <w:color w:val="000000" w:themeColor="text1"/>
          <w:sz w:val="24"/>
          <w:szCs w:val="24"/>
          <w:lang w:val="en-GB"/>
        </w:rPr>
      </w:pPr>
      <w:r w:rsidRPr="00FA4281">
        <w:rPr>
          <w:color w:val="000000" w:themeColor="text1"/>
          <w:sz w:val="24"/>
          <w:szCs w:val="24"/>
          <w:lang w:val="en-GB"/>
        </w:rPr>
        <w:t xml:space="preserve">Ivanov, D. and </w:t>
      </w:r>
      <w:proofErr w:type="spellStart"/>
      <w:r w:rsidRPr="00FA4281">
        <w:rPr>
          <w:color w:val="000000" w:themeColor="text1"/>
          <w:sz w:val="24"/>
          <w:szCs w:val="24"/>
          <w:lang w:val="en-GB"/>
        </w:rPr>
        <w:t>Dolgui</w:t>
      </w:r>
      <w:proofErr w:type="spellEnd"/>
      <w:r w:rsidRPr="00FA4281">
        <w:rPr>
          <w:color w:val="000000" w:themeColor="text1"/>
          <w:sz w:val="24"/>
          <w:szCs w:val="24"/>
          <w:lang w:val="en-GB"/>
        </w:rPr>
        <w:t xml:space="preserve">, A. (2020). OR-methods for coping with the ripple effect in supply chains during COVID-19 pandemic: Managerial insights and research implications. </w:t>
      </w:r>
      <w:r w:rsidRPr="00FA4281">
        <w:rPr>
          <w:i/>
          <w:iCs/>
          <w:color w:val="000000" w:themeColor="text1"/>
          <w:sz w:val="24"/>
          <w:szCs w:val="24"/>
          <w:lang w:val="en-GB"/>
        </w:rPr>
        <w:t>International Journal of Production Economics</w:t>
      </w:r>
      <w:r w:rsidRPr="00FA4281">
        <w:rPr>
          <w:color w:val="000000" w:themeColor="text1"/>
          <w:sz w:val="24"/>
          <w:szCs w:val="24"/>
          <w:lang w:val="en-GB"/>
        </w:rPr>
        <w:t xml:space="preserve">, 232(107921), p.107921. </w:t>
      </w:r>
      <w:proofErr w:type="spellStart"/>
      <w:r w:rsidRPr="00FA4281">
        <w:rPr>
          <w:color w:val="000000" w:themeColor="text1"/>
          <w:sz w:val="24"/>
          <w:szCs w:val="24"/>
          <w:lang w:val="en-GB"/>
        </w:rPr>
        <w:t>doi:https</w:t>
      </w:r>
      <w:proofErr w:type="spellEnd"/>
      <w:r w:rsidRPr="00FA4281">
        <w:rPr>
          <w:color w:val="000000" w:themeColor="text1"/>
          <w:sz w:val="24"/>
          <w:szCs w:val="24"/>
          <w:lang w:val="en-GB"/>
        </w:rPr>
        <w:t>://doi.org/10.1016/j.ijpe.2020.107921.</w:t>
      </w:r>
    </w:p>
    <w:p w14:paraId="17E63841" w14:textId="77777777" w:rsidR="005C5E1D" w:rsidRPr="00FA4281" w:rsidRDefault="005C5E1D" w:rsidP="00E7733C">
      <w:pPr>
        <w:spacing w:line="360" w:lineRule="auto"/>
        <w:jc w:val="both"/>
        <w:rPr>
          <w:color w:val="000000" w:themeColor="text1"/>
          <w:sz w:val="24"/>
          <w:szCs w:val="24"/>
          <w:lang w:val="en-IN"/>
        </w:rPr>
      </w:pPr>
      <w:r w:rsidRPr="00FA4281">
        <w:rPr>
          <w:color w:val="000000" w:themeColor="text1"/>
          <w:sz w:val="24"/>
          <w:szCs w:val="24"/>
          <w:lang w:val="en-IN"/>
        </w:rPr>
        <w:t xml:space="preserve">M&amp;S (2024). </w:t>
      </w:r>
      <w:r w:rsidRPr="00FA4281">
        <w:rPr>
          <w:i/>
          <w:iCs/>
          <w:color w:val="000000" w:themeColor="text1"/>
          <w:sz w:val="24"/>
          <w:szCs w:val="24"/>
          <w:lang w:val="en-IN"/>
        </w:rPr>
        <w:t>Marks and Spencer Group plc Annual Report &amp; Financial Statements 2024</w:t>
      </w:r>
      <w:r w:rsidRPr="00FA4281">
        <w:rPr>
          <w:color w:val="000000" w:themeColor="text1"/>
          <w:sz w:val="24"/>
          <w:szCs w:val="24"/>
          <w:lang w:val="en-IN"/>
        </w:rPr>
        <w:t>. [</w:t>
      </w:r>
      <w:proofErr w:type="gramStart"/>
      <w:r w:rsidRPr="00FA4281">
        <w:rPr>
          <w:color w:val="000000" w:themeColor="text1"/>
          <w:sz w:val="24"/>
          <w:szCs w:val="24"/>
          <w:lang w:val="en-IN"/>
        </w:rPr>
        <w:t>online</w:t>
      </w:r>
      <w:proofErr w:type="gramEnd"/>
      <w:r w:rsidRPr="00FA4281">
        <w:rPr>
          <w:color w:val="000000" w:themeColor="text1"/>
          <w:sz w:val="24"/>
          <w:szCs w:val="24"/>
          <w:lang w:val="en-IN"/>
        </w:rPr>
        <w:t xml:space="preserve">] </w:t>
      </w:r>
      <w:r w:rsidRPr="00FA4281">
        <w:rPr>
          <w:i/>
          <w:iCs/>
          <w:color w:val="000000" w:themeColor="text1"/>
          <w:sz w:val="24"/>
          <w:szCs w:val="24"/>
          <w:lang w:val="en-IN"/>
        </w:rPr>
        <w:t>Marks &amp; Spencer</w:t>
      </w:r>
      <w:r w:rsidRPr="00FA4281">
        <w:rPr>
          <w:color w:val="000000" w:themeColor="text1"/>
          <w:sz w:val="24"/>
          <w:szCs w:val="24"/>
          <w:lang w:val="en-IN"/>
        </w:rPr>
        <w:t>. Available at: https://corporate.marksandspencer.com/sites/marksandspencer/files/2024-06/M-and-S-2024-Annual-Report.pdf.</w:t>
      </w:r>
    </w:p>
    <w:p w14:paraId="7608DE84" w14:textId="77777777" w:rsidR="005C5E1D" w:rsidRPr="00FA4281" w:rsidRDefault="005C5E1D" w:rsidP="00E7733C">
      <w:pPr>
        <w:spacing w:after="240" w:line="360" w:lineRule="auto"/>
        <w:jc w:val="both"/>
        <w:rPr>
          <w:color w:val="000000" w:themeColor="text1"/>
          <w:sz w:val="24"/>
          <w:szCs w:val="24"/>
          <w:lang w:val="en-GB"/>
        </w:rPr>
      </w:pPr>
      <w:r w:rsidRPr="00FA4281">
        <w:rPr>
          <w:color w:val="000000" w:themeColor="text1"/>
          <w:sz w:val="24"/>
          <w:szCs w:val="24"/>
          <w:lang w:val="en-GB"/>
        </w:rPr>
        <w:t xml:space="preserve">McKinsey &amp; Company (2021). </w:t>
      </w:r>
      <w:r w:rsidRPr="00FA4281">
        <w:rPr>
          <w:i/>
          <w:iCs/>
          <w:color w:val="000000" w:themeColor="text1"/>
          <w:sz w:val="24"/>
          <w:szCs w:val="24"/>
          <w:lang w:val="en-GB"/>
        </w:rPr>
        <w:t xml:space="preserve">Metals and Mining Practice Succeeding in the AI supply-chain revolution </w:t>
      </w:r>
      <w:proofErr w:type="gramStart"/>
      <w:r w:rsidRPr="00FA4281">
        <w:rPr>
          <w:i/>
          <w:iCs/>
          <w:color w:val="000000" w:themeColor="text1"/>
          <w:sz w:val="24"/>
          <w:szCs w:val="24"/>
          <w:lang w:val="en-GB"/>
        </w:rPr>
        <w:t>New</w:t>
      </w:r>
      <w:proofErr w:type="gramEnd"/>
      <w:r w:rsidRPr="00FA4281">
        <w:rPr>
          <w:i/>
          <w:iCs/>
          <w:color w:val="000000" w:themeColor="text1"/>
          <w:sz w:val="24"/>
          <w:szCs w:val="24"/>
          <w:lang w:val="en-GB"/>
        </w:rPr>
        <w:t xml:space="preserve"> technology solutions could be transformative-but only if executives properly prepare their organizations</w:t>
      </w:r>
      <w:r w:rsidRPr="00FA4281">
        <w:rPr>
          <w:color w:val="000000" w:themeColor="text1"/>
          <w:sz w:val="24"/>
          <w:szCs w:val="24"/>
          <w:lang w:val="en-GB"/>
        </w:rPr>
        <w:t>. [</w:t>
      </w:r>
      <w:proofErr w:type="gramStart"/>
      <w:r w:rsidRPr="00FA4281">
        <w:rPr>
          <w:color w:val="000000" w:themeColor="text1"/>
          <w:sz w:val="24"/>
          <w:szCs w:val="24"/>
          <w:lang w:val="en-GB"/>
        </w:rPr>
        <w:t>online</w:t>
      </w:r>
      <w:proofErr w:type="gramEnd"/>
      <w:r w:rsidRPr="00FA4281">
        <w:rPr>
          <w:color w:val="000000" w:themeColor="text1"/>
          <w:sz w:val="24"/>
          <w:szCs w:val="24"/>
          <w:lang w:val="en-GB"/>
        </w:rPr>
        <w:t>] Available at: https://www.mckinsey.com/~/media/mckinsey/industries/metals%20and%20mining/our</w:t>
      </w:r>
      <w:r w:rsidRPr="00FA4281">
        <w:rPr>
          <w:color w:val="000000" w:themeColor="text1"/>
          <w:sz w:val="24"/>
          <w:szCs w:val="24"/>
          <w:lang w:val="en-GB"/>
        </w:rPr>
        <w:lastRenderedPageBreak/>
        <w:t>%20insights/succeeding%20in%20the%20ai%20supply%20chain%20revolution/succeeding-in-the-ai-supply-chain-revolution.pdf.</w:t>
      </w:r>
    </w:p>
    <w:p w14:paraId="4D4D640A" w14:textId="77777777" w:rsidR="005C5E1D" w:rsidRPr="00FA4281" w:rsidRDefault="005C5E1D" w:rsidP="00E7733C">
      <w:pPr>
        <w:spacing w:after="240" w:line="360" w:lineRule="auto"/>
        <w:jc w:val="both"/>
        <w:rPr>
          <w:color w:val="000000" w:themeColor="text1"/>
          <w:sz w:val="24"/>
          <w:szCs w:val="24"/>
          <w:lang w:val="en-GB"/>
        </w:rPr>
      </w:pPr>
      <w:r w:rsidRPr="00FA4281">
        <w:rPr>
          <w:color w:val="000000" w:themeColor="text1"/>
          <w:sz w:val="24"/>
          <w:szCs w:val="24"/>
          <w:lang w:val="en-GB"/>
        </w:rPr>
        <w:t xml:space="preserve">Queiroz, M.M., Ivanov, D., </w:t>
      </w:r>
      <w:proofErr w:type="spellStart"/>
      <w:r w:rsidRPr="00FA4281">
        <w:rPr>
          <w:color w:val="000000" w:themeColor="text1"/>
          <w:sz w:val="24"/>
          <w:szCs w:val="24"/>
          <w:lang w:val="en-GB"/>
        </w:rPr>
        <w:t>Dolgui</w:t>
      </w:r>
      <w:proofErr w:type="spellEnd"/>
      <w:r w:rsidRPr="00FA4281">
        <w:rPr>
          <w:color w:val="000000" w:themeColor="text1"/>
          <w:sz w:val="24"/>
          <w:szCs w:val="24"/>
          <w:lang w:val="en-GB"/>
        </w:rPr>
        <w:t xml:space="preserve">, A. and Fosso Wamba, S. (2022). Impacts of Epidemic Outbreaks on Supply chains: Mapping a Research Agenda amid the COVID-19 Pandemic through a Structured Literature Review. </w:t>
      </w:r>
      <w:r w:rsidRPr="00FA4281">
        <w:rPr>
          <w:i/>
          <w:iCs/>
          <w:color w:val="000000" w:themeColor="text1"/>
          <w:sz w:val="24"/>
          <w:szCs w:val="24"/>
          <w:lang w:val="en-GB"/>
        </w:rPr>
        <w:t>Annals of Operations Research</w:t>
      </w:r>
      <w:r w:rsidRPr="00FA4281">
        <w:rPr>
          <w:color w:val="000000" w:themeColor="text1"/>
          <w:sz w:val="24"/>
          <w:szCs w:val="24"/>
          <w:lang w:val="en-GB"/>
        </w:rPr>
        <w:t xml:space="preserve">, [online] 319(1). </w:t>
      </w:r>
      <w:proofErr w:type="spellStart"/>
      <w:r w:rsidRPr="00FA4281">
        <w:rPr>
          <w:color w:val="000000" w:themeColor="text1"/>
          <w:sz w:val="24"/>
          <w:szCs w:val="24"/>
          <w:lang w:val="en-GB"/>
        </w:rPr>
        <w:t>doi:https</w:t>
      </w:r>
      <w:proofErr w:type="spellEnd"/>
      <w:r w:rsidRPr="00FA4281">
        <w:rPr>
          <w:color w:val="000000" w:themeColor="text1"/>
          <w:sz w:val="24"/>
          <w:szCs w:val="24"/>
          <w:lang w:val="en-GB"/>
        </w:rPr>
        <w:t>://doi.org/10.1007/s10479-020-03685-7.</w:t>
      </w:r>
    </w:p>
    <w:p w14:paraId="2D03B7AA" w14:textId="77777777" w:rsidR="005C5E1D" w:rsidRPr="00FA4281" w:rsidRDefault="005C5E1D" w:rsidP="00E7733C">
      <w:pPr>
        <w:spacing w:after="240" w:line="360" w:lineRule="auto"/>
        <w:jc w:val="both"/>
        <w:rPr>
          <w:color w:val="000000" w:themeColor="text1"/>
          <w:sz w:val="24"/>
          <w:szCs w:val="24"/>
          <w:lang w:val="en-GB"/>
        </w:rPr>
      </w:pPr>
      <w:r w:rsidRPr="00FA4281">
        <w:rPr>
          <w:color w:val="000000" w:themeColor="text1"/>
          <w:sz w:val="24"/>
          <w:szCs w:val="24"/>
          <w:lang w:val="en-GB"/>
        </w:rPr>
        <w:t xml:space="preserve">Remko, van H. (2020). Research Opportunities for a More Resilient post-COVID-19 Supply Chain – Closing the Gap between Research Findings and Industry Practice. </w:t>
      </w:r>
      <w:r w:rsidRPr="00FA4281">
        <w:rPr>
          <w:i/>
          <w:iCs/>
          <w:color w:val="000000" w:themeColor="text1"/>
          <w:sz w:val="24"/>
          <w:szCs w:val="24"/>
          <w:lang w:val="en-GB"/>
        </w:rPr>
        <w:t>International Journal of Operations &amp; Production Management</w:t>
      </w:r>
      <w:r w:rsidRPr="00FA4281">
        <w:rPr>
          <w:color w:val="000000" w:themeColor="text1"/>
          <w:sz w:val="24"/>
          <w:szCs w:val="24"/>
          <w:lang w:val="en-GB"/>
        </w:rPr>
        <w:t>, 40(4), pp.341–355.</w:t>
      </w:r>
    </w:p>
    <w:p w14:paraId="02A9BB0B" w14:textId="77777777" w:rsidR="005C5E1D" w:rsidRPr="00FA4281" w:rsidRDefault="005C5E1D" w:rsidP="00E7733C">
      <w:pPr>
        <w:spacing w:line="360" w:lineRule="auto"/>
        <w:jc w:val="both"/>
        <w:rPr>
          <w:color w:val="000000" w:themeColor="text1"/>
          <w:sz w:val="24"/>
          <w:szCs w:val="24"/>
          <w:lang w:val="en-IN"/>
        </w:rPr>
      </w:pPr>
      <w:r w:rsidRPr="00FA4281">
        <w:rPr>
          <w:color w:val="000000" w:themeColor="text1"/>
          <w:sz w:val="24"/>
          <w:szCs w:val="24"/>
          <w:lang w:val="en-IN"/>
        </w:rPr>
        <w:t xml:space="preserve">Reuters Staff (2026). UK retailers’ labour cost fears jump after reforms, survey shows. </w:t>
      </w:r>
      <w:r w:rsidRPr="00FA4281">
        <w:rPr>
          <w:i/>
          <w:iCs/>
          <w:color w:val="000000" w:themeColor="text1"/>
          <w:sz w:val="24"/>
          <w:szCs w:val="24"/>
          <w:lang w:val="en-IN"/>
        </w:rPr>
        <w:t>Reuters</w:t>
      </w:r>
      <w:r w:rsidRPr="00FA4281">
        <w:rPr>
          <w:color w:val="000000" w:themeColor="text1"/>
          <w:sz w:val="24"/>
          <w:szCs w:val="24"/>
          <w:lang w:val="en-IN"/>
        </w:rPr>
        <w:t>. [</w:t>
      </w:r>
      <w:proofErr w:type="gramStart"/>
      <w:r w:rsidRPr="00FA4281">
        <w:rPr>
          <w:color w:val="000000" w:themeColor="text1"/>
          <w:sz w:val="24"/>
          <w:szCs w:val="24"/>
          <w:lang w:val="en-IN"/>
        </w:rPr>
        <w:t>online</w:t>
      </w:r>
      <w:proofErr w:type="gramEnd"/>
      <w:r w:rsidRPr="00FA4281">
        <w:rPr>
          <w:color w:val="000000" w:themeColor="text1"/>
          <w:sz w:val="24"/>
          <w:szCs w:val="24"/>
          <w:lang w:val="en-IN"/>
        </w:rPr>
        <w:t>] 19 Feb. Available at: https://www.reuters.com/business/world-at-work/uk-retailers-labour-cost-fears-jump-after-reforms-survey-shows-2026-02-19/.</w:t>
      </w:r>
    </w:p>
    <w:p w14:paraId="44795702" w14:textId="77777777" w:rsidR="005C5E1D" w:rsidRPr="00FA4281" w:rsidRDefault="005C5E1D" w:rsidP="00E7733C">
      <w:pPr>
        <w:spacing w:line="360" w:lineRule="auto"/>
        <w:jc w:val="both"/>
        <w:rPr>
          <w:color w:val="000000" w:themeColor="text1"/>
          <w:sz w:val="24"/>
          <w:szCs w:val="24"/>
          <w:lang w:val="en-GB"/>
        </w:rPr>
      </w:pPr>
      <w:proofErr w:type="spellStart"/>
      <w:r w:rsidRPr="00FA4281">
        <w:rPr>
          <w:color w:val="000000" w:themeColor="text1"/>
          <w:sz w:val="24"/>
          <w:szCs w:val="24"/>
          <w:lang w:val="en-GB"/>
        </w:rPr>
        <w:t>Wulandhari</w:t>
      </w:r>
      <w:proofErr w:type="spellEnd"/>
      <w:r w:rsidRPr="00FA4281">
        <w:rPr>
          <w:color w:val="000000" w:themeColor="text1"/>
          <w:sz w:val="24"/>
          <w:szCs w:val="24"/>
          <w:lang w:val="en-GB"/>
        </w:rPr>
        <w:t xml:space="preserve">, N.B.I., </w:t>
      </w:r>
      <w:proofErr w:type="spellStart"/>
      <w:r w:rsidRPr="00FA4281">
        <w:rPr>
          <w:color w:val="000000" w:themeColor="text1"/>
          <w:sz w:val="24"/>
          <w:szCs w:val="24"/>
          <w:lang w:val="en-GB"/>
        </w:rPr>
        <w:t>Budhwar</w:t>
      </w:r>
      <w:proofErr w:type="spellEnd"/>
      <w:r w:rsidRPr="00FA4281">
        <w:rPr>
          <w:color w:val="000000" w:themeColor="text1"/>
          <w:sz w:val="24"/>
          <w:szCs w:val="24"/>
          <w:lang w:val="en-GB"/>
        </w:rPr>
        <w:t xml:space="preserve">, P., Mishra, N., Akbar, S., Do, Q. and Milligan, G. (2022). Organizational Resilience to Supply Chain Risks </w:t>
      </w:r>
      <w:proofErr w:type="gramStart"/>
      <w:r w:rsidRPr="00FA4281">
        <w:rPr>
          <w:color w:val="000000" w:themeColor="text1"/>
          <w:sz w:val="24"/>
          <w:szCs w:val="24"/>
          <w:lang w:val="en-GB"/>
        </w:rPr>
        <w:t>During</w:t>
      </w:r>
      <w:proofErr w:type="gramEnd"/>
      <w:r w:rsidRPr="00FA4281">
        <w:rPr>
          <w:color w:val="000000" w:themeColor="text1"/>
          <w:sz w:val="24"/>
          <w:szCs w:val="24"/>
          <w:lang w:val="en-GB"/>
        </w:rPr>
        <w:t xml:space="preserve"> the COVID</w:t>
      </w:r>
      <w:r w:rsidRPr="00FA4281">
        <w:rPr>
          <w:rFonts w:ascii="Cambria Math" w:eastAsia="Times New Roman" w:hAnsi="Cambria Math" w:cs="Cambria Math"/>
          <w:color w:val="000000" w:themeColor="text1"/>
          <w:sz w:val="24"/>
          <w:szCs w:val="24"/>
          <w:lang w:val="en-GB"/>
        </w:rPr>
        <w:t>‐</w:t>
      </w:r>
      <w:r w:rsidRPr="00FA4281">
        <w:rPr>
          <w:color w:val="000000" w:themeColor="text1"/>
          <w:sz w:val="24"/>
          <w:szCs w:val="24"/>
          <w:lang w:val="en-GB"/>
        </w:rPr>
        <w:t xml:space="preserve">19 Pandemic. </w:t>
      </w:r>
      <w:r w:rsidRPr="00FA4281">
        <w:rPr>
          <w:i/>
          <w:iCs/>
          <w:color w:val="000000" w:themeColor="text1"/>
          <w:sz w:val="24"/>
          <w:szCs w:val="24"/>
          <w:lang w:val="en-GB"/>
        </w:rPr>
        <w:t>British Journal of Management</w:t>
      </w:r>
      <w:r w:rsidRPr="00FA4281">
        <w:rPr>
          <w:color w:val="000000" w:themeColor="text1"/>
          <w:sz w:val="24"/>
          <w:szCs w:val="24"/>
          <w:lang w:val="en-GB"/>
        </w:rPr>
        <w:t xml:space="preserve">, 34(3). </w:t>
      </w:r>
      <w:proofErr w:type="spellStart"/>
      <w:r w:rsidRPr="00FA4281">
        <w:rPr>
          <w:color w:val="000000" w:themeColor="text1"/>
          <w:sz w:val="24"/>
          <w:szCs w:val="24"/>
          <w:lang w:val="en-GB"/>
        </w:rPr>
        <w:t>doi:https</w:t>
      </w:r>
      <w:proofErr w:type="spellEnd"/>
      <w:r w:rsidRPr="00FA4281">
        <w:rPr>
          <w:color w:val="000000" w:themeColor="text1"/>
          <w:sz w:val="24"/>
          <w:szCs w:val="24"/>
          <w:lang w:val="en-GB"/>
        </w:rPr>
        <w:t>://doi.org/10.1111/1467-8551.12648.</w:t>
      </w:r>
    </w:p>
    <w:p w14:paraId="2FF6AA28" w14:textId="77777777" w:rsidR="005C5E1D" w:rsidRPr="00FA4281" w:rsidRDefault="005C5E1D">
      <w:pPr>
        <w:spacing w:line="360" w:lineRule="auto"/>
        <w:jc w:val="both"/>
        <w:rPr>
          <w:color w:val="000000" w:themeColor="text1"/>
          <w:sz w:val="24"/>
          <w:szCs w:val="24"/>
          <w:lang w:val="en-GB"/>
        </w:rPr>
      </w:pPr>
    </w:p>
    <w:p w14:paraId="0759B2F3" w14:textId="77777777" w:rsidR="00EE22BF" w:rsidRPr="00FA4281" w:rsidRDefault="00EE22BF">
      <w:pPr>
        <w:spacing w:line="360" w:lineRule="auto"/>
        <w:jc w:val="both"/>
        <w:rPr>
          <w:color w:val="000000" w:themeColor="text1"/>
          <w:sz w:val="24"/>
          <w:szCs w:val="24"/>
          <w:lang w:val="en-GB"/>
        </w:rPr>
      </w:pPr>
    </w:p>
    <w:sectPr w:rsidR="00EE22BF" w:rsidRPr="00FA4281">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2727A" w14:textId="77777777" w:rsidR="00A07567" w:rsidRDefault="00A07567">
      <w:pPr>
        <w:spacing w:line="240" w:lineRule="auto"/>
      </w:pPr>
      <w:r>
        <w:separator/>
      </w:r>
    </w:p>
  </w:endnote>
  <w:endnote w:type="continuationSeparator" w:id="0">
    <w:p w14:paraId="55FF2076" w14:textId="77777777" w:rsidR="00A07567" w:rsidRDefault="00A075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91C8899-B756-4B39-B553-3C984B5185F9}"/>
  </w:font>
  <w:font w:name="Cambria Math">
    <w:panose1 w:val="02040503050406030204"/>
    <w:charset w:val="00"/>
    <w:family w:val="roman"/>
    <w:pitch w:val="variable"/>
    <w:sig w:usb0="E00006FF" w:usb1="420024FF" w:usb2="02000000" w:usb3="00000000" w:csb0="0000019F" w:csb1="00000000"/>
    <w:embedRegular r:id="rId2" w:fontKey="{23E72B81-0A2F-48C8-A21C-69F81623CD25}"/>
  </w:font>
  <w:font w:name="Cambria">
    <w:panose1 w:val="02040503050406030204"/>
    <w:charset w:val="00"/>
    <w:family w:val="roman"/>
    <w:pitch w:val="variable"/>
    <w:sig w:usb0="E00006FF" w:usb1="420024FF" w:usb2="02000000" w:usb3="00000000" w:csb0="0000019F" w:csb1="00000000"/>
    <w:embedRegular r:id="rId3" w:fontKey="{ED778D28-B695-4C8C-825D-9AE0D4E7015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8B21E" w14:textId="0AF6AFCB" w:rsidR="00EE22BF" w:rsidRDefault="00A07567">
    <w:pPr>
      <w:jc w:val="right"/>
      <w:rPr>
        <w:sz w:val="20"/>
        <w:szCs w:val="20"/>
      </w:rPr>
    </w:pPr>
    <w:r>
      <w:rPr>
        <w:sz w:val="20"/>
        <w:szCs w:val="20"/>
      </w:rPr>
      <w:fldChar w:fldCharType="begin"/>
    </w:r>
    <w:r>
      <w:rPr>
        <w:sz w:val="20"/>
        <w:szCs w:val="20"/>
      </w:rPr>
      <w:instrText>PAGE</w:instrText>
    </w:r>
    <w:r>
      <w:rPr>
        <w:sz w:val="20"/>
        <w:szCs w:val="20"/>
      </w:rPr>
      <w:fldChar w:fldCharType="separate"/>
    </w:r>
    <w:r w:rsidR="008C0F6F">
      <w:rPr>
        <w:noProof/>
        <w:sz w:val="20"/>
        <w:szCs w:val="20"/>
      </w:rPr>
      <w:t>10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E0674" w14:textId="77777777" w:rsidR="00A07567" w:rsidRDefault="00A07567">
      <w:pPr>
        <w:spacing w:line="240" w:lineRule="auto"/>
      </w:pPr>
      <w:r>
        <w:separator/>
      </w:r>
    </w:p>
  </w:footnote>
  <w:footnote w:type="continuationSeparator" w:id="0">
    <w:p w14:paraId="57488B94" w14:textId="77777777" w:rsidR="00A07567" w:rsidRDefault="00A075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21A08"/>
    <w:multiLevelType w:val="multilevel"/>
    <w:tmpl w:val="AD5AC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B400C3"/>
    <w:multiLevelType w:val="multilevel"/>
    <w:tmpl w:val="D70C6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10457FB"/>
    <w:multiLevelType w:val="multilevel"/>
    <w:tmpl w:val="1820D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CB04C2"/>
    <w:multiLevelType w:val="multilevel"/>
    <w:tmpl w:val="468CC5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2BF"/>
    <w:rsid w:val="00004DBC"/>
    <w:rsid w:val="0005488A"/>
    <w:rsid w:val="00197A30"/>
    <w:rsid w:val="001C3C31"/>
    <w:rsid w:val="002756AD"/>
    <w:rsid w:val="0043264E"/>
    <w:rsid w:val="0045382F"/>
    <w:rsid w:val="004932F9"/>
    <w:rsid w:val="00520A89"/>
    <w:rsid w:val="00591A14"/>
    <w:rsid w:val="005C5E1D"/>
    <w:rsid w:val="0084415D"/>
    <w:rsid w:val="008C0F6F"/>
    <w:rsid w:val="00944E30"/>
    <w:rsid w:val="00A07567"/>
    <w:rsid w:val="00A3780B"/>
    <w:rsid w:val="00A42449"/>
    <w:rsid w:val="00B262B8"/>
    <w:rsid w:val="00BA12FD"/>
    <w:rsid w:val="00C2679C"/>
    <w:rsid w:val="00E7733C"/>
    <w:rsid w:val="00EE22BF"/>
    <w:rsid w:val="00F177E2"/>
    <w:rsid w:val="00FA4281"/>
    <w:rsid w:val="00FC5D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DF1F9"/>
  <w15:docId w15:val="{FFE56502-8877-4A50-A0B4-160E0679C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autoRedefine/>
    <w:uiPriority w:val="9"/>
    <w:qFormat/>
    <w:rsid w:val="00C2679C"/>
    <w:pPr>
      <w:keepNext/>
      <w:keepLines/>
      <w:spacing w:before="400" w:after="120" w:line="360" w:lineRule="auto"/>
      <w:outlineLvl w:val="0"/>
    </w:pPr>
    <w:rPr>
      <w:b/>
      <w:color w:val="000000" w:themeColor="text1"/>
      <w:sz w:val="24"/>
      <w:szCs w:val="40"/>
    </w:rPr>
  </w:style>
  <w:style w:type="paragraph" w:styleId="Heading2">
    <w:name w:val="heading 2"/>
    <w:basedOn w:val="Normal"/>
    <w:next w:val="Normal"/>
    <w:autoRedefine/>
    <w:uiPriority w:val="9"/>
    <w:unhideWhenUsed/>
    <w:qFormat/>
    <w:rsid w:val="00C2679C"/>
    <w:pPr>
      <w:keepNext/>
      <w:keepLines/>
      <w:spacing w:before="360" w:after="120" w:line="360" w:lineRule="auto"/>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NormalWeb">
    <w:name w:val="Normal (Web)"/>
    <w:basedOn w:val="Normal"/>
    <w:uiPriority w:val="99"/>
    <w:semiHidden/>
    <w:unhideWhenUsed/>
    <w:rsid w:val="00BA12FD"/>
    <w:rPr>
      <w:rFonts w:ascii="Times New Roman" w:hAnsi="Times New Roman" w:cs="Times New Roman"/>
      <w:sz w:val="24"/>
      <w:szCs w:val="24"/>
    </w:rPr>
  </w:style>
  <w:style w:type="paragraph" w:styleId="ListParagraph">
    <w:name w:val="List Paragraph"/>
    <w:basedOn w:val="Normal"/>
    <w:uiPriority w:val="34"/>
    <w:qFormat/>
    <w:rsid w:val="00944E30"/>
    <w:pPr>
      <w:ind w:left="720"/>
      <w:contextualSpacing/>
    </w:pPr>
  </w:style>
  <w:style w:type="paragraph" w:styleId="TOCHeading">
    <w:name w:val="TOC Heading"/>
    <w:basedOn w:val="Heading1"/>
    <w:next w:val="Normal"/>
    <w:uiPriority w:val="39"/>
    <w:unhideWhenUsed/>
    <w:qFormat/>
    <w:rsid w:val="00FA4281"/>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A4281"/>
    <w:pPr>
      <w:spacing w:after="100"/>
    </w:pPr>
  </w:style>
  <w:style w:type="paragraph" w:styleId="TOC2">
    <w:name w:val="toc 2"/>
    <w:basedOn w:val="Normal"/>
    <w:next w:val="Normal"/>
    <w:autoRedefine/>
    <w:uiPriority w:val="39"/>
    <w:unhideWhenUsed/>
    <w:rsid w:val="00FA4281"/>
    <w:pPr>
      <w:spacing w:after="100"/>
      <w:ind w:left="220"/>
    </w:pPr>
  </w:style>
  <w:style w:type="character" w:styleId="Hyperlink">
    <w:name w:val="Hyperlink"/>
    <w:basedOn w:val="DefaultParagraphFont"/>
    <w:uiPriority w:val="99"/>
    <w:unhideWhenUsed/>
    <w:rsid w:val="00FA42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16F23-B55C-4EE8-A301-C08706542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2457</Words>
  <Characters>14009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Amit Shah</cp:lastModifiedBy>
  <cp:revision>16</cp:revision>
  <dcterms:created xsi:type="dcterms:W3CDTF">2026-05-18T08:48:00Z</dcterms:created>
  <dcterms:modified xsi:type="dcterms:W3CDTF">2026-06-10T20:30:00Z</dcterms:modified>
</cp:coreProperties>
</file>