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2F408901">
      <w:bookmarkStart w:name="_GoBack" w:id="0"/>
      <w:bookmarkEnd w:id="0"/>
      <w:r w:rsidR="0A760B5F">
        <w:rPr/>
        <w:t>Angharad Abbott</w:t>
      </w:r>
    </w:p>
    <w:p w:rsidR="0A760B5F" w:rsidP="0698E152" w:rsidRDefault="0A760B5F" w14:paraId="0FA46A22" w14:textId="4DFC104C">
      <w:pPr>
        <w:pStyle w:val="Normal"/>
      </w:pPr>
      <w:r w:rsidR="0A760B5F">
        <w:rPr/>
        <w:t>2219680</w:t>
      </w:r>
    </w:p>
    <w:p w:rsidR="0A760B5F" w:rsidP="0698E152" w:rsidRDefault="0A760B5F" w14:paraId="630FC646" w14:textId="2C1B9D81">
      <w:pPr>
        <w:pStyle w:val="Normal"/>
        <w:jc w:val="center"/>
      </w:pPr>
      <w:r w:rsidR="0A760B5F">
        <w:rPr/>
        <w:t>Diminished Responsibility</w:t>
      </w:r>
    </w:p>
    <w:p w:rsidR="0A760B5F" w:rsidP="0698E152" w:rsidRDefault="0A760B5F" w14:paraId="000B07B9" w14:textId="25ACAA1E">
      <w:pPr>
        <w:pStyle w:val="Normal"/>
        <w:jc w:val="left"/>
      </w:pPr>
      <w:r w:rsidR="0A760B5F">
        <w:rPr/>
        <w:t xml:space="preserve">The </w:t>
      </w:r>
      <w:r w:rsidR="6293DE47">
        <w:rPr/>
        <w:t>diminished</w:t>
      </w:r>
      <w:r w:rsidR="0A760B5F">
        <w:rPr/>
        <w:t xml:space="preserve"> responsibility </w:t>
      </w:r>
      <w:r w:rsidR="10E0D125">
        <w:rPr/>
        <w:t>defence</w:t>
      </w:r>
      <w:r w:rsidR="0A760B5F">
        <w:rPr/>
        <w:t>, which was first introduced more than fifty years ago under Section 2 of the Murder act 1</w:t>
      </w:r>
      <w:r w:rsidR="6AAF7662">
        <w:rPr/>
        <w:t>957, has long been a source of controversy (Kennefick, 2011)</w:t>
      </w:r>
      <w:r w:rsidR="7B13E6D7">
        <w:rPr/>
        <w:t xml:space="preserve">. </w:t>
      </w:r>
      <w:r w:rsidR="0B26FCDF">
        <w:rPr/>
        <w:t>A partial defence to murder is diminished responsibility. In situations where the severity of the mental illness or def</w:t>
      </w:r>
      <w:r w:rsidR="53107BE2">
        <w:rPr/>
        <w:t xml:space="preserve">ect does not completely bar criminal liability, the doctrine of diminished </w:t>
      </w:r>
      <w:r w:rsidR="1DFE5BBA">
        <w:rPr/>
        <w:t>responsibility</w:t>
      </w:r>
      <w:r w:rsidR="53107BE2">
        <w:rPr/>
        <w:t xml:space="preserve"> offers a </w:t>
      </w:r>
      <w:r w:rsidR="0BD2FCD2">
        <w:rPr/>
        <w:t xml:space="preserve">mitigating defence (Encyclopaedia, 2015). If the defence of diminished responsibility </w:t>
      </w:r>
      <w:r w:rsidR="505A4645">
        <w:rPr/>
        <w:t xml:space="preserve">is accepted by courts through a jury, the charge of murder will be changed to one of manslaughter. The court is given a wider range </w:t>
      </w:r>
      <w:r w:rsidR="29CA549C">
        <w:rPr/>
        <w:t xml:space="preserve">of sentencing alternatives as a result. Section 2 of the Homicide Act 1957 formally </w:t>
      </w:r>
      <w:r w:rsidR="29CA549C">
        <w:rPr/>
        <w:t>provided</w:t>
      </w:r>
      <w:r w:rsidR="29CA549C">
        <w:rPr/>
        <w:t xml:space="preserve"> </w:t>
      </w:r>
      <w:r w:rsidR="5D963BB7">
        <w:rPr/>
        <w:t>requirements</w:t>
      </w:r>
      <w:r w:rsidR="29CA549C">
        <w:rPr/>
        <w:t xml:space="preserve"> on diminishe</w:t>
      </w:r>
      <w:r w:rsidR="7182C056">
        <w:rPr/>
        <w:t xml:space="preserve">d </w:t>
      </w:r>
      <w:r w:rsidR="01012F1A">
        <w:rPr/>
        <w:t xml:space="preserve">responsibility to courts withing England and Wales (Homicide Act 1957). The criteria and </w:t>
      </w:r>
      <w:r w:rsidR="6F4BC939">
        <w:rPr/>
        <w:t>requirements</w:t>
      </w:r>
      <w:r w:rsidR="01012F1A">
        <w:rPr/>
        <w:t xml:space="preserve"> set out within this section </w:t>
      </w:r>
      <w:r w:rsidR="540AA70C">
        <w:rPr/>
        <w:t xml:space="preserve">relating to diminished responsibility has since been amended by </w:t>
      </w:r>
      <w:r w:rsidR="042D5DBF">
        <w:rPr/>
        <w:t>Section 53 of the Coroners of Justice Act 2009, this also specifically applies to courts in Engla</w:t>
      </w:r>
      <w:r w:rsidR="0D3BF0A6">
        <w:rPr/>
        <w:t>nd and Wales (Coroners and Justice Act 2009). Within this essay</w:t>
      </w:r>
      <w:r w:rsidR="0992C03D">
        <w:rPr/>
        <w:t xml:space="preserve"> I will be outlining the requirements of each section within their respective acts and the changes they made to the law and courts </w:t>
      </w:r>
      <w:r w:rsidR="559BA687">
        <w:rPr/>
        <w:t xml:space="preserve">within England and Wales. I will be discussing the advantages and disadvantages to each section and conduct research into </w:t>
      </w:r>
      <w:r w:rsidR="5504D236">
        <w:rPr/>
        <w:t>whether</w:t>
      </w:r>
      <w:r w:rsidR="559BA687">
        <w:rPr/>
        <w:t xml:space="preserve"> there are any </w:t>
      </w:r>
      <w:r w:rsidR="431A6475">
        <w:rPr/>
        <w:t xml:space="preserve">recommendations to further reform the requirements on diminished responsibility. Following this, I will </w:t>
      </w:r>
      <w:r w:rsidR="3F9F0B8F">
        <w:rPr/>
        <w:t>conclude</w:t>
      </w:r>
      <w:r w:rsidR="431A6475">
        <w:rPr/>
        <w:t xml:space="preserve"> on my findings. </w:t>
      </w:r>
    </w:p>
    <w:p w:rsidR="106F4FA9" w:rsidP="0698E152" w:rsidRDefault="106F4FA9" w14:paraId="6F81214F" w14:textId="0DAE8B80">
      <w:pPr>
        <w:pStyle w:val="Normal"/>
        <w:jc w:val="left"/>
      </w:pPr>
      <w:r w:rsidR="106F4FA9">
        <w:rPr/>
        <w:t xml:space="preserve">Diminished responsibility is a defence that can only be applied to those standing against murder charges. When raising this defence, the defendant </w:t>
      </w:r>
      <w:r w:rsidR="231EE0B3">
        <w:rPr/>
        <w:t xml:space="preserve">is admitting to having both the </w:t>
      </w:r>
      <w:r w:rsidR="231EE0B3">
        <w:rPr/>
        <w:t>mens</w:t>
      </w:r>
      <w:r w:rsidR="231EE0B3">
        <w:rPr/>
        <w:t xml:space="preserve"> rea, actus reus and malice aforethought to have commit</w:t>
      </w:r>
      <w:r w:rsidR="4931D098">
        <w:rPr/>
        <w:t xml:space="preserve">ted the murder. The </w:t>
      </w:r>
      <w:r w:rsidR="4931D098">
        <w:rPr/>
        <w:t>mens</w:t>
      </w:r>
      <w:r w:rsidR="4931D098">
        <w:rPr/>
        <w:t xml:space="preserve"> rea refers to the defendants </w:t>
      </w:r>
      <w:r w:rsidR="34CD3DD7">
        <w:rPr/>
        <w:t>‘guilty act;’ the action or inaction that constitutes the statutory essential physical componen</w:t>
      </w:r>
      <w:r w:rsidR="67292862">
        <w:rPr/>
        <w:t>ts of a crime (Hossain and Rahi, 2</w:t>
      </w:r>
      <w:r w:rsidR="2BB071D6">
        <w:rPr/>
        <w:t xml:space="preserve">018). The malice aforethought is the </w:t>
      </w:r>
      <w:r w:rsidR="5BD32888">
        <w:rPr/>
        <w:t>defendants'</w:t>
      </w:r>
      <w:r w:rsidR="2BB071D6">
        <w:rPr/>
        <w:t xml:space="preserve"> intentions to commi</w:t>
      </w:r>
      <w:r w:rsidR="6B15A422">
        <w:rPr/>
        <w:t>t the crime</w:t>
      </w:r>
      <w:r w:rsidR="5CD8F3BD">
        <w:rPr/>
        <w:t xml:space="preserve">, this is what distinguishes a murder to unlawful killing such as manslaughter (Levin and Wiest, </w:t>
      </w:r>
      <w:r w:rsidR="6472F2C5">
        <w:rPr/>
        <w:t xml:space="preserve">2020). Diminished responsibility means that something has influenced the defendant </w:t>
      </w:r>
      <w:r w:rsidR="084CAED2">
        <w:rPr/>
        <w:t xml:space="preserve">to commit the murder, when raising this as a defence, the defendant must prove beyond reasonable doubt that they are not capable </w:t>
      </w:r>
      <w:r w:rsidR="6E05B7CE">
        <w:rPr/>
        <w:t xml:space="preserve">to commit the murder. A charge of murder comes with a life sentence, where diminished responsibility </w:t>
      </w:r>
      <w:r w:rsidR="34C6351B">
        <w:rPr/>
        <w:t xml:space="preserve">is proven, the charge will be lessened to one of voluntary manslaughter where the sentence becomes </w:t>
      </w:r>
      <w:r w:rsidR="77987CD7">
        <w:rPr/>
        <w:t>discretionary</w:t>
      </w:r>
      <w:r w:rsidR="34C6351B">
        <w:rPr/>
        <w:t xml:space="preserve"> </w:t>
      </w:r>
      <w:r w:rsidR="26C838BE">
        <w:rPr/>
        <w:t>and sentences such as hospital order can be put into force.</w:t>
      </w:r>
      <w:r w:rsidR="3E58FA24">
        <w:rPr/>
        <w:t xml:space="preserve"> </w:t>
      </w:r>
    </w:p>
    <w:p w:rsidR="3E58FA24" w:rsidP="0698E152" w:rsidRDefault="3E58FA24" w14:paraId="4D56BABF" w14:textId="0A52FB59">
      <w:pPr>
        <w:pStyle w:val="Normal"/>
        <w:jc w:val="left"/>
      </w:pPr>
      <w:r w:rsidR="3E58FA24">
        <w:rPr/>
        <w:t xml:space="preserve">The concept of diminished responsibility was developed in Scottish law in the middle of the nineteenth century. It was not </w:t>
      </w:r>
      <w:r w:rsidR="0946D9FC">
        <w:rPr/>
        <w:t xml:space="preserve">accepted in England and Wales until </w:t>
      </w:r>
      <w:bookmarkStart w:name="_Int_yQKn0DxI" w:id="835117964"/>
      <w:r w:rsidR="0946D9FC">
        <w:rPr/>
        <w:t>nearly a</w:t>
      </w:r>
      <w:bookmarkEnd w:id="835117964"/>
      <w:r w:rsidR="0946D9FC">
        <w:rPr/>
        <w:t xml:space="preserve"> century later.</w:t>
      </w:r>
      <w:r w:rsidR="54BC34B6">
        <w:rPr/>
        <w:t xml:space="preserve"> This was </w:t>
      </w:r>
      <w:r w:rsidR="54BC34B6">
        <w:rPr/>
        <w:t>in accordance with</w:t>
      </w:r>
      <w:r w:rsidR="54BC34B6">
        <w:rPr/>
        <w:t xml:space="preserve"> Section 2 of the Homicide Act </w:t>
      </w:r>
      <w:r w:rsidR="4057A1F5">
        <w:rPr/>
        <w:t xml:space="preserve">1957, more recently refined by section 52 of the Coroners and Justice Act 2009. </w:t>
      </w:r>
    </w:p>
    <w:p w:rsidR="4057A1F5" w:rsidP="0698E152" w:rsidRDefault="4057A1F5" w14:paraId="359BDAED" w14:textId="2DFC1710">
      <w:pPr>
        <w:pStyle w:val="Normal"/>
        <w:jc w:val="left"/>
      </w:pPr>
      <w:r w:rsidR="4057A1F5">
        <w:rPr/>
        <w:t xml:space="preserve">Section 52 of the Coroners and Justice Act 2009 came into force following recommendations by the Law </w:t>
      </w:r>
      <w:r w:rsidR="5205FF19">
        <w:rPr/>
        <w:t>Commission. The Law Commission outlined in their 2006 rep</w:t>
      </w:r>
      <w:r w:rsidR="315871B2">
        <w:rPr/>
        <w:t xml:space="preserve">ort, a need for Section 2 of the Homicide Act 1957 to be updated. </w:t>
      </w:r>
      <w:r w:rsidR="22D6FC89">
        <w:rPr/>
        <w:t xml:space="preserve">Some recommendations from the </w:t>
      </w:r>
      <w:r w:rsidR="257EF90C">
        <w:rPr/>
        <w:t xml:space="preserve">2006 report were implemented into Section 52 of the </w:t>
      </w:r>
      <w:r w:rsidR="01283B3C">
        <w:rPr/>
        <w:t>coroners and Justice Act 2009, this was the reformulation of the wording of Section 2</w:t>
      </w:r>
      <w:r w:rsidR="6D47DA9C">
        <w:rPr/>
        <w:t xml:space="preserve"> of the Homicide Act 1957 (Kennefick, 2011).</w:t>
      </w:r>
      <w:r w:rsidR="3134DC48">
        <w:rPr/>
        <w:t xml:space="preserve"> </w:t>
      </w:r>
    </w:p>
    <w:p w:rsidR="0698E152" w:rsidP="0698E152" w:rsidRDefault="0698E152" w14:paraId="3611CD27" w14:textId="55B206C6">
      <w:pPr>
        <w:pStyle w:val="Normal"/>
        <w:jc w:val="left"/>
      </w:pPr>
    </w:p>
    <w:p w:rsidR="0698E152" w:rsidP="0698E152" w:rsidRDefault="0698E152" w14:paraId="2A0E842D" w14:textId="33F2BD34">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134DC48" w:rsidP="0698E152" w:rsidRDefault="3134DC48" w14:paraId="54B02589" w14:textId="25080465">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Whilst diminished responsibility is now governed by an updated act, the requirements of diminished responsibility and the way the acts work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remains</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same, however the Coroners and Justice Act 2009 has differing terminology enabling the act to be clearer in a court of law.</w:t>
      </w:r>
    </w:p>
    <w:p w:rsidR="3134DC48" w:rsidP="0698E152" w:rsidRDefault="3134DC48" w14:paraId="5C145DE6" w14:textId="50C3B78D">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Both acts have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several</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requirements needed to successfully utilise the defence of diminished responsibility. The first is to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whether the act of murder was caused by an abnormality of mental functioning (Coroners and Justice Act 2009). The Homicide Act 1957 outlined that it needed to be proved that the defendants’ actions were caused by an abnormality of the mind. It was decided following the Law Commissions report 2006 that ‘abnormality of mental functioning’ was more up to date terminology and a preferred use of terminology by medical professionals. Whilst this section of the acts has not changed in terms of its use or meaning, the terminology became more respectful and up to date aligning with both medical and defendants themselves. The case of R v Byrne 1960 has become a reference case within diminished responsibility cases in both England in Wales, this when assessing the elements of abnormality of mental functioning within the causation section of section 52 of the Coroners and Justice Act 2009; diminished responsibility.</w:t>
      </w:r>
    </w:p>
    <w:p w:rsidR="3134DC48" w:rsidP="0698E152" w:rsidRDefault="3134DC48" w14:paraId="149CAE98" w14:textId="6E65C14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term abnormality of mind was broad enough to encompass all mental processes, including the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capacity</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use willpower to restrain one's actions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accordance with</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sound judgement. Yet, in this case abnormality of mind was seen to be referring to a mental state that is so dissimilar from that of regular people that a sane person would consider it</w:t>
      </w:r>
    </w:p>
    <w:p w:rsidR="3134DC48" w:rsidP="0698E152" w:rsidRDefault="3134DC48" w14:paraId="7474C8C3" w14:textId="6E8994E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abnormal. As a result, the defence was able to have the murder verdict reduced to manslaughter.</w:t>
      </w:r>
    </w:p>
    <w:p w:rsidR="3134DC48" w:rsidP="0698E152" w:rsidRDefault="3134DC48" w14:paraId="1AC26C0A" w14:textId="48B5FFA3">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second requirement needing to be proved is the recognition of any medical conditions present at the time of the murder committed. This must coincide with the requirement that there was an abnormality of mental functioning. The condition must be recognised by qualified medical professionals. This was a requirement made by both acts however it was the Coroners and Justice Act 2009 that made it clearer that the abnormality of the mind can be caused by both a psychological condition and physical condition that can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mind. Conditions such as dementia, autism, paranoia and so forth would be classified as psychological conditions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whereas</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epilepsy is a physical condition that can distort the mind (Baird, Kennett and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Scheir</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2020;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Sundakov</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-Krumins, Lubbe and Wand, 2022; Saleh, Reuber and Beyenburg 2019). The defendant must be able to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evidence of these conditions, the burden of proof is on the defendant to prove this.</w:t>
      </w:r>
    </w:p>
    <w:p w:rsidR="3134DC48" w:rsidP="0698E152" w:rsidRDefault="3134DC48" w14:paraId="4FD746E3" w14:textId="1390106A">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third requirement to prove is that that the condition brought forward </w:t>
      </w:r>
      <w:r w:rsidRPr="0698E152" w:rsidR="6390C6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must</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a substantial impact.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Substantial</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an unclear word that had left judges to have to give directions to the jury on its meaning. This wording is still used in the reformed act, being the Coroners and Justice Act 2009. In R v Lloyd 1967, it was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meaning of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substantial</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had to be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determined</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independently by the jury. The instruction given in this case was to consider that substantial impact was more than trivial but not a total lack of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capacity</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still left unclear grounds. In the case of R v Golds 2016, the supreme court supported the approach of the Coroners and Justice Act 2009 to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diminished responsibility and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a ‘common sense’ approach should be used by the jury (R v Golds (Appellant), [2016]). The judge does not need to tell the jury what substantial means,</w:t>
      </w:r>
      <w:r w:rsidRPr="0698E152" w:rsidR="6D238B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w:t>
      </w:r>
      <w:r w:rsidRPr="0698E152" w:rsidR="28FDAE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does not</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to be a total impairment, conscious thoughts can still be had, although, this cannot be a minimal impairment.</w:t>
      </w:r>
      <w:r w:rsidRPr="0698E152" w:rsidR="738A22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698E152" w:rsidP="0698E152" w:rsidRDefault="0698E152" w14:paraId="025B6939" w14:textId="5205D00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698E152" w:rsidP="0698E152" w:rsidRDefault="0698E152" w14:paraId="6CC097C8" w14:textId="5A8162B6">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134DC48" w:rsidP="0698E152" w:rsidRDefault="3134DC48" w14:paraId="4F868003" w14:textId="0F5B0DFB">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0698E152" w:rsidR="7D0C90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last section</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diminished responsibility is to prove substantial impact has been achieved in at least one of the following three elements; to understand conduct, to form a rational judgement and or the ability to self-control. An example of the ability to understand conduct could be a soldier suffering with </w:t>
      </w:r>
      <w:r w:rsidRPr="0698E152" w:rsidR="400C84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post-traumatic</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stress disorder and suffering a flashback, leading them to believe they are fighting in the war. When referring to forming a rational judgment, as humans we naturally assess </w:t>
      </w:r>
      <w:r w:rsidRPr="0698E152" w:rsidR="63B0BA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our actions, our actions risks and consequences. Some with autism or depression may not have the continuous ability to do this. Finally, relating to self-control, some with certain conditions such as schizophrenia and psychosis may have the inability to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exhibit</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self-control (Mackay and Brookbanks, 2022). </w:t>
      </w:r>
      <w:r w:rsidRPr="0698E152" w:rsidR="764057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elements must however justify why the killing took place.</w:t>
      </w:r>
    </w:p>
    <w:p w:rsidR="3134DC48" w:rsidP="0698E152" w:rsidRDefault="3134DC48" w14:paraId="500B4086" w14:textId="26C5C322">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can be complications with this defence which consist of intoxication be it through the usages of drugs or alcohol. However, to simplify, conditions such as alcohol dependency syndrome can be used as a defence of diminished responsibility, due to the alcohol being unavoidable with the </w:t>
      </w:r>
      <w:r w:rsidRPr="0698E152" w:rsidR="298F22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defendant's</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condition. With cases involving those for example with dementia, diminished responsibility can only be used if it can be proved that the act of murder would have been committed due to the impairment of mental functioning, regardless of the intoxication (</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MacIntyre</w:t>
      </w:r>
      <w:r w:rsidRPr="0698E152" w:rsidR="3134DC4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et al., 2021).</w:t>
      </w:r>
    </w:p>
    <w:p w:rsidR="4949CFD0" w:rsidP="0698E152" w:rsidRDefault="4949CFD0" w14:paraId="395ACC5B" w14:textId="19089559">
      <w:pPr>
        <w:pStyle w:val="Normal"/>
        <w:jc w:val="left"/>
        <w:rPr>
          <w:rFonts w:ascii="Calibri" w:hAnsi="Calibri" w:eastAsia="Calibri" w:cs="Calibri" w:asciiTheme="minorAscii" w:hAnsiTheme="minorAscii" w:eastAsiaTheme="minorAscii" w:cstheme="minorAscii"/>
          <w:noProof w:val="0"/>
          <w:sz w:val="22"/>
          <w:szCs w:val="22"/>
          <w:lang w:val="en-GB"/>
        </w:rPr>
      </w:pP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conclude, it is </w:t>
      </w: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apparent</w:t>
      </w: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within the reformed act, being section 52 of the Coroners and Justice Act 2009 has extraordinarily minor difference to section 2 of the Homicide Act 1957. The purpose, requirements and </w:t>
      </w: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determining</w:t>
      </w: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factors of diminished responsibility remain very much the same although the Coroners and Justice Act of 2009 has made some of the terminology clearer to those in a court of law. It is however arguable that there are still various terminologies that are not clear, and this became </w:t>
      </w: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apparent</w:t>
      </w:r>
      <w:r w:rsidRPr="0698E152" w:rsidR="4949CF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case of R v Golds 2016. Both acts have unclear terminology and whilst the Coroners and Justice Act 2009 is an improvement and has cleared up certain areas relating to diminished responsibility, there is still areas that could be seen to need developing. </w:t>
      </w:r>
    </w:p>
    <w:p w:rsidR="0698E152" w:rsidP="0698E152" w:rsidRDefault="0698E152" w14:paraId="26986087" w14:textId="44CD6147">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55692317" w14:textId="7F2EC316">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61A340B8" w14:textId="35EC05A1">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7E5D0C54" w14:textId="5F129E92">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0C90131D" w14:textId="24526FB4">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4BE2C577" w14:textId="4D0A23C4">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7ACF2F66" w14:textId="6915ECE9">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3B009CC6" w14:textId="228F004B">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56B1E181" w14:textId="168F4F32">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5101E8C8" w14:textId="0182EB5F">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6A9D789F" w14:textId="0943FEF3">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2791C92A" w14:textId="1CD6B5FE">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0B968E72" w14:textId="6F3AADE4">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496FF7A6" w14:textId="74034D43">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6619661A" w14:textId="1D2EDAE7">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46939A33" w:rsidP="0698E152" w:rsidRDefault="46939A33" w14:paraId="671728B3" w14:textId="5B91834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46939A3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 list</w:t>
      </w:r>
    </w:p>
    <w:p w:rsidR="6A90BD34" w:rsidP="0698E152" w:rsidRDefault="6A90BD34" w14:paraId="165AA437" w14:textId="746C1278">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Kennefick, L. (2011). Introducing a New Diminished Responsibility Defence for England and Wales. The Modern Law Review, [ONLINE] 74(5), pp.750-766. Doi: </w:t>
      </w:r>
      <w:hyperlink r:id="R0a9dd1bf71084a9c">
        <w:r w:rsidRPr="0698E152" w:rsidR="6A90BD3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https://doi.org/10.1111/j.1468-2230.2011.00869.x</w:t>
        </w:r>
      </w:hyperlink>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A90BD34" w:rsidP="0698E152" w:rsidRDefault="6A90BD34" w14:paraId="6AAC3B88" w14:textId="3B9855E5">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Levin, J. and Wiest, J.B. (2020). The allure of premeditated murder: why some people plan to kill. Lanham: Rowman &amp; Littlefield Publishers.</w:t>
      </w:r>
    </w:p>
    <w:p w:rsidR="6A90BD34" w:rsidP="0698E152" w:rsidRDefault="6A90BD34" w14:paraId="6C66B2D9" w14:textId="2FC40FD7">
      <w:pPr>
        <w:jc w:val="left"/>
        <w:rPr>
          <w:rFonts w:ascii="Calibri" w:hAnsi="Calibri" w:eastAsia="Calibri" w:cs="Calibri" w:asciiTheme="minorAscii" w:hAnsiTheme="minorAscii" w:eastAsiaTheme="minorAscii" w:cstheme="minorAscii"/>
          <w:b w:val="0"/>
          <w:bCs w:val="0"/>
          <w:i w:val="0"/>
          <w:iCs w:val="0"/>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MacIntyre</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M.R., Darby, W.C., Sones, A.C., Li, J., Leong, G.B. and Weinstock, R. (2021). Voluntary intoxication, homicide, and </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mens</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98E152" w:rsidR="2935A2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rea:</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Past, present, and future. Behavioural Sciences &amp; the Law. </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940e961ed74a43f6">
        <w:r w:rsidRPr="0698E152" w:rsidR="6A90BD3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https://doi.org/10.1002/bsl.2514</w:t>
        </w:r>
      </w:hyperlink>
    </w:p>
    <w:p w:rsidR="6A90BD34" w:rsidP="0698E152" w:rsidRDefault="6A90BD34" w14:paraId="76EA4EF9" w14:textId="16A88B78">
      <w:p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Mackay, R. and Brookbanks, W. (2022). The Insanity Defence. Oxford University Press.</w:t>
      </w:r>
    </w:p>
    <w:p w:rsidR="6A90BD34" w:rsidP="0698E152" w:rsidRDefault="6A90BD34" w14:paraId="157B7932" w14:textId="5AA3F76A">
      <w:pPr>
        <w:jc w:val="left"/>
        <w:rPr>
          <w:rFonts w:ascii="Calibri" w:hAnsi="Calibri" w:eastAsia="Calibri" w:cs="Calibri" w:asciiTheme="minorAscii" w:hAnsiTheme="minorAscii" w:eastAsiaTheme="minorAscii" w:cstheme="minorAscii"/>
          <w:b w:val="0"/>
          <w:bCs w:val="0"/>
          <w:i w:val="0"/>
          <w:iCs w:val="0"/>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 v Golds (Appellant) [2016] (The Supreme Court) Available at: </w:t>
      </w:r>
      <w:hyperlink r:id="R97685eb7986b454f">
        <w:r w:rsidRPr="0698E152" w:rsidR="6A90BD3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https://www.supremecourt.uk/cases/docs/uksc-2015-0053-judgment.pdf</w:t>
        </w:r>
      </w:hyperlink>
    </w:p>
    <w:p w:rsidR="6A90BD34" w:rsidP="0698E152" w:rsidRDefault="6A90BD34" w14:paraId="508421DD" w14:textId="3A534C4B">
      <w:pPr>
        <w:jc w:val="left"/>
        <w:rPr>
          <w:rFonts w:ascii="Calibri" w:hAnsi="Calibri" w:eastAsia="Calibri" w:cs="Calibri" w:asciiTheme="minorAscii" w:hAnsiTheme="minorAscii" w:eastAsiaTheme="minorAscii" w:cstheme="minorAscii"/>
          <w:b w:val="0"/>
          <w:bCs w:val="0"/>
          <w:i w:val="0"/>
          <w:iCs w:val="0"/>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Saleh, C., Reuber, M. and Beyenburg, S. (2019). Epileptic seizures and criminal acts: </w:t>
      </w:r>
      <w:bookmarkStart w:name="_Int_f7EmRTyg" w:id="1615896982"/>
      <w:r w:rsidRPr="0698E152" w:rsidR="56B05C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bookmarkEnd w:id="1615896982"/>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there a relationship? Epilepsy &amp; Behaviour, [online] 97, pp. 15-21. </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d39d79c40dc749e6">
        <w:r w:rsidRPr="0698E152" w:rsidR="6A90BD3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https://doi.org/10.1016/j.yebeh.2019.05.015</w:t>
        </w:r>
      </w:hyperlink>
    </w:p>
    <w:p w:rsidR="6A90BD34" w:rsidP="0698E152" w:rsidRDefault="6A90BD34" w14:paraId="068598F6" w14:textId="35B6722C">
      <w:pPr>
        <w:jc w:val="left"/>
        <w:rPr>
          <w:rFonts w:ascii="Calibri" w:hAnsi="Calibri" w:eastAsia="Calibri" w:cs="Calibri" w:asciiTheme="minorAscii" w:hAnsiTheme="minorAscii" w:eastAsiaTheme="minorAscii" w:cstheme="minorAscii"/>
          <w:b w:val="0"/>
          <w:bCs w:val="0"/>
          <w:i w:val="0"/>
          <w:iCs w:val="0"/>
        </w:rPr>
      </w:pP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Sundakov</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-Krumins, T.E., Lubbe, S. and Wand, A.P.F. (2022). Homicide and Dementia: A Systematic Review. Dementia and Geriatric Cognitive Disorders, 51(1</w:t>
      </w:r>
      <w:r w:rsidRPr="0698E152" w:rsidR="2EA82D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pp.</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1-17. </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doi</w:t>
      </w:r>
      <w:r w:rsidRPr="0698E152" w:rsidR="6A90BD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48270ae917be4d73">
        <w:r w:rsidRPr="0698E152" w:rsidR="6A90BD34">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https://doi.org/10.1159/000521878</w:t>
        </w:r>
      </w:hyperlink>
    </w:p>
    <w:p w:rsidR="0698E152" w:rsidP="0698E152" w:rsidRDefault="0698E152" w14:paraId="4414232E" w14:textId="64C55ED4">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698E152" w:rsidP="0698E152" w:rsidRDefault="0698E152" w14:paraId="46B0D8E7" w14:textId="1B1EF5C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698E152" w:rsidP="0698E152" w:rsidRDefault="0698E152" w14:paraId="15CA6026" w14:textId="1F862A6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OVj8UjcBNizHJ" int2:id="KYXtdNSN">
      <int2:state int2:type="AugLoop_Text_Critique" int2:value="Rejected"/>
    </int2:textHash>
    <int2:textHash int2:hashCode="9WkkQsI3iQw8/4" int2:id="aXnCg7Dq">
      <int2:state int2:type="AugLoop_Text_Critique" int2:value="Rejected"/>
    </int2:textHash>
    <int2:textHash int2:hashCode="oTs4PE8VXvPb3m" int2:id="1TSbzb3m">
      <int2:state int2:type="AugLoop_Text_Critique" int2:value="Rejected"/>
    </int2:textHash>
    <int2:textHash int2:hashCode="5FR+vLd/+ZiYBF" int2:id="yk8YWM7f">
      <int2:state int2:type="AugLoop_Text_Critique" int2:value="Rejected"/>
    </int2:textHash>
    <int2:textHash int2:hashCode="3UA3cDImIAfS5I" int2:id="CQiPL6uZ">
      <int2:state int2:type="AugLoop_Text_Critique" int2:value="Rejected"/>
    </int2:textHash>
    <int2:textHash int2:hashCode="ypnpCXlvsG9C54" int2:id="GhgnXQQ0">
      <int2:state int2:type="AugLoop_Text_Critique" int2:value="Rejected"/>
    </int2:textHash>
    <int2:bookmark int2:bookmarkName="_Int_f7EmRTyg" int2:invalidationBookmarkName="" int2:hashCode="tH82PitDDAZH8U" int2:id="8exyycu5">
      <int2:state int2:type="AugLoop_Text_Critique" int2:value="Rejected"/>
    </int2:bookmark>
    <int2:bookmark int2:bookmarkName="_Int_yQKn0DxI" int2:invalidationBookmarkName="" int2:hashCode="motZ+ArKsYcobg" int2:id="5YI7KoN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F32BFE"/>
    <w:rsid w:val="01012F1A"/>
    <w:rsid w:val="01283B3C"/>
    <w:rsid w:val="01584216"/>
    <w:rsid w:val="01A199BB"/>
    <w:rsid w:val="032441BF"/>
    <w:rsid w:val="042D5DBF"/>
    <w:rsid w:val="04C01220"/>
    <w:rsid w:val="04C7FFA6"/>
    <w:rsid w:val="05608D12"/>
    <w:rsid w:val="05B3D513"/>
    <w:rsid w:val="065BE281"/>
    <w:rsid w:val="066D1D58"/>
    <w:rsid w:val="0698E152"/>
    <w:rsid w:val="06FC5D73"/>
    <w:rsid w:val="084CAED2"/>
    <w:rsid w:val="0946D9FC"/>
    <w:rsid w:val="0992C03D"/>
    <w:rsid w:val="09ACABA0"/>
    <w:rsid w:val="0A760B5F"/>
    <w:rsid w:val="0B26FCDF"/>
    <w:rsid w:val="0BD2FCD2"/>
    <w:rsid w:val="0D3BF0A6"/>
    <w:rsid w:val="0EF32BFE"/>
    <w:rsid w:val="106F4FA9"/>
    <w:rsid w:val="10D49DF1"/>
    <w:rsid w:val="10E0D125"/>
    <w:rsid w:val="11B7BD85"/>
    <w:rsid w:val="16514B72"/>
    <w:rsid w:val="16BDBBD0"/>
    <w:rsid w:val="173B660A"/>
    <w:rsid w:val="1743DF75"/>
    <w:rsid w:val="1826FF09"/>
    <w:rsid w:val="1988EC34"/>
    <w:rsid w:val="1CC08CF6"/>
    <w:rsid w:val="1CE93555"/>
    <w:rsid w:val="1DFE5BBA"/>
    <w:rsid w:val="2297410E"/>
    <w:rsid w:val="22D6FC89"/>
    <w:rsid w:val="231EE0B3"/>
    <w:rsid w:val="24EC59B4"/>
    <w:rsid w:val="257EF90C"/>
    <w:rsid w:val="2612A9CF"/>
    <w:rsid w:val="2690179B"/>
    <w:rsid w:val="26B1F5D1"/>
    <w:rsid w:val="26C838BE"/>
    <w:rsid w:val="28FDAE49"/>
    <w:rsid w:val="2935A266"/>
    <w:rsid w:val="298F22FC"/>
    <w:rsid w:val="29A6FD84"/>
    <w:rsid w:val="29CA549C"/>
    <w:rsid w:val="2ADD5986"/>
    <w:rsid w:val="2BB071D6"/>
    <w:rsid w:val="2C3E2354"/>
    <w:rsid w:val="2DD9F3B5"/>
    <w:rsid w:val="2EA82DDE"/>
    <w:rsid w:val="2F64893F"/>
    <w:rsid w:val="3134DC48"/>
    <w:rsid w:val="315871B2"/>
    <w:rsid w:val="34C6351B"/>
    <w:rsid w:val="34CD3DD7"/>
    <w:rsid w:val="36A63B65"/>
    <w:rsid w:val="39F740F2"/>
    <w:rsid w:val="3C54471E"/>
    <w:rsid w:val="3D2EE1B4"/>
    <w:rsid w:val="3E35F019"/>
    <w:rsid w:val="3E58FA24"/>
    <w:rsid w:val="3F6B2D07"/>
    <w:rsid w:val="3F9F0B8F"/>
    <w:rsid w:val="400C84B9"/>
    <w:rsid w:val="4057A1F5"/>
    <w:rsid w:val="406E6FFC"/>
    <w:rsid w:val="4127B841"/>
    <w:rsid w:val="420A405D"/>
    <w:rsid w:val="431A6475"/>
    <w:rsid w:val="445F5903"/>
    <w:rsid w:val="46939A33"/>
    <w:rsid w:val="46C48923"/>
    <w:rsid w:val="4796F9C5"/>
    <w:rsid w:val="4871945B"/>
    <w:rsid w:val="487981E1"/>
    <w:rsid w:val="49120F4D"/>
    <w:rsid w:val="4931D098"/>
    <w:rsid w:val="4932CA26"/>
    <w:rsid w:val="4949CFD0"/>
    <w:rsid w:val="4ECF9B08"/>
    <w:rsid w:val="505A4645"/>
    <w:rsid w:val="5205FF19"/>
    <w:rsid w:val="53107BE2"/>
    <w:rsid w:val="540AA70C"/>
    <w:rsid w:val="54BC34B6"/>
    <w:rsid w:val="5504D236"/>
    <w:rsid w:val="5506BFBE"/>
    <w:rsid w:val="555804E9"/>
    <w:rsid w:val="559BA687"/>
    <w:rsid w:val="56114D2E"/>
    <w:rsid w:val="56A2901F"/>
    <w:rsid w:val="56B05C95"/>
    <w:rsid w:val="56EBE7C4"/>
    <w:rsid w:val="588FA5AB"/>
    <w:rsid w:val="5BD32888"/>
    <w:rsid w:val="5CD8F3BD"/>
    <w:rsid w:val="5D963BB7"/>
    <w:rsid w:val="5DA0159F"/>
    <w:rsid w:val="5E3DB164"/>
    <w:rsid w:val="5F3BE600"/>
    <w:rsid w:val="60D7B661"/>
    <w:rsid w:val="6293DE47"/>
    <w:rsid w:val="62F7FA2A"/>
    <w:rsid w:val="6390C6D3"/>
    <w:rsid w:val="63B0BAF2"/>
    <w:rsid w:val="6472F2C5"/>
    <w:rsid w:val="66C0A16F"/>
    <w:rsid w:val="67020B8E"/>
    <w:rsid w:val="67292862"/>
    <w:rsid w:val="6A90BD34"/>
    <w:rsid w:val="6AAF7662"/>
    <w:rsid w:val="6B1446E6"/>
    <w:rsid w:val="6B15A422"/>
    <w:rsid w:val="6C2C56C2"/>
    <w:rsid w:val="6CC93FA4"/>
    <w:rsid w:val="6D238BDC"/>
    <w:rsid w:val="6D2FE2F3"/>
    <w:rsid w:val="6D47DA9C"/>
    <w:rsid w:val="6D81F071"/>
    <w:rsid w:val="6E05B7CE"/>
    <w:rsid w:val="6E3AACD1"/>
    <w:rsid w:val="6E4B13C2"/>
    <w:rsid w:val="6ECBB354"/>
    <w:rsid w:val="6F4BC939"/>
    <w:rsid w:val="6FE6E423"/>
    <w:rsid w:val="706783B5"/>
    <w:rsid w:val="70A8EDD4"/>
    <w:rsid w:val="7182B484"/>
    <w:rsid w:val="7182C056"/>
    <w:rsid w:val="7244BE35"/>
    <w:rsid w:val="738A2240"/>
    <w:rsid w:val="74423B6B"/>
    <w:rsid w:val="764057DD"/>
    <w:rsid w:val="77987CD7"/>
    <w:rsid w:val="7A1DDA6A"/>
    <w:rsid w:val="7A57BDA0"/>
    <w:rsid w:val="7B13E6D7"/>
    <w:rsid w:val="7D0C90E9"/>
    <w:rsid w:val="7E69F8F8"/>
    <w:rsid w:val="7EF14B8D"/>
    <w:rsid w:val="7FF48E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32BFE"/>
  <w15:chartTrackingRefBased/>
  <w15:docId w15:val="{C29B0B07-9734-4145-B690-694BF7C46C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98E15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698E15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698E15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698E15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698E15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698E15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698E15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698E15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698E15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698E15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698E15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698E15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698E15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698E15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698E152"/>
    <w:pPr>
      <w:spacing/>
      <w:ind w:left="720"/>
      <w:contextualSpacing/>
    </w:pPr>
  </w:style>
  <w:style w:type="character" w:styleId="Heading1Char" w:customStyle="true">
    <w:uiPriority w:val="9"/>
    <w:name w:val="Heading 1 Char"/>
    <w:basedOn w:val="DefaultParagraphFont"/>
    <w:link w:val="Heading1"/>
    <w:rsid w:val="0698E15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698E15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698E15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698E15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698E15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698E15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698E15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698E15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698E15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698E15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698E15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698E15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698E152"/>
    <w:rPr>
      <w:i w:val="1"/>
      <w:iCs w:val="1"/>
      <w:noProof w:val="0"/>
      <w:color w:val="4472C4" w:themeColor="accent1" w:themeTint="FF" w:themeShade="FF"/>
      <w:lang w:val="en-GB"/>
    </w:rPr>
  </w:style>
  <w:style w:type="paragraph" w:styleId="TOC1">
    <w:uiPriority w:val="39"/>
    <w:name w:val="toc 1"/>
    <w:basedOn w:val="Normal"/>
    <w:next w:val="Normal"/>
    <w:unhideWhenUsed/>
    <w:rsid w:val="0698E152"/>
    <w:pPr>
      <w:spacing w:after="100"/>
    </w:pPr>
  </w:style>
  <w:style w:type="paragraph" w:styleId="TOC2">
    <w:uiPriority w:val="39"/>
    <w:name w:val="toc 2"/>
    <w:basedOn w:val="Normal"/>
    <w:next w:val="Normal"/>
    <w:unhideWhenUsed/>
    <w:rsid w:val="0698E152"/>
    <w:pPr>
      <w:spacing w:after="100"/>
      <w:ind w:left="220"/>
    </w:pPr>
  </w:style>
  <w:style w:type="paragraph" w:styleId="TOC3">
    <w:uiPriority w:val="39"/>
    <w:name w:val="toc 3"/>
    <w:basedOn w:val="Normal"/>
    <w:next w:val="Normal"/>
    <w:unhideWhenUsed/>
    <w:rsid w:val="0698E152"/>
    <w:pPr>
      <w:spacing w:after="100"/>
      <w:ind w:left="440"/>
    </w:pPr>
  </w:style>
  <w:style w:type="paragraph" w:styleId="TOC4">
    <w:uiPriority w:val="39"/>
    <w:name w:val="toc 4"/>
    <w:basedOn w:val="Normal"/>
    <w:next w:val="Normal"/>
    <w:unhideWhenUsed/>
    <w:rsid w:val="0698E152"/>
    <w:pPr>
      <w:spacing w:after="100"/>
      <w:ind w:left="660"/>
    </w:pPr>
  </w:style>
  <w:style w:type="paragraph" w:styleId="TOC5">
    <w:uiPriority w:val="39"/>
    <w:name w:val="toc 5"/>
    <w:basedOn w:val="Normal"/>
    <w:next w:val="Normal"/>
    <w:unhideWhenUsed/>
    <w:rsid w:val="0698E152"/>
    <w:pPr>
      <w:spacing w:after="100"/>
      <w:ind w:left="880"/>
    </w:pPr>
  </w:style>
  <w:style w:type="paragraph" w:styleId="TOC6">
    <w:uiPriority w:val="39"/>
    <w:name w:val="toc 6"/>
    <w:basedOn w:val="Normal"/>
    <w:next w:val="Normal"/>
    <w:unhideWhenUsed/>
    <w:rsid w:val="0698E152"/>
    <w:pPr>
      <w:spacing w:after="100"/>
      <w:ind w:left="1100"/>
    </w:pPr>
  </w:style>
  <w:style w:type="paragraph" w:styleId="TOC7">
    <w:uiPriority w:val="39"/>
    <w:name w:val="toc 7"/>
    <w:basedOn w:val="Normal"/>
    <w:next w:val="Normal"/>
    <w:unhideWhenUsed/>
    <w:rsid w:val="0698E152"/>
    <w:pPr>
      <w:spacing w:after="100"/>
      <w:ind w:left="1320"/>
    </w:pPr>
  </w:style>
  <w:style w:type="paragraph" w:styleId="TOC8">
    <w:uiPriority w:val="39"/>
    <w:name w:val="toc 8"/>
    <w:basedOn w:val="Normal"/>
    <w:next w:val="Normal"/>
    <w:unhideWhenUsed/>
    <w:rsid w:val="0698E152"/>
    <w:pPr>
      <w:spacing w:after="100"/>
      <w:ind w:left="1540"/>
    </w:pPr>
  </w:style>
  <w:style w:type="paragraph" w:styleId="TOC9">
    <w:uiPriority w:val="39"/>
    <w:name w:val="toc 9"/>
    <w:basedOn w:val="Normal"/>
    <w:next w:val="Normal"/>
    <w:unhideWhenUsed/>
    <w:rsid w:val="0698E152"/>
    <w:pPr>
      <w:spacing w:after="100"/>
      <w:ind w:left="1760"/>
    </w:pPr>
  </w:style>
  <w:style w:type="paragraph" w:styleId="EndnoteText">
    <w:uiPriority w:val="99"/>
    <w:name w:val="endnote text"/>
    <w:basedOn w:val="Normal"/>
    <w:semiHidden/>
    <w:unhideWhenUsed/>
    <w:link w:val="EndnoteTextChar"/>
    <w:rsid w:val="0698E152"/>
    <w:rPr>
      <w:sz w:val="20"/>
      <w:szCs w:val="20"/>
    </w:rPr>
    <w:pPr>
      <w:spacing w:after="0"/>
    </w:pPr>
  </w:style>
  <w:style w:type="character" w:styleId="EndnoteTextChar" w:customStyle="true">
    <w:uiPriority w:val="99"/>
    <w:name w:val="Endnote Text Char"/>
    <w:basedOn w:val="DefaultParagraphFont"/>
    <w:semiHidden/>
    <w:link w:val="EndnoteText"/>
    <w:rsid w:val="0698E152"/>
    <w:rPr>
      <w:noProof w:val="0"/>
      <w:sz w:val="20"/>
      <w:szCs w:val="20"/>
      <w:lang w:val="en-GB"/>
    </w:rPr>
  </w:style>
  <w:style w:type="paragraph" w:styleId="Footer">
    <w:uiPriority w:val="99"/>
    <w:name w:val="footer"/>
    <w:basedOn w:val="Normal"/>
    <w:unhideWhenUsed/>
    <w:link w:val="FooterChar"/>
    <w:rsid w:val="0698E15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698E152"/>
    <w:rPr>
      <w:noProof w:val="0"/>
      <w:lang w:val="en-GB"/>
    </w:rPr>
  </w:style>
  <w:style w:type="paragraph" w:styleId="FootnoteText">
    <w:uiPriority w:val="99"/>
    <w:name w:val="footnote text"/>
    <w:basedOn w:val="Normal"/>
    <w:semiHidden/>
    <w:unhideWhenUsed/>
    <w:link w:val="FootnoteTextChar"/>
    <w:rsid w:val="0698E152"/>
    <w:rPr>
      <w:sz w:val="20"/>
      <w:szCs w:val="20"/>
    </w:rPr>
    <w:pPr>
      <w:spacing w:after="0"/>
    </w:pPr>
  </w:style>
  <w:style w:type="character" w:styleId="FootnoteTextChar" w:customStyle="true">
    <w:uiPriority w:val="99"/>
    <w:name w:val="Footnote Text Char"/>
    <w:basedOn w:val="DefaultParagraphFont"/>
    <w:semiHidden/>
    <w:link w:val="FootnoteText"/>
    <w:rsid w:val="0698E152"/>
    <w:rPr>
      <w:noProof w:val="0"/>
      <w:sz w:val="20"/>
      <w:szCs w:val="20"/>
      <w:lang w:val="en-GB"/>
    </w:rPr>
  </w:style>
  <w:style w:type="paragraph" w:styleId="Header">
    <w:uiPriority w:val="99"/>
    <w:name w:val="header"/>
    <w:basedOn w:val="Normal"/>
    <w:unhideWhenUsed/>
    <w:link w:val="HeaderChar"/>
    <w:rsid w:val="0698E15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698E15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111/j.1468-2230.2011.00869.x" TargetMode="External" Id="R0a9dd1bf71084a9c" /><Relationship Type="http://schemas.openxmlformats.org/officeDocument/2006/relationships/hyperlink" Target="https://doi.org/10.1002/bsl.2514" TargetMode="External" Id="R940e961ed74a43f6" /><Relationship Type="http://schemas.openxmlformats.org/officeDocument/2006/relationships/hyperlink" Target="https://www.supremecourt.uk/cases/docs/uksc-2015-0053-judgment.pdf" TargetMode="External" Id="R97685eb7986b454f" /><Relationship Type="http://schemas.openxmlformats.org/officeDocument/2006/relationships/hyperlink" Target="https://doi.org/10.1016/j.yebeh.2019.05.015" TargetMode="External" Id="Rd39d79c40dc749e6" /><Relationship Type="http://schemas.openxmlformats.org/officeDocument/2006/relationships/hyperlink" Target="https://doi.org/10.1159/000521878" TargetMode="External" Id="R48270ae917be4d73" /><Relationship Type="http://schemas.microsoft.com/office/2020/10/relationships/intelligence" Target="intelligence2.xml" Id="R8ac92f6955e944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2023-03-09T15:17:34.8910444Z</dcterms:created>
  <dcterms:modified xsi:type="dcterms:W3CDTF">2023-03-09T16:21:02.5640165Z</dcterms:modified>
  <dc:creator>Angharad Abbott (2219680)</dc:creator>
  <lastModifiedBy>Angharad Abbott (2219680)</lastModifiedBy>
</coreProperties>
</file>