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F8E3F" w14:textId="70BE0E52" w:rsidR="00F63549" w:rsidRDefault="00D82502" w:rsidP="001B28B3">
      <w:pPr>
        <w:pStyle w:val="Default"/>
        <w:spacing w:line="360" w:lineRule="auto"/>
      </w:pPr>
      <w:r>
        <w:t xml:space="preserve">Student number: 2124738 </w:t>
      </w:r>
    </w:p>
    <w:p w14:paraId="7C851C7B" w14:textId="37CDA49E" w:rsidR="00D82502" w:rsidRDefault="00D82502" w:rsidP="001B28B3">
      <w:pPr>
        <w:pStyle w:val="Default"/>
        <w:spacing w:line="360" w:lineRule="auto"/>
      </w:pPr>
      <w:r>
        <w:t>Student name: Kieran Rees</w:t>
      </w:r>
    </w:p>
    <w:p w14:paraId="5040CEBC" w14:textId="79E07EF4" w:rsidR="00D82502" w:rsidRPr="001B28B3" w:rsidRDefault="00D82502" w:rsidP="001B28B3">
      <w:pPr>
        <w:pStyle w:val="Default"/>
        <w:spacing w:line="360" w:lineRule="auto"/>
      </w:pPr>
      <w:r>
        <w:t xml:space="preserve">Work title: Year 2, Assignment </w:t>
      </w:r>
    </w:p>
    <w:p w14:paraId="55B80A1C" w14:textId="77777777" w:rsidR="00D82502" w:rsidRDefault="00D82502" w:rsidP="001B28B3">
      <w:pPr>
        <w:pStyle w:val="Default"/>
        <w:spacing w:line="360" w:lineRule="auto"/>
        <w:rPr>
          <w:u w:val="single"/>
        </w:rPr>
      </w:pPr>
    </w:p>
    <w:p w14:paraId="19D49E2F" w14:textId="77777777" w:rsidR="00D82502" w:rsidRDefault="00D82502" w:rsidP="001B28B3">
      <w:pPr>
        <w:pStyle w:val="Default"/>
        <w:spacing w:line="360" w:lineRule="auto"/>
        <w:rPr>
          <w:u w:val="single"/>
        </w:rPr>
      </w:pPr>
    </w:p>
    <w:p w14:paraId="6EF0D0D7" w14:textId="1068A6D3" w:rsidR="00F63549" w:rsidRPr="00B716EB" w:rsidRDefault="00F63549" w:rsidP="001B28B3">
      <w:pPr>
        <w:pStyle w:val="Default"/>
        <w:spacing w:line="360" w:lineRule="auto"/>
        <w:rPr>
          <w:u w:val="single"/>
        </w:rPr>
      </w:pPr>
      <w:r w:rsidRPr="00B716EB">
        <w:rPr>
          <w:u w:val="single"/>
        </w:rPr>
        <w:t xml:space="preserve">The College of Policing (2021) defines a critical incident as “any incident where the effectiveness of the police response is likely to have a significant impact on the confidence of the victim, their family and/or the community”. Why is it so important that the police maintain the confidence of local communities? </w:t>
      </w:r>
    </w:p>
    <w:p w14:paraId="572C8FCB"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Critical incidents are turning points in the field of policing that have the power to alter the bonds between the police and the communities they serve. The crucial significance that such incidents have in forming public opinion is underlined by the College of Policing's definition of a critical incident as one that substantially affects the confidence of victims, their families, and the larger society (College of Policing, 2013). In this setting, upholding community confidence becomes essential to efficient policing. This essay delves into the importance of sustaining the confidence of local communities in the context of critical incidents. This investigation draws on academic data to highlight the importance of developing excellent police-community ties by looking at the relationship between community confidence and policing effectiveness.</w:t>
      </w:r>
    </w:p>
    <w:p w14:paraId="639552F5"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The subsequent components of this essay will go into more detail about how community confidence supports cooperation, which is essential for efficient policing, as well as the more general goals of fostering positive community-police interactions, reducing social tensions, and addressing bias. This essay tries to emphasise the crucial role of community confidence in determining not only the reaction to major situations but also the entire framework of police in the United Kingdom via a thorough examination.</w:t>
      </w:r>
    </w:p>
    <w:p w14:paraId="034E2F86" w14:textId="7A6F9756" w:rsidR="001B28B3" w:rsidRDefault="00F63549" w:rsidP="001B28B3">
      <w:pPr>
        <w:pStyle w:val="NormalWeb"/>
        <w:spacing w:line="360" w:lineRule="auto"/>
        <w:rPr>
          <w:rFonts w:ascii="Arial" w:hAnsi="Arial" w:cs="Arial"/>
          <w:color w:val="252525"/>
        </w:rPr>
      </w:pPr>
      <w:r w:rsidRPr="001B28B3">
        <w:rPr>
          <w:rFonts w:ascii="Arial" w:hAnsi="Arial" w:cs="Arial"/>
          <w:color w:val="252525"/>
        </w:rPr>
        <w:t>The British approach to policing is based on the principle of "policing by consent"</w:t>
      </w:r>
      <w:r w:rsidR="00FA1453">
        <w:rPr>
          <w:rFonts w:ascii="Arial" w:hAnsi="Arial" w:cs="Arial"/>
          <w:color w:val="252525"/>
        </w:rPr>
        <w:t>,</w:t>
      </w:r>
      <w:r w:rsidRPr="001B28B3">
        <w:rPr>
          <w:rFonts w:ascii="Arial" w:hAnsi="Arial" w:cs="Arial"/>
          <w:color w:val="252525"/>
        </w:rPr>
        <w:t xml:space="preserve"> which holds that the public's approval is necessary for police to be able to carry out their duties. The public's trust and confidence are necessary for the police to implement policing by consent effectively. It has been demonstrated that high levels of trust and confidence in the police promote compliance and police collaboration. </w:t>
      </w:r>
      <w:r w:rsidRPr="001B28B3">
        <w:rPr>
          <w:rFonts w:ascii="Arial" w:hAnsi="Arial" w:cs="Arial"/>
          <w:color w:val="252525"/>
        </w:rPr>
        <w:lastRenderedPageBreak/>
        <w:t>The Home Secretary notes that "improving trust and confidence in policing" is a major goal for police as part of their approach to combating violence against women and girls in the Strategic Policing Requirement 2023 (Brown and Hobbs, 2023).</w:t>
      </w:r>
    </w:p>
    <w:p w14:paraId="77805228" w14:textId="6DBCE94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Trust in procedural fairness was shown to be a significant predictor of moral agreement with the police and a moderate predictor of obedience to the police, according to a nationally representative survey of more than 7,000 respondents in England and Wales who were 16 years of age and older. A 2015 systematic analysis of 28 studies from various nations, including one from the UK, indicated that the degree of trust and confidence that the public has in the police is favourably impacted by their views of procedural fairness during contacts with the police. Different demographic categories, such as those based on age, gender, and ethnicity, all agree on this conclusion (Brown and Hobbs, 2023).</w:t>
      </w:r>
    </w:p>
    <w:p w14:paraId="10DCCDFB"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The process-based model of policing, which is generally referred to as the theory of procedural justice, proposes that by exerting authority in a procedurally fair manner, the police may increase their perceived legitimacy and trustworthiness in the eyes of the public. A preferable alternative to utilising coercive force to compel individuals to comply is to establish legitimacy or trust. In addition, people are more inclined to assist the police by reporting crimes and covertly upholding social standards when they have faith in them. The process-based model is supported by empirical research: people are more inclined to see the police as a credible and reliable entity if they consider that police activities are procedurally fair (Nix et al., 2014).</w:t>
      </w:r>
    </w:p>
    <w:p w14:paraId="01D6DCFF"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Policing success is dependent on connecting and communicating effectively with the communities that each force serves. This method of policing is known as community or neighbourhood policing. Developing and keeping strong relationships is a critical component of this, and it should be included in daily policing. It is not a passive procedure but rather a collaborative effort by all parties involved (College of Policing, 2022).</w:t>
      </w:r>
    </w:p>
    <w:p w14:paraId="3AD4DC89" w14:textId="3AF7B869" w:rsidR="001B28B3" w:rsidRDefault="00F63549" w:rsidP="001B28B3">
      <w:pPr>
        <w:pStyle w:val="NormalWeb"/>
        <w:spacing w:line="360" w:lineRule="auto"/>
        <w:rPr>
          <w:rFonts w:ascii="Arial" w:hAnsi="Arial" w:cs="Arial"/>
          <w:color w:val="252525"/>
        </w:rPr>
      </w:pPr>
      <w:r w:rsidRPr="001B28B3">
        <w:rPr>
          <w:rFonts w:ascii="Arial" w:hAnsi="Arial" w:cs="Arial"/>
          <w:color w:val="252525"/>
        </w:rPr>
        <w:t xml:space="preserve">According to a 2009 study conducted by Bradford, Jackson, and Stanko, during critical incidents, police officers who effectively controlled the situation while displaying empathy, professionalism, and respect for community members greatly contributed to the creation of trust. This trust, which was built during critical incidents, </w:t>
      </w:r>
      <w:r w:rsidRPr="001B28B3">
        <w:rPr>
          <w:rFonts w:ascii="Arial" w:hAnsi="Arial" w:cs="Arial"/>
          <w:color w:val="252525"/>
        </w:rPr>
        <w:lastRenderedPageBreak/>
        <w:t xml:space="preserve">frequently led to improved </w:t>
      </w:r>
      <w:r w:rsidR="00FA1453" w:rsidRPr="001B28B3">
        <w:rPr>
          <w:rFonts w:ascii="Arial" w:hAnsi="Arial" w:cs="Arial"/>
          <w:color w:val="252525"/>
        </w:rPr>
        <w:t>collaboration,</w:t>
      </w:r>
      <w:r w:rsidRPr="001B28B3">
        <w:rPr>
          <w:rFonts w:ascii="Arial" w:hAnsi="Arial" w:cs="Arial"/>
          <w:color w:val="252525"/>
        </w:rPr>
        <w:t xml:space="preserve"> and continued involvement between the police and the community (Bradford, Jackson, and Stanko, 2009).</w:t>
      </w:r>
    </w:p>
    <w:p w14:paraId="3F685F5C" w14:textId="35EF5D23"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A policing method used to bring communities together and have a sense of a shared purpose comes in the form of a neighbourhood watch. These can be facilitated by community members alone or with the help of local policing teams. There is evidence that Neighbourhood Watch, as commonly conceived and conducted, has a moderate overall reduction in crime. It appears to be more successful in the United States and Canada than in the United Kingdom (College of Policing, 2015).</w:t>
      </w:r>
    </w:p>
    <w:p w14:paraId="221F1F38" w14:textId="2B603ED5"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Eroded community confidence can have a detrimental impact on a force's reputation. This is exemplified by the riots that took place in May 2023 in Ely, South Wales. During this incident, a police vehicle was seen closely following two youths on an off-road electric bike shortly before they were killed when it crashed a short time later. Rioters were seen hurling pyrotechnics and other projectiles at police officers in footage live streamed on social media. On Twitter, John Urquhart, founder of the UK Harmony Party and a witness to the events, shared his thoughts. "Lack of trust in policing and the police's overemphasis on force has made this more intense than it needed to be," they tweeted, adding that they witnessed one officer "assaulting a teenager" by shoving them. Community tensions with police here are enormously complex, to put it mildly (Dazed, 2023).</w:t>
      </w:r>
    </w:p>
    <w:p w14:paraId="1EFD762C" w14:textId="26572CB9"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Strained community relations can exacerbate tensions during critical incidents. As put by crime commentator Danny Shaw, "In general, social media can be a real problem for policing because claims, whether true or false, can spread very quickly." And "this can inflame and exacerbate existing tensions, and police must deal with it especially if the claims involve police officers themselves" (BBC News, 2023)</w:t>
      </w:r>
      <w:r w:rsidR="00FA1453">
        <w:rPr>
          <w:rFonts w:ascii="Arial" w:hAnsi="Arial" w:cs="Arial"/>
          <w:color w:val="252525"/>
        </w:rPr>
        <w:t>.</w:t>
      </w:r>
    </w:p>
    <w:p w14:paraId="7CAB2CC1"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 xml:space="preserve">A critical incident, such as the deadly shootings carried out by Derrick Bird in Cumbria in June 2010, can have a tremendous influence on a community. Members of a community may suffer similar psychological and/or emotional distress as individuals who were directly harmed because of their proximity to an incident. Their perceptions of safety and vulnerability may both rise. One or more difficulties can weaken the quality of the police response to critical occurrences, which can be </w:t>
      </w:r>
      <w:r w:rsidRPr="001B28B3">
        <w:rPr>
          <w:rFonts w:ascii="Arial" w:hAnsi="Arial" w:cs="Arial"/>
          <w:color w:val="252525"/>
        </w:rPr>
        <w:lastRenderedPageBreak/>
        <w:t>exacerbated by inadequate quality assurance, poor victim care, or bad community participation. (College of Policing, 2021).</w:t>
      </w:r>
    </w:p>
    <w:p w14:paraId="4DE0DFD9"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As mentioned above, research was conducted in 2019 by Bradford, Jackson, and Stanko relating to the impact of public encounters with the police. The research also found data showing that the intervention accomplished its aims during the time studied, lending credence to Fisher and Ritchie's 2015 claim that community participation and engagement may improve social capital and result in favourable outcomes for residents and police. They hypothesised that social capital would boost local area potency by lowering residents' fear of crime, improving their impressions of the police, and encouraging the reporting of said crimes (Bradford, Jackson, and Stanko, 2009).</w:t>
      </w:r>
    </w:p>
    <w:p w14:paraId="46F86BDC"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Sampson and Bartusch discovered that communities with higher levels of confidence in their police forces had more efficient responses during emergencies. Trust generates a sense of collaboration between law enforcement and the public, resulting in faster response times, more thorough investigations, and, ultimately, greater incident resolution rates (Sampson and Bartusch, 1998).</w:t>
      </w:r>
    </w:p>
    <w:p w14:paraId="434EC391"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Through maintaining confidence and trust, policing also gains the support of communities to assist them in certain critical incidents and investigations. The tragic case of Nicola Bully, a female who went missing after walking her dog around her local village, is a particularly prominent example. Members of the public travelled from far and wide to assist the local police with the search for Bully. Mr. Underhill worked on 50 murder cases and now lectures on investigative practices. In respect to public engagement in missing person instances, he said the following: "Nine out of ten missing people are found by the public, not the police," and "the one thing I've learned, and I've worked on 50 murders and am now lecturing on murders at university, is that you can't beat local knowledge. Clearly highlighting the importance of public trust and engagement with police (Sky News, 2023).</w:t>
      </w:r>
    </w:p>
    <w:p w14:paraId="3FB17A0D"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 xml:space="preserve">The use of cameras to capture police-public contacts is known as body-worn video (BWV). It strives to increase the accountability and transparency of police activity through improved evidence capture. To capture specific occurrences or activities, cameras are connected to officers' uniforms or equipment and turned-on during </w:t>
      </w:r>
      <w:r w:rsidRPr="001B28B3">
        <w:rPr>
          <w:rFonts w:ascii="Arial" w:hAnsi="Arial" w:cs="Arial"/>
          <w:color w:val="252525"/>
        </w:rPr>
        <w:lastRenderedPageBreak/>
        <w:t>patrols or at the scene of an incident. According to research conducted by the Houses of Parliament in 2015, the use of body-worn video improves the public’s trust and confidence in police. Body-worn video also yields other positive outcomes for policing, such as a drastic reduction in the number of complaints made against police (Jameel and Bunn, 2013).</w:t>
      </w:r>
    </w:p>
    <w:p w14:paraId="16A41F8A"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Several incidents in the United Kingdom have raised concerns about policing prejudice and a lack of confidence between communities and law enforcement. To name one, the racially motivated murder of Stephen Lawrence, a black British teenager, in London generated serious doubts about the police's early handling of the case. The inquiry was plagued by claims of institutional racism among the Metropolitan Police, which damaged minority communities' faith in law enforcement (UK Parliament, 2021).</w:t>
      </w:r>
    </w:p>
    <w:p w14:paraId="315AAA4E"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Understanding the mood of communities and monitoring the influence that prior incidents and events have had on them will assist in identifying those that have a substantially higher risk of developing into a critical incident if not handled correctly at the onset. Situation awareness considers overall perceptions of vulnerability and insecurity as well as economic, political, and social variables affecting the local community. Situational awareness may be developed by environmental scanning through proactive community involvement and gathering and assessing intelligence and information from the community.</w:t>
      </w:r>
    </w:p>
    <w:p w14:paraId="7E443C83"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In conclusion, maintaining community trust is unquestionably crucial for successful police, particularly in the aftermath of critical incidents. Trust and confidence, as illustrated throughout this essay, serve as the basis around which the whole policing system in the United Kingdom is founded. These characteristics not only encourage collaboration and cooperation but also beneficial encounters, minimise social tensions, and combat bias within the community.</w:t>
      </w:r>
    </w:p>
    <w:p w14:paraId="1AD2670D"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 xml:space="preserve">The notion of "policing by consent" emphasises that the efficacy of the police is inextricably linked to public support and confidence. High levels of trust and confidence, according to research, lead to compliance, collaboration, and good impressions of the police. The significance of treating people with respect and justice </w:t>
      </w:r>
      <w:r w:rsidRPr="001B28B3">
        <w:rPr>
          <w:rFonts w:ascii="Arial" w:hAnsi="Arial" w:cs="Arial"/>
          <w:color w:val="252525"/>
        </w:rPr>
        <w:lastRenderedPageBreak/>
        <w:t>is emphasised by procedural fairness and the process-based model of policing, which eventually builds legitimacy and confidence.</w:t>
      </w:r>
    </w:p>
    <w:p w14:paraId="14C82223"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Community and neighbourhood policing emphasises the deliberate effort of law enforcement to create good connections with the communities they serve, which is vital during critical incidents. Trust established at these vital moments frequently leads to increased collaboration and continuous involvement of the police and the community.</w:t>
      </w:r>
    </w:p>
    <w:p w14:paraId="5CD245F8"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Furthermore, community trust has a direct impact on the effectiveness of emergency response. Communities with a higher degree of trust in their police forces have faster response times, more comprehensive investigations, and a higher percentage of incident resolution.</w:t>
      </w:r>
    </w:p>
    <w:p w14:paraId="09D33036"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Maintaining trust and confidence is, in essence, an extensive strategy that includes procedural justice, community participation, and openness, all of which are crucial in the successful handling of critical incidents. Policing must always adapt to the ever-changing dynamics of communities, attempting to comprehend their feelings and concerns. As the terrible story of Nicola Bully demonstrates, public trust and involvement are priceless assets that may make the difference between life and death. Furthermore, technological improvements such as body-worn video cameras increase openness and accountability, bolstering public trust.</w:t>
      </w:r>
    </w:p>
    <w:p w14:paraId="05ED376D" w14:textId="77777777" w:rsidR="00F63549" w:rsidRPr="001B28B3" w:rsidRDefault="00F63549" w:rsidP="001B28B3">
      <w:pPr>
        <w:pStyle w:val="NormalWeb"/>
        <w:spacing w:line="360" w:lineRule="auto"/>
        <w:rPr>
          <w:rFonts w:ascii="Arial" w:hAnsi="Arial" w:cs="Arial"/>
          <w:color w:val="252525"/>
        </w:rPr>
      </w:pPr>
      <w:r w:rsidRPr="001B28B3">
        <w:rPr>
          <w:rFonts w:ascii="Arial" w:hAnsi="Arial" w:cs="Arial"/>
          <w:color w:val="252525"/>
        </w:rPr>
        <w:t>To summarise, the importance of community trust in police cannot be overemphasised. It is the foundation for efficient law enforcement and the successful management of critical incidents. Fostering and sustaining confidence in a rapidly changing society is an ongoing problem and priority for the police in the United Kingdom.</w:t>
      </w:r>
    </w:p>
    <w:p w14:paraId="7873FFB9" w14:textId="28F867CB" w:rsidR="00F63549" w:rsidRPr="001B28B3" w:rsidRDefault="00F63549" w:rsidP="001B28B3">
      <w:pPr>
        <w:pStyle w:val="NormalWeb"/>
        <w:spacing w:line="360" w:lineRule="auto"/>
        <w:rPr>
          <w:rFonts w:ascii="Arial" w:hAnsi="Arial" w:cs="Arial"/>
          <w:b/>
          <w:bCs/>
          <w:color w:val="252525"/>
        </w:rPr>
      </w:pPr>
      <w:r w:rsidRPr="001B28B3">
        <w:rPr>
          <w:rFonts w:ascii="Arial" w:hAnsi="Arial" w:cs="Arial"/>
          <w:b/>
          <w:bCs/>
          <w:color w:val="252525"/>
        </w:rPr>
        <w:t>19</w:t>
      </w:r>
      <w:r w:rsidR="00445CF7">
        <w:rPr>
          <w:rFonts w:ascii="Arial" w:hAnsi="Arial" w:cs="Arial"/>
          <w:b/>
          <w:bCs/>
          <w:color w:val="252525"/>
        </w:rPr>
        <w:t>49</w:t>
      </w:r>
      <w:r w:rsidRPr="001B28B3">
        <w:rPr>
          <w:rFonts w:ascii="Arial" w:hAnsi="Arial" w:cs="Arial"/>
          <w:b/>
          <w:bCs/>
          <w:color w:val="252525"/>
        </w:rPr>
        <w:t xml:space="preserve"> words</w:t>
      </w:r>
    </w:p>
    <w:p w14:paraId="099B8E64" w14:textId="204F2844" w:rsidR="00F63549" w:rsidRPr="001B28B3" w:rsidRDefault="00F63549" w:rsidP="001B28B3">
      <w:pPr>
        <w:pStyle w:val="NormalWeb"/>
        <w:rPr>
          <w:color w:val="252525"/>
          <w:u w:val="single"/>
        </w:rPr>
      </w:pPr>
      <w:r w:rsidRPr="001B28B3">
        <w:rPr>
          <w:rFonts w:ascii="Arial" w:hAnsi="Arial" w:cs="Arial"/>
          <w:u w:val="single"/>
        </w:rPr>
        <w:t xml:space="preserve">“The concept of diversity consists of the complete understanding and acceptance of all various and different human characteristics existing in the wider community” (Stergioulis, 2018, p. 265). What challenges and complexities does diversity add to operational policing? </w:t>
      </w:r>
    </w:p>
    <w:p w14:paraId="1506431D"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lastRenderedPageBreak/>
        <w:t>The idea of variety emerges as a cornerstone in the changing environment of policing, reflecting the intricate fabric of society's various qualities. Diversity, according to Stergioulis (2018), is the full understanding and acceptance of the various characteristics present within the larger community.</w:t>
      </w:r>
    </w:p>
    <w:p w14:paraId="2C49682F" w14:textId="2979F152"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 xml:space="preserve">The interaction of these various qualities in the context of operational policing in England and Wales creates </w:t>
      </w:r>
      <w:r w:rsidR="00FA1453" w:rsidRPr="001B28B3">
        <w:rPr>
          <w:rFonts w:ascii="Arial" w:eastAsia="Arial" w:hAnsi="Arial" w:cs="Arial"/>
          <w:color w:val="252525"/>
          <w:sz w:val="24"/>
          <w:szCs w:val="24"/>
        </w:rPr>
        <w:t>several</w:t>
      </w:r>
      <w:r w:rsidRPr="001B28B3">
        <w:rPr>
          <w:rFonts w:ascii="Arial" w:eastAsia="Arial" w:hAnsi="Arial" w:cs="Arial"/>
          <w:color w:val="252525"/>
          <w:sz w:val="24"/>
          <w:szCs w:val="24"/>
        </w:rPr>
        <w:t xml:space="preserve"> difficulties and complexity that call for careful consideration. This essay explores how diversity, a fundamental characteristic of society, interacts with the practice of operational policing, illuminating the obstacles that police must overcome in the areas of recruitment, communication, culture, and bias.</w:t>
      </w:r>
    </w:p>
    <w:p w14:paraId="172E92D7" w14:textId="7268C815"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The Oxford English Dictionary defines diversity as "the practice or quality of including or involving people from a range of different social and ethnic backgrounds and of different genders, sexual orientations, etc</w:t>
      </w:r>
      <w:r w:rsidR="00FA1453">
        <w:rPr>
          <w:rFonts w:ascii="Arial" w:eastAsia="Arial" w:hAnsi="Arial" w:cs="Arial"/>
          <w:color w:val="252525"/>
          <w:sz w:val="24"/>
          <w:szCs w:val="24"/>
        </w:rPr>
        <w:t>”</w:t>
      </w:r>
      <w:r w:rsidRPr="001B28B3">
        <w:rPr>
          <w:rFonts w:ascii="Arial" w:eastAsia="Arial" w:hAnsi="Arial" w:cs="Arial"/>
          <w:color w:val="252525"/>
          <w:sz w:val="24"/>
          <w:szCs w:val="24"/>
        </w:rPr>
        <w:t xml:space="preserve"> (Servaes, </w:t>
      </w:r>
      <w:r w:rsidR="00F22D61" w:rsidRPr="001B28B3">
        <w:rPr>
          <w:rFonts w:ascii="Arial" w:eastAsia="Arial" w:hAnsi="Arial" w:cs="Arial"/>
          <w:color w:val="252525"/>
          <w:sz w:val="24"/>
          <w:szCs w:val="24"/>
        </w:rPr>
        <w:t>Choudhury,</w:t>
      </w:r>
      <w:r w:rsidRPr="001B28B3">
        <w:rPr>
          <w:rFonts w:ascii="Arial" w:eastAsia="Arial" w:hAnsi="Arial" w:cs="Arial"/>
          <w:color w:val="252525"/>
          <w:sz w:val="24"/>
          <w:szCs w:val="24"/>
        </w:rPr>
        <w:t xml:space="preserve"> and Parikh, 2022).</w:t>
      </w:r>
    </w:p>
    <w:p w14:paraId="70C40BAF"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Individuals are protected against discrimination in the workplace and in larger society under the Equality Act of 2010. The act strengthened protection in particular circumstances and made the legislation more understandable by consolidating earlier anti-discrimination legislation into a single act. It outlines the various ways in which treating someone is prohibited (Government Equalities Office, 2013).</w:t>
      </w:r>
    </w:p>
    <w:p w14:paraId="2C0120A7"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Police within England and Wales have an obligation imposed by the code of ethics to go about their duties with equality and diversity in mind. Officers need to act with fairness and impartiality and not discriminate against others unlawfully or unfairly. Examples of how this relates to policing include acting and making judgements based on merit without bias, using the best information available, and actively looking for opportunities to encourage equality and diversity (College of Policing, 2014).</w:t>
      </w:r>
    </w:p>
    <w:p w14:paraId="424E65AF"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Stop and search is a power available to police under Section 1 of the Police and Criminal Evidence Act 1984 (legislation.gov.uk, 1984). As previously mentioned, police have an obligation to act with equality and diversity in mind. However, research has shown that those individuals from an ethnic minority background are disproportionately targeted by officers using stop and search power.</w:t>
      </w:r>
    </w:p>
    <w:p w14:paraId="549FBB32"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lastRenderedPageBreak/>
        <w:t>Between April 2020 and March 2021, 697,405 individuals were stopped and searched by police in England and Wales. 7.5 stops and searches per 1,000 white people were conducted, compared to 52.6 per 1,000 black people. These figures reveal a complicated issue for operational police. On the one hand, police must follow the law and treat everyone equally. On the other hand, during stop-and-search encounters, officers' judgement may unintentionally be affected by prejudices and systemic problems. This raises ethical questions since it goes against the impartiality and fairness values of policing in England and Wales. Additionally, the overrepresentation of some populations in stop and search data undermines relations between law enforcement and these communities, making it difficult for them to work together effectively and possibly sustaining a cycle of distrust and anger (Gov.uk, 2022).</w:t>
      </w:r>
    </w:p>
    <w:p w14:paraId="0EDD5817"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Research into how language barriers affect the criminal justice process and policing was conducted in 2019 by Victim Support. The research revealed that the translation and interpretation services offered to victims and witnesses with no or little English language proficiency are uneven. Some practitioners said that they had no access to language services, frequently because of a lack of resources or financial limitations. Several research participants identified the lack of training offered to practitioners as a significant problem. Some participants, both from the statutory and nonprofit sectors, couldn't recall ever receiving any formal training on how to interact with people who use English as a second language (Victim Support, 2019).</w:t>
      </w:r>
    </w:p>
    <w:p w14:paraId="5C89258C"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 xml:space="preserve">An example of a case where misunderstandings due to language differences hindered an investigation and community interactions is that of how Brazilian citizen Jean Charles de Menezes was misidentified as a terrorism suspect in 2005 by London police. They thought he was connected to the terrorist attacks that took place the day prior. Police followed him when he boarded an underground train and shot him because they thought he posed a threat. This case is relevant to miscommunications in policing because it exemplifies an awful scenario where preconceptions, cultural differences, and language obstacles all played a part in a deadly error. Lethal force was used because officers mistook de Menezes' looks and actions. The experience serves as a reminder of the value of clear communication, </w:t>
      </w:r>
      <w:r w:rsidRPr="001B28B3">
        <w:rPr>
          <w:rFonts w:ascii="Arial" w:eastAsia="Arial" w:hAnsi="Arial" w:cs="Arial"/>
          <w:color w:val="252525"/>
          <w:sz w:val="24"/>
          <w:szCs w:val="24"/>
        </w:rPr>
        <w:lastRenderedPageBreak/>
        <w:t>appropriate instruction, and refraining from making snap decisions, particularly when dealing with people from different backgrounds (Siddique, 2016).</w:t>
      </w:r>
    </w:p>
    <w:p w14:paraId="147258BC"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The diverse and multicultural nature of the UK means that police forces have a need to implement numerous approaches to overcome communication barriers in the communities that they police. South Wales Police, for example, facilitates deaf Police and Community Together (PACT) meetings, which are held in a local club for the deaf. These gatherings provide deaf people the opportunity to highlight crime and anti-social behaviour concerns that are particularly important to them and to learn about the police response to these issues. A designated police community support officer serves as the deaf community contact, and the police pay for a sign language translator to attend the sessions to facilitate an appropriate exchange of information (College of Policing, 2013).</w:t>
      </w:r>
    </w:p>
    <w:p w14:paraId="01C2D4DB"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Another area of cultural sensitivity is religion. In 2013, a letter outlining an extensive plan by Islamic extremists to infiltrate schools in Birmingham was received by a municipal councillor. Operation Trojan Horse was the ruse's code name. After causing a widespread panic, the letter was later found to be a hoax. During the police investigation of this matter, the local Muslim community expressed that they had been tarnished as extremists during the council and police investigation (Awan, 2018).</w:t>
      </w:r>
    </w:p>
    <w:p w14:paraId="2A6C7DA6"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The Police Race Action Plan was released in December 2022. The plan incorporated numerous new impositions on operational policing. One being mandatory national training. The training would educate officers on cultural competence and give officers the confidence to challenge and interrupt any issues in this field. This approach was implemented with the view of opposing discrimination of any form and ensuring all officers are actively tacking racism in society and the workplace (College of Policing, 2022).</w:t>
      </w:r>
    </w:p>
    <w:p w14:paraId="1F1D039B"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 xml:space="preserve">Another challenge faced by operational policing added by a diverse population is the mistrust of those within the community that have been discriminated against by police, which has led to a sense of mistrust by those affected. This issue is exemplified by the case of Stephen Lawrence, a young black male who was murdered in London in 1993. The incident led to the Macpherson inquiry, which was </w:t>
      </w:r>
      <w:r w:rsidRPr="001B28B3">
        <w:rPr>
          <w:rFonts w:ascii="Arial" w:eastAsia="Arial" w:hAnsi="Arial" w:cs="Arial"/>
          <w:color w:val="252525"/>
          <w:sz w:val="24"/>
          <w:szCs w:val="24"/>
        </w:rPr>
        <w:lastRenderedPageBreak/>
        <w:t>published in 1999. The inquiry deemed the investigation of Lawrence’s murder "marred by a combination of professional incompetence, institutional racism, and a failure of leadership by senior officers" (Meade and Nickolls, 2023). A Home Office research study of the murder in 2005 found that following the murder and the police’s approach to the investigation, the BME community felt a sense of mistrust in the police and came to expect discrimination from them (Foster, Newburn, and Souhami, 2005).</w:t>
      </w:r>
    </w:p>
    <w:p w14:paraId="37200190"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In response to the Macpherson inquiry, a comprehensive strategy was adopted to address institutional racism within policing. Recommendations included revising racism awareness training, establishing new ministerial priorities with associated performance indicators (covering areas such as reporting racist incidents, public satisfaction, victim liaison, and staff recruitment and retention), and focusing on attracting and retaining minority ethnic recruits and officers. This approach aimed to create a police force that truly mirrored the diversity of the community it served, demonstrating a firm commitment to eliminating institutional racism (Foster, Newburn, and Souhami, 2005).</w:t>
      </w:r>
    </w:p>
    <w:p w14:paraId="61E8CA40"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To assess the effectiveness of these recommendations, the community was asked in 2004 how they felt the police service had changed since the Macpherson inquiry. Findings included a 37% increase in the recruitment of minority ethnic officers, a 40% increase in satisfaction with how racial incidents were dealt with, and a 37% increase in satisfaction with the seriousness with which forces take complaints of racism made by police staff. It was a clear indication that issues of institutional racism were being taken seriously (Foster, Newburn, and Souhami, 2005).</w:t>
      </w:r>
    </w:p>
    <w:p w14:paraId="3AA3EA64"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 xml:space="preserve">Ensuring a diverse police force hinges on effective recruitment but attaining this goal can be demanding. The UK's police force was established by Sir Robert Peel, who emphasised the notion that "the police are the public and the public are the police. This principle, though simple, is pivotal. Crimes find resolution when individuals with information step forward, and they do so when they have confidence in the police. Interaction with the police relies on trust, which is nurtured when people perceive officers as authoritative figures, individuals they can trust as easily as they would their neighbours. Communities transcend geography, encompassing shared traits such as age, gender, and culture. To foster such trust, it's vital that the police force </w:t>
      </w:r>
      <w:r w:rsidRPr="001B28B3">
        <w:rPr>
          <w:rFonts w:ascii="Arial" w:eastAsia="Arial" w:hAnsi="Arial" w:cs="Arial"/>
          <w:color w:val="252525"/>
          <w:sz w:val="24"/>
          <w:szCs w:val="24"/>
        </w:rPr>
        <w:lastRenderedPageBreak/>
        <w:t>represent all societal segments, particularly underrepresented communities disproportionately affected by crime. A diverse force signifies to the public that the police serve everyone and share the commitment to neighbourhood safety. By having officers from a wide array of backgrounds, policing demonstrates its alignment with the public's interests, reinforcing the idea that officers are individuals akin to the public they serve. This underscores why a diverse workforce is indispensable within the realm of policing (Munro, 2022).</w:t>
      </w:r>
    </w:p>
    <w:p w14:paraId="3D63E2CF"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Nevertheless, there is still a glaring underrepresentation of BAME officers and police staff. data made available by the UK parliament In England and Wales, 7.9% of officers with the rank of constable came from a BAME background as of March 2020. For BAME Chief Inspectors, the percentage falls to 4.2%, and for Chief Officers, it further declines to 2% (Hills, 2021).</w:t>
      </w:r>
    </w:p>
    <w:p w14:paraId="3C00E8EE"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Research by NatCen Social Research found that it was difficult to achieve the desired diversity in policing due to the recruiting methodology itself. Due to the recruiting process being perceived as time-consuming and ambiguous, there was a lack of clarification regarding the processes and procedures for viable applicants. Another challenge for BAME individuals and operational policing’s commitment to increasing BAME representation is the process of vetting by association. 'Promising' individuals have been rejected from the recruitment process because of their social ties to those with criminal histories (Bury et al., 2018).</w:t>
      </w:r>
    </w:p>
    <w:p w14:paraId="09F4C21D"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Despite these challenges and the benefits of improved representation within policing, the college of policing deems a diverse police force necessary as diverse teams come to better conclusions. Research studies indicate that teams with a good balance of perspectives perform far better in terms of decision-making, productivity, and innovation, and as a result, forces are better able to relate to and comprehend their communities, which contributes to a decrease in crime and prevents minority populations from being unfairly targeted (College of Policing, 2020).</w:t>
      </w:r>
    </w:p>
    <w:p w14:paraId="0DC7893C"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In conclusion, there are complex issues that the police must professionally negotiate at the nexus of diversity and operational policing. To ensure successful policing in today's society, considering the nuanced aspects of diversity, from ethnicity and language to culture and trust, calls for a thoughtful and sympathetic approach.</w:t>
      </w:r>
    </w:p>
    <w:p w14:paraId="3AE88D34"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lastRenderedPageBreak/>
        <w:t>Bias-driven disparities in stop and search procedures highlight the continuous battle for unbiased judgement. The criminal justice system is made more difficult by language hurdles, underscoring the need for better translation services to maintain effective communication.</w:t>
      </w:r>
    </w:p>
    <w:p w14:paraId="067DC588"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The unfortunate story of Jean Charles de Menezes highlights the need for cultural awareness and good communication while serving as a sobering reminder of the results of cultural misunderstandings.</w:t>
      </w:r>
    </w:p>
    <w:p w14:paraId="220FAA61"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Operation Trojan Horse, which highlights religious intricacies, emphasises the significance of cultural competency in tackling complicated topics without instilling unjustified concerns.</w:t>
      </w:r>
    </w:p>
    <w:p w14:paraId="4E081903"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While the Police Race Action Plan makes progress in tackling diversity-related issues, the historical lack of trust between police and minority communities, as seen by the Stephen Lawrence case, calls for more changes to repair that trust and combat structural prejudices.</w:t>
      </w:r>
    </w:p>
    <w:p w14:paraId="27B476C3"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Adapting recruiting tactics to overcome underrepresentation is necessary to create a representative police force. Building a force that respects and comprehends the many community demands requires overcoming hurdles in recruiting, vetting, and advancement.</w:t>
      </w:r>
    </w:p>
    <w:p w14:paraId="513CD52E" w14:textId="77777777" w:rsidR="00F63549" w:rsidRPr="001B28B3" w:rsidRDefault="00F63549" w:rsidP="00F63549">
      <w:pPr>
        <w:spacing w:before="240" w:after="240" w:line="360" w:lineRule="auto"/>
        <w:rPr>
          <w:rFonts w:ascii="Arial" w:eastAsia="Arial" w:hAnsi="Arial" w:cs="Arial"/>
          <w:color w:val="252525"/>
          <w:sz w:val="24"/>
          <w:szCs w:val="24"/>
        </w:rPr>
      </w:pPr>
      <w:r w:rsidRPr="001B28B3">
        <w:rPr>
          <w:rFonts w:ascii="Arial" w:eastAsia="Arial" w:hAnsi="Arial" w:cs="Arial"/>
          <w:color w:val="252525"/>
          <w:sz w:val="24"/>
          <w:szCs w:val="24"/>
        </w:rPr>
        <w:t>Fundamentally, integrating diversity into operational police necessitates a holistic strategy that includes fair decision-making, culturally sensitive communication, inclusive hiring, and persistent attempts to build trust. In our increasingly varied society, law enforcement may position itself as a model of equality, justice, and community involvement by deftly negotiating these complexities.</w:t>
      </w:r>
    </w:p>
    <w:p w14:paraId="25CB2459" w14:textId="4E07DDD8" w:rsidR="00F63549" w:rsidRDefault="00F63549" w:rsidP="00F63549">
      <w:pPr>
        <w:spacing w:before="240" w:after="240" w:line="360" w:lineRule="auto"/>
        <w:rPr>
          <w:rFonts w:ascii="Arial" w:eastAsia="Arial" w:hAnsi="Arial" w:cs="Arial"/>
          <w:b/>
          <w:bCs/>
          <w:color w:val="252525"/>
          <w:sz w:val="24"/>
          <w:szCs w:val="24"/>
        </w:rPr>
      </w:pPr>
      <w:r w:rsidRPr="001B28B3">
        <w:rPr>
          <w:rFonts w:ascii="Arial" w:eastAsia="Arial" w:hAnsi="Arial" w:cs="Arial"/>
          <w:b/>
          <w:bCs/>
          <w:color w:val="252525"/>
          <w:sz w:val="24"/>
          <w:szCs w:val="24"/>
        </w:rPr>
        <w:t>199</w:t>
      </w:r>
      <w:r w:rsidR="00445CF7">
        <w:rPr>
          <w:rFonts w:ascii="Arial" w:eastAsia="Arial" w:hAnsi="Arial" w:cs="Arial"/>
          <w:b/>
          <w:bCs/>
          <w:color w:val="252525"/>
          <w:sz w:val="24"/>
          <w:szCs w:val="24"/>
        </w:rPr>
        <w:t>3</w:t>
      </w:r>
      <w:r w:rsidRPr="001B28B3">
        <w:rPr>
          <w:rFonts w:ascii="Arial" w:eastAsia="Arial" w:hAnsi="Arial" w:cs="Arial"/>
          <w:b/>
          <w:bCs/>
          <w:color w:val="252525"/>
          <w:sz w:val="24"/>
          <w:szCs w:val="24"/>
        </w:rPr>
        <w:t xml:space="preserve"> words</w:t>
      </w:r>
    </w:p>
    <w:p w14:paraId="43660583" w14:textId="77777777" w:rsidR="0008603E" w:rsidRDefault="0008603E" w:rsidP="00F63549">
      <w:pPr>
        <w:spacing w:before="240" w:after="240" w:line="360" w:lineRule="auto"/>
        <w:rPr>
          <w:rFonts w:ascii="Arial" w:eastAsia="Arial" w:hAnsi="Arial" w:cs="Arial"/>
          <w:b/>
          <w:bCs/>
          <w:color w:val="252525"/>
          <w:sz w:val="24"/>
          <w:szCs w:val="24"/>
        </w:rPr>
      </w:pPr>
    </w:p>
    <w:p w14:paraId="79117BCE" w14:textId="77777777" w:rsidR="0008603E" w:rsidRPr="0008603E" w:rsidRDefault="0008603E" w:rsidP="0008603E">
      <w:pPr>
        <w:spacing w:after="240" w:line="360" w:lineRule="auto"/>
        <w:rPr>
          <w:rFonts w:ascii="Times New Roman" w:eastAsia="Times New Roman" w:hAnsi="Times New Roman" w:cs="Times New Roman"/>
          <w:kern w:val="0"/>
          <w:sz w:val="36"/>
          <w:szCs w:val="36"/>
          <w:lang w:eastAsia="en-GB"/>
          <w14:ligatures w14:val="none"/>
        </w:rPr>
      </w:pPr>
      <w:r w:rsidRPr="0008603E">
        <w:rPr>
          <w:rFonts w:ascii="Times New Roman" w:eastAsia="Times New Roman" w:hAnsi="Times New Roman" w:cs="Times New Roman"/>
          <w:kern w:val="0"/>
          <w:sz w:val="36"/>
          <w:szCs w:val="36"/>
          <w:lang w:eastAsia="en-GB"/>
          <w14:ligatures w14:val="none"/>
        </w:rPr>
        <w:t>Reference list</w:t>
      </w:r>
    </w:p>
    <w:p w14:paraId="2EC78280"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lastRenderedPageBreak/>
        <w:t xml:space="preserve">Awan, I. (2018). ‘I never did anything wrong’ – Trojan Horse: a qualitative study uncovering the impact in Birmingham. </w:t>
      </w:r>
      <w:r w:rsidRPr="0008603E">
        <w:rPr>
          <w:rFonts w:ascii="Times New Roman" w:eastAsia="Times New Roman" w:hAnsi="Times New Roman" w:cs="Times New Roman"/>
          <w:i/>
          <w:iCs/>
          <w:kern w:val="0"/>
          <w:sz w:val="24"/>
          <w:szCs w:val="24"/>
          <w:lang w:eastAsia="en-GB"/>
          <w14:ligatures w14:val="none"/>
        </w:rPr>
        <w:t>British Journal of Sociology of Education</w:t>
      </w:r>
      <w:r w:rsidRPr="0008603E">
        <w:rPr>
          <w:rFonts w:ascii="Times New Roman" w:eastAsia="Times New Roman" w:hAnsi="Times New Roman" w:cs="Times New Roman"/>
          <w:kern w:val="0"/>
          <w:sz w:val="24"/>
          <w:szCs w:val="24"/>
          <w:lang w:eastAsia="en-GB"/>
          <w14:ligatures w14:val="none"/>
        </w:rPr>
        <w:t>, 39(2), pp.197–211. doi:https://doi.org/10.1080/01425692.2017.1406334.</w:t>
      </w:r>
    </w:p>
    <w:p w14:paraId="36E63B4C"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BBC News (2023). Ely: How social media influenced aftermath of crash deaths. </w:t>
      </w:r>
      <w:r w:rsidRPr="0008603E">
        <w:rPr>
          <w:rFonts w:ascii="Times New Roman" w:eastAsia="Times New Roman" w:hAnsi="Times New Roman" w:cs="Times New Roman"/>
          <w:i/>
          <w:iCs/>
          <w:kern w:val="0"/>
          <w:sz w:val="24"/>
          <w:szCs w:val="24"/>
          <w:lang w:eastAsia="en-GB"/>
          <w14:ligatures w14:val="none"/>
        </w:rPr>
        <w:t>BBC News</w:t>
      </w:r>
      <w:r w:rsidRPr="0008603E">
        <w:rPr>
          <w:rFonts w:ascii="Times New Roman" w:eastAsia="Times New Roman" w:hAnsi="Times New Roman" w:cs="Times New Roman"/>
          <w:kern w:val="0"/>
          <w:sz w:val="24"/>
          <w:szCs w:val="24"/>
          <w:lang w:eastAsia="en-GB"/>
          <w14:ligatures w14:val="none"/>
        </w:rPr>
        <w:t>. [online] 28 May. Available at: https://www.bbc.co.uk/news/uk-wales-65726839 [Accessed 4 Sep. 2023].</w:t>
      </w:r>
    </w:p>
    <w:p w14:paraId="397DA16F"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Bradford, B., Jackson, J. and Stanko, E.A. (2009). Contact and confidence: revisiting the impact of public encounters with the police. </w:t>
      </w:r>
      <w:r w:rsidRPr="0008603E">
        <w:rPr>
          <w:rFonts w:ascii="Times New Roman" w:eastAsia="Times New Roman" w:hAnsi="Times New Roman" w:cs="Times New Roman"/>
          <w:i/>
          <w:iCs/>
          <w:kern w:val="0"/>
          <w:sz w:val="24"/>
          <w:szCs w:val="24"/>
          <w:lang w:eastAsia="en-GB"/>
          <w14:ligatures w14:val="none"/>
        </w:rPr>
        <w:t>Policing and Society</w:t>
      </w:r>
      <w:r w:rsidRPr="0008603E">
        <w:rPr>
          <w:rFonts w:ascii="Times New Roman" w:eastAsia="Times New Roman" w:hAnsi="Times New Roman" w:cs="Times New Roman"/>
          <w:kern w:val="0"/>
          <w:sz w:val="24"/>
          <w:szCs w:val="24"/>
          <w:lang w:eastAsia="en-GB"/>
          <w14:ligatures w14:val="none"/>
        </w:rPr>
        <w:t>, [online] 19(1), pp.20–46. doi:https://doi.org/10.1080/10439460802457594.</w:t>
      </w:r>
    </w:p>
    <w:p w14:paraId="23A6FC76"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Brown, R. and Hobbs, A. (2023). </w:t>
      </w:r>
      <w:r w:rsidRPr="0008603E">
        <w:rPr>
          <w:rFonts w:ascii="Times New Roman" w:eastAsia="Times New Roman" w:hAnsi="Times New Roman" w:cs="Times New Roman"/>
          <w:i/>
          <w:iCs/>
          <w:kern w:val="0"/>
          <w:sz w:val="24"/>
          <w:szCs w:val="24"/>
          <w:lang w:eastAsia="en-GB"/>
          <w14:ligatures w14:val="none"/>
        </w:rPr>
        <w:t>Trust in the police</w:t>
      </w:r>
      <w:r w:rsidRPr="0008603E">
        <w:rPr>
          <w:rFonts w:ascii="Times New Roman" w:eastAsia="Times New Roman" w:hAnsi="Times New Roman" w:cs="Times New Roman"/>
          <w:kern w:val="0"/>
          <w:sz w:val="24"/>
          <w:szCs w:val="24"/>
          <w:lang w:eastAsia="en-GB"/>
          <w14:ligatures w14:val="none"/>
        </w:rPr>
        <w:t xml:space="preserve">. [online] </w:t>
      </w:r>
      <w:r w:rsidRPr="0008603E">
        <w:rPr>
          <w:rFonts w:ascii="Times New Roman" w:eastAsia="Times New Roman" w:hAnsi="Times New Roman" w:cs="Times New Roman"/>
          <w:i/>
          <w:iCs/>
          <w:kern w:val="0"/>
          <w:sz w:val="24"/>
          <w:szCs w:val="24"/>
          <w:lang w:eastAsia="en-GB"/>
          <w14:ligatures w14:val="none"/>
        </w:rPr>
        <w:t xml:space="preserve">Parliament.uk </w:t>
      </w:r>
      <w:r w:rsidRPr="0008603E">
        <w:rPr>
          <w:rFonts w:ascii="Times New Roman" w:eastAsia="Times New Roman" w:hAnsi="Times New Roman" w:cs="Times New Roman"/>
          <w:kern w:val="0"/>
          <w:sz w:val="24"/>
          <w:szCs w:val="24"/>
          <w:lang w:eastAsia="en-GB"/>
          <w14:ligatures w14:val="none"/>
        </w:rPr>
        <w:t>. Available at: https://researchbriefings.files.parliament.uk/documents/POST-PN-0693/POST-PN-0693.pdf [Accessed 29 Aug. 2023].</w:t>
      </w:r>
    </w:p>
    <w:p w14:paraId="58300C3D"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Bury, J., Pullerits, M., Edwards, S., Davies, C. and DeMarco, J. (2018). </w:t>
      </w:r>
      <w:r w:rsidRPr="0008603E">
        <w:rPr>
          <w:rFonts w:ascii="Times New Roman" w:eastAsia="Times New Roman" w:hAnsi="Times New Roman" w:cs="Times New Roman"/>
          <w:i/>
          <w:iCs/>
          <w:kern w:val="0"/>
          <w:sz w:val="24"/>
          <w:szCs w:val="24"/>
          <w:lang w:eastAsia="en-GB"/>
          <w14:ligatures w14:val="none"/>
        </w:rPr>
        <w:t>Enhancing Diversity in Policing</w:t>
      </w:r>
      <w:r w:rsidRPr="0008603E">
        <w:rPr>
          <w:rFonts w:ascii="Times New Roman" w:eastAsia="Times New Roman" w:hAnsi="Times New Roman" w:cs="Times New Roman"/>
          <w:kern w:val="0"/>
          <w:sz w:val="24"/>
          <w:szCs w:val="24"/>
          <w:lang w:eastAsia="en-GB"/>
          <w14:ligatures w14:val="none"/>
        </w:rPr>
        <w:t xml:space="preserve">. [online] </w:t>
      </w:r>
      <w:r w:rsidRPr="0008603E">
        <w:rPr>
          <w:rFonts w:ascii="Times New Roman" w:eastAsia="Times New Roman" w:hAnsi="Times New Roman" w:cs="Times New Roman"/>
          <w:i/>
          <w:iCs/>
          <w:kern w:val="0"/>
          <w:sz w:val="24"/>
          <w:szCs w:val="24"/>
          <w:lang w:eastAsia="en-GB"/>
          <w14:ligatures w14:val="none"/>
        </w:rPr>
        <w:t>NPCC</w:t>
      </w:r>
      <w:r w:rsidRPr="0008603E">
        <w:rPr>
          <w:rFonts w:ascii="Times New Roman" w:eastAsia="Times New Roman" w:hAnsi="Times New Roman" w:cs="Times New Roman"/>
          <w:kern w:val="0"/>
          <w:sz w:val="24"/>
          <w:szCs w:val="24"/>
          <w:lang w:eastAsia="en-GB"/>
          <w14:ligatures w14:val="none"/>
        </w:rPr>
        <w:t>. Available at: https://www.npcc.police.uk/SysSiteAssets/media/downloads/publications/publications-log/2018/natcen-enhancing-diversity-in-policing-final-report---may-2018.pdf [Accessed 21 Aug. 2023].</w:t>
      </w:r>
    </w:p>
    <w:p w14:paraId="4652640A"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College Of Policing (2020). </w:t>
      </w:r>
      <w:r w:rsidRPr="0008603E">
        <w:rPr>
          <w:rFonts w:ascii="Times New Roman" w:eastAsia="Times New Roman" w:hAnsi="Times New Roman" w:cs="Times New Roman"/>
          <w:i/>
          <w:iCs/>
          <w:kern w:val="0"/>
          <w:sz w:val="24"/>
          <w:szCs w:val="24"/>
          <w:lang w:eastAsia="en-GB"/>
          <w14:ligatures w14:val="none"/>
        </w:rPr>
        <w:t>Promoting and Supporting Diversity and Inclusion</w:t>
      </w:r>
      <w:r w:rsidRPr="0008603E">
        <w:rPr>
          <w:rFonts w:ascii="Times New Roman" w:eastAsia="Times New Roman" w:hAnsi="Times New Roman" w:cs="Times New Roman"/>
          <w:kern w:val="0"/>
          <w:sz w:val="24"/>
          <w:szCs w:val="24"/>
          <w:lang w:eastAsia="en-GB"/>
          <w14:ligatures w14:val="none"/>
        </w:rPr>
        <w:t>. [online] College of Policing. Available at: https://www.college.police.uk/article/diversity-and-inclusion-cpd-in-focus#:~:text=a%20boost%20to%20policing%2C%20making [Accessed 21 Aug. 2023].</w:t>
      </w:r>
    </w:p>
    <w:p w14:paraId="61D4B257"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College of Policing (2013a). </w:t>
      </w:r>
      <w:r w:rsidRPr="0008603E">
        <w:rPr>
          <w:rFonts w:ascii="Times New Roman" w:eastAsia="Times New Roman" w:hAnsi="Times New Roman" w:cs="Times New Roman"/>
          <w:i/>
          <w:iCs/>
          <w:kern w:val="0"/>
          <w:sz w:val="24"/>
          <w:szCs w:val="24"/>
          <w:lang w:eastAsia="en-GB"/>
          <w14:ligatures w14:val="none"/>
        </w:rPr>
        <w:t>Communication</w:t>
      </w:r>
      <w:r w:rsidRPr="0008603E">
        <w:rPr>
          <w:rFonts w:ascii="Times New Roman" w:eastAsia="Times New Roman" w:hAnsi="Times New Roman" w:cs="Times New Roman"/>
          <w:kern w:val="0"/>
          <w:sz w:val="24"/>
          <w:szCs w:val="24"/>
          <w:lang w:eastAsia="en-GB"/>
          <w14:ligatures w14:val="none"/>
        </w:rPr>
        <w:t>. [online] College of Policing. Available at: https://www.college.police.uk/app/engagement-and-communication/communication [Accessed 9 Aug. 2023].</w:t>
      </w:r>
    </w:p>
    <w:p w14:paraId="37CAA439"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College of Policing (2013b). </w:t>
      </w:r>
      <w:r w:rsidRPr="0008603E">
        <w:rPr>
          <w:rFonts w:ascii="Times New Roman" w:eastAsia="Times New Roman" w:hAnsi="Times New Roman" w:cs="Times New Roman"/>
          <w:i/>
          <w:iCs/>
          <w:kern w:val="0"/>
          <w:sz w:val="24"/>
          <w:szCs w:val="24"/>
          <w:lang w:eastAsia="en-GB"/>
          <w14:ligatures w14:val="none"/>
        </w:rPr>
        <w:t>Introduction and Types of Critical Incidents</w:t>
      </w:r>
      <w:r w:rsidRPr="0008603E">
        <w:rPr>
          <w:rFonts w:ascii="Times New Roman" w:eastAsia="Times New Roman" w:hAnsi="Times New Roman" w:cs="Times New Roman"/>
          <w:kern w:val="0"/>
          <w:sz w:val="24"/>
          <w:szCs w:val="24"/>
          <w:lang w:eastAsia="en-GB"/>
          <w14:ligatures w14:val="none"/>
        </w:rPr>
        <w:t>. [online] College of Policing. Available at: https://www.college.police.uk/app/critical-incident-management/introduction-and-types-critical-incidents [Accessed 29 Aug. 2023].</w:t>
      </w:r>
    </w:p>
    <w:p w14:paraId="740AF8C5"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lastRenderedPageBreak/>
        <w:t xml:space="preserve">College of Policing (2014). </w:t>
      </w:r>
      <w:r w:rsidRPr="0008603E">
        <w:rPr>
          <w:rFonts w:ascii="Times New Roman" w:eastAsia="Times New Roman" w:hAnsi="Times New Roman" w:cs="Times New Roman"/>
          <w:i/>
          <w:iCs/>
          <w:kern w:val="0"/>
          <w:sz w:val="24"/>
          <w:szCs w:val="24"/>
          <w:lang w:eastAsia="en-GB"/>
          <w14:ligatures w14:val="none"/>
        </w:rPr>
        <w:t>Code of Ethics</w:t>
      </w:r>
      <w:r w:rsidRPr="0008603E">
        <w:rPr>
          <w:rFonts w:ascii="Times New Roman" w:eastAsia="Times New Roman" w:hAnsi="Times New Roman" w:cs="Times New Roman"/>
          <w:kern w:val="0"/>
          <w:sz w:val="24"/>
          <w:szCs w:val="24"/>
          <w:lang w:eastAsia="en-GB"/>
          <w14:ligatures w14:val="none"/>
        </w:rPr>
        <w:t xml:space="preserve">. [online] </w:t>
      </w:r>
      <w:r w:rsidRPr="0008603E">
        <w:rPr>
          <w:rFonts w:ascii="Times New Roman" w:eastAsia="Times New Roman" w:hAnsi="Times New Roman" w:cs="Times New Roman"/>
          <w:i/>
          <w:iCs/>
          <w:kern w:val="0"/>
          <w:sz w:val="24"/>
          <w:szCs w:val="24"/>
          <w:lang w:eastAsia="en-GB"/>
          <w14:ligatures w14:val="none"/>
        </w:rPr>
        <w:t>College of Policing</w:t>
      </w:r>
      <w:r w:rsidRPr="0008603E">
        <w:rPr>
          <w:rFonts w:ascii="Times New Roman" w:eastAsia="Times New Roman" w:hAnsi="Times New Roman" w:cs="Times New Roman"/>
          <w:kern w:val="0"/>
          <w:sz w:val="24"/>
          <w:szCs w:val="24"/>
          <w:lang w:eastAsia="en-GB"/>
          <w14:ligatures w14:val="none"/>
        </w:rPr>
        <w:t>. College of Policing. Available at: https://assets.college.police.uk/s3fs-public/2021-02/code_of_ethics.pdf [Accessed 7 Aug. 2023].</w:t>
      </w:r>
    </w:p>
    <w:p w14:paraId="63F68424"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College of Policing (2015). </w:t>
      </w:r>
      <w:r w:rsidRPr="0008603E">
        <w:rPr>
          <w:rFonts w:ascii="Times New Roman" w:eastAsia="Times New Roman" w:hAnsi="Times New Roman" w:cs="Times New Roman"/>
          <w:i/>
          <w:iCs/>
          <w:kern w:val="0"/>
          <w:sz w:val="24"/>
          <w:szCs w:val="24"/>
          <w:lang w:eastAsia="en-GB"/>
          <w14:ligatures w14:val="none"/>
        </w:rPr>
        <w:t>Neighbourhood Watch</w:t>
      </w:r>
      <w:r w:rsidRPr="0008603E">
        <w:rPr>
          <w:rFonts w:ascii="Times New Roman" w:eastAsia="Times New Roman" w:hAnsi="Times New Roman" w:cs="Times New Roman"/>
          <w:kern w:val="0"/>
          <w:sz w:val="24"/>
          <w:szCs w:val="24"/>
          <w:lang w:eastAsia="en-GB"/>
          <w14:ligatures w14:val="none"/>
        </w:rPr>
        <w:t>. [online] College of Policing. Available at: https://www.college.police.uk/research/crime-reduction-toolkit/neighbourhood-watch#:~:text=Neighbourhood%20Watch%20schemes%20aim%20to [Accessed 7 Sep. 2023].</w:t>
      </w:r>
    </w:p>
    <w:p w14:paraId="03384C8C"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College of Policing (2021). </w:t>
      </w:r>
      <w:r w:rsidRPr="0008603E">
        <w:rPr>
          <w:rFonts w:ascii="Times New Roman" w:eastAsia="Times New Roman" w:hAnsi="Times New Roman" w:cs="Times New Roman"/>
          <w:i/>
          <w:iCs/>
          <w:kern w:val="0"/>
          <w:sz w:val="24"/>
          <w:szCs w:val="24"/>
          <w:lang w:eastAsia="en-GB"/>
          <w14:ligatures w14:val="none"/>
        </w:rPr>
        <w:t>Phase 2 – managing critical incidents</w:t>
      </w:r>
      <w:r w:rsidRPr="0008603E">
        <w:rPr>
          <w:rFonts w:ascii="Times New Roman" w:eastAsia="Times New Roman" w:hAnsi="Times New Roman" w:cs="Times New Roman"/>
          <w:kern w:val="0"/>
          <w:sz w:val="24"/>
          <w:szCs w:val="24"/>
          <w:lang w:eastAsia="en-GB"/>
          <w14:ligatures w14:val="none"/>
        </w:rPr>
        <w:t>. [online] College of Policing. Available at: https://www.college.police.uk/app/critical-incident-management/phase-2-managing-critical-incidents [Accessed 5 Sep. 2023].</w:t>
      </w:r>
    </w:p>
    <w:p w14:paraId="21DD46D1"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College of Policing (2022a). </w:t>
      </w:r>
      <w:r w:rsidRPr="0008603E">
        <w:rPr>
          <w:rFonts w:ascii="Times New Roman" w:eastAsia="Times New Roman" w:hAnsi="Times New Roman" w:cs="Times New Roman"/>
          <w:i/>
          <w:iCs/>
          <w:kern w:val="0"/>
          <w:sz w:val="24"/>
          <w:szCs w:val="24"/>
          <w:lang w:eastAsia="en-GB"/>
          <w14:ligatures w14:val="none"/>
        </w:rPr>
        <w:t>Engagement and communication</w:t>
      </w:r>
      <w:r w:rsidRPr="0008603E">
        <w:rPr>
          <w:rFonts w:ascii="Times New Roman" w:eastAsia="Times New Roman" w:hAnsi="Times New Roman" w:cs="Times New Roman"/>
          <w:kern w:val="0"/>
          <w:sz w:val="24"/>
          <w:szCs w:val="24"/>
          <w:lang w:eastAsia="en-GB"/>
          <w14:ligatures w14:val="none"/>
        </w:rPr>
        <w:t>. [online] College of Policing. Available at: https://www.college.police.uk/app/engagement-and-communication [Accessed 4 Sep. 2023].</w:t>
      </w:r>
    </w:p>
    <w:p w14:paraId="40F27CFF"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College of Policing (2022b). </w:t>
      </w:r>
      <w:r w:rsidRPr="0008603E">
        <w:rPr>
          <w:rFonts w:ascii="Times New Roman" w:eastAsia="Times New Roman" w:hAnsi="Times New Roman" w:cs="Times New Roman"/>
          <w:i/>
          <w:iCs/>
          <w:kern w:val="0"/>
          <w:sz w:val="24"/>
          <w:szCs w:val="24"/>
          <w:lang w:eastAsia="en-GB"/>
          <w14:ligatures w14:val="none"/>
        </w:rPr>
        <w:t>Police Race Action Plan Improving policing for Black people</w:t>
      </w:r>
      <w:r w:rsidRPr="0008603E">
        <w:rPr>
          <w:rFonts w:ascii="Times New Roman" w:eastAsia="Times New Roman" w:hAnsi="Times New Roman" w:cs="Times New Roman"/>
          <w:kern w:val="0"/>
          <w:sz w:val="24"/>
          <w:szCs w:val="24"/>
          <w:lang w:eastAsia="en-GB"/>
          <w14:ligatures w14:val="none"/>
        </w:rPr>
        <w:t>. [online] Available at: https://assets.college.police.uk/s3fs-public/Police-Race-Action-Plan.pdf [Accessed 9 Aug. 2023].</w:t>
      </w:r>
    </w:p>
    <w:p w14:paraId="31B20E8A"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Dazed (2023). </w:t>
      </w:r>
      <w:r w:rsidRPr="0008603E">
        <w:rPr>
          <w:rFonts w:ascii="Times New Roman" w:eastAsia="Times New Roman" w:hAnsi="Times New Roman" w:cs="Times New Roman"/>
          <w:i/>
          <w:iCs/>
          <w:kern w:val="0"/>
          <w:sz w:val="24"/>
          <w:szCs w:val="24"/>
          <w:lang w:eastAsia="en-GB"/>
          <w14:ligatures w14:val="none"/>
        </w:rPr>
        <w:t>Cardiff riots: what caused the violence in Ely last night?</w:t>
      </w:r>
      <w:r w:rsidRPr="0008603E">
        <w:rPr>
          <w:rFonts w:ascii="Times New Roman" w:eastAsia="Times New Roman" w:hAnsi="Times New Roman" w:cs="Times New Roman"/>
          <w:kern w:val="0"/>
          <w:sz w:val="24"/>
          <w:szCs w:val="24"/>
          <w:lang w:eastAsia="en-GB"/>
          <w14:ligatures w14:val="none"/>
        </w:rPr>
        <w:t xml:space="preserve"> [online] Dazed. Available at: https://www.dazeddigital.com/life-culture/article/59917/1/cardiff-riots-violence-ely-wales-police-may-2023 [Accessed 4 Sep. 2023].</w:t>
      </w:r>
    </w:p>
    <w:p w14:paraId="16E49E0D"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Foster, J., Newburn, T. and Souhami, A. (2005). </w:t>
      </w:r>
      <w:r w:rsidRPr="0008603E">
        <w:rPr>
          <w:rFonts w:ascii="Times New Roman" w:eastAsia="Times New Roman" w:hAnsi="Times New Roman" w:cs="Times New Roman"/>
          <w:i/>
          <w:iCs/>
          <w:kern w:val="0"/>
          <w:sz w:val="24"/>
          <w:szCs w:val="24"/>
          <w:lang w:eastAsia="en-GB"/>
          <w14:ligatures w14:val="none"/>
        </w:rPr>
        <w:t>Assessing the impact of the Stephen Lawrence Inquiry</w:t>
      </w:r>
      <w:r w:rsidRPr="0008603E">
        <w:rPr>
          <w:rFonts w:ascii="Times New Roman" w:eastAsia="Times New Roman" w:hAnsi="Times New Roman" w:cs="Times New Roman"/>
          <w:kern w:val="0"/>
          <w:sz w:val="24"/>
          <w:szCs w:val="24"/>
          <w:lang w:eastAsia="en-GB"/>
          <w14:ligatures w14:val="none"/>
        </w:rPr>
        <w:t>. [online] politieacademie. Available at: https://www.politieacademie.nl/kennisenonderzoek/kennis/mediatheek/PDF/45875.pdf [Accessed 12 Aug. 2023].</w:t>
      </w:r>
    </w:p>
    <w:p w14:paraId="5B900B00"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Gov.uk (2022). </w:t>
      </w:r>
      <w:r w:rsidRPr="0008603E">
        <w:rPr>
          <w:rFonts w:ascii="Times New Roman" w:eastAsia="Times New Roman" w:hAnsi="Times New Roman" w:cs="Times New Roman"/>
          <w:i/>
          <w:iCs/>
          <w:kern w:val="0"/>
          <w:sz w:val="24"/>
          <w:szCs w:val="24"/>
          <w:lang w:eastAsia="en-GB"/>
          <w14:ligatures w14:val="none"/>
        </w:rPr>
        <w:t>Stop and search</w:t>
      </w:r>
      <w:r w:rsidRPr="0008603E">
        <w:rPr>
          <w:rFonts w:ascii="Times New Roman" w:eastAsia="Times New Roman" w:hAnsi="Times New Roman" w:cs="Times New Roman"/>
          <w:kern w:val="0"/>
          <w:sz w:val="24"/>
          <w:szCs w:val="24"/>
          <w:lang w:eastAsia="en-GB"/>
          <w14:ligatures w14:val="none"/>
        </w:rPr>
        <w:t>. [online] www.ethnicity-facts-figures.service.gov.uk. Available at: https://www.ethnicity-facts-figures.service.gov.uk/crime-justice-and-the-law/policing/stop-and-search/latest#:~:text=Summary%20of%20Stop%20and%20search%20By%20ethnicity%20Summary&amp;text=data%20shows%20that%3A- [Accessed 7 Aug. 2023].</w:t>
      </w:r>
    </w:p>
    <w:p w14:paraId="4002D445"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lastRenderedPageBreak/>
        <w:t xml:space="preserve">Government Equalities Office (2013). </w:t>
      </w:r>
      <w:r w:rsidRPr="0008603E">
        <w:rPr>
          <w:rFonts w:ascii="Times New Roman" w:eastAsia="Times New Roman" w:hAnsi="Times New Roman" w:cs="Times New Roman"/>
          <w:i/>
          <w:iCs/>
          <w:kern w:val="0"/>
          <w:sz w:val="24"/>
          <w:szCs w:val="24"/>
          <w:lang w:eastAsia="en-GB"/>
          <w14:ligatures w14:val="none"/>
        </w:rPr>
        <w:t>Equality Act 2010: guidance</w:t>
      </w:r>
      <w:r w:rsidRPr="0008603E">
        <w:rPr>
          <w:rFonts w:ascii="Times New Roman" w:eastAsia="Times New Roman" w:hAnsi="Times New Roman" w:cs="Times New Roman"/>
          <w:kern w:val="0"/>
          <w:sz w:val="24"/>
          <w:szCs w:val="24"/>
          <w:lang w:eastAsia="en-GB"/>
          <w14:ligatures w14:val="none"/>
        </w:rPr>
        <w:t>. [online] GOV.UK. Available at: https://www.gov.uk/guidance/equality-act-2010-guidance#overview [Accessed 7 Aug. 2023].</w:t>
      </w:r>
    </w:p>
    <w:p w14:paraId="479629AB"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Hills, J. (2021). </w:t>
      </w:r>
      <w:r w:rsidRPr="0008603E">
        <w:rPr>
          <w:rFonts w:ascii="Times New Roman" w:eastAsia="Times New Roman" w:hAnsi="Times New Roman" w:cs="Times New Roman"/>
          <w:i/>
          <w:iCs/>
          <w:kern w:val="0"/>
          <w:sz w:val="24"/>
          <w:szCs w:val="24"/>
          <w:lang w:eastAsia="en-GB"/>
          <w14:ligatures w14:val="none"/>
        </w:rPr>
        <w:t>The Macpherson Report: Twenty-two years on - Home Affairs Committee - House of Commons</w:t>
      </w:r>
      <w:r w:rsidRPr="0008603E">
        <w:rPr>
          <w:rFonts w:ascii="Times New Roman" w:eastAsia="Times New Roman" w:hAnsi="Times New Roman" w:cs="Times New Roman"/>
          <w:kern w:val="0"/>
          <w:sz w:val="24"/>
          <w:szCs w:val="24"/>
          <w:lang w:eastAsia="en-GB"/>
          <w14:ligatures w14:val="none"/>
        </w:rPr>
        <w:t>. [online] publications.parliament.uk. Available at: https://publications.parliament.uk/pa/cm5802/cmselect/cmhaff/139/13907.htm [Accessed 21 Aug. 2023].</w:t>
      </w:r>
    </w:p>
    <w:p w14:paraId="66C94D5A"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Jameel, L. and Bunn, S. (2013). </w:t>
      </w:r>
      <w:r w:rsidRPr="0008603E">
        <w:rPr>
          <w:rFonts w:ascii="Times New Roman" w:eastAsia="Times New Roman" w:hAnsi="Times New Roman" w:cs="Times New Roman"/>
          <w:i/>
          <w:iCs/>
          <w:kern w:val="0"/>
          <w:sz w:val="24"/>
          <w:szCs w:val="24"/>
          <w:lang w:eastAsia="en-GB"/>
          <w14:ligatures w14:val="none"/>
        </w:rPr>
        <w:t>Body-Worn Video in UK Policing</w:t>
      </w:r>
      <w:r w:rsidRPr="0008603E">
        <w:rPr>
          <w:rFonts w:ascii="Times New Roman" w:eastAsia="Times New Roman" w:hAnsi="Times New Roman" w:cs="Times New Roman"/>
          <w:kern w:val="0"/>
          <w:sz w:val="24"/>
          <w:szCs w:val="24"/>
          <w:lang w:eastAsia="en-GB"/>
          <w14:ligatures w14:val="none"/>
        </w:rPr>
        <w:t>. [online] Parliament.uk. Available at: https://researchbriefings.files.parliament.uk/documents/POST-PB-0014/POST-PB-0014.pdf [Accessed 5 Sep. 2023].</w:t>
      </w:r>
    </w:p>
    <w:p w14:paraId="53A9536E"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legislation.gov.uk (1984). </w:t>
      </w:r>
      <w:r w:rsidRPr="0008603E">
        <w:rPr>
          <w:rFonts w:ascii="Times New Roman" w:eastAsia="Times New Roman" w:hAnsi="Times New Roman" w:cs="Times New Roman"/>
          <w:i/>
          <w:iCs/>
          <w:kern w:val="0"/>
          <w:sz w:val="24"/>
          <w:szCs w:val="24"/>
          <w:lang w:eastAsia="en-GB"/>
          <w14:ligatures w14:val="none"/>
        </w:rPr>
        <w:t>Police and Criminal Evidence Act 1984</w:t>
      </w:r>
      <w:r w:rsidRPr="0008603E">
        <w:rPr>
          <w:rFonts w:ascii="Times New Roman" w:eastAsia="Times New Roman" w:hAnsi="Times New Roman" w:cs="Times New Roman"/>
          <w:kern w:val="0"/>
          <w:sz w:val="24"/>
          <w:szCs w:val="24"/>
          <w:lang w:eastAsia="en-GB"/>
          <w14:ligatures w14:val="none"/>
        </w:rPr>
        <w:t>. [online] Legislation.gov.uk. Available at: https://www.legislation.gov.uk/ukpga/1984/60/section/1 [Accessed 7 Aug. 2023].</w:t>
      </w:r>
    </w:p>
    <w:p w14:paraId="21F285B8"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Meade, L. and Nickolls, lauren (2023). </w:t>
      </w:r>
      <w:r w:rsidRPr="0008603E">
        <w:rPr>
          <w:rFonts w:ascii="Times New Roman" w:eastAsia="Times New Roman" w:hAnsi="Times New Roman" w:cs="Times New Roman"/>
          <w:i/>
          <w:iCs/>
          <w:kern w:val="0"/>
          <w:sz w:val="24"/>
          <w:szCs w:val="24"/>
          <w:lang w:eastAsia="en-GB"/>
          <w14:ligatures w14:val="none"/>
        </w:rPr>
        <w:t>Metropolitan Police investigation into the murder of Stephen Lawrence</w:t>
      </w:r>
      <w:r w:rsidRPr="0008603E">
        <w:rPr>
          <w:rFonts w:ascii="Times New Roman" w:eastAsia="Times New Roman" w:hAnsi="Times New Roman" w:cs="Times New Roman"/>
          <w:kern w:val="0"/>
          <w:sz w:val="24"/>
          <w:szCs w:val="24"/>
          <w:lang w:eastAsia="en-GB"/>
          <w14:ligatures w14:val="none"/>
        </w:rPr>
        <w:t>. [online] House of Commons Library. Available at: https://commonslibrary.parliament.uk/research-briefings/cdp-2023-0160/#:~:text=The%20final%20Macpherson%20inquiry%20report,of%20leadership%20by%20senior%20officers.%E2%80%9D [Accessed 12 Aug. 2023].</w:t>
      </w:r>
    </w:p>
    <w:p w14:paraId="7000A6C1"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Munro, T.O. (2022). </w:t>
      </w:r>
      <w:r w:rsidRPr="0008603E">
        <w:rPr>
          <w:rFonts w:ascii="Times New Roman" w:eastAsia="Times New Roman" w:hAnsi="Times New Roman" w:cs="Times New Roman"/>
          <w:i/>
          <w:iCs/>
          <w:kern w:val="0"/>
          <w:sz w:val="24"/>
          <w:szCs w:val="24"/>
          <w:lang w:eastAsia="en-GB"/>
          <w14:ligatures w14:val="none"/>
        </w:rPr>
        <w:t>Why it is important we have a diverse police service</w:t>
      </w:r>
      <w:r w:rsidRPr="0008603E">
        <w:rPr>
          <w:rFonts w:ascii="Times New Roman" w:eastAsia="Times New Roman" w:hAnsi="Times New Roman" w:cs="Times New Roman"/>
          <w:kern w:val="0"/>
          <w:sz w:val="24"/>
          <w:szCs w:val="24"/>
          <w:lang w:eastAsia="en-GB"/>
          <w14:ligatures w14:val="none"/>
        </w:rPr>
        <w:t>. [online] allpolicejobs.co.uk. Available at: https://allpolicejobs.co.uk/blog/why-it-is-important-we-have-a-diverse-police-service [Accessed 13 Aug. 2023].</w:t>
      </w:r>
    </w:p>
    <w:p w14:paraId="640A1BD1"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Nix, J., Wolfe, S.E., Rojek, J. and Kaminski, R.J. (2014). Trust in the Police. </w:t>
      </w:r>
      <w:r w:rsidRPr="0008603E">
        <w:rPr>
          <w:rFonts w:ascii="Times New Roman" w:eastAsia="Times New Roman" w:hAnsi="Times New Roman" w:cs="Times New Roman"/>
          <w:i/>
          <w:iCs/>
          <w:kern w:val="0"/>
          <w:sz w:val="24"/>
          <w:szCs w:val="24"/>
          <w:lang w:eastAsia="en-GB"/>
          <w14:ligatures w14:val="none"/>
        </w:rPr>
        <w:t>Crime &amp; Delinquency</w:t>
      </w:r>
      <w:r w:rsidRPr="0008603E">
        <w:rPr>
          <w:rFonts w:ascii="Times New Roman" w:eastAsia="Times New Roman" w:hAnsi="Times New Roman" w:cs="Times New Roman"/>
          <w:kern w:val="0"/>
          <w:sz w:val="24"/>
          <w:szCs w:val="24"/>
          <w:lang w:eastAsia="en-GB"/>
          <w14:ligatures w14:val="none"/>
        </w:rPr>
        <w:t>, 61(4), pp.610–640. doi:https://doi.org/10.1177/0011128714530548.</w:t>
      </w:r>
    </w:p>
    <w:p w14:paraId="72DA1BBB"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Sampson, R.J. and Bartusch, D.J. (1998). Legal Cynicism and (Subcultural?) Tolerance of Deviance: the Neighborhood Context of Racial Differences. </w:t>
      </w:r>
      <w:r w:rsidRPr="0008603E">
        <w:rPr>
          <w:rFonts w:ascii="Times New Roman" w:eastAsia="Times New Roman" w:hAnsi="Times New Roman" w:cs="Times New Roman"/>
          <w:i/>
          <w:iCs/>
          <w:kern w:val="0"/>
          <w:sz w:val="24"/>
          <w:szCs w:val="24"/>
          <w:lang w:eastAsia="en-GB"/>
          <w14:ligatures w14:val="none"/>
        </w:rPr>
        <w:t>Law &amp; Society Review</w:t>
      </w:r>
      <w:r w:rsidRPr="0008603E">
        <w:rPr>
          <w:rFonts w:ascii="Times New Roman" w:eastAsia="Times New Roman" w:hAnsi="Times New Roman" w:cs="Times New Roman"/>
          <w:kern w:val="0"/>
          <w:sz w:val="24"/>
          <w:szCs w:val="24"/>
          <w:lang w:eastAsia="en-GB"/>
          <w14:ligatures w14:val="none"/>
        </w:rPr>
        <w:t>, [online] 32(4), p.777. doi:https://doi.org/10.2307/827739.</w:t>
      </w:r>
    </w:p>
    <w:p w14:paraId="3466C9F9"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Servaes, S., Choudhury, P. and Parikh, A.K. (2022). What is diversity? </w:t>
      </w:r>
      <w:r w:rsidRPr="0008603E">
        <w:rPr>
          <w:rFonts w:ascii="Times New Roman" w:eastAsia="Times New Roman" w:hAnsi="Times New Roman" w:cs="Times New Roman"/>
          <w:i/>
          <w:iCs/>
          <w:kern w:val="0"/>
          <w:sz w:val="24"/>
          <w:szCs w:val="24"/>
          <w:lang w:eastAsia="en-GB"/>
          <w14:ligatures w14:val="none"/>
        </w:rPr>
        <w:t>Pediatric Radiology</w:t>
      </w:r>
      <w:r w:rsidRPr="0008603E">
        <w:rPr>
          <w:rFonts w:ascii="Times New Roman" w:eastAsia="Times New Roman" w:hAnsi="Times New Roman" w:cs="Times New Roman"/>
          <w:kern w:val="0"/>
          <w:sz w:val="24"/>
          <w:szCs w:val="24"/>
          <w:lang w:eastAsia="en-GB"/>
          <w14:ligatures w14:val="none"/>
        </w:rPr>
        <w:t>, [online] 52(9). doi:https://doi.org/10.1007/s00247-022-05356-0.</w:t>
      </w:r>
    </w:p>
    <w:p w14:paraId="665F24CE"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lastRenderedPageBreak/>
        <w:t xml:space="preserve">Siddique, H. (2016). Who was Jean Charles de Menezes? </w:t>
      </w:r>
      <w:r w:rsidRPr="0008603E">
        <w:rPr>
          <w:rFonts w:ascii="Times New Roman" w:eastAsia="Times New Roman" w:hAnsi="Times New Roman" w:cs="Times New Roman"/>
          <w:i/>
          <w:iCs/>
          <w:kern w:val="0"/>
          <w:sz w:val="24"/>
          <w:szCs w:val="24"/>
          <w:lang w:eastAsia="en-GB"/>
          <w14:ligatures w14:val="none"/>
        </w:rPr>
        <w:t>The Guardian</w:t>
      </w:r>
      <w:r w:rsidRPr="0008603E">
        <w:rPr>
          <w:rFonts w:ascii="Times New Roman" w:eastAsia="Times New Roman" w:hAnsi="Times New Roman" w:cs="Times New Roman"/>
          <w:kern w:val="0"/>
          <w:sz w:val="24"/>
          <w:szCs w:val="24"/>
          <w:lang w:eastAsia="en-GB"/>
          <w14:ligatures w14:val="none"/>
        </w:rPr>
        <w:t>. [online] 30 Mar. Available at: https://www.theguardian.com/uk-news/2016/mar/30/jean-charles-de-menezes-your-questions-answered [Accessed 9 Aug. 2023].</w:t>
      </w:r>
    </w:p>
    <w:p w14:paraId="6B13DA62"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Sky News (2023). </w:t>
      </w:r>
      <w:r w:rsidRPr="0008603E">
        <w:rPr>
          <w:rFonts w:ascii="Times New Roman" w:eastAsia="Times New Roman" w:hAnsi="Times New Roman" w:cs="Times New Roman"/>
          <w:i/>
          <w:iCs/>
          <w:kern w:val="0"/>
          <w:sz w:val="24"/>
          <w:szCs w:val="24"/>
          <w:lang w:eastAsia="en-GB"/>
          <w14:ligatures w14:val="none"/>
        </w:rPr>
        <w:t>How ‘intricacies’ of local knowledge could help find Nicola Bulley, as police struggle with ‘toxic’ public interest</w:t>
      </w:r>
      <w:r w:rsidRPr="0008603E">
        <w:rPr>
          <w:rFonts w:ascii="Times New Roman" w:eastAsia="Times New Roman" w:hAnsi="Times New Roman" w:cs="Times New Roman"/>
          <w:kern w:val="0"/>
          <w:sz w:val="24"/>
          <w:szCs w:val="24"/>
          <w:lang w:eastAsia="en-GB"/>
          <w14:ligatures w14:val="none"/>
        </w:rPr>
        <w:t>. [online] Sky News. Available at: https://news.sky.com/story/armchair-detectives-in-cases-like-nicola-bulleys-could-be-crucial-but-must-be-managed-ex-detective-warns-12810006 [Accessed 8 Sep. 2023].</w:t>
      </w:r>
    </w:p>
    <w:p w14:paraId="73ADE2DA"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UK Parliament (2021). </w:t>
      </w:r>
      <w:r w:rsidRPr="0008603E">
        <w:rPr>
          <w:rFonts w:ascii="Times New Roman" w:eastAsia="Times New Roman" w:hAnsi="Times New Roman" w:cs="Times New Roman"/>
          <w:i/>
          <w:iCs/>
          <w:kern w:val="0"/>
          <w:sz w:val="24"/>
          <w:szCs w:val="24"/>
          <w:lang w:eastAsia="en-GB"/>
          <w14:ligatures w14:val="none"/>
        </w:rPr>
        <w:t>The Macpherson Report: Twenty-two years on - Home Affairs Committee - House of Commons</w:t>
      </w:r>
      <w:r w:rsidRPr="0008603E">
        <w:rPr>
          <w:rFonts w:ascii="Times New Roman" w:eastAsia="Times New Roman" w:hAnsi="Times New Roman" w:cs="Times New Roman"/>
          <w:kern w:val="0"/>
          <w:sz w:val="24"/>
          <w:szCs w:val="24"/>
          <w:lang w:eastAsia="en-GB"/>
          <w14:ligatures w14:val="none"/>
        </w:rPr>
        <w:t>. [online] publications.parliament.uk. Available at: https://publications.parliament.uk/pa/cm5802/cmselect/cmhaff/139/13903.htm [Accessed 7 Sep. 2023].</w:t>
      </w:r>
    </w:p>
    <w:p w14:paraId="70E4ABC5" w14:textId="77777777" w:rsidR="0008603E" w:rsidRPr="0008603E" w:rsidRDefault="0008603E" w:rsidP="0008603E">
      <w:pPr>
        <w:spacing w:after="240" w:line="360" w:lineRule="auto"/>
        <w:rPr>
          <w:rFonts w:ascii="Times New Roman" w:eastAsia="Times New Roman" w:hAnsi="Times New Roman" w:cs="Times New Roman"/>
          <w:kern w:val="0"/>
          <w:sz w:val="24"/>
          <w:szCs w:val="24"/>
          <w:lang w:eastAsia="en-GB"/>
          <w14:ligatures w14:val="none"/>
        </w:rPr>
      </w:pPr>
      <w:r w:rsidRPr="0008603E">
        <w:rPr>
          <w:rFonts w:ascii="Times New Roman" w:eastAsia="Times New Roman" w:hAnsi="Times New Roman" w:cs="Times New Roman"/>
          <w:kern w:val="0"/>
          <w:sz w:val="24"/>
          <w:szCs w:val="24"/>
          <w:lang w:eastAsia="en-GB"/>
          <w14:ligatures w14:val="none"/>
        </w:rPr>
        <w:t xml:space="preserve">Victim Support (2019). </w:t>
      </w:r>
      <w:r w:rsidRPr="0008603E">
        <w:rPr>
          <w:rFonts w:ascii="Times New Roman" w:eastAsia="Times New Roman" w:hAnsi="Times New Roman" w:cs="Times New Roman"/>
          <w:i/>
          <w:iCs/>
          <w:kern w:val="0"/>
          <w:sz w:val="24"/>
          <w:szCs w:val="24"/>
          <w:lang w:eastAsia="en-GB"/>
          <w14:ligatures w14:val="none"/>
        </w:rPr>
        <w:t>Language barriers in the criminal justice system Initial research findings relating to victims and witnesses</w:t>
      </w:r>
      <w:r w:rsidRPr="0008603E">
        <w:rPr>
          <w:rFonts w:ascii="Times New Roman" w:eastAsia="Times New Roman" w:hAnsi="Times New Roman" w:cs="Times New Roman"/>
          <w:kern w:val="0"/>
          <w:sz w:val="24"/>
          <w:szCs w:val="24"/>
          <w:lang w:eastAsia="en-GB"/>
          <w14:ligatures w14:val="none"/>
        </w:rPr>
        <w:t xml:space="preserve">. [online] </w:t>
      </w:r>
      <w:r w:rsidRPr="0008603E">
        <w:rPr>
          <w:rFonts w:ascii="Times New Roman" w:eastAsia="Times New Roman" w:hAnsi="Times New Roman" w:cs="Times New Roman"/>
          <w:i/>
          <w:iCs/>
          <w:kern w:val="0"/>
          <w:sz w:val="24"/>
          <w:szCs w:val="24"/>
          <w:lang w:eastAsia="en-GB"/>
          <w14:ligatures w14:val="none"/>
        </w:rPr>
        <w:t>Victim Support</w:t>
      </w:r>
      <w:r w:rsidRPr="0008603E">
        <w:rPr>
          <w:rFonts w:ascii="Times New Roman" w:eastAsia="Times New Roman" w:hAnsi="Times New Roman" w:cs="Times New Roman"/>
          <w:kern w:val="0"/>
          <w:sz w:val="24"/>
          <w:szCs w:val="24"/>
          <w:lang w:eastAsia="en-GB"/>
          <w14:ligatures w14:val="none"/>
        </w:rPr>
        <w:t>. Available at: https://www.victimsupport.org.uk/wp-content/uploads/2021/03/VS_Briefing_VictimsLanguageBarriersintheCJS_February2021.pdf [Accessed 7 Aug. 2023].</w:t>
      </w:r>
    </w:p>
    <w:p w14:paraId="3DB80380" w14:textId="77777777" w:rsidR="0008603E" w:rsidRPr="001B28B3" w:rsidRDefault="0008603E" w:rsidP="00F63549">
      <w:pPr>
        <w:spacing w:before="240" w:after="240" w:line="360" w:lineRule="auto"/>
        <w:rPr>
          <w:rFonts w:ascii="Arial" w:eastAsia="Arial" w:hAnsi="Arial" w:cs="Arial"/>
          <w:b/>
          <w:bCs/>
          <w:color w:val="252525"/>
          <w:sz w:val="24"/>
          <w:szCs w:val="24"/>
        </w:rPr>
      </w:pPr>
    </w:p>
    <w:sectPr w:rsidR="0008603E" w:rsidRPr="001B28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50B96"/>
    <w:rsid w:val="000456B7"/>
    <w:rsid w:val="0008603E"/>
    <w:rsid w:val="00150B96"/>
    <w:rsid w:val="001B28B3"/>
    <w:rsid w:val="001D18C5"/>
    <w:rsid w:val="00445CF7"/>
    <w:rsid w:val="005D775A"/>
    <w:rsid w:val="007B78BE"/>
    <w:rsid w:val="00B716EB"/>
    <w:rsid w:val="00D75739"/>
    <w:rsid w:val="00D82502"/>
    <w:rsid w:val="00F22D61"/>
    <w:rsid w:val="00F63549"/>
    <w:rsid w:val="00FA1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4A03E"/>
  <w15:chartTrackingRefBased/>
  <w15:docId w15:val="{BF4C4B74-A8CA-45A2-B036-66C2C08D1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5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63549"/>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F63549"/>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99070">
      <w:bodyDiv w:val="1"/>
      <w:marLeft w:val="0"/>
      <w:marRight w:val="0"/>
      <w:marTop w:val="0"/>
      <w:marBottom w:val="0"/>
      <w:divBdr>
        <w:top w:val="none" w:sz="0" w:space="0" w:color="auto"/>
        <w:left w:val="none" w:sz="0" w:space="0" w:color="auto"/>
        <w:bottom w:val="none" w:sz="0" w:space="0" w:color="auto"/>
        <w:right w:val="none" w:sz="0" w:space="0" w:color="auto"/>
      </w:divBdr>
      <w:divsChild>
        <w:div w:id="14953673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16</Pages>
  <Words>5101</Words>
  <Characters>29080</Characters>
  <Application>Microsoft Office Word</Application>
  <DocSecurity>0</DocSecurity>
  <Lines>242</Lines>
  <Paragraphs>68</Paragraphs>
  <ScaleCrop>false</ScaleCrop>
  <Company/>
  <LinksUpToDate>false</LinksUpToDate>
  <CharactersWithSpaces>34113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Rees,Kieran swp8184</dc:creator>
  <cp:keywords/>
  <dc:description/>
  <cp:lastModifiedBy>Rees,Kieran swp8184</cp:lastModifiedBy>
  <cp:revision>13</cp:revision>
  <dcterms:created xsi:type="dcterms:W3CDTF">2023-09-10T19:00:00Z</dcterms:created>
  <dcterms:modified xsi:type="dcterms:W3CDTF">2023-09-11T15:10:00Z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2023-09-10T19:03:18Z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f9e48ae4-385d-45c4-a8d3-ee0d4b41ad95</vt:lpwstr>
  </property>
  <property fmtid="{D5CDD505-2E9C-101B-9397-08002B2CF9AE}" pid="8" name="MSIP_Label_66cf8fe5-b7b7-4df7-b38d-1c61ac2f6639_ContentBits">
    <vt:lpwstr>0</vt:lpwstr>
  </property>
</Properties>
</file>