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491DE" w14:textId="77777777" w:rsidR="00157D3C" w:rsidRDefault="00157D3C" w:rsidP="00157D3C">
      <w:pPr>
        <w:spacing w:line="360" w:lineRule="auto"/>
        <w:jc w:val="both"/>
        <w:rPr>
          <w:rFonts w:ascii="Arial" w:eastAsia="Calibri" w:hAnsi="Arial" w:cs="Arial"/>
          <w:sz w:val="36"/>
          <w:szCs w:val="36"/>
        </w:rPr>
      </w:pPr>
      <w:r>
        <w:rPr>
          <w:rFonts w:ascii="Arial" w:eastAsia="Calibri" w:hAnsi="Arial" w:cs="Arial"/>
          <w:sz w:val="36"/>
          <w:szCs w:val="36"/>
        </w:rPr>
        <w:t xml:space="preserve">The role of Corporate Social Responsibility within the          </w:t>
      </w:r>
    </w:p>
    <w:p w14:paraId="0E1A4674" w14:textId="667B6410" w:rsidR="00157D3C" w:rsidRPr="00157D3C" w:rsidRDefault="00157D3C" w:rsidP="00157D3C">
      <w:pPr>
        <w:spacing w:line="360" w:lineRule="auto"/>
        <w:jc w:val="both"/>
        <w:rPr>
          <w:rFonts w:ascii="Arial" w:eastAsia="Calibri" w:hAnsi="Arial" w:cs="Arial"/>
          <w:sz w:val="36"/>
          <w:szCs w:val="36"/>
        </w:rPr>
      </w:pPr>
      <w:r>
        <w:rPr>
          <w:rFonts w:ascii="Arial" w:eastAsia="Calibri" w:hAnsi="Arial" w:cs="Arial"/>
          <w:sz w:val="36"/>
          <w:szCs w:val="36"/>
        </w:rPr>
        <w:t xml:space="preserve">                        hospitality industry</w:t>
      </w:r>
    </w:p>
    <w:p w14:paraId="205680DD" w14:textId="77777777" w:rsidR="00157D3C" w:rsidRDefault="00157D3C" w:rsidP="00157D3C">
      <w:pPr>
        <w:spacing w:line="360" w:lineRule="auto"/>
        <w:jc w:val="both"/>
        <w:rPr>
          <w:rFonts w:ascii="Arial" w:eastAsia="Calibri" w:hAnsi="Arial" w:cs="Arial"/>
          <w:sz w:val="24"/>
          <w:szCs w:val="24"/>
        </w:rPr>
      </w:pPr>
    </w:p>
    <w:p w14:paraId="0A619EF2" w14:textId="1C874CC0" w:rsidR="00157D3C" w:rsidRPr="00157D3C" w:rsidRDefault="00157D3C" w:rsidP="00157D3C">
      <w:pPr>
        <w:spacing w:line="360" w:lineRule="auto"/>
        <w:jc w:val="both"/>
        <w:rPr>
          <w:rFonts w:ascii="Aharoni" w:eastAsia="Calibri" w:hAnsi="Aharoni" w:cs="Aharoni" w:hint="cs"/>
          <w:sz w:val="36"/>
          <w:szCs w:val="36"/>
        </w:rPr>
      </w:pPr>
      <w:r>
        <w:rPr>
          <w:rFonts w:ascii="Arial" w:eastAsia="Calibri" w:hAnsi="Arial" w:cs="Arial"/>
          <w:sz w:val="24"/>
          <w:szCs w:val="24"/>
        </w:rPr>
        <w:t xml:space="preserve">                                             </w:t>
      </w:r>
      <w:r>
        <w:rPr>
          <w:rFonts w:ascii="Aharoni" w:eastAsia="Calibri" w:hAnsi="Aharoni" w:cs="Aharoni"/>
          <w:sz w:val="36"/>
          <w:szCs w:val="36"/>
        </w:rPr>
        <w:t>Marriott</w:t>
      </w:r>
      <w:r>
        <w:rPr>
          <w:rFonts w:ascii="Arial" w:eastAsia="Calibri" w:hAnsi="Arial" w:cs="Arial"/>
          <w:sz w:val="24"/>
          <w:szCs w:val="24"/>
        </w:rPr>
        <w:t xml:space="preserve">      </w:t>
      </w:r>
    </w:p>
    <w:p w14:paraId="586DB2EF" w14:textId="77777777" w:rsidR="00157D3C" w:rsidRDefault="00157D3C" w:rsidP="00157D3C">
      <w:pPr>
        <w:spacing w:line="360" w:lineRule="auto"/>
        <w:jc w:val="both"/>
        <w:rPr>
          <w:rFonts w:ascii="Arial" w:eastAsia="Calibri" w:hAnsi="Arial" w:cs="Arial"/>
          <w:sz w:val="24"/>
          <w:szCs w:val="24"/>
        </w:rPr>
      </w:pPr>
    </w:p>
    <w:p w14:paraId="1E9E41CE" w14:textId="77777777" w:rsidR="00157D3C" w:rsidRDefault="00157D3C" w:rsidP="00157D3C">
      <w:pPr>
        <w:spacing w:line="360" w:lineRule="auto"/>
        <w:jc w:val="both"/>
        <w:rPr>
          <w:rFonts w:ascii="Arial" w:eastAsia="Calibri" w:hAnsi="Arial" w:cs="Arial"/>
          <w:sz w:val="24"/>
          <w:szCs w:val="24"/>
        </w:rPr>
      </w:pPr>
    </w:p>
    <w:p w14:paraId="5301A8C6" w14:textId="77777777" w:rsidR="00157D3C" w:rsidRDefault="00157D3C" w:rsidP="00157D3C">
      <w:pPr>
        <w:spacing w:line="360" w:lineRule="auto"/>
        <w:jc w:val="both"/>
        <w:rPr>
          <w:rFonts w:ascii="Arial" w:eastAsia="Calibri" w:hAnsi="Arial" w:cs="Arial"/>
          <w:sz w:val="24"/>
          <w:szCs w:val="24"/>
        </w:rPr>
      </w:pPr>
    </w:p>
    <w:p w14:paraId="08281F4D" w14:textId="77777777" w:rsidR="00157D3C" w:rsidRDefault="00157D3C" w:rsidP="00157D3C">
      <w:pPr>
        <w:spacing w:line="360" w:lineRule="auto"/>
        <w:jc w:val="both"/>
        <w:rPr>
          <w:rFonts w:ascii="Arial" w:eastAsia="Calibri" w:hAnsi="Arial" w:cs="Arial"/>
          <w:sz w:val="24"/>
          <w:szCs w:val="24"/>
        </w:rPr>
      </w:pPr>
    </w:p>
    <w:p w14:paraId="32E20A01" w14:textId="77777777" w:rsidR="00157D3C" w:rsidRDefault="00157D3C" w:rsidP="00157D3C">
      <w:pPr>
        <w:spacing w:line="360" w:lineRule="auto"/>
        <w:jc w:val="both"/>
        <w:rPr>
          <w:rFonts w:ascii="Arial" w:eastAsia="Calibri" w:hAnsi="Arial" w:cs="Arial"/>
          <w:sz w:val="24"/>
          <w:szCs w:val="24"/>
        </w:rPr>
      </w:pPr>
    </w:p>
    <w:p w14:paraId="27824C56" w14:textId="77777777" w:rsidR="00157D3C" w:rsidRDefault="00157D3C" w:rsidP="00157D3C">
      <w:pPr>
        <w:spacing w:line="360" w:lineRule="auto"/>
        <w:jc w:val="both"/>
        <w:rPr>
          <w:rFonts w:ascii="Arial" w:eastAsia="Calibri" w:hAnsi="Arial" w:cs="Arial"/>
          <w:sz w:val="24"/>
          <w:szCs w:val="24"/>
        </w:rPr>
      </w:pPr>
    </w:p>
    <w:p w14:paraId="260B10FF" w14:textId="77777777" w:rsidR="00F12953" w:rsidRDefault="00F12953" w:rsidP="00157D3C">
      <w:pPr>
        <w:spacing w:line="360" w:lineRule="auto"/>
        <w:jc w:val="both"/>
        <w:rPr>
          <w:rFonts w:ascii="Arial" w:eastAsia="Calibri" w:hAnsi="Arial" w:cs="Arial"/>
          <w:sz w:val="32"/>
          <w:szCs w:val="32"/>
        </w:rPr>
      </w:pPr>
    </w:p>
    <w:p w14:paraId="086392D4" w14:textId="77777777" w:rsidR="00F12953" w:rsidRDefault="00F12953" w:rsidP="00157D3C">
      <w:pPr>
        <w:spacing w:line="360" w:lineRule="auto"/>
        <w:jc w:val="both"/>
        <w:rPr>
          <w:rFonts w:ascii="Arial" w:eastAsia="Calibri" w:hAnsi="Arial" w:cs="Arial"/>
          <w:sz w:val="32"/>
          <w:szCs w:val="32"/>
        </w:rPr>
      </w:pPr>
    </w:p>
    <w:p w14:paraId="18D5C70E" w14:textId="77777777" w:rsidR="00F12953" w:rsidRDefault="00F12953" w:rsidP="00157D3C">
      <w:pPr>
        <w:spacing w:line="360" w:lineRule="auto"/>
        <w:jc w:val="both"/>
        <w:rPr>
          <w:rFonts w:ascii="Arial" w:eastAsia="Calibri" w:hAnsi="Arial" w:cs="Arial"/>
          <w:sz w:val="32"/>
          <w:szCs w:val="32"/>
        </w:rPr>
      </w:pPr>
    </w:p>
    <w:p w14:paraId="700A2FE9" w14:textId="77777777" w:rsidR="00F12953" w:rsidRDefault="00F12953" w:rsidP="00157D3C">
      <w:pPr>
        <w:spacing w:line="360" w:lineRule="auto"/>
        <w:jc w:val="both"/>
        <w:rPr>
          <w:rFonts w:ascii="Arial" w:eastAsia="Calibri" w:hAnsi="Arial" w:cs="Arial"/>
          <w:sz w:val="32"/>
          <w:szCs w:val="32"/>
        </w:rPr>
      </w:pPr>
    </w:p>
    <w:p w14:paraId="24E98C41" w14:textId="77777777" w:rsidR="00F12953" w:rsidRDefault="00F12953" w:rsidP="00157D3C">
      <w:pPr>
        <w:spacing w:line="360" w:lineRule="auto"/>
        <w:jc w:val="both"/>
        <w:rPr>
          <w:rFonts w:ascii="Arial" w:eastAsia="Calibri" w:hAnsi="Arial" w:cs="Arial"/>
          <w:sz w:val="32"/>
          <w:szCs w:val="32"/>
        </w:rPr>
      </w:pPr>
    </w:p>
    <w:p w14:paraId="56596B7C" w14:textId="51DCF681"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 xml:space="preserve">Lavinia Lenuta </w:t>
      </w:r>
      <w:proofErr w:type="spellStart"/>
      <w:r>
        <w:rPr>
          <w:rFonts w:ascii="Arial" w:eastAsia="Calibri" w:hAnsi="Arial" w:cs="Arial"/>
          <w:sz w:val="32"/>
          <w:szCs w:val="32"/>
        </w:rPr>
        <w:t>Siminiuc</w:t>
      </w:r>
      <w:proofErr w:type="spellEnd"/>
    </w:p>
    <w:p w14:paraId="1F7DB37E" w14:textId="26BF4CD6"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2208461</w:t>
      </w:r>
    </w:p>
    <w:p w14:paraId="7BB189D5" w14:textId="695EF299"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 xml:space="preserve">Sustainable </w:t>
      </w:r>
      <w:proofErr w:type="spellStart"/>
      <w:r>
        <w:rPr>
          <w:rFonts w:ascii="Arial" w:eastAsia="Calibri" w:hAnsi="Arial" w:cs="Arial"/>
          <w:sz w:val="32"/>
          <w:szCs w:val="32"/>
        </w:rPr>
        <w:t>Hospitality&amp;Tourism</w:t>
      </w:r>
      <w:proofErr w:type="spellEnd"/>
      <w:r>
        <w:rPr>
          <w:rFonts w:ascii="Arial" w:eastAsia="Calibri" w:hAnsi="Arial" w:cs="Arial"/>
          <w:sz w:val="32"/>
          <w:szCs w:val="32"/>
        </w:rPr>
        <w:t xml:space="preserve"> Management</w:t>
      </w:r>
    </w:p>
    <w:p w14:paraId="2B6030F0" w14:textId="59BC5ABF"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BMIH5006</w:t>
      </w:r>
    </w:p>
    <w:p w14:paraId="4DB87BFA" w14:textId="78222166"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Julia Ault</w:t>
      </w:r>
    </w:p>
    <w:p w14:paraId="593BB9E6" w14:textId="77777777" w:rsidR="00F12953"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Word count:1858</w:t>
      </w:r>
    </w:p>
    <w:p w14:paraId="30D9D635" w14:textId="77777777" w:rsidR="00F12953" w:rsidRDefault="00F12953" w:rsidP="00157D3C">
      <w:pPr>
        <w:spacing w:line="360" w:lineRule="auto"/>
        <w:jc w:val="both"/>
        <w:rPr>
          <w:rFonts w:ascii="Arial" w:eastAsia="Calibri" w:hAnsi="Arial" w:cs="Arial"/>
          <w:sz w:val="32"/>
          <w:szCs w:val="32"/>
        </w:rPr>
      </w:pPr>
    </w:p>
    <w:p w14:paraId="6124B5F0" w14:textId="63578D6F" w:rsidR="00157D3C" w:rsidRPr="00157D3C" w:rsidRDefault="00157D3C" w:rsidP="00157D3C">
      <w:pPr>
        <w:spacing w:line="360" w:lineRule="auto"/>
        <w:jc w:val="both"/>
        <w:rPr>
          <w:rFonts w:ascii="Arial" w:eastAsia="Calibri" w:hAnsi="Arial" w:cs="Arial"/>
          <w:sz w:val="32"/>
          <w:szCs w:val="32"/>
        </w:rPr>
      </w:pPr>
      <w:r w:rsidRPr="00157D3C">
        <w:rPr>
          <w:rFonts w:ascii="Arial" w:eastAsia="Calibri" w:hAnsi="Arial" w:cs="Arial"/>
          <w:sz w:val="24"/>
          <w:szCs w:val="24"/>
        </w:rPr>
        <w:t>The present essay aims to investigate the relationship between Corporate Social Responsibility (CSR) and sustainability in the hospitality industry, with a specific focus on the Marriott Hotel Group. CSR refers to a company's voluntary actions to improve its impact on society beyond legal obligations and self-interest. The goal is to effectively manage corporate operations to generate a favourable effect on society. "Sustainability" encompasses the ability to meet the current generation's requirements without jeopardising future generations' well-being. It involves considering the environmental, social, and economic aspects. The significance of CSR in tourism and hospitality is paramount, as it aids businesses in effectively controlling their impact on the environment, enhancing relationships with the community, and ensuring the continuity of economic growth. This debate will analyse Marriott's strategy to illustrate how carefully adopted corporate social responsibility policies may generate substantial advantages for the firm and the wider community. By doing so, these practices can effectively match economic aims with global sustainability goals.</w:t>
      </w:r>
    </w:p>
    <w:p w14:paraId="58649FD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Corporate social responsibility in the hotel business involves implementing various methods and initiatives to influence the environment, society, and economic welfare positively. The fundamental tenets of CSR in the hotel industry revolve around implementing sustainable operations, ethical business practices, and proactive engagement in community development. Franco et al. (2020) state that corporate social responsibility activities in the hospitality industry are used strategically to build strong relationships with stakeholders. These initiatives can affect a company's financial performance through both costs and advantages, depending on how they are implemented and how stakeholders are involved. </w:t>
      </w:r>
    </w:p>
    <w:p w14:paraId="2753D06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The corporate social responsibility policies in the hotel sector play a crucial role in achieving sustainable development. This includes promoting environmental stewardship, social responsibility, and economic viability.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and Singal (2020) emphasise that corporate social responsibility affects various stakeholders in the hotel sector, including employees, consumers, and the community. The reasons and justifications for implementing them in the hospitality industry are diverse and </w:t>
      </w:r>
      <w:proofErr w:type="gramStart"/>
      <w:r w:rsidRPr="00157D3C">
        <w:rPr>
          <w:rFonts w:ascii="Arial" w:eastAsia="Calibri" w:hAnsi="Arial" w:cs="Arial"/>
          <w:sz w:val="24"/>
          <w:szCs w:val="24"/>
        </w:rPr>
        <w:t>context-dependent</w:t>
      </w:r>
      <w:proofErr w:type="gramEnd"/>
      <w:r w:rsidRPr="00157D3C">
        <w:rPr>
          <w:rFonts w:ascii="Arial" w:eastAsia="Calibri" w:hAnsi="Arial" w:cs="Arial"/>
          <w:sz w:val="24"/>
          <w:szCs w:val="24"/>
        </w:rPr>
        <w:t xml:space="preserve">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&amp; Singal, 2020). Moreover, integrating CSR into business plans improves reputation, customer loyalty, and significant financial benefits, as corporate </w:t>
      </w:r>
      <w:r w:rsidRPr="00157D3C">
        <w:rPr>
          <w:rFonts w:ascii="Arial" w:eastAsia="Calibri" w:hAnsi="Arial" w:cs="Arial"/>
          <w:sz w:val="24"/>
          <w:szCs w:val="24"/>
        </w:rPr>
        <w:lastRenderedPageBreak/>
        <w:t>social responsibility initiatives often align with consumer demands for ethical and responsible business practices. This comprehensive view highlights the broad impact of CSR in the hotel sector.</w:t>
      </w:r>
    </w:p>
    <w:p w14:paraId="556F7B4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Integrating corporate social responsibility in the hospitality industry is not without its challenges, particularly in aligning CSR programs with fundamental business goals and quantifying their direct influence on profitability and sustainability. Iyer and Jarvis (2019) propose that implementing corporate social responsibility in the hotel industry should consider the distinct cultural and operational aspects that exist in international settings, where stakeholder expectations can differ significantly (Iyer &amp; Jarvis, 2019). This underscores the need for further research and innovation in this area.</w:t>
      </w:r>
    </w:p>
    <w:p w14:paraId="30D8330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Marriott's commitment to Corporate Social Responsibility is exemplified by its "Serve 360: Doing Good in Every Direction" framework. This strategy, based on four core principles, is a beacon of hope for the industry: Nurturing Our World, Sustaining Responsible Operations, Empowering Through Opportunity, Welcoming All, &amp; Advancing Human Rights. The company's comprehensive approach is designed to create a lasting impact in all its locations, prioritising environmental responsibility, social influence, and ethical business conduct (Marriott International, 2022).</w:t>
      </w:r>
    </w:p>
    <w:p w14:paraId="712B234E"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Marriott's energy strategy involves employing technology to oversee and diminish energy usage and release greenhouse gas emissions. Introducing the </w:t>
      </w:r>
      <w:proofErr w:type="spellStart"/>
      <w:r w:rsidRPr="00157D3C">
        <w:rPr>
          <w:rFonts w:ascii="Arial" w:eastAsia="Calibri" w:hAnsi="Arial" w:cs="Arial"/>
          <w:sz w:val="24"/>
          <w:szCs w:val="24"/>
        </w:rPr>
        <w:t>Ecopilot</w:t>
      </w:r>
      <w:proofErr w:type="spellEnd"/>
      <w:r w:rsidRPr="00157D3C">
        <w:rPr>
          <w:rFonts w:ascii="Arial" w:eastAsia="Calibri" w:hAnsi="Arial" w:cs="Arial"/>
          <w:sz w:val="24"/>
          <w:szCs w:val="24"/>
        </w:rPr>
        <w:t>® system at the Halifax Marriott® Harbourfront Hotel was an impressive undertaking. This implementation resulted in a substantial decrease in energy consumption, with electricity usage cut by around 20% and natural gas usage reduced by 18% in 2021. These practices are consistent with the research conducted by Kang and Lee (2010), which indicates that targeted energy management efforts can improve operational efficiency and have a favourable impact on a hotel's financial performance.</w:t>
      </w:r>
    </w:p>
    <w:p w14:paraId="1EF66046"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has made significant waste management progress by reducing disposable plastics' usage and improving recycling initiatives. Their worldwide program to recycle guest room items and transition to larger toiletry containers showcases their commitment to minimising plastic waste. This method is gaining recognition as an environmentally friendly practice and has been supported by studies such as Uyar et al. (2020), which also highlight the financial advantages.</w:t>
      </w:r>
    </w:p>
    <w:p w14:paraId="6CD8177F"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Marriott's dedication to social responsibility is demonstrated through initiatives such as the Marriott Disaster Relief Fund and other community-focused programs. Engaging in this activity benefits communities and strengthens brand loyalty and stakeholder trust, which are essential factors identified by Arian, Sands, and Tooley (2023) as contributing to improved financial performance in consumer-focused industries.</w:t>
      </w:r>
    </w:p>
    <w:p w14:paraId="390A5A93"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Marriott's water conservation policy exemplifies a proactive approach to sustainable water resource management by customising water-saving techniques to suit each property's unique requirements. This approach not only conforms to global sustainability objectives but also enhances operational efficiency, as stated by Singal (2014), who discovered that sustainable practices could reduce operational expenses and enhance profitability in the hotel industry.</w:t>
      </w:r>
    </w:p>
    <w:p w14:paraId="5D41818F"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The correlation between corporate social responsibility (CSR) and financial performance has been the subject of substantial academic discourse. Franco et al. (2020) propose that corporate social responsibility activities can enhance economic performance by cultivating robust stakeholder connections, particularly when integrated with high-quality management practices. These programs are highly effective in the hospitality business, where the growing significance of customer happiness and environmental responsibility is evident. This highlights the potential benefits of CSR in enhancing financial performance and stakeholder relationships, providing a strong motivation for its adoption.</w:t>
      </w:r>
    </w:p>
    <w:p w14:paraId="351421B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Moreover, Babajee et al. (2021) stress that corporate social responsibility (CSR) initiatives in the hospitality industry can substantially influence financial performance. This is achieved by improving the company's brand reputation and operational efficiencies, crucial in the highly competitive hotel sector.</w:t>
      </w:r>
    </w:p>
    <w:p w14:paraId="605E505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 International demonstrates its dedication to environmental sustainability through various corporate social responsibility projects prioritising energy conservation, waste reduction, and water preservation. Implementing the </w:t>
      </w:r>
      <w:proofErr w:type="spellStart"/>
      <w:r w:rsidRPr="00157D3C">
        <w:rPr>
          <w:rFonts w:ascii="Arial" w:eastAsia="Calibri" w:hAnsi="Arial" w:cs="Arial"/>
          <w:sz w:val="24"/>
          <w:szCs w:val="24"/>
        </w:rPr>
        <w:t>Ecopilot</w:t>
      </w:r>
      <w:proofErr w:type="spellEnd"/>
      <w:r w:rsidRPr="00157D3C">
        <w:rPr>
          <w:rFonts w:ascii="Arial" w:eastAsia="Calibri" w:hAnsi="Arial" w:cs="Arial"/>
          <w:sz w:val="24"/>
          <w:szCs w:val="24"/>
        </w:rPr>
        <w:t xml:space="preserve">® system as part of their energy management plans effectively minimises resource consumption, contributing to the worldwide efforts in transitioning to a low-carbon economy. These endeavours are consistent with the conclusions of Zhang et al. (2022), who observed that corporate social responsibility programs directly impact </w:t>
      </w:r>
      <w:r w:rsidRPr="00157D3C">
        <w:rPr>
          <w:rFonts w:ascii="Arial" w:eastAsia="Calibri" w:hAnsi="Arial" w:cs="Arial"/>
          <w:sz w:val="24"/>
          <w:szCs w:val="24"/>
        </w:rPr>
        <w:lastRenderedPageBreak/>
        <w:t>promoting environmentally friendly actions among employees, leading to decreased energy usage within the hotel industry.</w:t>
      </w:r>
    </w:p>
    <w:p w14:paraId="1D3D9BF6"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Marriott's corporate social responsibility initiatives considerably influence social issues, including employment practices and community participation. Their endeavours not only improve the well-being of employees but also promote the advancement of the community, which is crucial for stimulating local economic expansion. </w:t>
      </w:r>
      <w:proofErr w:type="spellStart"/>
      <w:r w:rsidRPr="00157D3C">
        <w:rPr>
          <w:rFonts w:ascii="Arial" w:eastAsia="Calibri" w:hAnsi="Arial" w:cs="Arial"/>
          <w:sz w:val="24"/>
          <w:szCs w:val="24"/>
        </w:rPr>
        <w:t>Ertuna</w:t>
      </w:r>
      <w:proofErr w:type="spellEnd"/>
      <w:r w:rsidRPr="00157D3C">
        <w:rPr>
          <w:rFonts w:ascii="Arial" w:eastAsia="Calibri" w:hAnsi="Arial" w:cs="Arial"/>
          <w:sz w:val="24"/>
          <w:szCs w:val="24"/>
        </w:rPr>
        <w:t xml:space="preserve"> et al. (2019) highlight the need for multinational corporations to customise their CSR initiatives to match local requirements, improving social acceptance and community inclusion. Marriott's actions in response to the COVID-19 pandemic show a robust support system for communities. This aligns with Parker's (2011) research, which emphasised the need for hospitality leaders to be prepared to manage tourism growth while minimising environmental impact, thus promoting sustainable community development.</w:t>
      </w:r>
    </w:p>
    <w:p w14:paraId="5F94EB3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Moreover, Marriott's policies show that incorporating Corporate Social Responsibility into business models has demonstrated the capacity to enhance employee contentment and consumer allegiance, fostering the enduring viability of economic activities.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and Singal (2020) conducted a study that examined the business case for CSR in the hotel industry. Their findings highlighted the positive effects of corporate social responsibility on many stakeholders, such as employees and the wider community.</w:t>
      </w:r>
    </w:p>
    <w:p w14:paraId="6F111F7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encounters multiple obstacles in implementing efficient CSR policies, mostly related to financial repercussions and the alignment of stakeholders. The substantial expenses linked to sustainable practices, particularly upgrading outdated systems or introducing novel technology to enhance energy efficiency and minimise waste, cause considerable financial obstacles. Levy and Park (2011) found that the lodging industry frequently faces challenges balancing implementing expensive corporate social responsibility programs and ensuring profitability.</w:t>
      </w:r>
    </w:p>
    <w:p w14:paraId="7EF1A4D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Also, reconciling the varied demands of stakeholders, which include investors, local populations, and environmental groups, can be challenging. According to Kitada and </w:t>
      </w:r>
      <w:proofErr w:type="spellStart"/>
      <w:r w:rsidRPr="00157D3C">
        <w:rPr>
          <w:rFonts w:ascii="Arial" w:eastAsia="Calibri" w:hAnsi="Arial" w:cs="Arial"/>
          <w:sz w:val="24"/>
          <w:szCs w:val="24"/>
        </w:rPr>
        <w:t>Ölçer</w:t>
      </w:r>
      <w:proofErr w:type="spellEnd"/>
      <w:r w:rsidRPr="00157D3C">
        <w:rPr>
          <w:rFonts w:ascii="Arial" w:eastAsia="Calibri" w:hAnsi="Arial" w:cs="Arial"/>
          <w:sz w:val="24"/>
          <w:szCs w:val="24"/>
        </w:rPr>
        <w:t xml:space="preserve"> (2015), effectively managing people and technology within the hotel sector within CSR frameworks requires dealing with several pressures that may contradict operational objectives.</w:t>
      </w:r>
    </w:p>
    <w:p w14:paraId="174DF9B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Despite these difficulties, CSR presents significant prospects for Marriott to improve its brand, obtain regulatory benefits, and cultivate customer loyalty. Implementing CSR strategically may greatly enhance Marriott's brand image as a frontrunner in sustainable hospitality, appealing to customers who emphasise environmental and social accountability. According to </w:t>
      </w:r>
      <w:proofErr w:type="spellStart"/>
      <w:r w:rsidRPr="00157D3C">
        <w:rPr>
          <w:rFonts w:ascii="Arial" w:eastAsia="Calibri" w:hAnsi="Arial" w:cs="Arial"/>
          <w:sz w:val="24"/>
          <w:szCs w:val="24"/>
        </w:rPr>
        <w:t>Suryadinata</w:t>
      </w:r>
      <w:proofErr w:type="spellEnd"/>
      <w:r w:rsidRPr="00157D3C">
        <w:rPr>
          <w:rFonts w:ascii="Arial" w:eastAsia="Calibri" w:hAnsi="Arial" w:cs="Arial"/>
          <w:sz w:val="24"/>
          <w:szCs w:val="24"/>
        </w:rPr>
        <w:t xml:space="preserve"> et al. (2014), successfully communicating CSR actions can improve customer views and contribute to business success.</w:t>
      </w:r>
    </w:p>
    <w:p w14:paraId="2571B61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Proactive corporate social responsibility activities can provide Marriott with regulatory advantages by helping the company manage the growing number of stringent environmental regulations worldwide. This, in turn, may lead to cost reductions related to compliance and fines. Ilieva (2020) emphasises the advantages of corporate social responsibility (CSR) in aligning business activities with worldwide sustainability objectives, therefore reducing regulatory concerns.</w:t>
      </w:r>
    </w:p>
    <w:p w14:paraId="1662D38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Corporate social responsibility activities have the potential to cultivate strong loyalty among customers, who are increasingly seeking ethical and accountable company practices. </w:t>
      </w:r>
      <w:proofErr w:type="spellStart"/>
      <w:r w:rsidRPr="00157D3C">
        <w:rPr>
          <w:rFonts w:ascii="Arial" w:eastAsia="Calibri" w:hAnsi="Arial" w:cs="Arial"/>
          <w:sz w:val="24"/>
          <w:szCs w:val="24"/>
        </w:rPr>
        <w:t>Gnjidic</w:t>
      </w:r>
      <w:proofErr w:type="spellEnd"/>
      <w:r w:rsidRPr="00157D3C">
        <w:rPr>
          <w:rFonts w:ascii="Arial" w:eastAsia="Calibri" w:hAnsi="Arial" w:cs="Arial"/>
          <w:sz w:val="24"/>
          <w:szCs w:val="24"/>
        </w:rPr>
        <w:t xml:space="preserve"> and Vukovic (2018) examine the correlation between CSR and the development of customer trust and loyalty in the hospitality industry.</w:t>
      </w:r>
    </w:p>
    <w:p w14:paraId="685935E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Circular thinking in sustainability pertains to an economic paradigm that aims to decrease waste and optimise resource utilisation. This method differs from the conventional 'take-make-dispose' model by prioritising the entire life cycle of resources, products, and services to achieve sustainability through reuse, repair, and recycling. Bux and </w:t>
      </w:r>
      <w:proofErr w:type="spellStart"/>
      <w:r w:rsidRPr="00157D3C">
        <w:rPr>
          <w:rFonts w:ascii="Arial" w:eastAsia="Calibri" w:hAnsi="Arial" w:cs="Arial"/>
          <w:sz w:val="24"/>
          <w:szCs w:val="24"/>
        </w:rPr>
        <w:t>Amicarelli</w:t>
      </w:r>
      <w:proofErr w:type="spellEnd"/>
      <w:r w:rsidRPr="00157D3C">
        <w:rPr>
          <w:rFonts w:ascii="Arial" w:eastAsia="Calibri" w:hAnsi="Arial" w:cs="Arial"/>
          <w:sz w:val="24"/>
          <w:szCs w:val="24"/>
        </w:rPr>
        <w:t xml:space="preserve"> (2022) examine the incorporation of circular economy tactics, such as the New Circular Economy Action Plan, within the hospitality industry. They highlight the significance of these strategies in diminishing food waste and enhancing energy and water consumption, which are vital for sustainable and economic progress in this sector.</w:t>
      </w:r>
    </w:p>
    <w:p w14:paraId="4176060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 has established explicit sustainability objectives that align with the circular economy concepts. They aim to decrease the amount of water used, the amount of carbon emitted, and the amount of garbage sent to landfills. These objectives align with their aim of reducing environmental footprint and promoting sustainable development. Julião et al. (2018) emphasise the increasing consumer desire for environmentally friendly practices in the hospitality industry, prompting corporations </w:t>
      </w:r>
      <w:r w:rsidRPr="00157D3C">
        <w:rPr>
          <w:rFonts w:ascii="Arial" w:eastAsia="Calibri" w:hAnsi="Arial" w:cs="Arial"/>
          <w:sz w:val="24"/>
          <w:szCs w:val="24"/>
        </w:rPr>
        <w:lastRenderedPageBreak/>
        <w:t>such as Marriott to implement Green Practices (GP) and Circular Economy (CE) principles.</w:t>
      </w:r>
    </w:p>
    <w:p w14:paraId="67D156D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has implemented significant recycling programs, increased energy efficiency, and taken measures to conserve water, demonstrating its dedication to the circular economy. Silva et al. (2021) note that circular economy methods are still in the early stages of development in the tourism and hospitality industry. Still, they provide substantial economic, social, and environmental advantages.</w:t>
      </w:r>
    </w:p>
    <w:p w14:paraId="64FC4C77"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 addition, Marriott frequently participates in community-based initiatives that prioritise sustainability and resilience. These concepts align with the concepts of natural capital and circular economy, as discussed by Jones and Wynn (2019). They propose that implementing circular economy ideas can bolster the resilience of organisations such as Marriott and improve the efficient management of resources.</w:t>
      </w:r>
    </w:p>
    <w:p w14:paraId="3E0E687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 conclusion, Marriott's corporate social responsibility (CSR) programs are crucial in strengthening its commitment to sustainability, showcasing significant effects on the environment, society, and economy. These measures, ranging from energy management to community participation, comply with sustainable principles and promote substantial operational efficiency and stakeholder confidence. Marriott's intentional incorporation of CSR into its fundamental business strategy improves its brand, fosters customer loyalty, and coincides with the growing consumer expectation for ethical business conduct. When considering the wider hospitality business, sustainable practices offer long-term benefits such as meeting regulatory criteria, increasing brand value, and achieving ongoing economic success. Marriott's dedication to these principles demonstrates a strong and effective model for the industry, emphasising that genuine sustainability is a business benefit and a corporate obligation.</w:t>
      </w:r>
    </w:p>
    <w:p w14:paraId="49C99084" w14:textId="77777777" w:rsidR="00157D3C" w:rsidRPr="00157D3C" w:rsidRDefault="00157D3C" w:rsidP="00157D3C">
      <w:pPr>
        <w:spacing w:line="360" w:lineRule="auto"/>
        <w:jc w:val="both"/>
        <w:rPr>
          <w:rFonts w:ascii="Arial" w:eastAsia="Calibri" w:hAnsi="Arial" w:cs="Arial"/>
          <w:sz w:val="24"/>
          <w:szCs w:val="24"/>
        </w:rPr>
      </w:pPr>
    </w:p>
    <w:p w14:paraId="54B9ED25" w14:textId="77777777" w:rsidR="00157D3C" w:rsidRPr="00157D3C" w:rsidRDefault="00157D3C" w:rsidP="00157D3C">
      <w:pPr>
        <w:spacing w:line="360" w:lineRule="auto"/>
        <w:jc w:val="both"/>
        <w:rPr>
          <w:rFonts w:ascii="Arial" w:eastAsia="Calibri" w:hAnsi="Arial" w:cs="Arial"/>
          <w:sz w:val="24"/>
          <w:szCs w:val="24"/>
        </w:rPr>
      </w:pPr>
    </w:p>
    <w:p w14:paraId="7BCB926F" w14:textId="77777777" w:rsidR="00157D3C" w:rsidRPr="00157D3C" w:rsidRDefault="00157D3C" w:rsidP="00157D3C">
      <w:pPr>
        <w:spacing w:line="360" w:lineRule="auto"/>
        <w:jc w:val="both"/>
        <w:rPr>
          <w:rFonts w:ascii="Arial" w:eastAsia="Calibri" w:hAnsi="Arial" w:cs="Arial"/>
          <w:sz w:val="24"/>
          <w:szCs w:val="24"/>
        </w:rPr>
      </w:pPr>
    </w:p>
    <w:p w14:paraId="3160D0AC" w14:textId="77777777" w:rsidR="00157D3C" w:rsidRDefault="00157D3C" w:rsidP="00157D3C">
      <w:pPr>
        <w:spacing w:line="360" w:lineRule="auto"/>
        <w:jc w:val="both"/>
        <w:rPr>
          <w:rFonts w:ascii="Arial" w:eastAsia="Calibri" w:hAnsi="Arial" w:cs="Arial"/>
          <w:b/>
          <w:bCs/>
          <w:sz w:val="24"/>
          <w:szCs w:val="24"/>
        </w:rPr>
      </w:pPr>
    </w:p>
    <w:p w14:paraId="230D0AF9" w14:textId="77777777" w:rsidR="00157D3C" w:rsidRDefault="00157D3C" w:rsidP="00157D3C">
      <w:pPr>
        <w:spacing w:line="360" w:lineRule="auto"/>
        <w:jc w:val="both"/>
        <w:rPr>
          <w:rFonts w:ascii="Arial" w:eastAsia="Calibri" w:hAnsi="Arial" w:cs="Arial"/>
          <w:b/>
          <w:bCs/>
          <w:sz w:val="24"/>
          <w:szCs w:val="24"/>
        </w:rPr>
      </w:pPr>
    </w:p>
    <w:p w14:paraId="061E9FF9" w14:textId="77777777" w:rsidR="00157D3C" w:rsidRDefault="00157D3C" w:rsidP="00157D3C">
      <w:pPr>
        <w:spacing w:line="360" w:lineRule="auto"/>
        <w:jc w:val="both"/>
        <w:rPr>
          <w:rFonts w:ascii="Arial" w:eastAsia="Calibri" w:hAnsi="Arial" w:cs="Arial"/>
          <w:b/>
          <w:bCs/>
          <w:sz w:val="24"/>
          <w:szCs w:val="24"/>
        </w:rPr>
      </w:pPr>
    </w:p>
    <w:p w14:paraId="71E57FE2" w14:textId="77777777" w:rsidR="00157D3C" w:rsidRDefault="00157D3C" w:rsidP="00157D3C">
      <w:pPr>
        <w:spacing w:line="360" w:lineRule="auto"/>
        <w:jc w:val="both"/>
        <w:rPr>
          <w:rFonts w:ascii="Arial" w:eastAsia="Calibri" w:hAnsi="Arial" w:cs="Arial"/>
          <w:b/>
          <w:bCs/>
          <w:sz w:val="24"/>
          <w:szCs w:val="24"/>
        </w:rPr>
      </w:pPr>
    </w:p>
    <w:p w14:paraId="4BBD9F0A" w14:textId="5FEBBE04" w:rsidR="00157D3C" w:rsidRPr="00157D3C" w:rsidRDefault="00157D3C" w:rsidP="00157D3C">
      <w:pPr>
        <w:spacing w:line="360" w:lineRule="auto"/>
        <w:jc w:val="both"/>
        <w:rPr>
          <w:rFonts w:ascii="Arial" w:eastAsia="Calibri" w:hAnsi="Arial" w:cs="Arial"/>
          <w:b/>
          <w:bCs/>
          <w:sz w:val="24"/>
          <w:szCs w:val="24"/>
        </w:rPr>
      </w:pPr>
      <w:r w:rsidRPr="00157D3C">
        <w:rPr>
          <w:rFonts w:ascii="Arial" w:eastAsia="Calibri" w:hAnsi="Arial" w:cs="Arial"/>
          <w:b/>
          <w:bCs/>
          <w:sz w:val="24"/>
          <w:szCs w:val="24"/>
        </w:rPr>
        <w:t xml:space="preserve">References </w:t>
      </w:r>
    </w:p>
    <w:p w14:paraId="448B201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Franco, S., Caroli, M., Cappa, F., &amp; Chiappa, G., 2020. Are you good enough? CSR, quality management and corporate financial performance in the hospitality industry. International Journal of Hospitality Management, 88, pp. 102395. </w:t>
      </w:r>
      <w:hyperlink r:id="rId4" w:history="1">
        <w:r w:rsidRPr="00157D3C">
          <w:rPr>
            <w:rFonts w:ascii="Arial" w:eastAsia="Calibri" w:hAnsi="Arial" w:cs="Arial"/>
            <w:color w:val="0563C1"/>
            <w:sz w:val="24"/>
            <w:szCs w:val="24"/>
            <w:u w:val="single"/>
          </w:rPr>
          <w:t>https://doi.org/10.1016/j.ijhm.2019.102395</w:t>
        </w:r>
      </w:hyperlink>
      <w:r w:rsidRPr="00157D3C">
        <w:rPr>
          <w:rFonts w:ascii="Arial" w:eastAsia="Calibri" w:hAnsi="Arial" w:cs="Arial"/>
          <w:sz w:val="24"/>
          <w:szCs w:val="24"/>
        </w:rPr>
        <w:t xml:space="preserve">. </w:t>
      </w:r>
    </w:p>
    <w:p w14:paraId="285A196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Guzzo, R., Abbott, J., &amp; Madera, J., 2020. A Micro-Level View of CSR: A Hospitality Management Systematic Literature Review. Cornell Hospitality Quarterly, 61, pp. 332 - 352. </w:t>
      </w:r>
      <w:hyperlink r:id="rId5" w:history="1">
        <w:r w:rsidRPr="00157D3C">
          <w:rPr>
            <w:rFonts w:ascii="Arial" w:eastAsia="Calibri" w:hAnsi="Arial" w:cs="Arial"/>
            <w:color w:val="0563C1"/>
            <w:sz w:val="24"/>
            <w:szCs w:val="24"/>
            <w:u w:val="single"/>
          </w:rPr>
          <w:t>https://doi.org/10.1177/1938965519892907</w:t>
        </w:r>
      </w:hyperlink>
      <w:r w:rsidRPr="00157D3C">
        <w:rPr>
          <w:rFonts w:ascii="Arial" w:eastAsia="Calibri" w:hAnsi="Arial" w:cs="Arial"/>
          <w:sz w:val="24"/>
          <w:szCs w:val="24"/>
        </w:rPr>
        <w:t>.</w:t>
      </w:r>
    </w:p>
    <w:p w14:paraId="238E17A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Iyer, G., &amp; Jarvis, L., 2019. CSR adoption in the multinational hospitality context. International Journal of Contemporary Hospitality Management. </w:t>
      </w:r>
      <w:hyperlink r:id="rId6" w:history="1">
        <w:r w:rsidRPr="00157D3C">
          <w:rPr>
            <w:rFonts w:ascii="Arial" w:eastAsia="Calibri" w:hAnsi="Arial" w:cs="Arial"/>
            <w:color w:val="0563C1"/>
            <w:sz w:val="24"/>
            <w:szCs w:val="24"/>
            <w:u w:val="single"/>
          </w:rPr>
          <w:t>https://doi.org/10.1108/IJCHM-06-2018-0451</w:t>
        </w:r>
      </w:hyperlink>
      <w:r w:rsidRPr="00157D3C">
        <w:rPr>
          <w:rFonts w:ascii="Arial" w:eastAsia="Calibri" w:hAnsi="Arial" w:cs="Arial"/>
          <w:sz w:val="24"/>
          <w:szCs w:val="24"/>
        </w:rPr>
        <w:t>.</w:t>
      </w:r>
    </w:p>
    <w:p w14:paraId="1D2D5BB3"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Y., &amp; Singal, M., 2020. A review of the business case for CSR in the hospitality industry. International Journal of Hospitality Management, 84, pp. 102330. </w:t>
      </w:r>
      <w:hyperlink r:id="rId7" w:history="1">
        <w:r w:rsidRPr="00157D3C">
          <w:rPr>
            <w:rFonts w:ascii="Arial" w:eastAsia="Calibri" w:hAnsi="Arial" w:cs="Arial"/>
            <w:color w:val="0563C1"/>
            <w:sz w:val="24"/>
            <w:szCs w:val="24"/>
            <w:u w:val="single"/>
          </w:rPr>
          <w:t>https://doi.org/10.1016/J.IJHM.2019.102330</w:t>
        </w:r>
      </w:hyperlink>
      <w:r w:rsidRPr="00157D3C">
        <w:rPr>
          <w:rFonts w:ascii="Arial" w:eastAsia="Calibri" w:hAnsi="Arial" w:cs="Arial"/>
          <w:sz w:val="24"/>
          <w:szCs w:val="24"/>
        </w:rPr>
        <w:t>.</w:t>
      </w:r>
    </w:p>
    <w:p w14:paraId="70239E3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Arian, A., Sands, J., &amp; Tooley, S., 2023. Industry and Stakeholder Impacts on Corporate Social Responsibility (CSR) and Financial Performance: Consumer vs. Industrial Sectors. Sustainability. </w:t>
      </w:r>
      <w:hyperlink r:id="rId8" w:history="1">
        <w:r w:rsidRPr="00157D3C">
          <w:rPr>
            <w:rFonts w:ascii="Arial" w:eastAsia="Calibri" w:hAnsi="Arial" w:cs="Arial"/>
            <w:color w:val="0563C1"/>
            <w:sz w:val="24"/>
            <w:szCs w:val="24"/>
            <w:u w:val="single"/>
          </w:rPr>
          <w:t>https://doi.org/10.3390/su151612254</w:t>
        </w:r>
      </w:hyperlink>
      <w:r w:rsidRPr="00157D3C">
        <w:rPr>
          <w:rFonts w:ascii="Arial" w:eastAsia="Calibri" w:hAnsi="Arial" w:cs="Arial"/>
          <w:sz w:val="24"/>
          <w:szCs w:val="24"/>
        </w:rPr>
        <w:t>.</w:t>
      </w:r>
    </w:p>
    <w:p w14:paraId="2178B88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Babajee, R., </w:t>
      </w:r>
      <w:proofErr w:type="spellStart"/>
      <w:r w:rsidRPr="00157D3C">
        <w:rPr>
          <w:rFonts w:ascii="Arial" w:eastAsia="Calibri" w:hAnsi="Arial" w:cs="Arial"/>
          <w:sz w:val="24"/>
          <w:szCs w:val="24"/>
        </w:rPr>
        <w:t>Seetanah</w:t>
      </w:r>
      <w:proofErr w:type="spellEnd"/>
      <w:r w:rsidRPr="00157D3C">
        <w:rPr>
          <w:rFonts w:ascii="Arial" w:eastAsia="Calibri" w:hAnsi="Arial" w:cs="Arial"/>
          <w:sz w:val="24"/>
          <w:szCs w:val="24"/>
        </w:rPr>
        <w:t xml:space="preserve">, B., Nunkoo, R., &amp; Gopy-Ramdhany, N., 2021. Corporate social responsibility and hotel financial performance. Journal of Hospitality Marketing &amp; Management, 31, pp. 226 - 246. </w:t>
      </w:r>
      <w:hyperlink r:id="rId9" w:history="1">
        <w:r w:rsidRPr="00157D3C">
          <w:rPr>
            <w:rFonts w:ascii="Arial" w:eastAsia="Calibri" w:hAnsi="Arial" w:cs="Arial"/>
            <w:color w:val="0563C1"/>
            <w:sz w:val="24"/>
            <w:szCs w:val="24"/>
            <w:u w:val="single"/>
          </w:rPr>
          <w:t>https://doi.org/10.1080/19368623.2021.1937433</w:t>
        </w:r>
      </w:hyperlink>
      <w:r w:rsidRPr="00157D3C">
        <w:rPr>
          <w:rFonts w:ascii="Arial" w:eastAsia="Calibri" w:hAnsi="Arial" w:cs="Arial"/>
          <w:sz w:val="24"/>
          <w:szCs w:val="24"/>
        </w:rPr>
        <w:t>.</w:t>
      </w:r>
    </w:p>
    <w:p w14:paraId="2F4C27A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Franco, S., Caroli, M., Cappa, F., &amp; Chiappa, G., 2020. Are you good enough? CSR, quality management and corporate financial performance in the hospitality industry. International Journal of Hospitality Management, 88, pp. 102395. </w:t>
      </w:r>
      <w:hyperlink r:id="rId10" w:history="1">
        <w:r w:rsidRPr="00157D3C">
          <w:rPr>
            <w:rFonts w:ascii="Arial" w:eastAsia="Calibri" w:hAnsi="Arial" w:cs="Arial"/>
            <w:color w:val="0563C1"/>
            <w:sz w:val="24"/>
            <w:szCs w:val="24"/>
            <w:u w:val="single"/>
          </w:rPr>
          <w:t>https://doi.org/10.1016/j.ijhm.2019.102395</w:t>
        </w:r>
      </w:hyperlink>
      <w:r w:rsidRPr="00157D3C">
        <w:rPr>
          <w:rFonts w:ascii="Arial" w:eastAsia="Calibri" w:hAnsi="Arial" w:cs="Arial"/>
          <w:sz w:val="24"/>
          <w:szCs w:val="24"/>
        </w:rPr>
        <w:t>.</w:t>
      </w:r>
    </w:p>
    <w:p w14:paraId="1799066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Kang, K., Lee, S., &amp; Huh, C., 2010. Positive and negative corporate social responsibility activities impact company performance in the hospitality industry. International Journal of Hospitality Management, 29, pp. 72-82. </w:t>
      </w:r>
      <w:hyperlink r:id="rId11" w:history="1">
        <w:r w:rsidRPr="00157D3C">
          <w:rPr>
            <w:rFonts w:ascii="Arial" w:eastAsia="Calibri" w:hAnsi="Arial" w:cs="Arial"/>
            <w:color w:val="0563C1"/>
            <w:sz w:val="24"/>
            <w:szCs w:val="24"/>
            <w:u w:val="single"/>
          </w:rPr>
          <w:t>https://doi.org/10.1016/J.IJHM.2009.05.006</w:t>
        </w:r>
      </w:hyperlink>
      <w:r w:rsidRPr="00157D3C">
        <w:rPr>
          <w:rFonts w:ascii="Arial" w:eastAsia="Calibri" w:hAnsi="Arial" w:cs="Arial"/>
          <w:sz w:val="24"/>
          <w:szCs w:val="24"/>
        </w:rPr>
        <w:t>.</w:t>
      </w:r>
    </w:p>
    <w:p w14:paraId="6496AE9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Singal, M., 2014. Corporate social responsibility in the hospitality and tourism industry: Do family control and financial condition matter? International Journal of Hospitality Management, 36, pp. 81-89. </w:t>
      </w:r>
      <w:hyperlink r:id="rId12" w:history="1">
        <w:r w:rsidRPr="00157D3C">
          <w:rPr>
            <w:rFonts w:ascii="Arial" w:eastAsia="Calibri" w:hAnsi="Arial" w:cs="Arial"/>
            <w:color w:val="0563C1"/>
            <w:sz w:val="24"/>
            <w:szCs w:val="24"/>
            <w:u w:val="single"/>
          </w:rPr>
          <w:t>https://doi.org/10.1016/J.IJHM.2013.08.002</w:t>
        </w:r>
      </w:hyperlink>
      <w:r w:rsidRPr="00157D3C">
        <w:rPr>
          <w:rFonts w:ascii="Arial" w:eastAsia="Calibri" w:hAnsi="Arial" w:cs="Arial"/>
          <w:sz w:val="24"/>
          <w:szCs w:val="24"/>
        </w:rPr>
        <w:t>.</w:t>
      </w:r>
    </w:p>
    <w:p w14:paraId="03B50AFD"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Uyar, A., Kılıç, M., </w:t>
      </w:r>
      <w:proofErr w:type="spellStart"/>
      <w:r w:rsidRPr="00157D3C">
        <w:rPr>
          <w:rFonts w:ascii="Arial" w:eastAsia="Calibri" w:hAnsi="Arial" w:cs="Arial"/>
          <w:sz w:val="24"/>
          <w:szCs w:val="24"/>
        </w:rPr>
        <w:t>Koseoglu</w:t>
      </w:r>
      <w:proofErr w:type="spellEnd"/>
      <w:r w:rsidRPr="00157D3C">
        <w:rPr>
          <w:rFonts w:ascii="Arial" w:eastAsia="Calibri" w:hAnsi="Arial" w:cs="Arial"/>
          <w:sz w:val="24"/>
          <w:szCs w:val="24"/>
        </w:rPr>
        <w:t xml:space="preserve">, M., Kuzey, C., &amp; Karaman, A., 2020. The link among board characteristics, corporate social responsibility performance, and financial performance: Evidence from the hospitality and tourism industry. Tourism Management Perspectives, 35, pp. 100714. </w:t>
      </w:r>
      <w:hyperlink r:id="rId13" w:history="1">
        <w:r w:rsidRPr="00157D3C">
          <w:rPr>
            <w:rFonts w:ascii="Arial" w:eastAsia="Calibri" w:hAnsi="Arial" w:cs="Arial"/>
            <w:color w:val="0563C1"/>
            <w:sz w:val="24"/>
            <w:szCs w:val="24"/>
            <w:u w:val="single"/>
          </w:rPr>
          <w:t>https://doi.org/10.1016/j.tmp.2020.100714</w:t>
        </w:r>
      </w:hyperlink>
      <w:r w:rsidRPr="00157D3C">
        <w:rPr>
          <w:rFonts w:ascii="Arial" w:eastAsia="Calibri" w:hAnsi="Arial" w:cs="Arial"/>
          <w:sz w:val="24"/>
          <w:szCs w:val="24"/>
        </w:rPr>
        <w:t xml:space="preserve">. </w:t>
      </w:r>
    </w:p>
    <w:p w14:paraId="5373327F"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Ertuna</w:t>
      </w:r>
      <w:proofErr w:type="spellEnd"/>
      <w:r w:rsidRPr="00157D3C">
        <w:rPr>
          <w:rFonts w:ascii="Arial" w:eastAsia="Calibri" w:hAnsi="Arial" w:cs="Arial"/>
          <w:sz w:val="24"/>
          <w:szCs w:val="24"/>
        </w:rPr>
        <w:t>, B., Karatas</w:t>
      </w:r>
      <w:r w:rsidRPr="00157D3C">
        <w:rPr>
          <w:rFonts w:ascii="Cambria Math" w:eastAsia="Calibri" w:hAnsi="Cambria Math" w:cs="Cambria Math"/>
          <w:sz w:val="24"/>
          <w:szCs w:val="24"/>
        </w:rPr>
        <w:t>‐</w:t>
      </w:r>
      <w:r w:rsidRPr="00157D3C">
        <w:rPr>
          <w:rFonts w:ascii="Arial" w:eastAsia="Calibri" w:hAnsi="Arial" w:cs="Arial"/>
          <w:sz w:val="24"/>
          <w:szCs w:val="24"/>
        </w:rPr>
        <w:t xml:space="preserve">Ozkan, M., &amp; Yamak, S., 2019. Diffusion of sustainability and CSR discourse in hospitality industry. International Journal of Contemporary Hospitality Management. </w:t>
      </w:r>
      <w:hyperlink r:id="rId14" w:history="1">
        <w:r w:rsidRPr="00157D3C">
          <w:rPr>
            <w:rFonts w:ascii="Arial" w:eastAsia="Calibri" w:hAnsi="Arial" w:cs="Arial"/>
            <w:color w:val="0563C1"/>
            <w:sz w:val="24"/>
            <w:szCs w:val="24"/>
            <w:u w:val="single"/>
          </w:rPr>
          <w:t>https://doi.org/10.1108/IJCHM-06-2018-0464</w:t>
        </w:r>
      </w:hyperlink>
      <w:r w:rsidRPr="00157D3C">
        <w:rPr>
          <w:rFonts w:ascii="Arial" w:eastAsia="Calibri" w:hAnsi="Arial" w:cs="Arial"/>
          <w:sz w:val="24"/>
          <w:szCs w:val="24"/>
        </w:rPr>
        <w:t>.</w:t>
      </w:r>
    </w:p>
    <w:p w14:paraId="056520E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Parker, J., 2011. Integrating CSR with hospitality management programmes in higher education. International Journal of Green Economics, 5, pp. 396-404. </w:t>
      </w:r>
      <w:hyperlink r:id="rId15" w:history="1">
        <w:r w:rsidRPr="00157D3C">
          <w:rPr>
            <w:rFonts w:ascii="Arial" w:eastAsia="Calibri" w:hAnsi="Arial" w:cs="Arial"/>
            <w:color w:val="0563C1"/>
            <w:sz w:val="24"/>
            <w:szCs w:val="24"/>
            <w:u w:val="single"/>
          </w:rPr>
          <w:t>https://doi.org/10.1504/IJGE.2011.044622</w:t>
        </w:r>
      </w:hyperlink>
      <w:r w:rsidRPr="00157D3C">
        <w:rPr>
          <w:rFonts w:ascii="Arial" w:eastAsia="Calibri" w:hAnsi="Arial" w:cs="Arial"/>
          <w:sz w:val="24"/>
          <w:szCs w:val="24"/>
        </w:rPr>
        <w:t>.</w:t>
      </w:r>
    </w:p>
    <w:p w14:paraId="13AB436A"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Y., &amp; Singal, M., 2020. A review of the business case for CSR in the hospitality industry. International Journal of Hospitality Management, 84, pp. 102330. </w:t>
      </w:r>
      <w:hyperlink r:id="rId16" w:history="1">
        <w:r w:rsidRPr="00157D3C">
          <w:rPr>
            <w:rFonts w:ascii="Arial" w:eastAsia="Calibri" w:hAnsi="Arial" w:cs="Arial"/>
            <w:color w:val="0563C1"/>
            <w:sz w:val="24"/>
            <w:szCs w:val="24"/>
            <w:u w:val="single"/>
          </w:rPr>
          <w:t>https://doi.org/10.1016/J.IJHM.2019.102330</w:t>
        </w:r>
      </w:hyperlink>
      <w:r w:rsidRPr="00157D3C">
        <w:rPr>
          <w:rFonts w:ascii="Arial" w:eastAsia="Calibri" w:hAnsi="Arial" w:cs="Arial"/>
          <w:sz w:val="24"/>
          <w:szCs w:val="24"/>
        </w:rPr>
        <w:t>.</w:t>
      </w:r>
    </w:p>
    <w:p w14:paraId="2C45EDA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Zhang, H., </w:t>
      </w:r>
      <w:proofErr w:type="spellStart"/>
      <w:r w:rsidRPr="00157D3C">
        <w:rPr>
          <w:rFonts w:ascii="Arial" w:eastAsia="Calibri" w:hAnsi="Arial" w:cs="Arial"/>
          <w:sz w:val="24"/>
          <w:szCs w:val="24"/>
        </w:rPr>
        <w:t>Omhand</w:t>
      </w:r>
      <w:proofErr w:type="spellEnd"/>
      <w:r w:rsidRPr="00157D3C">
        <w:rPr>
          <w:rFonts w:ascii="Arial" w:eastAsia="Calibri" w:hAnsi="Arial" w:cs="Arial"/>
          <w:sz w:val="24"/>
          <w:szCs w:val="24"/>
        </w:rPr>
        <w:t xml:space="preserve">, K., Li, H., Ahmad, A., Samad, S., </w:t>
      </w:r>
      <w:proofErr w:type="spellStart"/>
      <w:r w:rsidRPr="00157D3C">
        <w:rPr>
          <w:rFonts w:ascii="Arial" w:eastAsia="Calibri" w:hAnsi="Arial" w:cs="Arial"/>
          <w:sz w:val="24"/>
          <w:szCs w:val="24"/>
        </w:rPr>
        <w:t>Gavrilut</w:t>
      </w:r>
      <w:proofErr w:type="spellEnd"/>
      <w:r w:rsidRPr="00157D3C">
        <w:rPr>
          <w:rFonts w:ascii="Arial" w:eastAsia="Calibri" w:hAnsi="Arial" w:cs="Arial"/>
          <w:sz w:val="24"/>
          <w:szCs w:val="24"/>
        </w:rPr>
        <w:t xml:space="preserve">, D., &amp; </w:t>
      </w:r>
      <w:proofErr w:type="spellStart"/>
      <w:r w:rsidRPr="00157D3C">
        <w:rPr>
          <w:rFonts w:ascii="Arial" w:eastAsia="Calibri" w:hAnsi="Arial" w:cs="Arial"/>
          <w:sz w:val="24"/>
          <w:szCs w:val="24"/>
        </w:rPr>
        <w:t>Badulescu</w:t>
      </w:r>
      <w:proofErr w:type="spellEnd"/>
      <w:r w:rsidRPr="00157D3C">
        <w:rPr>
          <w:rFonts w:ascii="Arial" w:eastAsia="Calibri" w:hAnsi="Arial" w:cs="Arial"/>
          <w:sz w:val="24"/>
          <w:szCs w:val="24"/>
        </w:rPr>
        <w:t xml:space="preserve">, D., 2022. Corporate Social Responsibility and Energy-Related Pro-Environmental Behaviour of Employees in Hospitality Industry. International Journal of Environmental Research and Public Health, 19. </w:t>
      </w:r>
      <w:hyperlink r:id="rId17" w:history="1">
        <w:r w:rsidRPr="00157D3C">
          <w:rPr>
            <w:rFonts w:ascii="Arial" w:eastAsia="Calibri" w:hAnsi="Arial" w:cs="Arial"/>
            <w:color w:val="0563C1"/>
            <w:sz w:val="24"/>
            <w:szCs w:val="24"/>
            <w:u w:val="single"/>
          </w:rPr>
          <w:t>https://doi.org/10.3390/ijerph192316141</w:t>
        </w:r>
      </w:hyperlink>
      <w:r w:rsidRPr="00157D3C">
        <w:rPr>
          <w:rFonts w:ascii="Arial" w:eastAsia="Calibri" w:hAnsi="Arial" w:cs="Arial"/>
          <w:sz w:val="24"/>
          <w:szCs w:val="24"/>
        </w:rPr>
        <w:t>.</w:t>
      </w:r>
    </w:p>
    <w:p w14:paraId="11BB300F"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Gnjidic</w:t>
      </w:r>
      <w:proofErr w:type="spellEnd"/>
      <w:r w:rsidRPr="00157D3C">
        <w:rPr>
          <w:rFonts w:ascii="Arial" w:eastAsia="Calibri" w:hAnsi="Arial" w:cs="Arial"/>
          <w:sz w:val="24"/>
          <w:szCs w:val="24"/>
        </w:rPr>
        <w:t xml:space="preserve">, V., &amp; Vukovic, R., 2018. Managing CSR in Croatian Hospitality: The Case of Luxury Boutique Hotels. Indian Journal of Commerce &amp; Management Studies. </w:t>
      </w:r>
      <w:hyperlink r:id="rId18" w:history="1">
        <w:r w:rsidRPr="00157D3C">
          <w:rPr>
            <w:rFonts w:ascii="Arial" w:eastAsia="Calibri" w:hAnsi="Arial" w:cs="Arial"/>
            <w:color w:val="0563C1"/>
            <w:sz w:val="24"/>
            <w:szCs w:val="24"/>
            <w:u w:val="single"/>
          </w:rPr>
          <w:t>https://doi.org/10.18843/IJCMS/V9I3/01</w:t>
        </w:r>
      </w:hyperlink>
      <w:r w:rsidRPr="00157D3C">
        <w:rPr>
          <w:rFonts w:ascii="Arial" w:eastAsia="Calibri" w:hAnsi="Arial" w:cs="Arial"/>
          <w:sz w:val="24"/>
          <w:szCs w:val="24"/>
        </w:rPr>
        <w:t>.</w:t>
      </w:r>
    </w:p>
    <w:p w14:paraId="552F63C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Ilieva, G., &amp; Ilieva, I., 2020. DEVELOPMENT OF CSR WITHIN THE HOSPITALITY AND TOURISM ENTERPRISES.  </w:t>
      </w:r>
      <w:hyperlink r:id="rId19" w:history="1">
        <w:r w:rsidRPr="00157D3C">
          <w:rPr>
            <w:rFonts w:ascii="Arial" w:eastAsia="Calibri" w:hAnsi="Arial" w:cs="Arial"/>
            <w:color w:val="0563C1"/>
            <w:sz w:val="24"/>
            <w:szCs w:val="24"/>
            <w:u w:val="single"/>
          </w:rPr>
          <w:t>https://doi.org/10.36997/TC2020.504</w:t>
        </w:r>
      </w:hyperlink>
      <w:r w:rsidRPr="00157D3C">
        <w:rPr>
          <w:rFonts w:ascii="Arial" w:eastAsia="Calibri" w:hAnsi="Arial" w:cs="Arial"/>
          <w:sz w:val="24"/>
          <w:szCs w:val="24"/>
        </w:rPr>
        <w:t>.</w:t>
      </w:r>
    </w:p>
    <w:p w14:paraId="16128E5A"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Kitada, M., &amp; </w:t>
      </w:r>
      <w:proofErr w:type="spellStart"/>
      <w:r w:rsidRPr="00157D3C">
        <w:rPr>
          <w:rFonts w:ascii="Arial" w:eastAsia="Calibri" w:hAnsi="Arial" w:cs="Arial"/>
          <w:sz w:val="24"/>
          <w:szCs w:val="24"/>
        </w:rPr>
        <w:t>Ölçer</w:t>
      </w:r>
      <w:proofErr w:type="spellEnd"/>
      <w:r w:rsidRPr="00157D3C">
        <w:rPr>
          <w:rFonts w:ascii="Arial" w:eastAsia="Calibri" w:hAnsi="Arial" w:cs="Arial"/>
          <w:sz w:val="24"/>
          <w:szCs w:val="24"/>
        </w:rPr>
        <w:t xml:space="preserve">, A., 2015. Managing people and technology: The challenges in CSR and energy efficient shipping. Research in transportation business and management, 17, pp. 36-40. </w:t>
      </w:r>
      <w:hyperlink r:id="rId20" w:history="1">
        <w:r w:rsidRPr="00157D3C">
          <w:rPr>
            <w:rFonts w:ascii="Arial" w:eastAsia="Calibri" w:hAnsi="Arial" w:cs="Arial"/>
            <w:color w:val="0563C1"/>
            <w:sz w:val="24"/>
            <w:szCs w:val="24"/>
            <w:u w:val="single"/>
          </w:rPr>
          <w:t>https://doi.org/10.1016/J.RTBM.2015.10.002</w:t>
        </w:r>
      </w:hyperlink>
      <w:r w:rsidRPr="00157D3C">
        <w:rPr>
          <w:rFonts w:ascii="Arial" w:eastAsia="Calibri" w:hAnsi="Arial" w:cs="Arial"/>
          <w:sz w:val="24"/>
          <w:szCs w:val="24"/>
        </w:rPr>
        <w:t>.</w:t>
      </w:r>
    </w:p>
    <w:p w14:paraId="60EBBEC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Levy, S., &amp; Park, S., 2011. An Analysis of CSR Activities in the Lodging Industry. Journal of Hospitality and Tourism Management, 18, pp. 147-154. </w:t>
      </w:r>
      <w:hyperlink r:id="rId21" w:history="1">
        <w:r w:rsidRPr="00157D3C">
          <w:rPr>
            <w:rFonts w:ascii="Arial" w:eastAsia="Calibri" w:hAnsi="Arial" w:cs="Arial"/>
            <w:color w:val="0563C1"/>
            <w:sz w:val="24"/>
            <w:szCs w:val="24"/>
            <w:u w:val="single"/>
          </w:rPr>
          <w:t>https://doi.org/10.1375/JHTM.18.1.147</w:t>
        </w:r>
      </w:hyperlink>
      <w:r w:rsidRPr="00157D3C">
        <w:rPr>
          <w:rFonts w:ascii="Arial" w:eastAsia="Calibri" w:hAnsi="Arial" w:cs="Arial"/>
          <w:sz w:val="24"/>
          <w:szCs w:val="24"/>
        </w:rPr>
        <w:t>.</w:t>
      </w:r>
    </w:p>
    <w:p w14:paraId="4F01C475"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Suryadinata</w:t>
      </w:r>
      <w:proofErr w:type="spellEnd"/>
      <w:r w:rsidRPr="00157D3C">
        <w:rPr>
          <w:rFonts w:ascii="Arial" w:eastAsia="Calibri" w:hAnsi="Arial" w:cs="Arial"/>
          <w:sz w:val="24"/>
          <w:szCs w:val="24"/>
        </w:rPr>
        <w:t xml:space="preserve">, A., Wijaya, A., &amp; Koss, H., 2015. COMPANY’S BENEFITS IN CORPORATE SOCIAL RESPONSIBILITY IN THE HOSPITALITY INDUSTRY. Tax and Accounting Review, 4, pp. 1. </w:t>
      </w:r>
      <w:hyperlink r:id="rId22" w:history="1">
        <w:r w:rsidRPr="00157D3C">
          <w:rPr>
            <w:rFonts w:ascii="Arial" w:eastAsia="Calibri" w:hAnsi="Arial" w:cs="Arial"/>
            <w:color w:val="0563C1"/>
            <w:sz w:val="24"/>
            <w:szCs w:val="24"/>
            <w:u w:val="single"/>
          </w:rPr>
          <w:t>https://publication.petra.ac.id/index.php/akuntansi-pajak/article/download/3115/2806</w:t>
        </w:r>
      </w:hyperlink>
      <w:r w:rsidRPr="00157D3C">
        <w:rPr>
          <w:rFonts w:ascii="Arial" w:eastAsia="Calibri" w:hAnsi="Arial" w:cs="Arial"/>
          <w:sz w:val="24"/>
          <w:szCs w:val="24"/>
        </w:rPr>
        <w:t xml:space="preserve"> </w:t>
      </w:r>
    </w:p>
    <w:p w14:paraId="11DAAE4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Bux, C., &amp; </w:t>
      </w:r>
      <w:proofErr w:type="spellStart"/>
      <w:r w:rsidRPr="00157D3C">
        <w:rPr>
          <w:rFonts w:ascii="Arial" w:eastAsia="Calibri" w:hAnsi="Arial" w:cs="Arial"/>
          <w:sz w:val="24"/>
          <w:szCs w:val="24"/>
        </w:rPr>
        <w:t>Amicarelli</w:t>
      </w:r>
      <w:proofErr w:type="spellEnd"/>
      <w:r w:rsidRPr="00157D3C">
        <w:rPr>
          <w:rFonts w:ascii="Arial" w:eastAsia="Calibri" w:hAnsi="Arial" w:cs="Arial"/>
          <w:sz w:val="24"/>
          <w:szCs w:val="24"/>
        </w:rPr>
        <w:t xml:space="preserve">, V., 2022. Circular economy and sustainable strategies in the hospitality industry: Current trends and empirical implications. Tourism and Hospitality Research, 23, pp. 624 - 636. </w:t>
      </w:r>
      <w:hyperlink r:id="rId23" w:history="1">
        <w:r w:rsidRPr="00157D3C">
          <w:rPr>
            <w:rFonts w:ascii="Arial" w:eastAsia="Calibri" w:hAnsi="Arial" w:cs="Arial"/>
            <w:color w:val="0563C1"/>
            <w:sz w:val="24"/>
            <w:szCs w:val="24"/>
            <w:u w:val="single"/>
          </w:rPr>
          <w:t>https://doi.org/10.1177/14673584221119581</w:t>
        </w:r>
      </w:hyperlink>
      <w:r w:rsidRPr="00157D3C">
        <w:rPr>
          <w:rFonts w:ascii="Arial" w:eastAsia="Calibri" w:hAnsi="Arial" w:cs="Arial"/>
          <w:sz w:val="24"/>
          <w:szCs w:val="24"/>
        </w:rPr>
        <w:t>.</w:t>
      </w:r>
    </w:p>
    <w:p w14:paraId="0D5B766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Julião, J., Gaspar, M., </w:t>
      </w:r>
      <w:proofErr w:type="spellStart"/>
      <w:r w:rsidRPr="00157D3C">
        <w:rPr>
          <w:rFonts w:ascii="Arial" w:eastAsia="Calibri" w:hAnsi="Arial" w:cs="Arial"/>
          <w:sz w:val="24"/>
          <w:szCs w:val="24"/>
        </w:rPr>
        <w:t>Tjahjono</w:t>
      </w:r>
      <w:proofErr w:type="spellEnd"/>
      <w:r w:rsidRPr="00157D3C">
        <w:rPr>
          <w:rFonts w:ascii="Arial" w:eastAsia="Calibri" w:hAnsi="Arial" w:cs="Arial"/>
          <w:sz w:val="24"/>
          <w:szCs w:val="24"/>
        </w:rPr>
        <w:t xml:space="preserve">, B. and Rocha, S., 2019. Exploring circular economy in the hospitality industry. In Innovation, engineering and entrepreneurship (pp. 953-960). Springer International Publishing. </w:t>
      </w:r>
      <w:hyperlink r:id="rId24" w:history="1">
        <w:r w:rsidRPr="00157D3C">
          <w:rPr>
            <w:rFonts w:ascii="Arial" w:eastAsia="Calibri" w:hAnsi="Arial" w:cs="Arial"/>
            <w:color w:val="0563C1"/>
            <w:sz w:val="24"/>
            <w:szCs w:val="24"/>
            <w:u w:val="single"/>
          </w:rPr>
          <w:t>https://www.researchgate.net/profile/Jorge-Juliao-3/publication/325541436_Exploring_Circular_Economy_in_the_Hospitality_Industry/links/5ba22ee892851ca9ed151457/Exploring-Circular-Economy-in-the-Hospitality-Industry.pdf</w:t>
        </w:r>
      </w:hyperlink>
      <w:r w:rsidRPr="00157D3C">
        <w:rPr>
          <w:rFonts w:ascii="Arial" w:eastAsia="Calibri" w:hAnsi="Arial" w:cs="Arial"/>
          <w:sz w:val="24"/>
          <w:szCs w:val="24"/>
        </w:rPr>
        <w:t xml:space="preserve"> </w:t>
      </w:r>
    </w:p>
    <w:p w14:paraId="08D9831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Silva, P., Silva, L., &amp; Echeveste, S., 2021. Circular Economy in Tourism and Hospitality: Analysis of Scientific Production on the Theme. European Journal of Tourism, Hospitality and Recreation, 11, pp. 45 - 53. </w:t>
      </w:r>
      <w:hyperlink r:id="rId25" w:history="1">
        <w:r w:rsidRPr="00157D3C">
          <w:rPr>
            <w:rFonts w:ascii="Arial" w:eastAsia="Calibri" w:hAnsi="Arial" w:cs="Arial"/>
            <w:color w:val="0563C1"/>
            <w:sz w:val="24"/>
            <w:szCs w:val="24"/>
            <w:u w:val="single"/>
          </w:rPr>
          <w:t>https://doi.org/10.2478/ejthr-2021-0005</w:t>
        </w:r>
      </w:hyperlink>
      <w:r w:rsidRPr="00157D3C">
        <w:rPr>
          <w:rFonts w:ascii="Arial" w:eastAsia="Calibri" w:hAnsi="Arial" w:cs="Arial"/>
          <w:sz w:val="24"/>
          <w:szCs w:val="24"/>
        </w:rPr>
        <w:t>.</w:t>
      </w:r>
    </w:p>
    <w:p w14:paraId="1B86DC0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Jones, P. and Wynn, M.G., 2019. The circular economy, natural capital and resilience in tourism and hospitality. International Journal of Contemporary Hospitality Management, 31(6), pp.2544-2563. </w:t>
      </w:r>
      <w:hyperlink r:id="rId26" w:history="1">
        <w:r w:rsidRPr="00157D3C">
          <w:rPr>
            <w:rFonts w:ascii="Arial" w:eastAsia="Calibri" w:hAnsi="Arial" w:cs="Arial"/>
            <w:color w:val="0563C1"/>
            <w:sz w:val="24"/>
            <w:szCs w:val="24"/>
            <w:u w:val="single"/>
          </w:rPr>
          <w:t>https://eprints.glos.ac.uk/6215/3/6215%20Jones%20THE%20CIRCULAR%20ECONOMY%2C%20NATURAL%20CAPITAL%20AND%20RESILIENCE%20IN%20TOURISM%20AND%20HOSPITALTY.pdf</w:t>
        </w:r>
      </w:hyperlink>
      <w:r w:rsidRPr="00157D3C">
        <w:rPr>
          <w:rFonts w:ascii="Arial" w:eastAsia="Calibri" w:hAnsi="Arial" w:cs="Arial"/>
          <w:sz w:val="24"/>
          <w:szCs w:val="24"/>
        </w:rPr>
        <w:t xml:space="preserve"> </w:t>
      </w:r>
      <w:r w:rsidRPr="00157D3C">
        <w:rPr>
          <w:rFonts w:ascii="Arial" w:eastAsia="Calibri" w:hAnsi="Arial" w:cs="Arial"/>
          <w:sz w:val="24"/>
          <w:szCs w:val="24"/>
        </w:rPr>
        <w:br/>
        <w:t xml:space="preserve">Marriot Hotel Group, 2023. 2023 Serve 360 Report </w:t>
      </w:r>
      <w:hyperlink r:id="rId27" w:history="1">
        <w:r w:rsidRPr="00157D3C">
          <w:rPr>
            <w:rFonts w:ascii="Arial" w:eastAsia="Calibri" w:hAnsi="Arial" w:cs="Arial"/>
            <w:color w:val="0563C1"/>
            <w:sz w:val="24"/>
            <w:szCs w:val="24"/>
            <w:u w:val="single"/>
          </w:rPr>
          <w:t>https://serve360.marriott.com/wp-content/uploads/2023/06/Marriott-2023-Serve-360-ESG-Report-accessible.pdf</w:t>
        </w:r>
      </w:hyperlink>
      <w:r w:rsidRPr="00157D3C">
        <w:rPr>
          <w:rFonts w:ascii="Arial" w:eastAsia="Calibri" w:hAnsi="Arial" w:cs="Arial"/>
          <w:sz w:val="24"/>
          <w:szCs w:val="24"/>
        </w:rPr>
        <w:t xml:space="preserve"> </w:t>
      </w:r>
    </w:p>
    <w:p w14:paraId="1FB2D341" w14:textId="77777777" w:rsidR="00157D3C" w:rsidRPr="00157D3C" w:rsidRDefault="00157D3C" w:rsidP="00157D3C">
      <w:pPr>
        <w:spacing w:line="360" w:lineRule="auto"/>
        <w:jc w:val="both"/>
        <w:rPr>
          <w:rFonts w:ascii="Arial" w:eastAsia="Calibri" w:hAnsi="Arial" w:cs="Arial"/>
          <w:sz w:val="24"/>
          <w:szCs w:val="24"/>
        </w:rPr>
      </w:pPr>
    </w:p>
    <w:p w14:paraId="7098C517" w14:textId="77777777" w:rsidR="009A0B3F" w:rsidRPr="00157D3C" w:rsidRDefault="009A0B3F">
      <w:pPr>
        <w:rPr>
          <w:rFonts w:ascii="Arial" w:hAnsi="Arial" w:cs="Arial"/>
          <w:sz w:val="24"/>
          <w:szCs w:val="24"/>
        </w:rPr>
      </w:pPr>
    </w:p>
    <w:sectPr w:rsidR="009A0B3F" w:rsidRPr="00157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D3C"/>
    <w:rsid w:val="00157D3C"/>
    <w:rsid w:val="003A37C1"/>
    <w:rsid w:val="009A0B3F"/>
    <w:rsid w:val="00DD125F"/>
    <w:rsid w:val="00F12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067B8"/>
  <w15:chartTrackingRefBased/>
  <w15:docId w15:val="{162F5BE8-A0FF-4B57-85E7-29A1CCA3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7C1"/>
  </w:style>
  <w:style w:type="paragraph" w:styleId="Heading1">
    <w:name w:val="heading 1"/>
    <w:basedOn w:val="Normal"/>
    <w:next w:val="Normal"/>
    <w:link w:val="Heading1Char"/>
    <w:uiPriority w:val="9"/>
    <w:qFormat/>
    <w:rsid w:val="00157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D3C"/>
    <w:rPr>
      <w:rFonts w:eastAsiaTheme="majorEastAsia" w:cstheme="majorBidi"/>
      <w:color w:val="272727" w:themeColor="text1" w:themeTint="D8"/>
    </w:rPr>
  </w:style>
  <w:style w:type="paragraph" w:styleId="Title">
    <w:name w:val="Title"/>
    <w:basedOn w:val="Normal"/>
    <w:next w:val="Normal"/>
    <w:link w:val="TitleChar"/>
    <w:uiPriority w:val="10"/>
    <w:qFormat/>
    <w:rsid w:val="00157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D3C"/>
    <w:pPr>
      <w:spacing w:before="160"/>
      <w:jc w:val="center"/>
    </w:pPr>
    <w:rPr>
      <w:i/>
      <w:iCs/>
      <w:color w:val="404040" w:themeColor="text1" w:themeTint="BF"/>
    </w:rPr>
  </w:style>
  <w:style w:type="character" w:customStyle="1" w:styleId="QuoteChar">
    <w:name w:val="Quote Char"/>
    <w:basedOn w:val="DefaultParagraphFont"/>
    <w:link w:val="Quote"/>
    <w:uiPriority w:val="29"/>
    <w:rsid w:val="00157D3C"/>
    <w:rPr>
      <w:i/>
      <w:iCs/>
      <w:color w:val="404040" w:themeColor="text1" w:themeTint="BF"/>
    </w:rPr>
  </w:style>
  <w:style w:type="paragraph" w:styleId="ListParagraph">
    <w:name w:val="List Paragraph"/>
    <w:basedOn w:val="Normal"/>
    <w:uiPriority w:val="34"/>
    <w:qFormat/>
    <w:rsid w:val="00157D3C"/>
    <w:pPr>
      <w:ind w:left="720"/>
      <w:contextualSpacing/>
    </w:pPr>
  </w:style>
  <w:style w:type="character" w:styleId="IntenseEmphasis">
    <w:name w:val="Intense Emphasis"/>
    <w:basedOn w:val="DefaultParagraphFont"/>
    <w:uiPriority w:val="21"/>
    <w:qFormat/>
    <w:rsid w:val="00157D3C"/>
    <w:rPr>
      <w:i/>
      <w:iCs/>
      <w:color w:val="0F4761" w:themeColor="accent1" w:themeShade="BF"/>
    </w:rPr>
  </w:style>
  <w:style w:type="paragraph" w:styleId="IntenseQuote">
    <w:name w:val="Intense Quote"/>
    <w:basedOn w:val="Normal"/>
    <w:next w:val="Normal"/>
    <w:link w:val="IntenseQuoteChar"/>
    <w:uiPriority w:val="30"/>
    <w:qFormat/>
    <w:rsid w:val="00157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D3C"/>
    <w:rPr>
      <w:i/>
      <w:iCs/>
      <w:color w:val="0F4761" w:themeColor="accent1" w:themeShade="BF"/>
    </w:rPr>
  </w:style>
  <w:style w:type="character" w:styleId="IntenseReference">
    <w:name w:val="Intense Reference"/>
    <w:basedOn w:val="DefaultParagraphFont"/>
    <w:uiPriority w:val="32"/>
    <w:qFormat/>
    <w:rsid w:val="00157D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16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1612254" TargetMode="External"/><Relationship Id="rId13" Type="http://schemas.openxmlformats.org/officeDocument/2006/relationships/hyperlink" Target="https://doi.org/10.1016/j.tmp.2020.100714" TargetMode="External"/><Relationship Id="rId18" Type="http://schemas.openxmlformats.org/officeDocument/2006/relationships/hyperlink" Target="https://doi.org/10.18843/IJCMS/V9I3/01" TargetMode="External"/><Relationship Id="rId26" Type="http://schemas.openxmlformats.org/officeDocument/2006/relationships/hyperlink" Target="https://eprints.glos.ac.uk/6215/3/6215%20Jones%20THE%20CIRCULAR%20ECONOMY%2C%20NATURAL%20CAPITAL%20AND%20RESILIENCE%20IN%20TOURISM%20AND%20HOSPITALTY.pdf" TargetMode="External"/><Relationship Id="rId3" Type="http://schemas.openxmlformats.org/officeDocument/2006/relationships/webSettings" Target="webSettings.xml"/><Relationship Id="rId21" Type="http://schemas.openxmlformats.org/officeDocument/2006/relationships/hyperlink" Target="https://doi.org/10.1375/JHTM.18.1.147" TargetMode="External"/><Relationship Id="rId7" Type="http://schemas.openxmlformats.org/officeDocument/2006/relationships/hyperlink" Target="https://doi.org/10.1016/J.IJHM.2019.102330" TargetMode="External"/><Relationship Id="rId12" Type="http://schemas.openxmlformats.org/officeDocument/2006/relationships/hyperlink" Target="https://doi.org/10.1016/J.IJHM.2013.08.002" TargetMode="External"/><Relationship Id="rId17" Type="http://schemas.openxmlformats.org/officeDocument/2006/relationships/hyperlink" Target="https://doi.org/10.3390/ijerph192316141" TargetMode="External"/><Relationship Id="rId25" Type="http://schemas.openxmlformats.org/officeDocument/2006/relationships/hyperlink" Target="https://doi.org/10.2478/ejthr-2021-0005" TargetMode="External"/><Relationship Id="rId2" Type="http://schemas.openxmlformats.org/officeDocument/2006/relationships/settings" Target="settings.xml"/><Relationship Id="rId16" Type="http://schemas.openxmlformats.org/officeDocument/2006/relationships/hyperlink" Target="https://doi.org/10.1016/J.IJHM.2019.102330" TargetMode="External"/><Relationship Id="rId20" Type="http://schemas.openxmlformats.org/officeDocument/2006/relationships/hyperlink" Target="https://doi.org/10.1016/J.RTBM.2015.10.002"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08/IJCHM-06-2018-0451" TargetMode="External"/><Relationship Id="rId11" Type="http://schemas.openxmlformats.org/officeDocument/2006/relationships/hyperlink" Target="https://doi.org/10.1016/J.IJHM.2009.05.006" TargetMode="External"/><Relationship Id="rId24" Type="http://schemas.openxmlformats.org/officeDocument/2006/relationships/hyperlink" Target="https://www.researchgate.net/profile/Jorge-Juliao-3/publication/325541436_Exploring_Circular_Economy_in_the_Hospitality_Industry/links/5ba22ee892851ca9ed151457/Exploring-Circular-Economy-in-the-Hospitality-Industry.pdf" TargetMode="External"/><Relationship Id="rId5" Type="http://schemas.openxmlformats.org/officeDocument/2006/relationships/hyperlink" Target="https://doi.org/10.1177/1938965519892907" TargetMode="External"/><Relationship Id="rId15" Type="http://schemas.openxmlformats.org/officeDocument/2006/relationships/hyperlink" Target="https://doi.org/10.1504/IJGE.2011.044622" TargetMode="External"/><Relationship Id="rId23" Type="http://schemas.openxmlformats.org/officeDocument/2006/relationships/hyperlink" Target="https://doi.org/10.1177/14673584221119581" TargetMode="External"/><Relationship Id="rId28" Type="http://schemas.openxmlformats.org/officeDocument/2006/relationships/fontTable" Target="fontTable.xml"/><Relationship Id="rId10" Type="http://schemas.openxmlformats.org/officeDocument/2006/relationships/hyperlink" Target="https://doi.org/10.1016/j.ijhm.2019.102395" TargetMode="External"/><Relationship Id="rId19" Type="http://schemas.openxmlformats.org/officeDocument/2006/relationships/hyperlink" Target="https://doi.org/10.36997/TC2020.504" TargetMode="External"/><Relationship Id="rId4" Type="http://schemas.openxmlformats.org/officeDocument/2006/relationships/hyperlink" Target="https://doi.org/10.1016/j.ijhm.2019.102395" TargetMode="External"/><Relationship Id="rId9" Type="http://schemas.openxmlformats.org/officeDocument/2006/relationships/hyperlink" Target="https://doi.org/10.1080/19368623.2021.1937433" TargetMode="External"/><Relationship Id="rId14" Type="http://schemas.openxmlformats.org/officeDocument/2006/relationships/hyperlink" Target="https://doi.org/10.1108/IJCHM-06-2018-0464" TargetMode="External"/><Relationship Id="rId22" Type="http://schemas.openxmlformats.org/officeDocument/2006/relationships/hyperlink" Target="https://publication.petra.ac.id/index.php/akuntansi-pajak/article/download/3115/2806" TargetMode="External"/><Relationship Id="rId27" Type="http://schemas.openxmlformats.org/officeDocument/2006/relationships/hyperlink" Target="https://serve360.marriott.com/wp-content/uploads/2023/06/Marriott-2023-Serve-360-ESG-Report-accessi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2534</Words>
  <Characters>17734</Characters>
  <Application>Microsoft Office Word</Application>
  <DocSecurity>0</DocSecurity>
  <Lines>298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Lenuta</dc:creator>
  <cp:keywords/>
  <dc:description/>
  <cp:lastModifiedBy>Lavinia Lenuta</cp:lastModifiedBy>
  <cp:revision>1</cp:revision>
  <dcterms:created xsi:type="dcterms:W3CDTF">2024-05-12T13:07:00Z</dcterms:created>
  <dcterms:modified xsi:type="dcterms:W3CDTF">2024-05-12T13:21:00Z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f834fa3e-3b70-4f4e-b2e5-1b44601e9048</vt:lpwstr>
  </property>
</Properties>
</file>