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5CBD4" w14:textId="74F7585E" w:rsidR="00136B00" w:rsidRDefault="007D189F">
      <w:r>
        <w:rPr>
          <w:noProof/>
        </w:rPr>
        <w:drawing>
          <wp:inline distT="0" distB="0" distL="0" distR="0" wp14:anchorId="043B01CD" wp14:editId="671C11F8">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461C0A38" w14:textId="77777777" w:rsidR="007D189F" w:rsidRDefault="007D189F"/>
    <w:p w14:paraId="4F0BF53F" w14:textId="18CC4270" w:rsidR="007D189F" w:rsidRDefault="007D189F">
      <w:r>
        <w:t xml:space="preserve"> </w:t>
      </w:r>
    </w:p>
    <w:p w14:paraId="32693A56" w14:textId="77777777" w:rsidR="00193B7B" w:rsidRDefault="00193B7B"/>
    <w:p w14:paraId="50D3DFB2" w14:textId="77777777" w:rsidR="00193B7B" w:rsidRDefault="00193B7B"/>
    <w:p w14:paraId="1A655FA4" w14:textId="77777777" w:rsidR="00193B7B" w:rsidRDefault="00193B7B"/>
    <w:p w14:paraId="727F4583" w14:textId="77777777" w:rsidR="00193B7B" w:rsidRDefault="00193B7B"/>
    <w:p w14:paraId="24A1A94E" w14:textId="77777777" w:rsidR="00193B7B" w:rsidRPr="00013C5D" w:rsidRDefault="00193B7B">
      <w:pPr>
        <w:rPr>
          <w:sz w:val="32"/>
          <w:szCs w:val="32"/>
        </w:rPr>
      </w:pPr>
    </w:p>
    <w:p w14:paraId="334C8296" w14:textId="7037F041" w:rsidR="001C7526" w:rsidRPr="00013C5D" w:rsidRDefault="00FD2A63" w:rsidP="00013C5D">
      <w:pPr>
        <w:spacing w:line="360" w:lineRule="auto"/>
        <w:jc w:val="both"/>
        <w:rPr>
          <w:rFonts w:ascii="Arial" w:hAnsi="Arial" w:cs="Arial"/>
          <w:sz w:val="32"/>
          <w:szCs w:val="32"/>
        </w:rPr>
      </w:pPr>
      <w:r w:rsidRPr="00013C5D">
        <w:rPr>
          <w:rFonts w:ascii="Arial" w:hAnsi="Arial" w:cs="Arial"/>
          <w:sz w:val="32"/>
          <w:szCs w:val="32"/>
        </w:rPr>
        <w:t>Module</w:t>
      </w:r>
      <w:r w:rsidR="00013C5D" w:rsidRPr="00013C5D">
        <w:rPr>
          <w:rFonts w:ascii="Arial" w:hAnsi="Arial" w:cs="Arial"/>
          <w:sz w:val="32"/>
          <w:szCs w:val="32"/>
        </w:rPr>
        <w:t xml:space="preserve"> name</w:t>
      </w:r>
      <w:r w:rsidRPr="00013C5D">
        <w:rPr>
          <w:rFonts w:ascii="Arial" w:hAnsi="Arial" w:cs="Arial"/>
          <w:sz w:val="32"/>
          <w:szCs w:val="32"/>
        </w:rPr>
        <w:t>:</w:t>
      </w:r>
      <w:r w:rsidR="001C7526" w:rsidRPr="00013C5D">
        <w:rPr>
          <w:rFonts w:ascii="Arial" w:eastAsia="Times New Roman" w:hAnsi="Arial" w:cs="Arial"/>
          <w:b/>
          <w:bCs/>
          <w:kern w:val="36"/>
          <w:sz w:val="32"/>
          <w:szCs w:val="32"/>
          <w:lang w:eastAsia="en-GB"/>
          <w14:ligatures w14:val="none"/>
        </w:rPr>
        <w:t xml:space="preserve"> </w:t>
      </w:r>
      <w:r w:rsidR="001C7526" w:rsidRPr="00013C5D">
        <w:rPr>
          <w:rFonts w:ascii="Arial" w:hAnsi="Arial" w:cs="Arial"/>
          <w:sz w:val="32"/>
          <w:szCs w:val="32"/>
        </w:rPr>
        <w:t xml:space="preserve">Changemakers: Creativity </w:t>
      </w:r>
      <w:r w:rsidR="00F37DB0" w:rsidRPr="00013C5D">
        <w:rPr>
          <w:rFonts w:ascii="Arial" w:hAnsi="Arial" w:cs="Arial"/>
          <w:sz w:val="32"/>
          <w:szCs w:val="32"/>
        </w:rPr>
        <w:t>&amp;</w:t>
      </w:r>
      <w:r w:rsidR="001C7526" w:rsidRPr="00013C5D">
        <w:rPr>
          <w:rFonts w:ascii="Arial" w:hAnsi="Arial" w:cs="Arial"/>
          <w:sz w:val="32"/>
          <w:szCs w:val="32"/>
        </w:rPr>
        <w:t xml:space="preserve"> Value Creation </w:t>
      </w:r>
      <w:r w:rsidR="00013C5D" w:rsidRPr="00013C5D">
        <w:rPr>
          <w:rFonts w:ascii="Arial" w:hAnsi="Arial" w:cs="Arial"/>
          <w:sz w:val="32"/>
          <w:szCs w:val="32"/>
        </w:rPr>
        <w:t xml:space="preserve">Module number: </w:t>
      </w:r>
      <w:r w:rsidR="001C7526" w:rsidRPr="00013C5D">
        <w:rPr>
          <w:rFonts w:ascii="Arial" w:hAnsi="Arial" w:cs="Arial"/>
          <w:sz w:val="32"/>
          <w:szCs w:val="32"/>
        </w:rPr>
        <w:t>(BMHP5014_BIRM)</w:t>
      </w:r>
    </w:p>
    <w:p w14:paraId="4D4DAE40" w14:textId="53BA573C" w:rsidR="00FD2A63" w:rsidRPr="00013C5D" w:rsidRDefault="00FD2A63" w:rsidP="00013C5D">
      <w:pPr>
        <w:spacing w:line="360" w:lineRule="auto"/>
        <w:jc w:val="both"/>
        <w:rPr>
          <w:rFonts w:ascii="Arial" w:hAnsi="Arial" w:cs="Arial"/>
          <w:sz w:val="32"/>
          <w:szCs w:val="32"/>
        </w:rPr>
      </w:pPr>
      <w:r w:rsidRPr="00013C5D">
        <w:rPr>
          <w:rFonts w:ascii="Arial" w:hAnsi="Arial" w:cs="Arial"/>
          <w:sz w:val="32"/>
          <w:szCs w:val="32"/>
        </w:rPr>
        <w:t>Student n</w:t>
      </w:r>
      <w:r w:rsidR="009E3133" w:rsidRPr="00013C5D">
        <w:rPr>
          <w:rFonts w:ascii="Arial" w:hAnsi="Arial" w:cs="Arial"/>
          <w:sz w:val="32"/>
          <w:szCs w:val="32"/>
        </w:rPr>
        <w:t>ame: Melania Ciornei</w:t>
      </w:r>
    </w:p>
    <w:p w14:paraId="67375804" w14:textId="6B347B74" w:rsidR="009E3133" w:rsidRPr="00013C5D" w:rsidRDefault="009E3133" w:rsidP="00013C5D">
      <w:pPr>
        <w:spacing w:line="360" w:lineRule="auto"/>
        <w:jc w:val="both"/>
        <w:rPr>
          <w:rFonts w:ascii="Arial" w:hAnsi="Arial" w:cs="Arial"/>
          <w:sz w:val="32"/>
          <w:szCs w:val="32"/>
        </w:rPr>
      </w:pPr>
      <w:r w:rsidRPr="00013C5D">
        <w:rPr>
          <w:rFonts w:ascii="Arial" w:hAnsi="Arial" w:cs="Arial"/>
          <w:sz w:val="32"/>
          <w:szCs w:val="32"/>
        </w:rPr>
        <w:t>Student number: 2329516</w:t>
      </w:r>
    </w:p>
    <w:p w14:paraId="274E932B" w14:textId="5508D3E5" w:rsidR="009E3133" w:rsidRPr="00013C5D" w:rsidRDefault="009E3133" w:rsidP="00013C5D">
      <w:pPr>
        <w:spacing w:line="360" w:lineRule="auto"/>
        <w:jc w:val="both"/>
        <w:rPr>
          <w:rFonts w:ascii="Arial" w:hAnsi="Arial" w:cs="Arial"/>
          <w:sz w:val="32"/>
          <w:szCs w:val="32"/>
        </w:rPr>
      </w:pPr>
      <w:r w:rsidRPr="00013C5D">
        <w:rPr>
          <w:rFonts w:ascii="Arial" w:hAnsi="Arial" w:cs="Arial"/>
          <w:sz w:val="32"/>
          <w:szCs w:val="32"/>
        </w:rPr>
        <w:t xml:space="preserve">Lecturer name: </w:t>
      </w:r>
      <w:r w:rsidR="00F47ACA" w:rsidRPr="00013C5D">
        <w:rPr>
          <w:rFonts w:ascii="Arial" w:hAnsi="Arial" w:cs="Arial"/>
          <w:sz w:val="32"/>
          <w:szCs w:val="32"/>
        </w:rPr>
        <w:t>Tsiwani Khumalo</w:t>
      </w:r>
    </w:p>
    <w:p w14:paraId="74E3BD9D" w14:textId="77777777" w:rsidR="00193B7B" w:rsidRDefault="00193B7B"/>
    <w:p w14:paraId="4F86C84A" w14:textId="77777777" w:rsidR="00193B7B" w:rsidRDefault="00193B7B"/>
    <w:p w14:paraId="2B20E0F1" w14:textId="77777777" w:rsidR="00193B7B" w:rsidRDefault="00193B7B"/>
    <w:p w14:paraId="7F2A7DC1" w14:textId="77777777" w:rsidR="00193B7B" w:rsidRDefault="00193B7B"/>
    <w:p w14:paraId="29EB9E20" w14:textId="2040D29D" w:rsidR="00193B7B" w:rsidRPr="00013C5D" w:rsidRDefault="00013C5D">
      <w:pPr>
        <w:rPr>
          <w:rFonts w:ascii="Arial" w:hAnsi="Arial" w:cs="Arial"/>
          <w:sz w:val="72"/>
          <w:szCs w:val="72"/>
        </w:rPr>
      </w:pPr>
      <w:r w:rsidRPr="00013C5D">
        <w:rPr>
          <w:rFonts w:ascii="Arial" w:hAnsi="Arial" w:cs="Arial"/>
          <w:sz w:val="72"/>
          <w:szCs w:val="72"/>
        </w:rPr>
        <w:t xml:space="preserve">             Portfolio</w:t>
      </w:r>
    </w:p>
    <w:p w14:paraId="4EB34584" w14:textId="77777777" w:rsidR="00193B7B" w:rsidRDefault="00193B7B"/>
    <w:p w14:paraId="6BB25D88" w14:textId="77777777" w:rsidR="00193B7B" w:rsidRDefault="00193B7B"/>
    <w:p w14:paraId="2BC5CB1A" w14:textId="17989981" w:rsidR="00E14D80" w:rsidRPr="00E14D80" w:rsidRDefault="00193B7B" w:rsidP="00193B7B">
      <w:pPr>
        <w:rPr>
          <w:rFonts w:ascii="Arial Nova" w:eastAsia="Arial Nova" w:hAnsi="Arial Nova" w:cs="Arial Nova"/>
          <w:sz w:val="44"/>
          <w:szCs w:val="44"/>
        </w:rPr>
      </w:pPr>
      <w:r w:rsidRPr="021F216E">
        <w:rPr>
          <w:rFonts w:ascii="Arial Nova" w:eastAsia="Arial Nova" w:hAnsi="Arial Nova" w:cs="Arial Nova"/>
          <w:sz w:val="44"/>
          <w:szCs w:val="44"/>
        </w:rPr>
        <w:lastRenderedPageBreak/>
        <w:t>Task 1 – Concept</w:t>
      </w:r>
      <w:r w:rsidR="00FE4B32">
        <w:rPr>
          <w:rFonts w:ascii="Arial Nova" w:eastAsia="Arial Nova" w:hAnsi="Arial Nova" w:cs="Arial Nova"/>
          <w:sz w:val="44"/>
          <w:szCs w:val="44"/>
        </w:rPr>
        <w:t xml:space="preserve"> Creativity</w:t>
      </w:r>
      <w:r w:rsidRPr="021F216E">
        <w:rPr>
          <w:rFonts w:ascii="Arial Nova" w:eastAsia="Arial Nova" w:hAnsi="Arial Nova" w:cs="Arial Nova"/>
          <w:sz w:val="44"/>
          <w:szCs w:val="44"/>
        </w:rPr>
        <w:t xml:space="preserve"> Map</w:t>
      </w:r>
    </w:p>
    <w:p w14:paraId="638F2D5A" w14:textId="77777777" w:rsidR="00193B7B" w:rsidRDefault="00193B7B" w:rsidP="00193B7B">
      <w:pPr>
        <w:rPr>
          <w:noProof/>
        </w:rPr>
      </w:pPr>
    </w:p>
    <w:p w14:paraId="06CBCC63" w14:textId="77777777" w:rsidR="00193B7B" w:rsidRDefault="00193B7B" w:rsidP="00193B7B">
      <w:pPr>
        <w:jc w:val="both"/>
        <w:rPr>
          <w:noProof/>
        </w:rPr>
      </w:pPr>
      <w:r w:rsidRPr="002433E9">
        <w:rPr>
          <w:rFonts w:ascii="Arial" w:hAnsi="Arial" w:cs="Arial"/>
          <w:noProof/>
        </w:rPr>
        <w:drawing>
          <wp:inline distT="0" distB="0" distL="0" distR="0" wp14:anchorId="23070E9C" wp14:editId="247EA391">
            <wp:extent cx="6797040" cy="5867400"/>
            <wp:effectExtent l="0" t="0" r="3810" b="0"/>
            <wp:docPr id="1651630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30650" name=""/>
                    <pic:cNvPicPr/>
                  </pic:nvPicPr>
                  <pic:blipFill>
                    <a:blip r:embed="rId7">
                      <a:extLst>
                        <a:ext uri="{96DAC541-7B7A-43D3-8B79-37D633B846F1}">
                          <asvg:svgBlip xmlns:asvg="http://schemas.microsoft.com/office/drawing/2016/SVG/main" r:embed="rId8"/>
                        </a:ext>
                      </a:extLst>
                    </a:blip>
                    <a:stretch>
                      <a:fillRect/>
                    </a:stretch>
                  </pic:blipFill>
                  <pic:spPr>
                    <a:xfrm>
                      <a:off x="0" y="0"/>
                      <a:ext cx="6797040" cy="5867400"/>
                    </a:xfrm>
                    <a:prstGeom prst="rect">
                      <a:avLst/>
                    </a:prstGeom>
                  </pic:spPr>
                </pic:pic>
              </a:graphicData>
            </a:graphic>
          </wp:inline>
        </w:drawing>
      </w:r>
    </w:p>
    <w:p w14:paraId="02447058" w14:textId="77777777" w:rsidR="00BC48D1" w:rsidRP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 xml:space="preserve">This concept map illustrates the interrelationship between creativity, value creation, and health and social care improvement. Creativity acts as a key driver of innovation, enabling practitioners to generate meaningful ideas that enhance care quality, patient experience, and system efficiency (Boden, 1994, cited in Carlile and Jordan, 2012; Brewster et al., 2021). The COVID-19 pandemic highlighted this role, as creative thinking supported rapid adaptation in care delivery through telehealth, flexible teams, and innovative resource use (Greenhalgh et al., 2020). Creativity also contributes to wellbeing, with creative activities strengthening mental health, emotional resilience, and social connection among service users and practitioners </w:t>
      </w:r>
      <w:r w:rsidRPr="00BC48D1">
        <w:rPr>
          <w:rFonts w:ascii="Arial" w:eastAsia="Arial Nova" w:hAnsi="Arial" w:cs="Arial"/>
          <w:color w:val="000000" w:themeColor="text1"/>
        </w:rPr>
        <w:lastRenderedPageBreak/>
        <w:t>(Coulton et al., 2015; Zuber, 2018). A creative workplace encourages collaboration, fresh perspectives, and reduced stress, supporting staff morale (Paul et al., 2024).</w:t>
      </w:r>
    </w:p>
    <w:p w14:paraId="16969F23" w14:textId="2256B764" w:rsidR="00BC48D1" w:rsidRP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Motivation underpins creativity and may be intrinsic—driven by autonomy, mastery, and purpose—or extrinsic, influenced by rewards and recognition (Ryan and Deci, 2000; Pink, 2009). Intrinsic motivation is particularly effective in sustaining professional engagement and innovation, supporting meaningful contribution to care . Motivated practitioners apply creative problem-solving approaches, such as the Osborn–Parnes model, to turn ideas into evidence-based interventions (Osborn and Parnes, 1967).</w:t>
      </w:r>
    </w:p>
    <w:p w14:paraId="2B63B9EA" w14:textId="77777777" w:rsid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Together, these factors enable value creation across person-centred, equity, and efficiency dimensions (Porter, 2010; Roth et al., 2024), ultimately improving care quality, sustainability, and wellbeing.</w:t>
      </w:r>
    </w:p>
    <w:p w14:paraId="36BEB1D1" w14:textId="77777777" w:rsidR="00193B7B" w:rsidRPr="00A35BFA" w:rsidRDefault="00193B7B" w:rsidP="00193B7B">
      <w:pPr>
        <w:spacing w:line="360" w:lineRule="auto"/>
        <w:jc w:val="both"/>
        <w:rPr>
          <w:rFonts w:ascii="Arial" w:eastAsia="Arial Nova" w:hAnsi="Arial" w:cs="Arial"/>
          <w:color w:val="000000" w:themeColor="text1"/>
        </w:rPr>
      </w:pPr>
    </w:p>
    <w:p w14:paraId="65E1F9BF" w14:textId="360E384A" w:rsidR="005A3346" w:rsidRPr="00F57E9A" w:rsidRDefault="00193B7B" w:rsidP="00193B7B">
      <w:pPr>
        <w:rPr>
          <w:rFonts w:ascii="Arial" w:eastAsia="Arial Nova" w:hAnsi="Arial" w:cs="Arial"/>
          <w:color w:val="000000" w:themeColor="text1"/>
          <w:sz w:val="32"/>
          <w:szCs w:val="32"/>
        </w:rPr>
      </w:pPr>
      <w:r w:rsidRPr="00F57E9A">
        <w:rPr>
          <w:rFonts w:ascii="Arial" w:eastAsia="Arial Nova" w:hAnsi="Arial" w:cs="Arial"/>
          <w:color w:val="000000" w:themeColor="text1"/>
          <w:sz w:val="32"/>
          <w:szCs w:val="32"/>
        </w:rPr>
        <w:t xml:space="preserve">Task 2 </w:t>
      </w:r>
      <w:r w:rsidR="005D4B2A">
        <w:rPr>
          <w:rFonts w:ascii="Arial" w:eastAsia="Arial Nova" w:hAnsi="Arial" w:cs="Arial"/>
          <w:color w:val="000000" w:themeColor="text1"/>
          <w:sz w:val="32"/>
          <w:szCs w:val="32"/>
        </w:rPr>
        <w:t xml:space="preserve">–  </w:t>
      </w:r>
      <w:r w:rsidRPr="00F57E9A">
        <w:rPr>
          <w:rFonts w:ascii="Arial" w:eastAsia="Arial Nova" w:hAnsi="Arial" w:cs="Arial"/>
          <w:color w:val="000000" w:themeColor="text1"/>
          <w:sz w:val="32"/>
          <w:szCs w:val="32"/>
        </w:rPr>
        <w:t xml:space="preserve"> Self-Reflection of Group Activity</w:t>
      </w:r>
    </w:p>
    <w:p w14:paraId="0372111A" w14:textId="6B65EDA8" w:rsidR="001A4A3F" w:rsidRPr="001A4A3F" w:rsidRDefault="00F57E9A" w:rsidP="00013C5D">
      <w:pPr>
        <w:spacing w:line="360" w:lineRule="auto"/>
        <w:rPr>
          <w:rFonts w:ascii="Arial" w:eastAsia="Arial Nova" w:hAnsi="Arial" w:cs="Arial"/>
          <w:color w:val="000000" w:themeColor="text1"/>
        </w:rPr>
      </w:pPr>
      <w:r w:rsidRPr="00013C5D">
        <w:rPr>
          <w:rFonts w:ascii="Arial" w:eastAsia="Arial Nova" w:hAnsi="Arial" w:cs="Arial"/>
          <w:color w:val="000000" w:themeColor="text1"/>
        </w:rPr>
        <w:t>Introduction:</w:t>
      </w:r>
      <w:r w:rsidR="00FC2A50" w:rsidRPr="00013C5D">
        <w:rPr>
          <w:rFonts w:ascii="Arial" w:eastAsia="Arial Nova" w:hAnsi="Arial" w:cs="Arial"/>
          <w:color w:val="000000" w:themeColor="text1"/>
        </w:rPr>
        <w:t xml:space="preserve"> </w:t>
      </w:r>
      <w:r w:rsidR="001A4A3F" w:rsidRPr="001A4A3F">
        <w:rPr>
          <w:rFonts w:ascii="Arial" w:eastAsia="Arial Nova" w:hAnsi="Arial" w:cs="Arial"/>
          <w:color w:val="000000" w:themeColor="text1"/>
        </w:rPr>
        <w:t>Using Gibbs’ Reflective Cycle (1988), this reflection explores my experience in a collaborative Week 2 task where our group was challenged to use ten paperclips to design an innovative object, developing our divergent and convergent thinking skills.</w:t>
      </w:r>
    </w:p>
    <w:p w14:paraId="25532E7A" w14:textId="04976C1B" w:rsidR="001A4A3F" w:rsidRPr="00013C5D" w:rsidRDefault="001A4A3F" w:rsidP="00013C5D">
      <w:pPr>
        <w:spacing w:line="360" w:lineRule="auto"/>
        <w:jc w:val="both"/>
        <w:rPr>
          <w:rFonts w:ascii="Arial" w:eastAsia="Arial Nova" w:hAnsi="Arial" w:cs="Arial"/>
          <w:color w:val="000000" w:themeColor="text1"/>
        </w:rPr>
      </w:pPr>
      <w:r w:rsidRPr="001A4A3F">
        <w:rPr>
          <w:rFonts w:ascii="Arial" w:eastAsia="Arial Nova" w:hAnsi="Arial" w:cs="Arial"/>
          <w:color w:val="000000" w:themeColor="text1"/>
        </w:rPr>
        <w:t>Description:</w:t>
      </w:r>
      <w:r w:rsidR="00FC2A50" w:rsidRPr="00013C5D">
        <w:rPr>
          <w:rFonts w:ascii="Arial" w:eastAsia="Arial Nova" w:hAnsi="Arial" w:cs="Arial"/>
          <w:color w:val="000000" w:themeColor="text1"/>
        </w:rPr>
        <w:t xml:space="preserve"> </w:t>
      </w:r>
      <w:r w:rsidRPr="001A4A3F">
        <w:rPr>
          <w:rFonts w:ascii="Arial" w:eastAsia="Arial Nova" w:hAnsi="Arial" w:cs="Arial"/>
          <w:color w:val="000000" w:themeColor="text1"/>
        </w:rPr>
        <w:t>We began by brainstorming freely to generate as many creative ideas as possible before refining and selecting one concept. Eventually, we decided to create a DNA helix model symbolising a medical clinic researching cancer cures.</w:t>
      </w:r>
    </w:p>
    <w:p w14:paraId="40418666" w14:textId="653E1BAA"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Feelings:</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 xml:space="preserve">At first, I felt hesitant to share my ideas, worrying they might appear </w:t>
      </w:r>
      <w:r w:rsidR="006F78F6" w:rsidRPr="00013C5D">
        <w:rPr>
          <w:rFonts w:ascii="Arial" w:eastAsia="Arial Nova" w:hAnsi="Arial" w:cs="Arial"/>
          <w:color w:val="000000" w:themeColor="text1"/>
        </w:rPr>
        <w:t>simple</w:t>
      </w:r>
      <w:r w:rsidRPr="000A6BFC">
        <w:rPr>
          <w:rFonts w:ascii="Arial" w:eastAsia="Arial Nova" w:hAnsi="Arial" w:cs="Arial"/>
          <w:color w:val="000000" w:themeColor="text1"/>
        </w:rPr>
        <w:t>. This hesitation made me aware of how self-doubt can limit creative contribution. As the group encouraged open discussion, my confidence increased, and I became inspired by the originality of others. The positive, supportive atmosphere demonstrated how psychological safety and encouragement stimulate collaboration and creativity.</w:t>
      </w:r>
    </w:p>
    <w:p w14:paraId="2CCDD6F7" w14:textId="290ACB9B"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Evaluation:</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The activity showed that group brainstorming amplifies creativity through diverse perspectives, though limited time prevented deeper exploration of all ideas. I realised that divergent thinking fosters breadth of ideas, while convergent thinking narrows them into realistic outcomes (Rawlings et al., 2025). Our collaboration reflected Pick et al.’s (2024) findings on neural synchronisation, as collective focus improved idea quality. Moreover, metacognitive awareness—recognising when to generate or evaluate ideas—proved crucial for effective creative thinking (Jiang et al., 2023).</w:t>
      </w:r>
    </w:p>
    <w:p w14:paraId="6FBC8863" w14:textId="053C9AA0"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Analysis, Conclusion &amp; Action Plan:</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 xml:space="preserve">Gibbs’ model highlighted how balancing emotional openness and cognitive regulation enhances teamwork. In future projects, I will contribute </w:t>
      </w:r>
      <w:r w:rsidRPr="000A6BFC">
        <w:rPr>
          <w:rFonts w:ascii="Arial" w:eastAsia="Arial Nova" w:hAnsi="Arial" w:cs="Arial"/>
          <w:color w:val="000000" w:themeColor="text1"/>
        </w:rPr>
        <w:lastRenderedPageBreak/>
        <w:t>ideas early, use reflective journaling to assess my thinking patterns, and advocate inclusive idea-sharing stages. Strengthening metacognitive control will help me adapt confidently and collaborate more creatively.</w:t>
      </w:r>
    </w:p>
    <w:p w14:paraId="48F4EBBB" w14:textId="77777777" w:rsidR="00516B2F" w:rsidRDefault="00516B2F" w:rsidP="00193B7B">
      <w:pPr>
        <w:spacing w:line="360" w:lineRule="auto"/>
        <w:jc w:val="both"/>
        <w:rPr>
          <w:rFonts w:ascii="Arial" w:eastAsia="Arial Nova" w:hAnsi="Arial" w:cs="Arial"/>
          <w:color w:val="000000" w:themeColor="text1"/>
        </w:rPr>
      </w:pPr>
    </w:p>
    <w:p w14:paraId="7E6AC696" w14:textId="745B89A6" w:rsidR="00740BDD" w:rsidRPr="00F57E9A" w:rsidRDefault="00193B7B" w:rsidP="00193B7B">
      <w:pPr>
        <w:rPr>
          <w:rFonts w:ascii="Arial" w:eastAsia="Arial Nova" w:hAnsi="Arial" w:cs="Arial"/>
          <w:color w:val="000000" w:themeColor="text1"/>
          <w:sz w:val="32"/>
          <w:szCs w:val="32"/>
        </w:rPr>
      </w:pPr>
      <w:r w:rsidRPr="00F57E9A">
        <w:rPr>
          <w:rFonts w:ascii="Arial" w:eastAsia="Arial Nova" w:hAnsi="Arial" w:cs="Arial"/>
          <w:color w:val="000000" w:themeColor="text1"/>
          <w:sz w:val="32"/>
          <w:szCs w:val="32"/>
        </w:rPr>
        <w:t xml:space="preserve">Task 3 -  </w:t>
      </w:r>
      <w:r w:rsidR="00EE3CE1">
        <w:rPr>
          <w:rFonts w:ascii="Arial" w:eastAsia="Arial Nova" w:hAnsi="Arial" w:cs="Arial"/>
          <w:color w:val="000000" w:themeColor="text1"/>
          <w:sz w:val="32"/>
          <w:szCs w:val="32"/>
        </w:rPr>
        <w:t>NHS at Home</w:t>
      </w:r>
      <w:r w:rsidRPr="00F57E9A">
        <w:rPr>
          <w:rFonts w:ascii="Arial" w:eastAsia="Arial Nova" w:hAnsi="Arial" w:cs="Arial"/>
          <w:color w:val="000000" w:themeColor="text1"/>
          <w:sz w:val="32"/>
          <w:szCs w:val="32"/>
        </w:rPr>
        <w:t xml:space="preserve"> innovation</w:t>
      </w:r>
    </w:p>
    <w:p w14:paraId="24440EF3" w14:textId="0C87272B"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The NHS at Home initiative is a leading example of creative healthcare innovation in the UK. Designed to improve continuity of care and reduce hospital burden, it enables patients—particularly those with chronic or post-acute conditions—to be remotely monitored in their own homes using digital technologies (Care Quality Commission, 2021). The programme aligns with the NHS Long Term Plan (NHS England, 2019) and the Health and Social Care Act 2012, supporting a shift towards integrated, personalised, and community-based care.</w:t>
      </w:r>
    </w:p>
    <w:p w14:paraId="17E1F407" w14:textId="77777777" w:rsid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Creativity and Innovation in Practice</w:t>
      </w:r>
    </w:p>
    <w:p w14:paraId="61FE3553" w14:textId="525B7B78"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Creativity was central to transforming traditional care pathways. The initiative applied digital tools such as wearable sensors, patient apps, and home-monitoring devices that securely transmit physiological data to clinical teams in real time (Imperial College Healthcare NHS Trust, 2024). Importantly, creativity extended beyond technology design: co-production sessions involved clinicians, digital specialists, and patients, ensuring accessibility for older adults and those with limited digital literacy. This collaborative approach reflected the Care Act 2014’s emphasis on person-centred and equitable support. The model re-imagined clinical roles, demonstrating that technology can enhance compassion rather than replace human care.</w:t>
      </w:r>
    </w:p>
    <w:p w14:paraId="115CB98F" w14:textId="77777777" w:rsid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Cultural and Professional Change</w:t>
      </w:r>
    </w:p>
    <w:p w14:paraId="7050A211" w14:textId="2D47651D"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NHS at Home required cultural adaptation in practice. Patients gained greater confidence, autonomy, and reassurance through active involvement in monitoring their own health. Nursing and allied health professionals adopted digital triage and remote-care coordination roles, supporting the collaborative vision of the Health and Care Act 2022 (UK Government, 2022; Vats, 2024). This represented creativity not only in service design, but in reshaping professional identity, communication, and patient relationships.</w:t>
      </w:r>
    </w:p>
    <w:p w14:paraId="724BC36E" w14:textId="77777777" w:rsidR="00740BDD"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Value Creation and Impact</w:t>
      </w:r>
    </w:p>
    <w:p w14:paraId="60665C1C" w14:textId="7BE0989D"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 xml:space="preserve">Early evaluation shows reduced readmissions for cardiac patients, faster intervention for deteriorating conditions, and increased patient satisfaction (Imperial College Healthcare NHS Trust, 2024). For patients, benefits include empowerment, convenience, and enhanced safety. For the NHS, the initiative has created value through efficiency gains, workforce flexibility, and </w:t>
      </w:r>
      <w:r w:rsidRPr="00246955">
        <w:rPr>
          <w:rFonts w:ascii="Arial" w:eastAsia="Arial Nova" w:hAnsi="Arial" w:cs="Arial"/>
          <w:color w:val="000000" w:themeColor="text1"/>
        </w:rPr>
        <w:lastRenderedPageBreak/>
        <w:t>improved resource use. The programme adheres to the Data Protection Act 2018, ensuring ethical and secure handling of patient data. However, digital exclusion remains a barrier, indicating ongoing need for digital support and inclusive design (MIND, 2021).</w:t>
      </w:r>
    </w:p>
    <w:p w14:paraId="51E89AC7" w14:textId="13DE4D42" w:rsidR="00246955" w:rsidRPr="00246955" w:rsidRDefault="005D4B2A" w:rsidP="00246955">
      <w:pPr>
        <w:spacing w:line="360" w:lineRule="auto"/>
        <w:jc w:val="both"/>
        <w:rPr>
          <w:rFonts w:ascii="Arial" w:eastAsia="Arial Nova" w:hAnsi="Arial" w:cs="Arial"/>
          <w:color w:val="000000" w:themeColor="text1"/>
        </w:rPr>
      </w:pPr>
      <w:r>
        <w:rPr>
          <w:rFonts w:ascii="Arial" w:eastAsia="Arial Nova" w:hAnsi="Arial" w:cs="Arial"/>
          <w:color w:val="000000" w:themeColor="text1"/>
        </w:rPr>
        <w:t xml:space="preserve">In conclusion, </w:t>
      </w:r>
      <w:r w:rsidR="00246955" w:rsidRPr="00246955">
        <w:rPr>
          <w:rFonts w:ascii="Arial" w:eastAsia="Arial Nova" w:hAnsi="Arial" w:cs="Arial"/>
          <w:color w:val="000000" w:themeColor="text1"/>
        </w:rPr>
        <w:t>NHS at Home demonstrates how creative thinking, co-design, and policy alignment can transform care delivery. By blending technology with person-centred practice and professional innovation, it generates measurable value for patients and providers while promoting sustainable, equitable healthcare across the UK.</w:t>
      </w:r>
    </w:p>
    <w:p w14:paraId="1BBECEA6" w14:textId="77777777" w:rsidR="00BC605D" w:rsidRDefault="00BC605D" w:rsidP="00193B7B">
      <w:pPr>
        <w:rPr>
          <w:rFonts w:ascii="Arial" w:eastAsia="Arial Nova" w:hAnsi="Arial" w:cs="Arial"/>
          <w:color w:val="000000" w:themeColor="text1"/>
        </w:rPr>
      </w:pPr>
    </w:p>
    <w:p w14:paraId="3B806322" w14:textId="24ABD3DB" w:rsidR="003E1E18" w:rsidRPr="003E1E18" w:rsidRDefault="00193B7B" w:rsidP="003E1E18">
      <w:pPr>
        <w:rPr>
          <w:rFonts w:ascii="Arial" w:eastAsia="Arial Nova" w:hAnsi="Arial" w:cs="Arial"/>
          <w:color w:val="000000" w:themeColor="text1"/>
          <w:sz w:val="28"/>
          <w:szCs w:val="28"/>
        </w:rPr>
      </w:pPr>
      <w:r w:rsidRPr="00F57E9A">
        <w:rPr>
          <w:rFonts w:ascii="Arial" w:eastAsia="Arial Nova" w:hAnsi="Arial" w:cs="Arial"/>
          <w:color w:val="000000" w:themeColor="text1"/>
          <w:sz w:val="28"/>
          <w:szCs w:val="28"/>
        </w:rPr>
        <w:t>Task 4 - Research Task</w:t>
      </w:r>
      <w:r w:rsidR="003E1E18">
        <w:rPr>
          <w:rFonts w:ascii="Arial" w:eastAsia="Arial Nova" w:hAnsi="Arial" w:cs="Arial"/>
          <w:color w:val="000000" w:themeColor="text1"/>
          <w:sz w:val="28"/>
          <w:szCs w:val="28"/>
        </w:rPr>
        <w:t xml:space="preserve"> </w:t>
      </w:r>
      <w:r w:rsidR="00310B5C">
        <w:rPr>
          <w:rFonts w:ascii="Arial" w:eastAsia="Arial Nova" w:hAnsi="Arial" w:cs="Arial"/>
          <w:color w:val="000000" w:themeColor="text1"/>
          <w:sz w:val="28"/>
          <w:szCs w:val="28"/>
        </w:rPr>
        <w:t>:</w:t>
      </w:r>
      <w:r w:rsidR="003E1E18" w:rsidRPr="00310B5C">
        <w:rPr>
          <w:rFonts w:ascii="Arial" w:eastAsia="Arial Nova" w:hAnsi="Arial" w:cs="Arial"/>
          <w:sz w:val="28"/>
          <w:szCs w:val="28"/>
        </w:rPr>
        <w:t xml:space="preserve">Poor oral health among children </w:t>
      </w:r>
    </w:p>
    <w:p w14:paraId="086D8490" w14:textId="26AB655B" w:rsidR="004804E2" w:rsidRPr="00053CB2" w:rsidRDefault="004804E2" w:rsidP="004804E2">
      <w:pPr>
        <w:spacing w:line="360" w:lineRule="auto"/>
        <w:jc w:val="both"/>
        <w:rPr>
          <w:rFonts w:ascii="Arial" w:eastAsia="Arial Nova" w:hAnsi="Arial" w:cs="Arial"/>
          <w:sz w:val="24"/>
          <w:szCs w:val="24"/>
        </w:rPr>
      </w:pPr>
      <w:r w:rsidRPr="00053CB2">
        <w:rPr>
          <w:rFonts w:ascii="Arial" w:eastAsia="Arial Nova" w:hAnsi="Arial" w:cs="Arial"/>
          <w:sz w:val="24"/>
          <w:szCs w:val="24"/>
        </w:rPr>
        <w:t>The Smile4Life Case Study</w:t>
      </w:r>
    </w:p>
    <w:p w14:paraId="6C834D3E"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Poor oral health among children remains a major public health challenge in the UK, particularly in deprived areas such as Lancashire and Cumbria. The Smile4Life programme was developed to address this issue through prevention, education, and workforce training. National policy, including the NHS Long Term Plan (2019), emphasises preventive, community-based approaches—making Smile4Life an example of innovation aligned with national priorities. Academic research identifies social, behavioural, and systemic factors as the main causes of childhood oral health inequalities.</w:t>
      </w:r>
    </w:p>
    <w:p w14:paraId="7CE425E7"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Article 1 – Pine et al. (2016)</w:t>
      </w:r>
    </w:p>
    <w:p w14:paraId="043747ED" w14:textId="578F11D1"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Pine and colleagues (2016) found that socioeconomic deprivation strongly predicts poor oral health outcomes in children. Families living in low-income areas are less likely to access dental services, maintain healthy diets, or afford fluoride toothpaste. Limited parental knowledge and restricted access to local NHS practices contribute to persistent decay. The study argues that behaviour-only interventions are insufficient; effective solutions must be community-based and system-wide, addressing education, environment, and service access—principles central to Smile4Life’s design.</w:t>
      </w:r>
    </w:p>
    <w:p w14:paraId="02A579C6"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Article 2 – Watt and Sheiham (2012)</w:t>
      </w:r>
    </w:p>
    <w:p w14:paraId="57CF0113" w14:textId="213D5169"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Watt and Sheiham (2012) explain that oral health inequalities reflect wider social determinants such as poverty, housing, and policy neglect. They propose integrating oral health promotion into broader public health and early-years strategies. This aligns with Smile4Life’s multi-agency model, which embeds oral health messages within schools, nurseries, and family services, ensuring sustained behaviour change.</w:t>
      </w:r>
    </w:p>
    <w:p w14:paraId="4970D37A" w14:textId="3549051D"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 xml:space="preserve">While Smile4Life demonstrates positive community engagement, its long-term success depends on continued funding, staff training, and cross-sector commitment. Overall, these </w:t>
      </w:r>
      <w:r w:rsidRPr="004804E2">
        <w:rPr>
          <w:rFonts w:ascii="Arial" w:eastAsia="Arial Nova" w:hAnsi="Arial" w:cs="Arial"/>
        </w:rPr>
        <w:lastRenderedPageBreak/>
        <w:t>studies show that poor oral health in children arises from structural inequality, highlighting the need for integrated, evidence-based prevention programmes like Smile4Life</w:t>
      </w:r>
      <w:r w:rsidR="00541BA5">
        <w:rPr>
          <w:rFonts w:ascii="Arial" w:eastAsia="Arial Nova" w:hAnsi="Arial" w:cs="Arial"/>
        </w:rPr>
        <w:t>.</w:t>
      </w:r>
    </w:p>
    <w:p w14:paraId="26CEDBD1" w14:textId="18D210F8" w:rsidR="00193B7B" w:rsidRDefault="00193B7B" w:rsidP="004804E2">
      <w:pPr>
        <w:spacing w:line="360" w:lineRule="auto"/>
        <w:jc w:val="both"/>
        <w:rPr>
          <w:rFonts w:ascii="Arial Nova" w:eastAsia="Arial Nova" w:hAnsi="Arial Nova" w:cs="Arial Nova"/>
          <w:i/>
          <w:iCs/>
          <w:color w:val="000000" w:themeColor="text1"/>
        </w:rPr>
      </w:pPr>
    </w:p>
    <w:p w14:paraId="5E6CA60D" w14:textId="2F33EDA6" w:rsidR="00193B7B" w:rsidRPr="00013C5D" w:rsidRDefault="00193B7B" w:rsidP="00013C5D">
      <w:pPr>
        <w:spacing w:line="360" w:lineRule="auto"/>
        <w:jc w:val="both"/>
        <w:rPr>
          <w:rFonts w:ascii="Arial" w:eastAsia="Arial Nova" w:hAnsi="Arial" w:cs="Arial"/>
          <w:color w:val="000000" w:themeColor="text1"/>
          <w:sz w:val="28"/>
          <w:szCs w:val="28"/>
        </w:rPr>
      </w:pPr>
      <w:r w:rsidRPr="00013C5D">
        <w:rPr>
          <w:rFonts w:ascii="Arial" w:eastAsia="Arial Nova" w:hAnsi="Arial" w:cs="Arial"/>
          <w:color w:val="000000" w:themeColor="text1"/>
          <w:sz w:val="28"/>
          <w:szCs w:val="28"/>
        </w:rPr>
        <w:t xml:space="preserve">Task 5 </w:t>
      </w:r>
      <w:r w:rsidR="007914E1">
        <w:rPr>
          <w:rFonts w:ascii="Arial" w:eastAsia="Arial Nova" w:hAnsi="Arial" w:cs="Arial"/>
          <w:color w:val="000000" w:themeColor="text1"/>
          <w:sz w:val="28"/>
          <w:szCs w:val="28"/>
        </w:rPr>
        <w:t>– Smile4life</w:t>
      </w:r>
      <w:r w:rsidRPr="00013C5D">
        <w:rPr>
          <w:rFonts w:ascii="Arial" w:eastAsia="Arial Nova" w:hAnsi="Arial" w:cs="Arial"/>
          <w:color w:val="000000" w:themeColor="text1"/>
          <w:sz w:val="28"/>
          <w:szCs w:val="28"/>
        </w:rPr>
        <w:t xml:space="preserve"> Podcast</w:t>
      </w:r>
      <w:r w:rsidR="00B72604">
        <w:rPr>
          <w:rFonts w:ascii="Arial" w:eastAsia="Arial Nova" w:hAnsi="Arial" w:cs="Arial"/>
          <w:color w:val="000000" w:themeColor="text1"/>
          <w:sz w:val="28"/>
          <w:szCs w:val="28"/>
        </w:rPr>
        <w:t xml:space="preserve"> </w:t>
      </w:r>
    </w:p>
    <w:p w14:paraId="2B37E538" w14:textId="3974C327" w:rsidR="00193B7B" w:rsidRDefault="00415B86" w:rsidP="00013C5D">
      <w:pPr>
        <w:spacing w:line="360" w:lineRule="auto"/>
        <w:jc w:val="both"/>
      </w:pPr>
      <w:r>
        <w:object w:dxaOrig="1200" w:dyaOrig="816" w14:anchorId="50060F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pt;height:42pt" o:ole="">
            <v:imagedata r:id="rId9" o:title=""/>
          </v:shape>
          <o:OLEObject Type="Embed" ProgID="Package" ShapeID="_x0000_i1025" DrawAspect="Content" ObjectID="_1824469778" r:id="rId10"/>
        </w:object>
      </w:r>
    </w:p>
    <w:p w14:paraId="5AC52FB7" w14:textId="77777777" w:rsidR="00477EF0" w:rsidRPr="00013C5D" w:rsidRDefault="00477EF0" w:rsidP="00013C5D">
      <w:pPr>
        <w:spacing w:line="360" w:lineRule="auto"/>
        <w:jc w:val="both"/>
        <w:rPr>
          <w:rFonts w:ascii="Arial" w:eastAsia="Arial Nova" w:hAnsi="Arial" w:cs="Arial"/>
          <w:i/>
          <w:iCs/>
        </w:rPr>
      </w:pPr>
    </w:p>
    <w:p w14:paraId="75460559" w14:textId="47D7D8E2" w:rsidR="00193B7B" w:rsidRPr="00477EF0" w:rsidRDefault="00193B7B" w:rsidP="003E2C01">
      <w:pPr>
        <w:spacing w:line="360" w:lineRule="auto"/>
        <w:jc w:val="both"/>
        <w:rPr>
          <w:rFonts w:ascii="Arial" w:eastAsia="Arial Nova" w:hAnsi="Arial" w:cs="Arial"/>
          <w:color w:val="000000" w:themeColor="text1"/>
          <w:sz w:val="28"/>
          <w:szCs w:val="28"/>
        </w:rPr>
      </w:pPr>
      <w:r w:rsidRPr="003E2C01">
        <w:rPr>
          <w:rFonts w:ascii="Arial" w:eastAsia="Arial Nova" w:hAnsi="Arial" w:cs="Arial"/>
          <w:color w:val="000000" w:themeColor="text1"/>
          <w:sz w:val="28"/>
          <w:szCs w:val="28"/>
        </w:rPr>
        <w:t>Task 6 - NHS Leadership Framework Analysis</w:t>
      </w:r>
      <w:r w:rsidR="00F02605">
        <w:rPr>
          <w:rFonts w:ascii="Arial" w:eastAsia="Arial Nova" w:hAnsi="Arial" w:cs="Arial"/>
          <w:color w:val="000000" w:themeColor="text1"/>
          <w:sz w:val="28"/>
          <w:szCs w:val="28"/>
        </w:rPr>
        <w:t xml:space="preserve"> </w:t>
      </w:r>
    </w:p>
    <w:p w14:paraId="0AD1F81D" w14:textId="009F421E" w:rsidR="00FA7429" w:rsidRPr="003E2C01" w:rsidRDefault="00AB2805" w:rsidP="00AB2805">
      <w:pPr>
        <w:spacing w:line="360" w:lineRule="auto"/>
        <w:jc w:val="both"/>
        <w:rPr>
          <w:rFonts w:ascii="Arial" w:eastAsia="Arial Nova" w:hAnsi="Arial" w:cs="Arial"/>
          <w:color w:val="000000" w:themeColor="text1"/>
        </w:rPr>
      </w:pPr>
      <w:r w:rsidRPr="00AB2805">
        <w:rPr>
          <w:rFonts w:ascii="Arial" w:eastAsia="Arial Nova" w:hAnsi="Arial" w:cs="Arial"/>
          <w:color w:val="000000" w:themeColor="text1"/>
        </w:rPr>
        <w:t>The NHS Leadership Framework (NHS Leadership Academy, 2011) describes the core behaviours and competencies expected across all professional groups in the NHS, emphasising that leadership is not limited to senior posts but shared throughout the workforce. Its purpose is to support compassionate, effective, and improvement-focused leaders who contribute to safe, high-quality, and person-centred care, reflecting values in the NHS Constitution (Department of Health &amp; Social Care, 2021). The framework includes seven interconnected domains. Demonstrating Personal Qualities focuses on self-awareness, emotional intelligence, integrity, and resilience. Working with Others highlights effective communication, collaboration, and valuing diverse contributions. Managing Services involves prioritising, organising resources, and ensuring efficient and equitable delivery. Improving Services promotes innovation, reflective practice, and quality-improvement approaches. Setting Direction requires analysing evidence, anticipating change, and aligning actions with strategic aims. Creating the Vision emphasises inspiring others through a clear, values-driven vision, and Delivering the Strategy relates to planning, evaluating outcomes, and sustaining improvements. This approach aligns with compassionate and collective leadership principles, which are linked to staff wellbeing and improved outcomes (West et al., 2017; The King's Fund, 2022). Overall, the framework underpins modern NHS leadership expectations and supports the ambitions of the NHS Long Term Plan (NHS England, 2019).</w:t>
      </w:r>
    </w:p>
    <w:p w14:paraId="64AB91B7" w14:textId="78B839B5" w:rsidR="00FA7429" w:rsidRPr="00310B5C" w:rsidRDefault="007E7BAB" w:rsidP="00FA7429">
      <w:pPr>
        <w:spacing w:line="360" w:lineRule="auto"/>
        <w:jc w:val="both"/>
        <w:rPr>
          <w:rFonts w:ascii="Arial" w:eastAsia="Arial Nova" w:hAnsi="Arial" w:cs="Arial"/>
          <w:color w:val="000000" w:themeColor="text1"/>
        </w:rPr>
      </w:pPr>
      <w:r w:rsidRPr="00310B5C">
        <w:rPr>
          <w:rFonts w:ascii="Arial" w:eastAsia="Arial Nova" w:hAnsi="Arial" w:cs="Arial"/>
          <w:color w:val="000000" w:themeColor="text1"/>
        </w:rPr>
        <w:t>How Leaders Can Foster Creativity to Enhance Care in the NHS</w:t>
      </w:r>
      <w:r w:rsidR="00310B5C">
        <w:rPr>
          <w:rFonts w:ascii="Arial" w:eastAsia="Arial Nova" w:hAnsi="Arial" w:cs="Arial"/>
          <w:color w:val="000000" w:themeColor="text1"/>
        </w:rPr>
        <w:t>?</w:t>
      </w:r>
    </w:p>
    <w:p w14:paraId="4FFB9354" w14:textId="425FA766" w:rsidR="00FA7429" w:rsidRDefault="001614E0" w:rsidP="00FA7429">
      <w:pPr>
        <w:spacing w:line="360" w:lineRule="auto"/>
        <w:jc w:val="both"/>
        <w:rPr>
          <w:rFonts w:ascii="Arial" w:eastAsia="Arial Nova" w:hAnsi="Arial" w:cs="Arial"/>
          <w:color w:val="000000" w:themeColor="text1"/>
        </w:rPr>
      </w:pPr>
      <w:r w:rsidRPr="001614E0">
        <w:rPr>
          <w:rFonts w:ascii="Arial" w:eastAsia="Arial Nova" w:hAnsi="Arial" w:cs="Arial"/>
          <w:color w:val="000000" w:themeColor="text1"/>
        </w:rPr>
        <w:t xml:space="preserve">The Improving Services component of the NHS Leadership Framework emphasises innovation, reflective practice, and continuous improvement (NHS Leadership Academy, 2011). A leader in the NHS can use this domain to encourage creativity by creating an environment where staff feel empowered to challenge current practices and explore new solutions. For example, a ward manager might introduce structured improvement sessions in </w:t>
      </w:r>
      <w:r w:rsidRPr="001614E0">
        <w:rPr>
          <w:rFonts w:ascii="Arial" w:eastAsia="Arial Nova" w:hAnsi="Arial" w:cs="Arial"/>
          <w:color w:val="000000" w:themeColor="text1"/>
        </w:rPr>
        <w:lastRenderedPageBreak/>
        <w:t>which team members propose small changes to enhance patient experience and safety. Leaders can support this by offering protected time, resources, and constructive feedback. Research suggests that adaptive leadership encourages staff to experiment and develop innovative responses to complex healthcare challenges (Heifetz and Laurie, 2009). By celebrating new ideas, learning from unsuccessful attempts, and promoting shared decision-making, leaders build confidence and psychological safety among staff. This approach enables frontline teams to contribute meaningfully to service redesign, resulting in improved care quality and more responsive NHS services.</w:t>
      </w:r>
    </w:p>
    <w:p w14:paraId="4A0C7FF9" w14:textId="77777777" w:rsidR="00110325" w:rsidRPr="001614E0" w:rsidRDefault="00110325" w:rsidP="00FA7429">
      <w:pPr>
        <w:spacing w:line="360" w:lineRule="auto"/>
        <w:jc w:val="both"/>
        <w:rPr>
          <w:rFonts w:ascii="Arial" w:eastAsia="Arial Nova" w:hAnsi="Arial" w:cs="Arial"/>
          <w:color w:val="000000" w:themeColor="text1"/>
        </w:rPr>
      </w:pPr>
    </w:p>
    <w:p w14:paraId="0DF70862" w14:textId="77777777" w:rsidR="00193B7B" w:rsidRPr="00013C5D" w:rsidRDefault="00193B7B" w:rsidP="00013C5D">
      <w:pPr>
        <w:spacing w:line="360" w:lineRule="auto"/>
        <w:jc w:val="both"/>
        <w:rPr>
          <w:rFonts w:ascii="Arial" w:eastAsia="Arial Nova" w:hAnsi="Arial" w:cs="Arial"/>
          <w:color w:val="000000" w:themeColor="text1"/>
          <w:sz w:val="28"/>
          <w:szCs w:val="28"/>
        </w:rPr>
      </w:pPr>
      <w:r w:rsidRPr="00013C5D">
        <w:rPr>
          <w:rFonts w:ascii="Arial" w:eastAsia="Arial Nova" w:hAnsi="Arial" w:cs="Arial"/>
          <w:color w:val="000000" w:themeColor="text1"/>
          <w:sz w:val="28"/>
          <w:szCs w:val="28"/>
        </w:rPr>
        <w:t>Task 7 - Self-Reflection Journal Entry</w:t>
      </w:r>
    </w:p>
    <w:p w14:paraId="6D880027" w14:textId="37D089AA" w:rsidR="008C7CEB" w:rsidRPr="008C7CEB" w:rsidRDefault="0050547D" w:rsidP="00013C5D">
      <w:pPr>
        <w:spacing w:line="360" w:lineRule="auto"/>
        <w:jc w:val="both"/>
        <w:rPr>
          <w:rFonts w:ascii="Arial" w:eastAsia="Arial Nova" w:hAnsi="Arial" w:cs="Arial"/>
          <w:color w:val="000000" w:themeColor="text1"/>
        </w:rPr>
      </w:pPr>
      <w:r w:rsidRPr="0050547D">
        <w:rPr>
          <w:rFonts w:ascii="Arial" w:eastAsia="Arial Nova" w:hAnsi="Arial" w:cs="Arial"/>
          <w:color w:val="000000" w:themeColor="text1"/>
        </w:rPr>
        <w:t xml:space="preserve">The insights gained from this module have </w:t>
      </w:r>
      <w:r w:rsidR="005F09B2">
        <w:rPr>
          <w:rFonts w:ascii="Arial" w:eastAsia="Arial Nova" w:hAnsi="Arial" w:cs="Arial"/>
          <w:color w:val="000000" w:themeColor="text1"/>
        </w:rPr>
        <w:t>deepened</w:t>
      </w:r>
      <w:r w:rsidRPr="0050547D">
        <w:rPr>
          <w:rFonts w:ascii="Arial" w:eastAsia="Arial Nova" w:hAnsi="Arial" w:cs="Arial"/>
          <w:color w:val="000000" w:themeColor="text1"/>
        </w:rPr>
        <w:t xml:space="preserve"> my understanding of creativity as a catalyst for value co-creation within health and social care systems.</w:t>
      </w:r>
      <w:r w:rsidR="008C7CEB" w:rsidRPr="008C7CEB">
        <w:rPr>
          <w:rFonts w:ascii="Arial" w:eastAsia="Arial Nova" w:hAnsi="Arial" w:cs="Arial"/>
          <w:color w:val="000000" w:themeColor="text1"/>
        </w:rPr>
        <w:t xml:space="preserve"> As a care assistant, I originally thought creativity meant adding new ideas or activities to support people. However, I now recognise that creativity is a strategic and collaborative process that improves how care is delivered and experienced. Learning about initiatives such as NHS at Home and Smile4Life showed me how innovation succeeds when built on teamwork, evidence-based practice, and community engagement.</w:t>
      </w:r>
    </w:p>
    <w:p w14:paraId="157AC1BF" w14:textId="77777777" w:rsidR="008C7CEB" w:rsidRPr="008C7CEB" w:rsidRDefault="008C7CEB" w:rsidP="00013C5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I have also learned that value creation is not just about saving time or reducing cost—it means enhancing quality, equality, and dignity in care. This new perspective encourages me to think creatively in my role, for example, by adapting communication to meet individual needs or suggesting small environmental improvements that make care more comfortable and person-centred.</w:t>
      </w:r>
    </w:p>
    <w:p w14:paraId="332C2792" w14:textId="77777777" w:rsidR="00740BDD" w:rsidRDefault="008C7CEB" w:rsidP="00740BD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Overall, this module has inspired me to be more confident, reflective, and open to change. I now view creativity as part of everyday care and believe that even small ideas, shared within a supportive team, can create meaningful improvements for service users and colleagues. I feel motivated to continue learning and to contribute positively to innovation in health and social care.</w:t>
      </w:r>
    </w:p>
    <w:p w14:paraId="3CB64E87" w14:textId="77777777" w:rsidR="00310B5C" w:rsidRDefault="00310B5C" w:rsidP="00740BDD">
      <w:pPr>
        <w:spacing w:line="360" w:lineRule="auto"/>
        <w:jc w:val="both"/>
        <w:rPr>
          <w:rFonts w:ascii="Arial" w:eastAsia="Arial Nova" w:hAnsi="Arial" w:cs="Arial"/>
          <w:color w:val="000000" w:themeColor="text1"/>
        </w:rPr>
      </w:pPr>
    </w:p>
    <w:p w14:paraId="24E6A48E" w14:textId="6F693BE8" w:rsidR="00193B7B" w:rsidRPr="00740BDD" w:rsidRDefault="00193B7B" w:rsidP="00740BDD">
      <w:pPr>
        <w:spacing w:line="360" w:lineRule="auto"/>
        <w:jc w:val="both"/>
        <w:rPr>
          <w:rFonts w:ascii="Arial" w:eastAsia="Arial Nova" w:hAnsi="Arial" w:cs="Arial"/>
          <w:color w:val="000000" w:themeColor="text1"/>
          <w:sz w:val="28"/>
          <w:szCs w:val="28"/>
        </w:rPr>
      </w:pPr>
      <w:r w:rsidRPr="00740BDD">
        <w:rPr>
          <w:rFonts w:ascii="Arial" w:eastAsia="Arial Nova" w:hAnsi="Arial" w:cs="Arial"/>
          <w:color w:val="000000" w:themeColor="text1"/>
          <w:sz w:val="28"/>
          <w:szCs w:val="28"/>
        </w:rPr>
        <w:t>Reference List</w:t>
      </w:r>
    </w:p>
    <w:p w14:paraId="3F43B1C1" w14:textId="77777777" w:rsidR="00193B7B" w:rsidRPr="00462900" w:rsidRDefault="00193B7B" w:rsidP="00193B7B">
      <w:pPr>
        <w:rPr>
          <w:rFonts w:ascii="Aptos" w:eastAsia="Aptos" w:hAnsi="Aptos" w:cs="Aptos"/>
          <w:color w:val="000000" w:themeColor="text1"/>
        </w:rPr>
      </w:pPr>
    </w:p>
    <w:p w14:paraId="3CBE1549"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Boden, M.A. (1994) </w:t>
      </w:r>
      <w:r w:rsidRPr="00462900">
        <w:rPr>
          <w:rFonts w:ascii="Arial" w:hAnsi="Arial" w:cs="Arial"/>
          <w:i/>
          <w:iCs/>
        </w:rPr>
        <w:t>Dimensions of creativity</w:t>
      </w:r>
      <w:r w:rsidRPr="00462900">
        <w:rPr>
          <w:rFonts w:ascii="Arial" w:hAnsi="Arial" w:cs="Arial"/>
        </w:rPr>
        <w:t>. Cambridge, MA: MIT Press.</w:t>
      </w:r>
    </w:p>
    <w:p w14:paraId="634369C9" w14:textId="77777777" w:rsidR="00462900" w:rsidRPr="00462900" w:rsidRDefault="00462900" w:rsidP="00462900">
      <w:pPr>
        <w:spacing w:line="360" w:lineRule="auto"/>
        <w:jc w:val="both"/>
        <w:rPr>
          <w:rFonts w:ascii="Arial" w:hAnsi="Arial" w:cs="Arial"/>
        </w:rPr>
      </w:pPr>
      <w:r w:rsidRPr="00462900">
        <w:rPr>
          <w:rFonts w:ascii="Arial" w:hAnsi="Arial" w:cs="Arial"/>
        </w:rPr>
        <w:lastRenderedPageBreak/>
        <w:t xml:space="preserve">Brewster, L., Holt, R., Howell, A., Bamford, C. and Hampshaw, S. (2021) ‘Creative practice as a driver for health and care innovation’, </w:t>
      </w:r>
      <w:r w:rsidRPr="00462900">
        <w:rPr>
          <w:rFonts w:ascii="Arial" w:hAnsi="Arial" w:cs="Arial"/>
          <w:i/>
          <w:iCs/>
        </w:rPr>
        <w:t>Health Expectations</w:t>
      </w:r>
      <w:r w:rsidRPr="00462900">
        <w:rPr>
          <w:rFonts w:ascii="Arial" w:hAnsi="Arial" w:cs="Arial"/>
        </w:rPr>
        <w:t>, 24(4), pp.1182–1191.</w:t>
      </w:r>
    </w:p>
    <w:p w14:paraId="362AC9D4" w14:textId="77777777" w:rsidR="00C93D2C" w:rsidRPr="001D20F7" w:rsidRDefault="00462900" w:rsidP="00462900">
      <w:pPr>
        <w:spacing w:line="360" w:lineRule="auto"/>
        <w:jc w:val="both"/>
        <w:rPr>
          <w:rFonts w:ascii="Arial" w:hAnsi="Arial" w:cs="Arial"/>
        </w:rPr>
      </w:pPr>
      <w:r w:rsidRPr="00462900">
        <w:rPr>
          <w:rFonts w:ascii="Arial" w:hAnsi="Arial" w:cs="Arial"/>
        </w:rPr>
        <w:t xml:space="preserve">Care Quality Commission (2021) </w:t>
      </w:r>
      <w:r w:rsidRPr="00462900">
        <w:rPr>
          <w:rFonts w:ascii="Arial" w:hAnsi="Arial" w:cs="Arial"/>
          <w:i/>
          <w:iCs/>
        </w:rPr>
        <w:t>Enabling innovation and adoption in health and social care</w:t>
      </w:r>
      <w:r w:rsidRPr="00462900">
        <w:rPr>
          <w:rFonts w:ascii="Arial" w:hAnsi="Arial" w:cs="Arial"/>
        </w:rPr>
        <w:t xml:space="preserve">. Available at: </w:t>
      </w:r>
    </w:p>
    <w:p w14:paraId="2C3E1CD0" w14:textId="33D771AD" w:rsidR="00462900" w:rsidRPr="001D20F7" w:rsidRDefault="00C93D2C" w:rsidP="00462900">
      <w:pPr>
        <w:spacing w:line="360" w:lineRule="auto"/>
        <w:jc w:val="both"/>
        <w:rPr>
          <w:rFonts w:ascii="Arial" w:hAnsi="Arial" w:cs="Arial"/>
        </w:rPr>
      </w:pPr>
      <w:hyperlink r:id="rId11" w:history="1">
        <w:r w:rsidRPr="001D20F7">
          <w:rPr>
            <w:rStyle w:val="Hyperlink"/>
            <w:rFonts w:ascii="Arial" w:hAnsi="Arial" w:cs="Arial"/>
            <w:color w:val="auto"/>
            <w:u w:val="none"/>
          </w:rPr>
          <w:t>https://www.cqc.org.uk/sites/default/files/20210208_InnovationPrinciples_report.pdf</w:t>
        </w:r>
      </w:hyperlink>
      <w:r w:rsidR="00462900" w:rsidRPr="001D20F7">
        <w:rPr>
          <w:rFonts w:ascii="Arial" w:hAnsi="Arial" w:cs="Arial"/>
        </w:rPr>
        <w:t xml:space="preserve"> (Accessed: 2</w:t>
      </w:r>
      <w:r w:rsidRPr="001D20F7">
        <w:rPr>
          <w:rFonts w:ascii="Arial" w:hAnsi="Arial" w:cs="Arial"/>
        </w:rPr>
        <w:t>9</w:t>
      </w:r>
      <w:r w:rsidR="00462900" w:rsidRPr="001D20F7">
        <w:rPr>
          <w:rFonts w:ascii="Arial" w:hAnsi="Arial" w:cs="Arial"/>
        </w:rPr>
        <w:t xml:space="preserve"> </w:t>
      </w:r>
      <w:r w:rsidRPr="001D20F7">
        <w:rPr>
          <w:rFonts w:ascii="Arial" w:hAnsi="Arial" w:cs="Arial"/>
        </w:rPr>
        <w:t>October</w:t>
      </w:r>
      <w:r w:rsidR="00462900" w:rsidRPr="001D20F7">
        <w:rPr>
          <w:rFonts w:ascii="Arial" w:hAnsi="Arial" w:cs="Arial"/>
        </w:rPr>
        <w:t xml:space="preserve"> 202</w:t>
      </w:r>
      <w:r w:rsidRPr="001D20F7">
        <w:rPr>
          <w:rFonts w:ascii="Arial" w:hAnsi="Arial" w:cs="Arial"/>
        </w:rPr>
        <w:t>5</w:t>
      </w:r>
      <w:r w:rsidR="00462900" w:rsidRPr="001D20F7">
        <w:rPr>
          <w:rFonts w:ascii="Arial" w:hAnsi="Arial" w:cs="Arial"/>
        </w:rPr>
        <w:t>).</w:t>
      </w:r>
    </w:p>
    <w:p w14:paraId="65E41467"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Carlile, P.R. and Jordan, J.M. (2012) </w:t>
      </w:r>
      <w:r w:rsidRPr="00462900">
        <w:rPr>
          <w:rFonts w:ascii="Arial" w:hAnsi="Arial" w:cs="Arial"/>
          <w:i/>
          <w:iCs/>
        </w:rPr>
        <w:t>Managing knowledge in complex systems: Leadership and innovation in the creative economy</w:t>
      </w:r>
      <w:r w:rsidRPr="00462900">
        <w:rPr>
          <w:rFonts w:ascii="Arial" w:hAnsi="Arial" w:cs="Arial"/>
        </w:rPr>
        <w:t>. New York: Routledge.</w:t>
      </w:r>
    </w:p>
    <w:p w14:paraId="79EFA023"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Coulton, S., Clift, S., Skingley, A. and Rodriguez, J. (2015) ‘Effectiveness and cost-effectiveness of community singing for older people’, </w:t>
      </w:r>
      <w:r w:rsidRPr="00462900">
        <w:rPr>
          <w:rFonts w:ascii="Arial" w:hAnsi="Arial" w:cs="Arial"/>
          <w:i/>
          <w:iCs/>
        </w:rPr>
        <w:t>British Journal of Psychiatry</w:t>
      </w:r>
      <w:r w:rsidRPr="00462900">
        <w:rPr>
          <w:rFonts w:ascii="Arial" w:hAnsi="Arial" w:cs="Arial"/>
        </w:rPr>
        <w:t>, 207(3), pp.250–255.</w:t>
      </w:r>
    </w:p>
    <w:p w14:paraId="78DF4E0E"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Department of Health &amp; Social Care (2021) </w:t>
      </w:r>
      <w:r w:rsidRPr="00462900">
        <w:rPr>
          <w:rFonts w:ascii="Arial" w:hAnsi="Arial" w:cs="Arial"/>
          <w:i/>
          <w:iCs/>
        </w:rPr>
        <w:t>The NHS Constitution for England</w:t>
      </w:r>
      <w:r w:rsidRPr="00462900">
        <w:rPr>
          <w:rFonts w:ascii="Arial" w:hAnsi="Arial" w:cs="Arial"/>
        </w:rPr>
        <w:t>. London: DHSC.</w:t>
      </w:r>
    </w:p>
    <w:p w14:paraId="29C26C4B"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Edmondson, A.C. (2019) </w:t>
      </w:r>
      <w:r w:rsidRPr="00462900">
        <w:rPr>
          <w:rFonts w:ascii="Arial" w:hAnsi="Arial" w:cs="Arial"/>
          <w:i/>
          <w:iCs/>
        </w:rPr>
        <w:t>The fearless organization: Creating psychological safety in the workplace for learning, innovation, and growth</w:t>
      </w:r>
      <w:r w:rsidRPr="00462900">
        <w:rPr>
          <w:rFonts w:ascii="Arial" w:hAnsi="Arial" w:cs="Arial"/>
        </w:rPr>
        <w:t>. Hoboken, NJ: Wiley.</w:t>
      </w:r>
    </w:p>
    <w:p w14:paraId="22C140CE"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Gibbs, G. (1988) </w:t>
      </w:r>
      <w:r w:rsidRPr="00462900">
        <w:rPr>
          <w:rFonts w:ascii="Arial" w:hAnsi="Arial" w:cs="Arial"/>
          <w:i/>
          <w:iCs/>
        </w:rPr>
        <w:t>Learning by doing: A guide to teaching and learning methods</w:t>
      </w:r>
      <w:r w:rsidRPr="00462900">
        <w:rPr>
          <w:rFonts w:ascii="Arial" w:hAnsi="Arial" w:cs="Arial"/>
        </w:rPr>
        <w:t>. Oxford: Oxford Polytechnic.</w:t>
      </w:r>
    </w:p>
    <w:p w14:paraId="6ADFE438"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Greenhalgh, T., Wherton, J., Shaw, S. and Morrison, C. (2020) ‘Video consultations for COVID-19’, </w:t>
      </w:r>
      <w:r w:rsidRPr="00462900">
        <w:rPr>
          <w:rFonts w:ascii="Arial" w:hAnsi="Arial" w:cs="Arial"/>
          <w:i/>
          <w:iCs/>
        </w:rPr>
        <w:t>The BMJ</w:t>
      </w:r>
      <w:r w:rsidRPr="00462900">
        <w:rPr>
          <w:rFonts w:ascii="Arial" w:hAnsi="Arial" w:cs="Arial"/>
        </w:rPr>
        <w:t>, 368, m998.</w:t>
      </w:r>
    </w:p>
    <w:p w14:paraId="2A4319D4"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Heifetz, R. and Laurie, D. (2009) ‘The work of leadership’, </w:t>
      </w:r>
      <w:r w:rsidRPr="00462900">
        <w:rPr>
          <w:rFonts w:ascii="Arial" w:hAnsi="Arial" w:cs="Arial"/>
          <w:i/>
          <w:iCs/>
        </w:rPr>
        <w:t>Harvard Business Review</w:t>
      </w:r>
      <w:r w:rsidRPr="00462900">
        <w:rPr>
          <w:rFonts w:ascii="Arial" w:hAnsi="Arial" w:cs="Arial"/>
        </w:rPr>
        <w:t>, 75(1), pp.124–134.</w:t>
      </w:r>
    </w:p>
    <w:p w14:paraId="6B4299A1" w14:textId="539BF5A8" w:rsidR="00462900" w:rsidRPr="00462900" w:rsidRDefault="00462900" w:rsidP="00462900">
      <w:pPr>
        <w:spacing w:line="360" w:lineRule="auto"/>
        <w:jc w:val="both"/>
        <w:rPr>
          <w:rFonts w:ascii="Arial" w:hAnsi="Arial" w:cs="Arial"/>
        </w:rPr>
      </w:pPr>
      <w:r w:rsidRPr="00462900">
        <w:rPr>
          <w:rFonts w:ascii="Arial" w:hAnsi="Arial" w:cs="Arial"/>
        </w:rPr>
        <w:t xml:space="preserve">Imperial College Healthcare NHS Trust (2024) </w:t>
      </w:r>
      <w:r w:rsidRPr="00462900">
        <w:rPr>
          <w:rFonts w:ascii="Arial" w:hAnsi="Arial" w:cs="Arial"/>
          <w:i/>
          <w:iCs/>
        </w:rPr>
        <w:t>Remote monitoring of heart attack patients significantly reduced hospital readmissions</w:t>
      </w:r>
      <w:r w:rsidRPr="00462900">
        <w:rPr>
          <w:rFonts w:ascii="Arial" w:hAnsi="Arial" w:cs="Arial"/>
        </w:rPr>
        <w:t xml:space="preserve">. Available at: </w:t>
      </w:r>
      <w:hyperlink r:id="rId12" w:tgtFrame="_new" w:history="1">
        <w:r w:rsidRPr="001D20F7">
          <w:rPr>
            <w:rStyle w:val="Hyperlink"/>
            <w:rFonts w:ascii="Arial" w:hAnsi="Arial" w:cs="Arial"/>
            <w:color w:val="auto"/>
            <w:u w:val="none"/>
          </w:rPr>
          <w:t>https://www.imperial.nhs.uk/about-us/news/remote-monitoring-of-heart-attack-patients-significantly-reduced-hospital-readmissions</w:t>
        </w:r>
      </w:hyperlink>
      <w:r w:rsidRPr="001D20F7">
        <w:rPr>
          <w:rFonts w:ascii="Arial" w:hAnsi="Arial" w:cs="Arial"/>
        </w:rPr>
        <w:t xml:space="preserve"> </w:t>
      </w:r>
      <w:r w:rsidRPr="00462900">
        <w:rPr>
          <w:rFonts w:ascii="Arial" w:hAnsi="Arial" w:cs="Arial"/>
        </w:rPr>
        <w:t xml:space="preserve">(Accessed: </w:t>
      </w:r>
      <w:r w:rsidR="00C93D2C">
        <w:rPr>
          <w:rFonts w:ascii="Arial" w:hAnsi="Arial" w:cs="Arial"/>
        </w:rPr>
        <w:t>1st</w:t>
      </w:r>
      <w:r w:rsidRPr="00462900">
        <w:rPr>
          <w:rFonts w:ascii="Arial" w:hAnsi="Arial" w:cs="Arial"/>
        </w:rPr>
        <w:t xml:space="preserve"> </w:t>
      </w:r>
      <w:r w:rsidR="00C93D2C">
        <w:rPr>
          <w:rFonts w:ascii="Arial" w:hAnsi="Arial" w:cs="Arial"/>
        </w:rPr>
        <w:t>November</w:t>
      </w:r>
      <w:r w:rsidRPr="00462900">
        <w:rPr>
          <w:rFonts w:ascii="Arial" w:hAnsi="Arial" w:cs="Arial"/>
        </w:rPr>
        <w:t xml:space="preserve"> 202</w:t>
      </w:r>
      <w:r w:rsidR="00C93D2C">
        <w:rPr>
          <w:rFonts w:ascii="Arial" w:hAnsi="Arial" w:cs="Arial"/>
        </w:rPr>
        <w:t>5</w:t>
      </w:r>
      <w:r w:rsidRPr="00462900">
        <w:rPr>
          <w:rFonts w:ascii="Arial" w:hAnsi="Arial" w:cs="Arial"/>
        </w:rPr>
        <w:t>).</w:t>
      </w:r>
    </w:p>
    <w:p w14:paraId="750C977E"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Jiang, J., Liu, Y., Wang, R. and Li, X. (2023) ‘Metacognitive processes in creative thinking: A review’, </w:t>
      </w:r>
      <w:r w:rsidRPr="00462900">
        <w:rPr>
          <w:rFonts w:ascii="Arial" w:hAnsi="Arial" w:cs="Arial"/>
          <w:i/>
          <w:iCs/>
        </w:rPr>
        <w:t>Psychology of Creativity and Cognition</w:t>
      </w:r>
      <w:r w:rsidRPr="00462900">
        <w:rPr>
          <w:rFonts w:ascii="Arial" w:hAnsi="Arial" w:cs="Arial"/>
        </w:rPr>
        <w:t>, 12(2), pp.145–160.</w:t>
      </w:r>
    </w:p>
    <w:p w14:paraId="7F1CAD16" w14:textId="58FC9094" w:rsidR="00462900" w:rsidRPr="00462900" w:rsidRDefault="00462900" w:rsidP="00462900">
      <w:pPr>
        <w:spacing w:line="360" w:lineRule="auto"/>
        <w:jc w:val="both"/>
        <w:rPr>
          <w:rFonts w:ascii="Arial" w:hAnsi="Arial" w:cs="Arial"/>
        </w:rPr>
      </w:pPr>
      <w:r w:rsidRPr="00462900">
        <w:rPr>
          <w:rFonts w:ascii="Arial" w:hAnsi="Arial" w:cs="Arial"/>
        </w:rPr>
        <w:t xml:space="preserve">MIND (2021) </w:t>
      </w:r>
      <w:r w:rsidRPr="00462900">
        <w:rPr>
          <w:rFonts w:ascii="Arial" w:hAnsi="Arial" w:cs="Arial"/>
          <w:i/>
          <w:iCs/>
        </w:rPr>
        <w:t>Trying to connect: the importance of choice in remote mental health services</w:t>
      </w:r>
      <w:r w:rsidRPr="00462900">
        <w:rPr>
          <w:rFonts w:ascii="Arial" w:hAnsi="Arial" w:cs="Arial"/>
        </w:rPr>
        <w:t>. Available at</w:t>
      </w:r>
      <w:r w:rsidRPr="001D20F7">
        <w:rPr>
          <w:rFonts w:ascii="Arial" w:hAnsi="Arial" w:cs="Arial"/>
        </w:rPr>
        <w:t xml:space="preserve">: </w:t>
      </w:r>
      <w:hyperlink r:id="rId13" w:tgtFrame="_new" w:history="1">
        <w:r w:rsidRPr="001D20F7">
          <w:rPr>
            <w:rStyle w:val="Hyperlink"/>
            <w:rFonts w:ascii="Arial" w:hAnsi="Arial" w:cs="Arial"/>
            <w:color w:val="auto"/>
            <w:u w:val="none"/>
          </w:rPr>
          <w:t>https://www.mind.org.uk/media/8575/mind-20582-trying-to-connect-report-aw2-welsh-recommendations-lr.pdf</w:t>
        </w:r>
      </w:hyperlink>
      <w:r w:rsidRPr="00462900">
        <w:rPr>
          <w:rFonts w:ascii="Arial" w:hAnsi="Arial" w:cs="Arial"/>
        </w:rPr>
        <w:t xml:space="preserve"> (Accessed: </w:t>
      </w:r>
      <w:r w:rsidR="00C93D2C">
        <w:rPr>
          <w:rFonts w:ascii="Arial" w:hAnsi="Arial" w:cs="Arial"/>
        </w:rPr>
        <w:t>30</w:t>
      </w:r>
      <w:r w:rsidRPr="00462900">
        <w:rPr>
          <w:rFonts w:ascii="Arial" w:hAnsi="Arial" w:cs="Arial"/>
        </w:rPr>
        <w:t xml:space="preserve"> September 202</w:t>
      </w:r>
      <w:r w:rsidR="00C93D2C">
        <w:rPr>
          <w:rFonts w:ascii="Arial" w:hAnsi="Arial" w:cs="Arial"/>
        </w:rPr>
        <w:t>5</w:t>
      </w:r>
      <w:r w:rsidRPr="00462900">
        <w:rPr>
          <w:rFonts w:ascii="Arial" w:hAnsi="Arial" w:cs="Arial"/>
        </w:rPr>
        <w:t>).</w:t>
      </w:r>
    </w:p>
    <w:p w14:paraId="0A292FFD"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NHS England (2019) </w:t>
      </w:r>
      <w:r w:rsidRPr="00462900">
        <w:rPr>
          <w:rFonts w:ascii="Arial" w:hAnsi="Arial" w:cs="Arial"/>
          <w:i/>
          <w:iCs/>
        </w:rPr>
        <w:t>The NHS Long Term Plan</w:t>
      </w:r>
      <w:r w:rsidRPr="00462900">
        <w:rPr>
          <w:rFonts w:ascii="Arial" w:hAnsi="Arial" w:cs="Arial"/>
        </w:rPr>
        <w:t>. London: NHS England.</w:t>
      </w:r>
    </w:p>
    <w:p w14:paraId="6922AE49" w14:textId="77777777" w:rsidR="00462900" w:rsidRPr="00462900" w:rsidRDefault="00462900" w:rsidP="00462900">
      <w:pPr>
        <w:spacing w:line="360" w:lineRule="auto"/>
        <w:jc w:val="both"/>
        <w:rPr>
          <w:rFonts w:ascii="Arial" w:hAnsi="Arial" w:cs="Arial"/>
        </w:rPr>
      </w:pPr>
      <w:r w:rsidRPr="00462900">
        <w:rPr>
          <w:rFonts w:ascii="Arial" w:hAnsi="Arial" w:cs="Arial"/>
        </w:rPr>
        <w:lastRenderedPageBreak/>
        <w:t xml:space="preserve">NHS Leadership Academy (2011) </w:t>
      </w:r>
      <w:r w:rsidRPr="00462900">
        <w:rPr>
          <w:rFonts w:ascii="Arial" w:hAnsi="Arial" w:cs="Arial"/>
          <w:i/>
          <w:iCs/>
        </w:rPr>
        <w:t>NHS leadership framework</w:t>
      </w:r>
      <w:r w:rsidRPr="00462900">
        <w:rPr>
          <w:rFonts w:ascii="Arial" w:hAnsi="Arial" w:cs="Arial"/>
        </w:rPr>
        <w:t>. Leeds: NHS Leadership Academy.</w:t>
      </w:r>
    </w:p>
    <w:p w14:paraId="72851B41"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Osborn, A.F. and Parnes, S.J. (1967) </w:t>
      </w:r>
      <w:r w:rsidRPr="00462900">
        <w:rPr>
          <w:rFonts w:ascii="Arial" w:hAnsi="Arial" w:cs="Arial"/>
          <w:i/>
          <w:iCs/>
        </w:rPr>
        <w:t>Creative problem solving: The basic course</w:t>
      </w:r>
      <w:r w:rsidRPr="00462900">
        <w:rPr>
          <w:rFonts w:ascii="Arial" w:hAnsi="Arial" w:cs="Arial"/>
        </w:rPr>
        <w:t>. Buffalo, NY: Creative Education Foundation.</w:t>
      </w:r>
    </w:p>
    <w:p w14:paraId="77738CAA"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Paul, E., et al. (2024) ‘Creative environments and staff wellbeing in healthcare’, </w:t>
      </w:r>
      <w:r w:rsidRPr="00462900">
        <w:rPr>
          <w:rFonts w:ascii="Arial" w:hAnsi="Arial" w:cs="Arial"/>
          <w:i/>
          <w:iCs/>
        </w:rPr>
        <w:t>Journal of Health Organisation and Management</w:t>
      </w:r>
      <w:r w:rsidRPr="00462900">
        <w:rPr>
          <w:rFonts w:ascii="Arial" w:hAnsi="Arial" w:cs="Arial"/>
        </w:rPr>
        <w:t>, 38(2), pp.145–161.</w:t>
      </w:r>
    </w:p>
    <w:p w14:paraId="26E83FE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Pine, C.M., Adair, P.M., Petersen, P.E. and Douglass, C. (2016) ‘Developing explanatory models of health inequalities in childhood dental caries’, </w:t>
      </w:r>
      <w:r w:rsidRPr="00462900">
        <w:rPr>
          <w:rFonts w:ascii="Arial" w:hAnsi="Arial" w:cs="Arial"/>
          <w:i/>
          <w:iCs/>
        </w:rPr>
        <w:t>Community Dentistry and Oral Epidemiology</w:t>
      </w:r>
      <w:r w:rsidRPr="00462900">
        <w:rPr>
          <w:rFonts w:ascii="Arial" w:hAnsi="Arial" w:cs="Arial"/>
        </w:rPr>
        <w:t>, 44(2), pp.142–150.</w:t>
      </w:r>
    </w:p>
    <w:p w14:paraId="36E97623"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Pink, D.H. (2009) </w:t>
      </w:r>
      <w:r w:rsidRPr="00462900">
        <w:rPr>
          <w:rFonts w:ascii="Arial" w:hAnsi="Arial" w:cs="Arial"/>
          <w:i/>
          <w:iCs/>
        </w:rPr>
        <w:t>Drive: The surprising truth about what motivates us</w:t>
      </w:r>
      <w:r w:rsidRPr="00462900">
        <w:rPr>
          <w:rFonts w:ascii="Arial" w:hAnsi="Arial" w:cs="Arial"/>
        </w:rPr>
        <w:t>. New York: Riverhead Books.</w:t>
      </w:r>
    </w:p>
    <w:p w14:paraId="3565ED0A"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Pick, A., Meyer, L., Thompson, R. and Klasen, M. (2024) ‘Neural synchronisation and collaborative creativity in group innovation tasks’, </w:t>
      </w:r>
      <w:r w:rsidRPr="00462900">
        <w:rPr>
          <w:rFonts w:ascii="Arial" w:hAnsi="Arial" w:cs="Arial"/>
          <w:i/>
          <w:iCs/>
        </w:rPr>
        <w:t>Journal of Creative Behaviour</w:t>
      </w:r>
      <w:r w:rsidRPr="00462900">
        <w:rPr>
          <w:rFonts w:ascii="Arial" w:hAnsi="Arial" w:cs="Arial"/>
        </w:rPr>
        <w:t>, 58(1), pp.34–50.</w:t>
      </w:r>
    </w:p>
    <w:p w14:paraId="224367A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Porter, M.E. (2010) ‘What is value in health care?’, </w:t>
      </w:r>
      <w:r w:rsidRPr="00462900">
        <w:rPr>
          <w:rFonts w:ascii="Arial" w:hAnsi="Arial" w:cs="Arial"/>
          <w:i/>
          <w:iCs/>
        </w:rPr>
        <w:t>New England Journal of Medicine</w:t>
      </w:r>
      <w:r w:rsidRPr="00462900">
        <w:rPr>
          <w:rFonts w:ascii="Arial" w:hAnsi="Arial" w:cs="Arial"/>
        </w:rPr>
        <w:t>, 363, pp.2477–2481.</w:t>
      </w:r>
    </w:p>
    <w:p w14:paraId="0EED7041"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Rawlings, D., Harper, C. and Moran, N. (2025) ‘Understanding divergent and convergent thinking in creative problem solving’, </w:t>
      </w:r>
      <w:r w:rsidRPr="00462900">
        <w:rPr>
          <w:rFonts w:ascii="Arial" w:hAnsi="Arial" w:cs="Arial"/>
          <w:i/>
          <w:iCs/>
        </w:rPr>
        <w:t>Creativity Research Journal</w:t>
      </w:r>
      <w:r w:rsidRPr="00462900">
        <w:rPr>
          <w:rFonts w:ascii="Arial" w:hAnsi="Arial" w:cs="Arial"/>
        </w:rPr>
        <w:t>, 37(1), pp.1–12.</w:t>
      </w:r>
    </w:p>
    <w:p w14:paraId="45F8329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Roth, S., Balzat, B., Mahnke, A. and Friesacher, H. (2024) ‘Value-based healthcare and social care outcomes’, </w:t>
      </w:r>
      <w:r w:rsidRPr="00462900">
        <w:rPr>
          <w:rFonts w:ascii="Arial" w:hAnsi="Arial" w:cs="Arial"/>
          <w:i/>
          <w:iCs/>
        </w:rPr>
        <w:t>International Journal of Integrated Care</w:t>
      </w:r>
      <w:r w:rsidRPr="00462900">
        <w:rPr>
          <w:rFonts w:ascii="Arial" w:hAnsi="Arial" w:cs="Arial"/>
        </w:rPr>
        <w:t>, 24(1), pp.1–10.</w:t>
      </w:r>
    </w:p>
    <w:p w14:paraId="5DBAE2C3"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Ryan, R.M. and Deci, E.L. (2000) ‘Intrinsic and extrinsic motivations: Classic definitions and new directions’, </w:t>
      </w:r>
      <w:r w:rsidRPr="00462900">
        <w:rPr>
          <w:rFonts w:ascii="Arial" w:hAnsi="Arial" w:cs="Arial"/>
          <w:i/>
          <w:iCs/>
        </w:rPr>
        <w:t>Contemporary Educational Psychology</w:t>
      </w:r>
      <w:r w:rsidRPr="00462900">
        <w:rPr>
          <w:rFonts w:ascii="Arial" w:hAnsi="Arial" w:cs="Arial"/>
        </w:rPr>
        <w:t>, 25(1), pp.54–67.</w:t>
      </w:r>
    </w:p>
    <w:p w14:paraId="659A4D58"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(2012) </w:t>
      </w:r>
      <w:r w:rsidRPr="00462900">
        <w:rPr>
          <w:rFonts w:ascii="Arial" w:hAnsi="Arial" w:cs="Arial"/>
          <w:i/>
          <w:iCs/>
        </w:rPr>
        <w:t>Health and Social Care Act 2012</w:t>
      </w:r>
      <w:r w:rsidRPr="00462900">
        <w:rPr>
          <w:rFonts w:ascii="Arial" w:hAnsi="Arial" w:cs="Arial"/>
        </w:rPr>
        <w:t>. London: The Stationery Office.</w:t>
      </w:r>
    </w:p>
    <w:p w14:paraId="6B96287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(2014) </w:t>
      </w:r>
      <w:r w:rsidRPr="00462900">
        <w:rPr>
          <w:rFonts w:ascii="Arial" w:hAnsi="Arial" w:cs="Arial"/>
          <w:i/>
          <w:iCs/>
        </w:rPr>
        <w:t>Care Act 2014</w:t>
      </w:r>
      <w:r w:rsidRPr="00462900">
        <w:rPr>
          <w:rFonts w:ascii="Arial" w:hAnsi="Arial" w:cs="Arial"/>
        </w:rPr>
        <w:t>. London: The Stationery Office.</w:t>
      </w:r>
    </w:p>
    <w:p w14:paraId="7A9C6FD1"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(2018) </w:t>
      </w:r>
      <w:r w:rsidRPr="00462900">
        <w:rPr>
          <w:rFonts w:ascii="Arial" w:hAnsi="Arial" w:cs="Arial"/>
          <w:i/>
          <w:iCs/>
        </w:rPr>
        <w:t>Data Protection Act 2018</w:t>
      </w:r>
      <w:r w:rsidRPr="00462900">
        <w:rPr>
          <w:rFonts w:ascii="Arial" w:hAnsi="Arial" w:cs="Arial"/>
        </w:rPr>
        <w:t>. London: The Stationery Office.</w:t>
      </w:r>
    </w:p>
    <w:p w14:paraId="5E7AA37A"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(2022) </w:t>
      </w:r>
      <w:r w:rsidRPr="00462900">
        <w:rPr>
          <w:rFonts w:ascii="Arial" w:hAnsi="Arial" w:cs="Arial"/>
          <w:i/>
          <w:iCs/>
        </w:rPr>
        <w:t>Health and Care Act 2022</w:t>
      </w:r>
      <w:r w:rsidRPr="00462900">
        <w:rPr>
          <w:rFonts w:ascii="Arial" w:hAnsi="Arial" w:cs="Arial"/>
        </w:rPr>
        <w:t>. London: The Stationery Office.</w:t>
      </w:r>
    </w:p>
    <w:p w14:paraId="21DE7795"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Vats, K. (2024) ‘Navigating the digital landscape: embracing innovation and prioritising patient-centric care’, </w:t>
      </w:r>
      <w:r w:rsidRPr="00462900">
        <w:rPr>
          <w:rFonts w:ascii="Arial" w:hAnsi="Arial" w:cs="Arial"/>
          <w:i/>
          <w:iCs/>
        </w:rPr>
        <w:t>Cureus</w:t>
      </w:r>
      <w:r w:rsidRPr="00462900">
        <w:rPr>
          <w:rFonts w:ascii="Arial" w:hAnsi="Arial" w:cs="Arial"/>
        </w:rPr>
        <w:t>, 16(4).</w:t>
      </w:r>
    </w:p>
    <w:p w14:paraId="6E9E570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Watt, R.G. and Sheiham, A. (2012) ‘Integrating the common risk factor approach into a social determinants framework’, </w:t>
      </w:r>
      <w:r w:rsidRPr="00462900">
        <w:rPr>
          <w:rFonts w:ascii="Arial" w:hAnsi="Arial" w:cs="Arial"/>
          <w:i/>
          <w:iCs/>
        </w:rPr>
        <w:t>Community Dentistry and Oral Epidemiology</w:t>
      </w:r>
      <w:r w:rsidRPr="00462900">
        <w:rPr>
          <w:rFonts w:ascii="Arial" w:hAnsi="Arial" w:cs="Arial"/>
        </w:rPr>
        <w:t>, 40(4), pp.289–296.</w:t>
      </w:r>
    </w:p>
    <w:p w14:paraId="4B7EC2AD" w14:textId="77777777" w:rsidR="00462900" w:rsidRPr="00462900" w:rsidRDefault="00462900" w:rsidP="00462900">
      <w:pPr>
        <w:spacing w:line="360" w:lineRule="auto"/>
        <w:jc w:val="both"/>
        <w:rPr>
          <w:rFonts w:ascii="Arial" w:hAnsi="Arial" w:cs="Arial"/>
        </w:rPr>
      </w:pPr>
      <w:r w:rsidRPr="00462900">
        <w:rPr>
          <w:rFonts w:ascii="Arial" w:hAnsi="Arial" w:cs="Arial"/>
        </w:rPr>
        <w:lastRenderedPageBreak/>
        <w:t xml:space="preserve">West, M., Eckert, R., Collins, B. and Chowla, R. (2017) </w:t>
      </w:r>
      <w:r w:rsidRPr="00462900">
        <w:rPr>
          <w:rFonts w:ascii="Arial" w:hAnsi="Arial" w:cs="Arial"/>
          <w:i/>
          <w:iCs/>
        </w:rPr>
        <w:t>Caring to change: How compassionate leadership can stimulate innovation in health care</w:t>
      </w:r>
      <w:r w:rsidRPr="00462900">
        <w:rPr>
          <w:rFonts w:ascii="Arial" w:hAnsi="Arial" w:cs="Arial"/>
        </w:rPr>
        <w:t>. London: The King’s Fund.</w:t>
      </w:r>
    </w:p>
    <w:p w14:paraId="58FF33CC"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Zuber, V. (2018) ‘Creativity and positive mental health in social care settings’, </w:t>
      </w:r>
      <w:r w:rsidRPr="00462900">
        <w:rPr>
          <w:rFonts w:ascii="Arial" w:hAnsi="Arial" w:cs="Arial"/>
          <w:i/>
          <w:iCs/>
        </w:rPr>
        <w:t>The Arts in Psychotherapy</w:t>
      </w:r>
      <w:r w:rsidRPr="00462900">
        <w:rPr>
          <w:rFonts w:ascii="Arial" w:hAnsi="Arial" w:cs="Arial"/>
        </w:rPr>
        <w:t>, 59, pp.70–77.</w:t>
      </w:r>
    </w:p>
    <w:p w14:paraId="59DF0578" w14:textId="77777777" w:rsidR="00193B7B" w:rsidRDefault="00193B7B"/>
    <w:sectPr w:rsidR="00193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4ED3"/>
    <w:multiLevelType w:val="multilevel"/>
    <w:tmpl w:val="8C621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9E5F10"/>
    <w:multiLevelType w:val="multilevel"/>
    <w:tmpl w:val="87FC7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1733068">
    <w:abstractNumId w:val="0"/>
  </w:num>
  <w:num w:numId="2" w16cid:durableId="141193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AC"/>
    <w:rsid w:val="00013C5D"/>
    <w:rsid w:val="000418A9"/>
    <w:rsid w:val="00053373"/>
    <w:rsid w:val="00053CB2"/>
    <w:rsid w:val="00063BF3"/>
    <w:rsid w:val="00087EC9"/>
    <w:rsid w:val="000A6BFC"/>
    <w:rsid w:val="000C0295"/>
    <w:rsid w:val="000F4CC4"/>
    <w:rsid w:val="00110325"/>
    <w:rsid w:val="00136B00"/>
    <w:rsid w:val="00160BFC"/>
    <w:rsid w:val="001614E0"/>
    <w:rsid w:val="00193B7B"/>
    <w:rsid w:val="00194EE5"/>
    <w:rsid w:val="0019618B"/>
    <w:rsid w:val="001A4A3F"/>
    <w:rsid w:val="001C7526"/>
    <w:rsid w:val="001D20F7"/>
    <w:rsid w:val="001E0306"/>
    <w:rsid w:val="00203DAB"/>
    <w:rsid w:val="00246955"/>
    <w:rsid w:val="00250B29"/>
    <w:rsid w:val="002A1023"/>
    <w:rsid w:val="002E73E3"/>
    <w:rsid w:val="00310B5C"/>
    <w:rsid w:val="00315C48"/>
    <w:rsid w:val="003A6F8B"/>
    <w:rsid w:val="003E1E18"/>
    <w:rsid w:val="003E2C01"/>
    <w:rsid w:val="00402B2A"/>
    <w:rsid w:val="00415B86"/>
    <w:rsid w:val="00422928"/>
    <w:rsid w:val="00462900"/>
    <w:rsid w:val="00477EF0"/>
    <w:rsid w:val="004804E2"/>
    <w:rsid w:val="004944DA"/>
    <w:rsid w:val="004B7902"/>
    <w:rsid w:val="004B7DC0"/>
    <w:rsid w:val="005009B3"/>
    <w:rsid w:val="0050547D"/>
    <w:rsid w:val="00516B2F"/>
    <w:rsid w:val="005318A9"/>
    <w:rsid w:val="00533F0A"/>
    <w:rsid w:val="00540DCF"/>
    <w:rsid w:val="00541BA5"/>
    <w:rsid w:val="00542896"/>
    <w:rsid w:val="005A3346"/>
    <w:rsid w:val="005A5C91"/>
    <w:rsid w:val="005A7214"/>
    <w:rsid w:val="005D401D"/>
    <w:rsid w:val="005D4B2A"/>
    <w:rsid w:val="005E32CE"/>
    <w:rsid w:val="005F09B2"/>
    <w:rsid w:val="005F63FE"/>
    <w:rsid w:val="00656B4F"/>
    <w:rsid w:val="006725F1"/>
    <w:rsid w:val="00673C6A"/>
    <w:rsid w:val="00687093"/>
    <w:rsid w:val="006969B2"/>
    <w:rsid w:val="006A5D43"/>
    <w:rsid w:val="006C0D2E"/>
    <w:rsid w:val="006E3FC2"/>
    <w:rsid w:val="006F78F6"/>
    <w:rsid w:val="00721F34"/>
    <w:rsid w:val="00740BDD"/>
    <w:rsid w:val="007427D5"/>
    <w:rsid w:val="00755462"/>
    <w:rsid w:val="00773905"/>
    <w:rsid w:val="007914E1"/>
    <w:rsid w:val="007961ED"/>
    <w:rsid w:val="007A145A"/>
    <w:rsid w:val="007D189F"/>
    <w:rsid w:val="007E7BAB"/>
    <w:rsid w:val="00802CCF"/>
    <w:rsid w:val="008177D7"/>
    <w:rsid w:val="008614B5"/>
    <w:rsid w:val="008675BD"/>
    <w:rsid w:val="0087267F"/>
    <w:rsid w:val="00886884"/>
    <w:rsid w:val="008C7CEB"/>
    <w:rsid w:val="008E680F"/>
    <w:rsid w:val="00925B2B"/>
    <w:rsid w:val="00945C50"/>
    <w:rsid w:val="0096695F"/>
    <w:rsid w:val="009856F7"/>
    <w:rsid w:val="009A01B4"/>
    <w:rsid w:val="009E3133"/>
    <w:rsid w:val="009E4B16"/>
    <w:rsid w:val="00A158FB"/>
    <w:rsid w:val="00A67F43"/>
    <w:rsid w:val="00A72A12"/>
    <w:rsid w:val="00A74019"/>
    <w:rsid w:val="00A84F33"/>
    <w:rsid w:val="00A9560C"/>
    <w:rsid w:val="00AB2805"/>
    <w:rsid w:val="00AB3EB7"/>
    <w:rsid w:val="00AE5D9C"/>
    <w:rsid w:val="00AF3D35"/>
    <w:rsid w:val="00B3245E"/>
    <w:rsid w:val="00B72604"/>
    <w:rsid w:val="00B91A1B"/>
    <w:rsid w:val="00B97BAC"/>
    <w:rsid w:val="00BC48D1"/>
    <w:rsid w:val="00BC605D"/>
    <w:rsid w:val="00BE4F63"/>
    <w:rsid w:val="00C9358F"/>
    <w:rsid w:val="00C93D2C"/>
    <w:rsid w:val="00C97127"/>
    <w:rsid w:val="00CA2AFB"/>
    <w:rsid w:val="00CA6F93"/>
    <w:rsid w:val="00CC2A47"/>
    <w:rsid w:val="00CD6B4F"/>
    <w:rsid w:val="00CE78EB"/>
    <w:rsid w:val="00D01A59"/>
    <w:rsid w:val="00D7106A"/>
    <w:rsid w:val="00DB3C9A"/>
    <w:rsid w:val="00DD5BB2"/>
    <w:rsid w:val="00DF6823"/>
    <w:rsid w:val="00E14D80"/>
    <w:rsid w:val="00E23537"/>
    <w:rsid w:val="00E267D8"/>
    <w:rsid w:val="00E40EF5"/>
    <w:rsid w:val="00E61A89"/>
    <w:rsid w:val="00E909E5"/>
    <w:rsid w:val="00EB757D"/>
    <w:rsid w:val="00EC3A5C"/>
    <w:rsid w:val="00ED49AB"/>
    <w:rsid w:val="00EE3CE1"/>
    <w:rsid w:val="00EE5D9D"/>
    <w:rsid w:val="00F02605"/>
    <w:rsid w:val="00F028A7"/>
    <w:rsid w:val="00F109DE"/>
    <w:rsid w:val="00F179C2"/>
    <w:rsid w:val="00F26799"/>
    <w:rsid w:val="00F37DB0"/>
    <w:rsid w:val="00F47ACA"/>
    <w:rsid w:val="00F57E9A"/>
    <w:rsid w:val="00F94CFE"/>
    <w:rsid w:val="00FA2D5A"/>
    <w:rsid w:val="00FA7429"/>
    <w:rsid w:val="00FB1385"/>
    <w:rsid w:val="00FB4D79"/>
    <w:rsid w:val="00FC2A50"/>
    <w:rsid w:val="00FD070C"/>
    <w:rsid w:val="00FD2A63"/>
    <w:rsid w:val="00FE4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869A"/>
  <w15:chartTrackingRefBased/>
  <w15:docId w15:val="{32E4E163-6A4D-4A7D-A9C5-CF105B627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B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B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B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B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B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B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B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B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B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BAC"/>
    <w:rPr>
      <w:rFonts w:eastAsiaTheme="majorEastAsia" w:cstheme="majorBidi"/>
      <w:color w:val="272727" w:themeColor="text1" w:themeTint="D8"/>
    </w:rPr>
  </w:style>
  <w:style w:type="paragraph" w:styleId="Title">
    <w:name w:val="Title"/>
    <w:basedOn w:val="Normal"/>
    <w:next w:val="Normal"/>
    <w:link w:val="TitleChar"/>
    <w:uiPriority w:val="10"/>
    <w:qFormat/>
    <w:rsid w:val="00B97B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B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BAC"/>
    <w:pPr>
      <w:spacing w:before="160"/>
      <w:jc w:val="center"/>
    </w:pPr>
    <w:rPr>
      <w:i/>
      <w:iCs/>
      <w:color w:val="404040" w:themeColor="text1" w:themeTint="BF"/>
    </w:rPr>
  </w:style>
  <w:style w:type="character" w:customStyle="1" w:styleId="QuoteChar">
    <w:name w:val="Quote Char"/>
    <w:basedOn w:val="DefaultParagraphFont"/>
    <w:link w:val="Quote"/>
    <w:uiPriority w:val="29"/>
    <w:rsid w:val="00B97BAC"/>
    <w:rPr>
      <w:i/>
      <w:iCs/>
      <w:color w:val="404040" w:themeColor="text1" w:themeTint="BF"/>
    </w:rPr>
  </w:style>
  <w:style w:type="paragraph" w:styleId="ListParagraph">
    <w:name w:val="List Paragraph"/>
    <w:basedOn w:val="Normal"/>
    <w:uiPriority w:val="34"/>
    <w:qFormat/>
    <w:rsid w:val="00B97BAC"/>
    <w:pPr>
      <w:ind w:left="720"/>
      <w:contextualSpacing/>
    </w:pPr>
  </w:style>
  <w:style w:type="character" w:styleId="IntenseEmphasis">
    <w:name w:val="Intense Emphasis"/>
    <w:basedOn w:val="DefaultParagraphFont"/>
    <w:uiPriority w:val="21"/>
    <w:qFormat/>
    <w:rsid w:val="00B97BAC"/>
    <w:rPr>
      <w:i/>
      <w:iCs/>
      <w:color w:val="0F4761" w:themeColor="accent1" w:themeShade="BF"/>
    </w:rPr>
  </w:style>
  <w:style w:type="paragraph" w:styleId="IntenseQuote">
    <w:name w:val="Intense Quote"/>
    <w:basedOn w:val="Normal"/>
    <w:next w:val="Normal"/>
    <w:link w:val="IntenseQuoteChar"/>
    <w:uiPriority w:val="30"/>
    <w:qFormat/>
    <w:rsid w:val="00B97B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BAC"/>
    <w:rPr>
      <w:i/>
      <w:iCs/>
      <w:color w:val="0F4761" w:themeColor="accent1" w:themeShade="BF"/>
    </w:rPr>
  </w:style>
  <w:style w:type="character" w:styleId="IntenseReference">
    <w:name w:val="Intense Reference"/>
    <w:basedOn w:val="DefaultParagraphFont"/>
    <w:uiPriority w:val="32"/>
    <w:qFormat/>
    <w:rsid w:val="00B97BAC"/>
    <w:rPr>
      <w:b/>
      <w:bCs/>
      <w:smallCaps/>
      <w:color w:val="0F4761" w:themeColor="accent1" w:themeShade="BF"/>
      <w:spacing w:val="5"/>
    </w:rPr>
  </w:style>
  <w:style w:type="character" w:styleId="Hyperlink">
    <w:name w:val="Hyperlink"/>
    <w:basedOn w:val="DefaultParagraphFont"/>
    <w:uiPriority w:val="99"/>
    <w:unhideWhenUsed/>
    <w:rsid w:val="00193B7B"/>
    <w:rPr>
      <w:color w:val="467886" w:themeColor="hyperlink"/>
      <w:u w:val="single"/>
    </w:rPr>
  </w:style>
  <w:style w:type="character" w:styleId="UnresolvedMention">
    <w:name w:val="Unresolved Mention"/>
    <w:basedOn w:val="DefaultParagraphFont"/>
    <w:uiPriority w:val="99"/>
    <w:semiHidden/>
    <w:unhideWhenUsed/>
    <w:rsid w:val="00CA2AFB"/>
    <w:rPr>
      <w:color w:val="605E5C"/>
      <w:shd w:val="clear" w:color="auto" w:fill="E1DFDD"/>
    </w:rPr>
  </w:style>
  <w:style w:type="character" w:styleId="FollowedHyperlink">
    <w:name w:val="FollowedHyperlink"/>
    <w:basedOn w:val="DefaultParagraphFont"/>
    <w:uiPriority w:val="99"/>
    <w:semiHidden/>
    <w:unhideWhenUsed/>
    <w:rsid w:val="004804E2"/>
    <w:rPr>
      <w:color w:val="96607D" w:themeColor="followedHyperlink"/>
      <w:u w:val="single"/>
    </w:rPr>
  </w:style>
  <w:style w:type="paragraph" w:styleId="NormalWeb">
    <w:name w:val="Normal (Web)"/>
    <w:basedOn w:val="Normal"/>
    <w:uiPriority w:val="99"/>
    <w:semiHidden/>
    <w:unhideWhenUsed/>
    <w:rsid w:val="00EC3A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C3A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www.mind.org.uk/media/8575/mind-20582-trying-to-connect-report-aw2-welsh-recommendations-lr.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mperial.nhs.uk/about-us/news/remote-monitoring-of-heart-attack-patients-significantly-reduced-hospital-readmiss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qc.org.uk/sites/default/files/20210208_InnovationPrinciples_re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39950-666B-4350-93AF-1AD8FD749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2671</Words>
  <Characters>15226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18</cp:revision>
  <dcterms:created xsi:type="dcterms:W3CDTF">2025-11-06T09:30:00Z</dcterms:created>
  <dcterms:modified xsi:type="dcterms:W3CDTF">2025-11-12T16:23:00Z</dcterms:modified>
</cp:coreProperties>
</file>