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F8E0FF" w14:textId="319AB7F1" w:rsidR="008B089A" w:rsidRPr="004A1D79" w:rsidRDefault="008B089A" w:rsidP="004A1D79">
      <w:pPr>
        <w:pStyle w:val="Heading1"/>
        <w:spacing w:line="360" w:lineRule="auto"/>
        <w:rPr>
          <w:rFonts w:asciiTheme="minorBidi" w:eastAsia="Aptos" w:hAnsiTheme="minorBidi" w:cstheme="minorBidi"/>
          <w:color w:val="000000" w:themeColor="text1"/>
          <w:sz w:val="22"/>
          <w:szCs w:val="22"/>
          <w:lang w:val="nl-NL"/>
        </w:rPr>
      </w:pPr>
      <w:r w:rsidRPr="004A1D79">
        <w:rPr>
          <w:rFonts w:asciiTheme="minorBidi" w:eastAsia="Aptos" w:hAnsiTheme="minorBidi" w:cstheme="minorBidi"/>
          <w:b/>
          <w:bCs/>
          <w:color w:val="000000" w:themeColor="text1"/>
          <w:sz w:val="22"/>
          <w:szCs w:val="22"/>
          <w:lang w:val="nl-NL"/>
        </w:rPr>
        <w:t xml:space="preserve">Student Name: </w:t>
      </w:r>
      <w:proofErr w:type="spellStart"/>
      <w:r w:rsidR="004A1D79">
        <w:rPr>
          <w:rFonts w:asciiTheme="minorBidi" w:eastAsia="Aptos" w:hAnsiTheme="minorBidi" w:cstheme="minorBidi"/>
          <w:b/>
          <w:bCs/>
          <w:color w:val="000000" w:themeColor="text1"/>
          <w:sz w:val="22"/>
          <w:szCs w:val="22"/>
          <w:lang w:val="nl-NL"/>
        </w:rPr>
        <w:t>Haider</w:t>
      </w:r>
      <w:proofErr w:type="spellEnd"/>
      <w:r w:rsidR="004A1D79">
        <w:rPr>
          <w:rFonts w:asciiTheme="minorBidi" w:eastAsia="Aptos" w:hAnsiTheme="minorBidi" w:cstheme="minorBidi"/>
          <w:b/>
          <w:bCs/>
          <w:color w:val="000000" w:themeColor="text1"/>
          <w:sz w:val="22"/>
          <w:szCs w:val="22"/>
          <w:lang w:val="nl-NL"/>
        </w:rPr>
        <w:t xml:space="preserve"> </w:t>
      </w:r>
      <w:proofErr w:type="spellStart"/>
      <w:r w:rsidR="004A1D79">
        <w:rPr>
          <w:rFonts w:asciiTheme="minorBidi" w:eastAsia="Aptos" w:hAnsiTheme="minorBidi" w:cstheme="minorBidi"/>
          <w:b/>
          <w:bCs/>
          <w:color w:val="000000" w:themeColor="text1"/>
          <w:sz w:val="22"/>
          <w:szCs w:val="22"/>
          <w:lang w:val="nl-NL"/>
        </w:rPr>
        <w:t>Ghazanfar</w:t>
      </w:r>
      <w:proofErr w:type="spellEnd"/>
    </w:p>
    <w:p w14:paraId="4BDC666F" w14:textId="342F6CDF" w:rsidR="008B089A" w:rsidRPr="004A1D79" w:rsidRDefault="008B089A" w:rsidP="004A1D79">
      <w:pPr>
        <w:keepNext/>
        <w:keepLines/>
        <w:spacing w:line="360" w:lineRule="auto"/>
        <w:rPr>
          <w:rFonts w:asciiTheme="minorBidi" w:eastAsia="Aptos" w:hAnsiTheme="minorBidi"/>
          <w:color w:val="000000" w:themeColor="text1"/>
          <w:sz w:val="22"/>
          <w:szCs w:val="22"/>
          <w:lang w:val="nl-NL"/>
        </w:rPr>
      </w:pPr>
      <w:r w:rsidRPr="004A1D79">
        <w:rPr>
          <w:rFonts w:asciiTheme="minorBidi" w:eastAsia="Aptos" w:hAnsiTheme="minorBidi"/>
          <w:b/>
          <w:bCs/>
          <w:color w:val="000000" w:themeColor="text1"/>
          <w:sz w:val="22"/>
          <w:szCs w:val="22"/>
          <w:lang w:val="nl-NL"/>
        </w:rPr>
        <w:t>Student ID: 24</w:t>
      </w:r>
      <w:r w:rsidR="004A1D79">
        <w:rPr>
          <w:rFonts w:asciiTheme="minorBidi" w:eastAsia="Aptos" w:hAnsiTheme="minorBidi"/>
          <w:b/>
          <w:bCs/>
          <w:color w:val="000000" w:themeColor="text1"/>
          <w:sz w:val="22"/>
          <w:szCs w:val="22"/>
          <w:lang w:val="nl-NL"/>
        </w:rPr>
        <w:t>24119</w:t>
      </w:r>
    </w:p>
    <w:p w14:paraId="61529B52" w14:textId="77777777" w:rsidR="008B089A" w:rsidRPr="004A1D79" w:rsidRDefault="008B089A" w:rsidP="004A1D79">
      <w:pPr>
        <w:keepNext/>
        <w:keepLines/>
        <w:spacing w:line="360" w:lineRule="auto"/>
        <w:rPr>
          <w:rFonts w:asciiTheme="minorBidi" w:eastAsia="Aptos" w:hAnsiTheme="minorBidi"/>
          <w:color w:val="000000" w:themeColor="text1"/>
          <w:sz w:val="22"/>
          <w:szCs w:val="22"/>
        </w:rPr>
      </w:pPr>
      <w:r w:rsidRPr="004A1D79">
        <w:rPr>
          <w:rFonts w:asciiTheme="minorBidi" w:eastAsia="Aptos" w:hAnsiTheme="minorBidi"/>
          <w:b/>
          <w:bCs/>
          <w:color w:val="000000" w:themeColor="text1"/>
          <w:sz w:val="22"/>
          <w:szCs w:val="22"/>
        </w:rPr>
        <w:t>Module: Protecting and Supporting Families in Health and Care</w:t>
      </w:r>
    </w:p>
    <w:p w14:paraId="391D8151" w14:textId="77777777" w:rsidR="008B089A" w:rsidRPr="004A1D79" w:rsidRDefault="008B089A" w:rsidP="004A1D79">
      <w:pPr>
        <w:keepNext/>
        <w:keepLines/>
        <w:spacing w:line="360" w:lineRule="auto"/>
        <w:rPr>
          <w:rFonts w:asciiTheme="minorBidi" w:eastAsia="Arial" w:hAnsiTheme="minorBidi"/>
          <w:color w:val="000000" w:themeColor="text1"/>
          <w:sz w:val="22"/>
          <w:szCs w:val="22"/>
        </w:rPr>
      </w:pPr>
      <w:r w:rsidRPr="004A1D79">
        <w:rPr>
          <w:rFonts w:asciiTheme="minorBidi" w:eastAsia="Aptos" w:hAnsiTheme="minorBidi"/>
          <w:b/>
          <w:bCs/>
          <w:color w:val="000000" w:themeColor="text1"/>
          <w:sz w:val="22"/>
          <w:szCs w:val="22"/>
        </w:rPr>
        <w:t xml:space="preserve">Module Code: </w:t>
      </w:r>
      <w:r w:rsidRPr="004A1D79">
        <w:rPr>
          <w:rFonts w:asciiTheme="minorBidi" w:eastAsia="Arial" w:hAnsiTheme="minorBidi"/>
          <w:b/>
          <w:bCs/>
          <w:color w:val="000000" w:themeColor="text1"/>
          <w:sz w:val="22"/>
          <w:szCs w:val="22"/>
        </w:rPr>
        <w:t>BMHP5021</w:t>
      </w:r>
    </w:p>
    <w:p w14:paraId="3BF6C2D0" w14:textId="77777777" w:rsidR="008B089A" w:rsidRPr="004A1D79" w:rsidRDefault="008B089A" w:rsidP="004A1D79">
      <w:pPr>
        <w:keepNext/>
        <w:keepLines/>
        <w:spacing w:line="360" w:lineRule="auto"/>
        <w:rPr>
          <w:rFonts w:asciiTheme="minorBidi" w:eastAsia="Arial" w:hAnsiTheme="minorBidi"/>
          <w:sz w:val="22"/>
          <w:szCs w:val="22"/>
        </w:rPr>
      </w:pPr>
      <w:r w:rsidRPr="004A1D79">
        <w:rPr>
          <w:rFonts w:asciiTheme="minorBidi" w:eastAsia="Arial" w:hAnsiTheme="minorBidi"/>
          <w:b/>
          <w:bCs/>
          <w:color w:val="000000" w:themeColor="text1"/>
          <w:sz w:val="22"/>
          <w:szCs w:val="22"/>
        </w:rPr>
        <w:t xml:space="preserve">Assignment Title: </w:t>
      </w:r>
      <w:r w:rsidRPr="004A1D79">
        <w:rPr>
          <w:rFonts w:asciiTheme="minorBidi" w:eastAsia="Arial" w:hAnsiTheme="minorBidi"/>
          <w:b/>
          <w:bCs/>
          <w:sz w:val="22"/>
          <w:szCs w:val="22"/>
        </w:rPr>
        <w:t>Component 2: Written Report</w:t>
      </w:r>
    </w:p>
    <w:p w14:paraId="049C7CDC" w14:textId="77777777" w:rsidR="008B089A" w:rsidRPr="004A1D79" w:rsidRDefault="008B089A" w:rsidP="004A1D79">
      <w:pPr>
        <w:keepNext/>
        <w:keepLines/>
        <w:spacing w:line="360" w:lineRule="auto"/>
        <w:rPr>
          <w:rFonts w:asciiTheme="minorBidi" w:eastAsia="Arial" w:hAnsiTheme="minorBidi"/>
          <w:color w:val="000000" w:themeColor="text1"/>
          <w:sz w:val="22"/>
          <w:szCs w:val="22"/>
        </w:rPr>
      </w:pPr>
      <w:r w:rsidRPr="004A1D79">
        <w:rPr>
          <w:rFonts w:asciiTheme="minorBidi" w:eastAsia="Arial" w:hAnsiTheme="minorBidi"/>
          <w:b/>
          <w:bCs/>
          <w:color w:val="000000" w:themeColor="text1"/>
          <w:sz w:val="22"/>
          <w:szCs w:val="22"/>
        </w:rPr>
        <w:t xml:space="preserve">Lecturer: Gillian Weaver </w:t>
      </w:r>
    </w:p>
    <w:p w14:paraId="026EA87E" w14:textId="77777777" w:rsidR="008B089A" w:rsidRPr="004A1D79" w:rsidRDefault="008B089A" w:rsidP="004A1D79">
      <w:pPr>
        <w:spacing w:line="360" w:lineRule="auto"/>
        <w:rPr>
          <w:rFonts w:asciiTheme="minorBidi" w:hAnsiTheme="minorBidi"/>
          <w:b/>
          <w:bCs/>
          <w:sz w:val="22"/>
          <w:szCs w:val="22"/>
        </w:rPr>
      </w:pPr>
    </w:p>
    <w:p w14:paraId="6A428F76" w14:textId="77777777" w:rsidR="008B089A" w:rsidRPr="004A1D79" w:rsidRDefault="008B089A" w:rsidP="004A1D79">
      <w:pPr>
        <w:spacing w:line="360" w:lineRule="auto"/>
        <w:rPr>
          <w:rFonts w:asciiTheme="minorBidi" w:hAnsiTheme="minorBidi"/>
          <w:b/>
          <w:bCs/>
          <w:sz w:val="22"/>
          <w:szCs w:val="22"/>
        </w:rPr>
      </w:pPr>
    </w:p>
    <w:p w14:paraId="168689B9" w14:textId="77777777" w:rsidR="008B089A" w:rsidRPr="004A1D79" w:rsidRDefault="008B089A" w:rsidP="004A1D79">
      <w:pPr>
        <w:spacing w:line="360" w:lineRule="auto"/>
        <w:rPr>
          <w:rFonts w:asciiTheme="minorBidi" w:hAnsiTheme="minorBidi"/>
          <w:b/>
          <w:bCs/>
          <w:sz w:val="22"/>
          <w:szCs w:val="22"/>
        </w:rPr>
      </w:pPr>
    </w:p>
    <w:p w14:paraId="425E3F3F" w14:textId="77777777" w:rsidR="008B089A" w:rsidRPr="004A1D79" w:rsidRDefault="008B089A" w:rsidP="004A1D79">
      <w:pPr>
        <w:spacing w:line="360" w:lineRule="auto"/>
        <w:rPr>
          <w:rFonts w:asciiTheme="minorBidi" w:hAnsiTheme="minorBidi"/>
          <w:b/>
          <w:bCs/>
          <w:sz w:val="22"/>
          <w:szCs w:val="22"/>
        </w:rPr>
      </w:pPr>
    </w:p>
    <w:p w14:paraId="34AD20D7" w14:textId="77777777" w:rsidR="008B089A" w:rsidRPr="004A1D79" w:rsidRDefault="008B089A" w:rsidP="004A1D79">
      <w:pPr>
        <w:spacing w:line="360" w:lineRule="auto"/>
        <w:rPr>
          <w:rFonts w:asciiTheme="minorBidi" w:hAnsiTheme="minorBidi"/>
          <w:b/>
          <w:bCs/>
          <w:sz w:val="22"/>
          <w:szCs w:val="22"/>
        </w:rPr>
      </w:pPr>
    </w:p>
    <w:p w14:paraId="70D1A07C" w14:textId="77777777" w:rsidR="008B089A" w:rsidRPr="004A1D79" w:rsidRDefault="008B089A" w:rsidP="004A1D79">
      <w:pPr>
        <w:spacing w:line="360" w:lineRule="auto"/>
        <w:rPr>
          <w:rFonts w:asciiTheme="minorBidi" w:hAnsiTheme="minorBidi"/>
          <w:b/>
          <w:bCs/>
          <w:sz w:val="22"/>
          <w:szCs w:val="22"/>
        </w:rPr>
      </w:pPr>
    </w:p>
    <w:p w14:paraId="3506A0B8" w14:textId="77777777" w:rsidR="008B089A" w:rsidRPr="004A1D79" w:rsidRDefault="008B089A" w:rsidP="004A1D79">
      <w:pPr>
        <w:spacing w:line="360" w:lineRule="auto"/>
        <w:rPr>
          <w:rFonts w:asciiTheme="minorBidi" w:hAnsiTheme="minorBidi"/>
          <w:b/>
          <w:bCs/>
          <w:sz w:val="22"/>
          <w:szCs w:val="22"/>
        </w:rPr>
      </w:pPr>
    </w:p>
    <w:p w14:paraId="5A508D6E" w14:textId="77777777" w:rsidR="008B089A" w:rsidRPr="004A1D79" w:rsidRDefault="008B089A" w:rsidP="004A1D79">
      <w:pPr>
        <w:spacing w:line="360" w:lineRule="auto"/>
        <w:rPr>
          <w:rFonts w:asciiTheme="minorBidi" w:hAnsiTheme="minorBidi"/>
          <w:b/>
          <w:bCs/>
          <w:sz w:val="22"/>
          <w:szCs w:val="22"/>
        </w:rPr>
      </w:pPr>
    </w:p>
    <w:p w14:paraId="5F4EA5F4" w14:textId="77777777" w:rsidR="008B089A" w:rsidRPr="004A1D79" w:rsidRDefault="008B089A" w:rsidP="004A1D79">
      <w:pPr>
        <w:spacing w:line="360" w:lineRule="auto"/>
        <w:rPr>
          <w:rFonts w:asciiTheme="minorBidi" w:hAnsiTheme="minorBidi"/>
          <w:b/>
          <w:bCs/>
          <w:sz w:val="22"/>
          <w:szCs w:val="22"/>
        </w:rPr>
      </w:pPr>
    </w:p>
    <w:p w14:paraId="6741582E" w14:textId="77777777" w:rsidR="008B089A" w:rsidRPr="004A1D79" w:rsidRDefault="008B089A" w:rsidP="004A1D79">
      <w:pPr>
        <w:spacing w:line="360" w:lineRule="auto"/>
        <w:rPr>
          <w:rFonts w:asciiTheme="minorBidi" w:hAnsiTheme="minorBidi"/>
          <w:b/>
          <w:bCs/>
          <w:sz w:val="22"/>
          <w:szCs w:val="22"/>
        </w:rPr>
      </w:pPr>
    </w:p>
    <w:p w14:paraId="50E0D50C" w14:textId="77777777" w:rsidR="008B089A" w:rsidRPr="004A1D79" w:rsidRDefault="008B089A" w:rsidP="004A1D79">
      <w:pPr>
        <w:spacing w:line="360" w:lineRule="auto"/>
        <w:rPr>
          <w:rFonts w:asciiTheme="minorBidi" w:hAnsiTheme="minorBidi"/>
          <w:b/>
          <w:bCs/>
          <w:sz w:val="22"/>
          <w:szCs w:val="22"/>
        </w:rPr>
      </w:pPr>
    </w:p>
    <w:p w14:paraId="5C59FC42" w14:textId="77777777" w:rsidR="008B089A" w:rsidRPr="004A1D79" w:rsidRDefault="008B089A" w:rsidP="004A1D79">
      <w:pPr>
        <w:spacing w:line="360" w:lineRule="auto"/>
        <w:rPr>
          <w:rFonts w:asciiTheme="minorBidi" w:hAnsiTheme="minorBidi"/>
          <w:b/>
          <w:bCs/>
          <w:sz w:val="22"/>
          <w:szCs w:val="22"/>
        </w:rPr>
      </w:pPr>
    </w:p>
    <w:p w14:paraId="032F5416" w14:textId="77777777" w:rsidR="008B089A" w:rsidRPr="004A1D79" w:rsidRDefault="008B089A" w:rsidP="004A1D79">
      <w:pPr>
        <w:spacing w:line="360" w:lineRule="auto"/>
        <w:rPr>
          <w:rFonts w:asciiTheme="minorBidi" w:hAnsiTheme="minorBidi"/>
          <w:b/>
          <w:bCs/>
          <w:sz w:val="22"/>
          <w:szCs w:val="22"/>
        </w:rPr>
      </w:pPr>
    </w:p>
    <w:p w14:paraId="49B976E1" w14:textId="77777777" w:rsidR="008B089A" w:rsidRPr="004A1D79" w:rsidRDefault="008B089A" w:rsidP="004A1D79">
      <w:pPr>
        <w:spacing w:line="360" w:lineRule="auto"/>
        <w:rPr>
          <w:rFonts w:asciiTheme="minorBidi" w:hAnsiTheme="minorBidi"/>
          <w:b/>
          <w:bCs/>
          <w:sz w:val="22"/>
          <w:szCs w:val="22"/>
        </w:rPr>
      </w:pPr>
    </w:p>
    <w:p w14:paraId="6B1279FE" w14:textId="77777777" w:rsidR="008B089A" w:rsidRPr="004A1D79" w:rsidRDefault="008B089A" w:rsidP="004A1D79">
      <w:pPr>
        <w:spacing w:line="360" w:lineRule="auto"/>
        <w:rPr>
          <w:rFonts w:asciiTheme="minorBidi" w:hAnsiTheme="minorBidi"/>
          <w:b/>
          <w:bCs/>
          <w:sz w:val="22"/>
          <w:szCs w:val="22"/>
        </w:rPr>
      </w:pPr>
    </w:p>
    <w:p w14:paraId="3EDEF777" w14:textId="77777777" w:rsidR="008B089A" w:rsidRPr="004A1D79" w:rsidRDefault="008B089A" w:rsidP="004A1D79">
      <w:pPr>
        <w:spacing w:line="360" w:lineRule="auto"/>
        <w:rPr>
          <w:rFonts w:asciiTheme="minorBidi" w:hAnsiTheme="minorBidi"/>
          <w:b/>
          <w:bCs/>
          <w:sz w:val="22"/>
          <w:szCs w:val="22"/>
        </w:rPr>
      </w:pPr>
    </w:p>
    <w:p w14:paraId="0AC8632E" w14:textId="77777777" w:rsidR="008B089A" w:rsidRPr="004A1D79" w:rsidRDefault="008B089A" w:rsidP="004A1D79">
      <w:pPr>
        <w:spacing w:line="360" w:lineRule="auto"/>
        <w:rPr>
          <w:rFonts w:asciiTheme="minorBidi" w:hAnsiTheme="minorBidi"/>
          <w:b/>
          <w:bCs/>
          <w:sz w:val="22"/>
          <w:szCs w:val="22"/>
        </w:rPr>
      </w:pPr>
    </w:p>
    <w:p w14:paraId="4491921C" w14:textId="77777777" w:rsidR="008B089A" w:rsidRPr="004A1D79" w:rsidRDefault="008B089A" w:rsidP="004A1D79">
      <w:pPr>
        <w:spacing w:line="360" w:lineRule="auto"/>
        <w:rPr>
          <w:rFonts w:asciiTheme="minorBidi" w:hAnsiTheme="minorBidi"/>
          <w:b/>
          <w:bCs/>
          <w:sz w:val="22"/>
          <w:szCs w:val="22"/>
        </w:rPr>
      </w:pPr>
    </w:p>
    <w:p w14:paraId="1F9F1111" w14:textId="77777777" w:rsidR="008B089A" w:rsidRPr="004A1D79" w:rsidRDefault="008B089A" w:rsidP="004A1D79">
      <w:pPr>
        <w:spacing w:line="360" w:lineRule="auto"/>
        <w:rPr>
          <w:rFonts w:asciiTheme="minorBidi" w:hAnsiTheme="minorBidi"/>
          <w:b/>
          <w:bCs/>
          <w:sz w:val="22"/>
          <w:szCs w:val="22"/>
        </w:rPr>
      </w:pPr>
    </w:p>
    <w:p w14:paraId="345E8B4C" w14:textId="77777777" w:rsidR="008B089A" w:rsidRPr="004A1D79" w:rsidRDefault="008B089A" w:rsidP="004A1D79">
      <w:pPr>
        <w:spacing w:line="360" w:lineRule="auto"/>
        <w:rPr>
          <w:rFonts w:asciiTheme="minorBidi" w:hAnsiTheme="minorBidi"/>
          <w:b/>
          <w:bCs/>
          <w:sz w:val="22"/>
          <w:szCs w:val="22"/>
        </w:rPr>
      </w:pPr>
    </w:p>
    <w:p w14:paraId="2A12BF72" w14:textId="77777777" w:rsidR="008B089A" w:rsidRPr="004A1D79" w:rsidRDefault="008B089A" w:rsidP="004A1D79">
      <w:pPr>
        <w:spacing w:line="360" w:lineRule="auto"/>
        <w:rPr>
          <w:rFonts w:asciiTheme="minorBidi" w:hAnsiTheme="minorBidi"/>
          <w:b/>
          <w:bCs/>
          <w:sz w:val="22"/>
          <w:szCs w:val="22"/>
        </w:rPr>
      </w:pPr>
    </w:p>
    <w:p w14:paraId="2C475447"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b/>
          <w:bCs/>
          <w:sz w:val="22"/>
          <w:szCs w:val="22"/>
        </w:rPr>
        <w:t>Introduction</w:t>
      </w:r>
    </w:p>
    <w:p w14:paraId="4778F5CB"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Early Help is a key component of safeguarding in England, aiming to identify and respond to difficulties affecting children and families before problems escalate into statutory intervention. Families may experience challenges including financial hardship, domestic abuse, parental mental ill-health, housing instability, substance misuse and poor school attendance. Addressing these issues at an early stage can improve outcomes for children and reduce the need for more intensive social care involvement (HM Government, 2023). As local authority websites are often the first point of contact for families seeking support, they should provide clear, accessible and accurate information about Early Help services, referral pathways and wider family support.</w:t>
      </w:r>
    </w:p>
    <w:p w14:paraId="067A49F6" w14:textId="77777777" w:rsidR="00781054"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 xml:space="preserve">This report critically evaluates how Leicester City Council, Norfolk County Council and Leeds City Council communicate Early Help through their websites. The analysis considers how effectively each authority explains Early Help, signposts services and reflects the principles within the Supporting Families: Early Help System Guide (DfE and DLUHC, 2022) and Working Together to Safeguard Children 2023 (HM Government, 2023). </w:t>
      </w:r>
    </w:p>
    <w:p w14:paraId="1C741459" w14:textId="77777777" w:rsidR="008B089A" w:rsidRPr="004A1D79" w:rsidRDefault="008B089A" w:rsidP="004A1D79">
      <w:pPr>
        <w:spacing w:line="360" w:lineRule="auto"/>
        <w:rPr>
          <w:rFonts w:asciiTheme="minorBidi" w:hAnsiTheme="minorBidi"/>
          <w:b/>
          <w:bCs/>
          <w:sz w:val="22"/>
          <w:szCs w:val="22"/>
        </w:rPr>
      </w:pPr>
      <w:r w:rsidRPr="004A1D79">
        <w:rPr>
          <w:rFonts w:asciiTheme="minorBidi" w:hAnsiTheme="minorBidi"/>
          <w:b/>
          <w:bCs/>
          <w:sz w:val="22"/>
          <w:szCs w:val="22"/>
        </w:rPr>
        <w:t>The Early Help System</w:t>
      </w:r>
    </w:p>
    <w:p w14:paraId="2C3D53BB"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Early Help is voluntary support provided when difficulties first emerge, with the aim of improving outcomes for children and preventing the need for statutory safeguarding intervention (HM Government, 2023). Rather than representing a single service, the Supporting Families: Early Help System Guide describes Early Help as a whole-system approach requiring effective leadership, partnership working and coordinated services centred on the needs of children and families (DfE and DLUHC, 2022).</w:t>
      </w:r>
    </w:p>
    <w:p w14:paraId="47C1E5A7"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Early Help services commonly include parenting programmes, Family Hubs, emotional wellbeing support, SEND services, housing advice, financial guidance and domestic abuse services.</w:t>
      </w:r>
    </w:p>
    <w:p w14:paraId="749424C3"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 xml:space="preserve">However, Early Help has also been criticised for its limited capacity to address long-term social problems. Budget reductions and increasing demand have placed significant pressure on local authorities, leading to higher referral thresholds and time-limited interventions (Featherstone et al., 2018). Consequently, although Early Help can prevent many families from reaching crisis point, it cannot fully resolve entrenched issues such as poverty, chronic mental ill-health or insecure housing without sustained support. This highlights that Early </w:t>
      </w:r>
      <w:r w:rsidRPr="004A1D79">
        <w:rPr>
          <w:rFonts w:asciiTheme="minorBidi" w:hAnsiTheme="minorBidi"/>
          <w:sz w:val="22"/>
          <w:szCs w:val="22"/>
        </w:rPr>
        <w:lastRenderedPageBreak/>
        <w:t>Help should be viewed as one part of a broader safeguarding system rather than a complete solution.</w:t>
      </w:r>
    </w:p>
    <w:p w14:paraId="725338A9" w14:textId="77777777" w:rsidR="00781054" w:rsidRPr="004A1D79" w:rsidRDefault="00781054" w:rsidP="004A1D79">
      <w:pPr>
        <w:spacing w:line="360" w:lineRule="auto"/>
        <w:rPr>
          <w:rFonts w:asciiTheme="minorBidi" w:hAnsiTheme="minorBidi"/>
          <w:b/>
          <w:bCs/>
          <w:sz w:val="22"/>
          <w:szCs w:val="22"/>
        </w:rPr>
      </w:pPr>
    </w:p>
    <w:p w14:paraId="7DB193EB"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b/>
          <w:bCs/>
          <w:sz w:val="22"/>
          <w:szCs w:val="22"/>
        </w:rPr>
        <w:t>Multi-Agency Working</w:t>
      </w:r>
    </w:p>
    <w:p w14:paraId="20848733"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Effective Early Help relies on strong multi-agency collaboration. Working Together to Safeguard Children 2023 states that safeguarding is everyone's responsibility and requires health services, education, police, housing providers, social care and voluntary organisations to work together to meet the needs of children and families (HM Government, 2023). Through approaches such as the Team Around the Family (TAF), professionals coordinate assessments, share information appropriately and develop integrated support plans, reducing duplication and ensuring families receive joined-up services (DfE and DLUHC, 2022).</w:t>
      </w:r>
    </w:p>
    <w:p w14:paraId="17436780"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Despite these benefits, partnership working can be affected by staff shortages, differing organisational priorities and communication barriers between agencies. Therefore, local authority websites should clearly explain how services work together and how families can access coordinated support. The following sections evaluate how effectively Leicester, Norfolk and Leeds communicate this information to families.</w:t>
      </w:r>
    </w:p>
    <w:p w14:paraId="0FE66747"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b/>
          <w:bCs/>
          <w:sz w:val="22"/>
          <w:szCs w:val="22"/>
        </w:rPr>
        <w:t>Evaluation of Leicester City Council</w:t>
      </w:r>
    </w:p>
    <w:p w14:paraId="1514D71A"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Leicester City Council provides information about Early Help through its main council website and linked Family Hub pages. The website explains that Early Help is designed to support families when difficulties first emerge, preventing problems from escalating into statutory intervention. Practical examples, including parenting difficulties, emotional wellbeing, financial pressures, housing concerns and school attendance issues, help parents recognise when support may be appropriate. This family-centred approach reflects the principles of the Supporting Families: Early Help System Guide, which encourages services to present information in language that is understandable and accessible to families rather than relying on professional terminology (DfE and DLUHC, 2022).</w:t>
      </w:r>
    </w:p>
    <w:p w14:paraId="5B8CBEC9"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A key strength of Leicester's website is the range of referral routes available. Families can seek support through schools, health visitors, Family Hubs and other professionals, while practitioners are provided with clear referral pathways. The inclusion of Family Hubs further strengthens the council's Early Help offer by providing access to parenting advice, SEND support, child development services and emotional wellbeing programmes. These services encourage families to seek assistance before difficulties reach crisis point, supporting the preventative approach promoted within national safeguarding guidance.</w:t>
      </w:r>
    </w:p>
    <w:p w14:paraId="418003A7"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lastRenderedPageBreak/>
        <w:t>However, several limitations reduce the website's effectiveness. Information is spread across multiple webpages, requiring users to move between the council website and Family Hub pages before finding all relevant information. For families experiencing stress, low digital confidence or limited literacy, this may delay access to support.</w:t>
      </w:r>
    </w:p>
    <w:p w14:paraId="67190751"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From a critical perspective, Leicester successfully promotes prevention but gives limited attention to the long-term needs of families experiencing persistent poverty, domestic abuse or chronic parental mental ill-health. Although Early Help can address immediate concerns, many complex family situations require ongoing multi-agency intervention beyond relatively short programmes. Consequently, the website presents Early Help positively but does not fully acknowledge the limitations created by resource pressures and time-limited support.</w:t>
      </w:r>
    </w:p>
    <w:p w14:paraId="463A8C9C"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b/>
          <w:bCs/>
          <w:sz w:val="22"/>
          <w:szCs w:val="22"/>
        </w:rPr>
        <w:t>Evaluation of Norfolk County Council</w:t>
      </w:r>
    </w:p>
    <w:p w14:paraId="4F3122E0"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Norfolk County Council provides the most comprehensive and accessible Early Help website of the three authorities evaluated. Information is organised using clear headings that explain the purpose of Early Help, eligibility criteria, referral processes and available services. This logical structure allows parents, carers and professionals to navigate the website easily and identify relevant support without extensive searching.</w:t>
      </w:r>
    </w:p>
    <w:p w14:paraId="2B13BBED"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A major strength is Norfolk's emphasis on a whole-family approach. Rather than focusing solely on the child, the council recognises that factors such as parental wellbeing, housing, employment, financial hardship and mental health directly influence children's outcomes. This holistic approach reflects the Early Help System Guide, which advocates coordinated support that considers the interconnected needs of the entire family (DfE and DLUHC, 2022).</w:t>
      </w:r>
    </w:p>
    <w:p w14:paraId="2F1D30B1"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Norfolk also provides particularly clear information about Family Hubs and community services, directing families towards parenting programmes, pregnancy support, SEND advice, youth services and emotional wellbeing provision. Unlike the other authorities, the website explains what families should expect after making a referral, helping to reduce uncertainty and improve understanding of the Early Help process. This transparency supports family engagement and reflects good practice in digital communication.</w:t>
      </w:r>
    </w:p>
    <w:p w14:paraId="0DE1B59E"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Despite these strengths, the website is not without weaknesses. The breadth of information available means that users may encounter numerous webpages covering different services, which can feel overwhelming for families already experiencing crisis. Furthermore, while Norfolk clearly explains what support is available, there is little discussion of workforce pressures, referral thresholds or waiting times.</w:t>
      </w:r>
    </w:p>
    <w:p w14:paraId="27013488"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lastRenderedPageBreak/>
        <w:t>A further limitation concerns long-term support. The website primarily focuses on the initial Early Help process but provides less information about what happens when an Early Help plan ends. Families whose difficulties persist after intervention may require ongoing specialist support, yet this transition is not clearly explained. Therefore, although Norfolk demonstrates excellent communication overall, greater emphasis on continuity of care would strengthen its Early Help offer.</w:t>
      </w:r>
    </w:p>
    <w:p w14:paraId="74491FD8"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b/>
          <w:bCs/>
          <w:sz w:val="22"/>
          <w:szCs w:val="22"/>
        </w:rPr>
        <w:t>Evaluation of Leeds City Council</w:t>
      </w:r>
    </w:p>
    <w:p w14:paraId="34578486"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Leeds City Council provides a comprehensive Early Help offer through its Family Information Service, Family Hubs and locality-based cluster partnerships. The website explains that Early Help aims to identify concerns early and provide coordinated support before difficulties escalate, with information available for parents, carers, young people and professionals. This demonstrates a strong commitment to preventative safeguarding.</w:t>
      </w:r>
    </w:p>
    <w:p w14:paraId="1C83E79E"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 xml:space="preserve">One of </w:t>
      </w:r>
      <w:proofErr w:type="spellStart"/>
      <w:r w:rsidRPr="004A1D79">
        <w:rPr>
          <w:rFonts w:asciiTheme="minorBidi" w:hAnsiTheme="minorBidi"/>
          <w:sz w:val="22"/>
          <w:szCs w:val="22"/>
        </w:rPr>
        <w:t>Leeds'</w:t>
      </w:r>
      <w:proofErr w:type="spellEnd"/>
      <w:r w:rsidRPr="004A1D79">
        <w:rPr>
          <w:rFonts w:asciiTheme="minorBidi" w:hAnsiTheme="minorBidi"/>
          <w:sz w:val="22"/>
          <w:szCs w:val="22"/>
        </w:rPr>
        <w:t xml:space="preserve"> greatest strengths is its emphasis on multi-agency partnership working. The council highlights the contribution of schools, health services, voluntary organisations and community groups, reflecting the expectations set out in Working Together to Safeguard Children 2023, which identifies safeguarding as a shared responsibility requiring effective collaboration between agencies (HM Government, 2023). The website also explains the local cluster model, whereby professionals work together within communities to identify concerns early and coordinate support around individual family needs.</w:t>
      </w:r>
    </w:p>
    <w:p w14:paraId="0B595133"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 xml:space="preserve">The Family Information Service further strengthens </w:t>
      </w:r>
      <w:proofErr w:type="spellStart"/>
      <w:r w:rsidRPr="004A1D79">
        <w:rPr>
          <w:rFonts w:asciiTheme="minorBidi" w:hAnsiTheme="minorBidi"/>
          <w:sz w:val="22"/>
          <w:szCs w:val="22"/>
        </w:rPr>
        <w:t>Leeds'</w:t>
      </w:r>
      <w:proofErr w:type="spellEnd"/>
      <w:r w:rsidRPr="004A1D79">
        <w:rPr>
          <w:rFonts w:asciiTheme="minorBidi" w:hAnsiTheme="minorBidi"/>
          <w:sz w:val="22"/>
          <w:szCs w:val="22"/>
        </w:rPr>
        <w:t xml:space="preserve"> digital offer by bringing together information on childcare, parenting support, SEND services, emotional wellbeing, youth activities and financial advice within one platform. Combining universal and targeted services may reduce stigma by allowing families to seek advice before problems become severe.</w:t>
      </w:r>
    </w:p>
    <w:p w14:paraId="7C8CB8DD"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 xml:space="preserve">Nevertheless, Leeds has several weaknesses </w:t>
      </w:r>
      <w:proofErr w:type="gramStart"/>
      <w:r w:rsidRPr="004A1D79">
        <w:rPr>
          <w:rFonts w:asciiTheme="minorBidi" w:hAnsiTheme="minorBidi"/>
          <w:sz w:val="22"/>
          <w:szCs w:val="22"/>
        </w:rPr>
        <w:t>similar to</w:t>
      </w:r>
      <w:proofErr w:type="gramEnd"/>
      <w:r w:rsidRPr="004A1D79">
        <w:rPr>
          <w:rFonts w:asciiTheme="minorBidi" w:hAnsiTheme="minorBidi"/>
          <w:sz w:val="22"/>
          <w:szCs w:val="22"/>
        </w:rPr>
        <w:t xml:space="preserve"> those identified in Leicester and Norfolk. Information is distributed across numerous webpages, meaning that users often need to navigate between Family Hubs, Family Information Service and safeguarding pages before locating the information they require. This may present difficulties for individuals with limited digital skills or language barriers.</w:t>
      </w:r>
    </w:p>
    <w:p w14:paraId="3D9CDDFD"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The website also provides limited information regarding waiting times, referral thresholds and service capacity. Although a wide range of services is promoted, families are given little indication of how quickly support may become available. This presents an idealised picture of Early Help that does not fully reflect the increasing demand and financial pressures affecting children's services nationally (Featherstone et al., 2018).</w:t>
      </w:r>
    </w:p>
    <w:p w14:paraId="45FCF55F"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lastRenderedPageBreak/>
        <w:t>Critically, Leeds, like the other authorities, places considerable emphasis on prevention but relatively little attention on sustained support for families with long-term or complex needs. While Early Help can improve parenting confidence, school attendance and emotional wellbeing, it is less able to resolve entrenched issues such as poverty, domestic abuse or chronic parental mental ill-health without continued intervention. As a result, the website successfully promotes Early Help but underrepresents the limitations of short-term support programmes.</w:t>
      </w:r>
    </w:p>
    <w:p w14:paraId="145E1BC6"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b/>
          <w:bCs/>
          <w:sz w:val="22"/>
          <w:szCs w:val="22"/>
        </w:rPr>
        <w:t>Comparative Analysis</w:t>
      </w:r>
    </w:p>
    <w:p w14:paraId="795C41BC"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The evaluation demonstrates that Leicester City Council, Norfolk County Council and Leeds City Council all communicate the principles of Early Help effectively and broadly align with the expectations outlined in the Supporting Families: Early Help System Guide (DfE and DLUHC, 2022) and Working Together to Safeguard Children 2023 (HM Government, 2023). Each authority promotes early intervention, multi-agency working and Family Hubs as key elements of preventative safeguarding.</w:t>
      </w:r>
    </w:p>
    <w:p w14:paraId="6352BC16"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Despite these similarities, there are notable differences in how information is communicated. Norfolk County Council provides the strongest overall digital offer because its website is logically organised, easy to navigate and uses plain English throughout. Referral pathways, eligibility criteria and available services are clearly explained, making it easier for families to understand how to access support. The website also provides greater transparency regarding the referral process, helping families understand what will happen once they request assistance.</w:t>
      </w:r>
    </w:p>
    <w:p w14:paraId="78067C51"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Leeds City Council performs particularly well in demonstrating partnership working through its locality-based cluster model. The website effectively explains how schools, health services, voluntary organisations and social care work together to provide coordinated support. The Family Information Service also brings together a wide range of universal and targeted services, reducing stigma by enabling families to seek help before concerns become severe. However, the website requires users to navigate multiple interconnected pages, which may create difficulties for individuals with limited digital confidence or those accessing support during periods of crisis.</w:t>
      </w:r>
    </w:p>
    <w:p w14:paraId="2BDC37F2"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Leicester City Council provides clear and practical explanations of Early Help using family-friendly language and relatable examples. This makes the service easy to understand for parents who may have little knowledge of safeguarding processes. However, compared with Norfolk, information is more fragmented across the council website and Family Hub pages, making navigation less straightforward.</w:t>
      </w:r>
    </w:p>
    <w:p w14:paraId="3A5B16F5"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lastRenderedPageBreak/>
        <w:t>A significant finding across all three authorities is the limited discussion of the challenges facing Early Help services. While each website highlights the benefits of prevention, none provides detailed information about referral waiting times, staffing shortages, increasing demand or service capacity. This may create unrealistic expectations for families who assume that support will be available immediately.</w:t>
      </w:r>
    </w:p>
    <w:p w14:paraId="538C78E3"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The analysis also identifies a wider limitation of the Early Help system itself. All three councils present Early Help as an effective preventative approach, yet relatively little attention is given to families requiring long-term intervention. Although Early Help can improve parenting skills, school attendance and emotional wellbeing, many families experience complex issues such as poverty, domestic abuse, substance misuse or chronic parental mental ill-health that cannot be resolved through short-term support alone. As Featherstone et al. (2018) argue, sustained multi-agency intervention is often necessary to achieve meaningful and lasting change. Therefore, Early Help should be viewed as an important first step rather than a complete solution to family adversity.</w:t>
      </w:r>
    </w:p>
    <w:p w14:paraId="4F068C08" w14:textId="77777777" w:rsidR="008B089A" w:rsidRPr="004A1D79" w:rsidRDefault="008B089A" w:rsidP="004A1D79">
      <w:pPr>
        <w:spacing w:line="360" w:lineRule="auto"/>
        <w:rPr>
          <w:rFonts w:asciiTheme="minorBidi" w:hAnsiTheme="minorBidi"/>
          <w:b/>
          <w:bCs/>
          <w:sz w:val="22"/>
          <w:szCs w:val="22"/>
        </w:rPr>
      </w:pPr>
    </w:p>
    <w:p w14:paraId="4936FA81" w14:textId="77777777" w:rsidR="008B089A" w:rsidRPr="004A1D79" w:rsidRDefault="008B089A" w:rsidP="004A1D79">
      <w:pPr>
        <w:spacing w:line="360" w:lineRule="auto"/>
        <w:rPr>
          <w:rFonts w:asciiTheme="minorBidi" w:hAnsiTheme="minorBidi"/>
          <w:sz w:val="22"/>
          <w:szCs w:val="22"/>
        </w:rPr>
      </w:pPr>
    </w:p>
    <w:p w14:paraId="5D34FA68" w14:textId="77777777" w:rsidR="00E83832" w:rsidRPr="004A1D79" w:rsidRDefault="00000000" w:rsidP="004A1D79">
      <w:pPr>
        <w:spacing w:line="360" w:lineRule="auto"/>
        <w:rPr>
          <w:rFonts w:asciiTheme="minorBidi" w:hAnsiTheme="minorBidi"/>
          <w:b/>
          <w:bCs/>
          <w:sz w:val="22"/>
          <w:szCs w:val="22"/>
        </w:rPr>
      </w:pPr>
      <w:r w:rsidRPr="004A1D79">
        <w:rPr>
          <w:rFonts w:asciiTheme="minorBidi" w:hAnsiTheme="minorBidi"/>
          <w:b/>
          <w:bCs/>
          <w:sz w:val="22"/>
          <w:szCs w:val="22"/>
        </w:rPr>
        <w:t>Recommendations</w:t>
      </w:r>
    </w:p>
    <w:p w14:paraId="547755ED" w14:textId="77777777" w:rsidR="00E83832" w:rsidRPr="004A1D79" w:rsidRDefault="00000000" w:rsidP="004A1D79">
      <w:pPr>
        <w:spacing w:line="360" w:lineRule="auto"/>
        <w:rPr>
          <w:rFonts w:asciiTheme="minorBidi" w:hAnsiTheme="minorBidi"/>
          <w:sz w:val="22"/>
          <w:szCs w:val="22"/>
        </w:rPr>
      </w:pPr>
      <w:r w:rsidRPr="004A1D79">
        <w:rPr>
          <w:rFonts w:asciiTheme="minorBidi" w:hAnsiTheme="minorBidi"/>
          <w:sz w:val="22"/>
          <w:szCs w:val="22"/>
        </w:rPr>
        <w:t>Based on the findings of this report, several recommendations can be made to improve how local authorities communicate Early Help and other family support services. Firstly, councils should simplify website navigation by creating a single, clearly labelled Early Help webpage that brings together referral routes, Family Hub information and support services in one accessible location. Secondly, local authorities should provide greater transparency regarding referral thresholds, waiting times and the stages of the Early Help process. Thirdly, websites should explain how families can access ongoing or specialist services once Early Help interventions have ended, particularly for families experiencing long-term or complex needs. Finally, councils should continue improving website accessibility by using plain English, translation options and accessible formats so that all families can access support more easily.</w:t>
      </w:r>
    </w:p>
    <w:p w14:paraId="01283F64"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b/>
          <w:bCs/>
          <w:sz w:val="22"/>
          <w:szCs w:val="22"/>
        </w:rPr>
        <w:t>Conclusion</w:t>
      </w:r>
    </w:p>
    <w:p w14:paraId="00148E16"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 xml:space="preserve">This report examined how Leicester City Council, Norfolk County Council and Leeds City Council communicate information about Early Help through their local authority websites. Overall, all three authorities demonstrate a strong commitment to early intervention and provide families with valuable information about available services, referral pathways and Family Hub provision. Their websites broadly reflect the principles of Working Together to </w:t>
      </w:r>
      <w:r w:rsidRPr="004A1D79">
        <w:rPr>
          <w:rFonts w:asciiTheme="minorBidi" w:hAnsiTheme="minorBidi"/>
          <w:sz w:val="22"/>
          <w:szCs w:val="22"/>
        </w:rPr>
        <w:lastRenderedPageBreak/>
        <w:t>Safeguard Children 2023 and the Supporting Families: Early Help System Guide, promoting partnership working and child-centred support.</w:t>
      </w:r>
    </w:p>
    <w:p w14:paraId="2F9BA2A8"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Among the three authorities, Norfolk County Council provides the most effective and accessible website due to its logical organisation, clear explanations and transparent referral information. Leeds City Council also performs strongly through its emphasis on collaborative safeguarding and locality-based services, while Leicester City Council communicates Early Help clearly but would benefit from more streamlined navigation and greater transparency about service delivery.</w:t>
      </w:r>
    </w:p>
    <w:p w14:paraId="00BBE302"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Early Help remains an essential part of safeguarding practice but is limited when families require ongoing support beyond short-term interventions. Long-term issues often require sustained multi-agency involvement.</w:t>
      </w:r>
    </w:p>
    <w:p w14:paraId="4300742B" w14:textId="77777777" w:rsidR="008B089A" w:rsidRPr="004A1D79" w:rsidRDefault="008B089A" w:rsidP="004A1D79">
      <w:pPr>
        <w:spacing w:line="360" w:lineRule="auto"/>
        <w:rPr>
          <w:rFonts w:asciiTheme="minorBidi" w:hAnsiTheme="minorBidi"/>
          <w:b/>
          <w:bCs/>
          <w:sz w:val="22"/>
          <w:szCs w:val="22"/>
        </w:rPr>
      </w:pPr>
    </w:p>
    <w:p w14:paraId="03756CCE" w14:textId="77777777" w:rsidR="008B089A" w:rsidRPr="004A1D79" w:rsidRDefault="008B089A" w:rsidP="004A1D79">
      <w:pPr>
        <w:spacing w:line="360" w:lineRule="auto"/>
        <w:rPr>
          <w:rFonts w:asciiTheme="minorBidi" w:hAnsiTheme="minorBidi"/>
          <w:b/>
          <w:bCs/>
          <w:sz w:val="22"/>
          <w:szCs w:val="22"/>
        </w:rPr>
      </w:pPr>
    </w:p>
    <w:p w14:paraId="4ADBD3A2" w14:textId="77777777" w:rsidR="008B089A" w:rsidRPr="004A1D79" w:rsidRDefault="008B089A" w:rsidP="004A1D79">
      <w:pPr>
        <w:spacing w:line="360" w:lineRule="auto"/>
        <w:rPr>
          <w:rFonts w:asciiTheme="minorBidi" w:hAnsiTheme="minorBidi"/>
          <w:b/>
          <w:bCs/>
          <w:sz w:val="22"/>
          <w:szCs w:val="22"/>
        </w:rPr>
      </w:pPr>
    </w:p>
    <w:p w14:paraId="6E52BB8D" w14:textId="77777777" w:rsidR="008B089A" w:rsidRPr="004A1D79" w:rsidRDefault="008B089A" w:rsidP="004A1D79">
      <w:pPr>
        <w:spacing w:line="360" w:lineRule="auto"/>
        <w:rPr>
          <w:rFonts w:asciiTheme="minorBidi" w:hAnsiTheme="minorBidi"/>
          <w:b/>
          <w:bCs/>
          <w:sz w:val="22"/>
          <w:szCs w:val="22"/>
        </w:rPr>
      </w:pPr>
    </w:p>
    <w:p w14:paraId="76F1F7EC" w14:textId="77777777" w:rsidR="008B089A" w:rsidRPr="004A1D79" w:rsidRDefault="008B089A" w:rsidP="004A1D79">
      <w:pPr>
        <w:spacing w:line="360" w:lineRule="auto"/>
        <w:rPr>
          <w:rFonts w:asciiTheme="minorBidi" w:hAnsiTheme="minorBidi"/>
          <w:b/>
          <w:bCs/>
          <w:sz w:val="22"/>
          <w:szCs w:val="22"/>
        </w:rPr>
      </w:pPr>
    </w:p>
    <w:p w14:paraId="6756FC8A" w14:textId="77777777" w:rsidR="004A1D79" w:rsidRPr="004A1D79" w:rsidRDefault="004A1D79" w:rsidP="004A1D79">
      <w:pPr>
        <w:spacing w:line="360" w:lineRule="auto"/>
        <w:rPr>
          <w:rFonts w:asciiTheme="minorBidi" w:hAnsiTheme="minorBidi"/>
          <w:b/>
          <w:bCs/>
          <w:sz w:val="22"/>
          <w:szCs w:val="22"/>
        </w:rPr>
      </w:pPr>
    </w:p>
    <w:p w14:paraId="513AAF30" w14:textId="77777777" w:rsidR="004A1D79" w:rsidRPr="004A1D79" w:rsidRDefault="004A1D79" w:rsidP="004A1D79">
      <w:pPr>
        <w:spacing w:line="360" w:lineRule="auto"/>
        <w:rPr>
          <w:rFonts w:asciiTheme="minorBidi" w:hAnsiTheme="minorBidi"/>
          <w:b/>
          <w:bCs/>
          <w:sz w:val="22"/>
          <w:szCs w:val="22"/>
        </w:rPr>
      </w:pPr>
    </w:p>
    <w:p w14:paraId="1A302E76" w14:textId="77777777" w:rsidR="004A1D79" w:rsidRPr="004A1D79" w:rsidRDefault="004A1D79" w:rsidP="004A1D79">
      <w:pPr>
        <w:spacing w:line="360" w:lineRule="auto"/>
        <w:rPr>
          <w:rFonts w:asciiTheme="minorBidi" w:hAnsiTheme="minorBidi"/>
          <w:b/>
          <w:bCs/>
          <w:sz w:val="22"/>
          <w:szCs w:val="22"/>
        </w:rPr>
      </w:pPr>
    </w:p>
    <w:p w14:paraId="6EF4D18C" w14:textId="77777777" w:rsidR="004A1D79" w:rsidRPr="004A1D79" w:rsidRDefault="004A1D79" w:rsidP="004A1D79">
      <w:pPr>
        <w:spacing w:line="360" w:lineRule="auto"/>
        <w:rPr>
          <w:rFonts w:asciiTheme="minorBidi" w:hAnsiTheme="minorBidi"/>
          <w:b/>
          <w:bCs/>
          <w:sz w:val="22"/>
          <w:szCs w:val="22"/>
        </w:rPr>
      </w:pPr>
    </w:p>
    <w:p w14:paraId="4B629440" w14:textId="77777777" w:rsidR="004A1D79" w:rsidRPr="004A1D79" w:rsidRDefault="004A1D79" w:rsidP="004A1D79">
      <w:pPr>
        <w:spacing w:line="360" w:lineRule="auto"/>
        <w:rPr>
          <w:rFonts w:asciiTheme="minorBidi" w:hAnsiTheme="minorBidi"/>
          <w:b/>
          <w:bCs/>
          <w:sz w:val="22"/>
          <w:szCs w:val="22"/>
        </w:rPr>
      </w:pPr>
    </w:p>
    <w:p w14:paraId="2CB58D5D" w14:textId="77777777" w:rsidR="004A1D79" w:rsidRPr="004A1D79" w:rsidRDefault="004A1D79" w:rsidP="004A1D79">
      <w:pPr>
        <w:spacing w:line="360" w:lineRule="auto"/>
        <w:rPr>
          <w:rFonts w:asciiTheme="minorBidi" w:hAnsiTheme="minorBidi"/>
          <w:b/>
          <w:bCs/>
          <w:sz w:val="22"/>
          <w:szCs w:val="22"/>
        </w:rPr>
      </w:pPr>
    </w:p>
    <w:p w14:paraId="40809228" w14:textId="77777777" w:rsidR="004A1D79" w:rsidRPr="004A1D79" w:rsidRDefault="004A1D79" w:rsidP="004A1D79">
      <w:pPr>
        <w:spacing w:line="360" w:lineRule="auto"/>
        <w:rPr>
          <w:rFonts w:asciiTheme="minorBidi" w:hAnsiTheme="minorBidi"/>
          <w:b/>
          <w:bCs/>
          <w:sz w:val="22"/>
          <w:szCs w:val="22"/>
        </w:rPr>
      </w:pPr>
    </w:p>
    <w:p w14:paraId="3ACBD32D" w14:textId="77777777" w:rsidR="004A1D79" w:rsidRPr="004A1D79" w:rsidRDefault="004A1D79" w:rsidP="004A1D79">
      <w:pPr>
        <w:spacing w:line="360" w:lineRule="auto"/>
        <w:rPr>
          <w:rFonts w:asciiTheme="minorBidi" w:hAnsiTheme="minorBidi"/>
          <w:b/>
          <w:bCs/>
          <w:sz w:val="22"/>
          <w:szCs w:val="22"/>
        </w:rPr>
      </w:pPr>
    </w:p>
    <w:p w14:paraId="6C413E38" w14:textId="77777777" w:rsidR="004A1D79" w:rsidRPr="004A1D79" w:rsidRDefault="004A1D79" w:rsidP="004A1D79">
      <w:pPr>
        <w:spacing w:line="360" w:lineRule="auto"/>
        <w:rPr>
          <w:rFonts w:asciiTheme="minorBidi" w:hAnsiTheme="minorBidi"/>
          <w:b/>
          <w:bCs/>
          <w:sz w:val="22"/>
          <w:szCs w:val="22"/>
        </w:rPr>
      </w:pPr>
    </w:p>
    <w:p w14:paraId="0780140F" w14:textId="77777777" w:rsidR="004A1D79" w:rsidRPr="004A1D79" w:rsidRDefault="004A1D79" w:rsidP="004A1D79">
      <w:pPr>
        <w:spacing w:line="360" w:lineRule="auto"/>
        <w:rPr>
          <w:rFonts w:asciiTheme="minorBidi" w:hAnsiTheme="minorBidi"/>
          <w:b/>
          <w:bCs/>
          <w:sz w:val="22"/>
          <w:szCs w:val="22"/>
        </w:rPr>
      </w:pPr>
    </w:p>
    <w:p w14:paraId="08257985" w14:textId="77777777" w:rsidR="004A1D79" w:rsidRPr="004A1D79" w:rsidRDefault="004A1D79" w:rsidP="004A1D79">
      <w:pPr>
        <w:spacing w:line="360" w:lineRule="auto"/>
        <w:rPr>
          <w:rFonts w:asciiTheme="minorBidi" w:hAnsiTheme="minorBidi"/>
          <w:b/>
          <w:bCs/>
          <w:sz w:val="22"/>
          <w:szCs w:val="22"/>
        </w:rPr>
      </w:pPr>
    </w:p>
    <w:p w14:paraId="25B80F64" w14:textId="77777777" w:rsidR="004A1D79" w:rsidRPr="004A1D79" w:rsidRDefault="004A1D79" w:rsidP="004A1D79">
      <w:pPr>
        <w:spacing w:line="360" w:lineRule="auto"/>
        <w:rPr>
          <w:rFonts w:asciiTheme="minorBidi" w:hAnsiTheme="minorBidi"/>
          <w:b/>
          <w:bCs/>
          <w:sz w:val="22"/>
          <w:szCs w:val="22"/>
        </w:rPr>
      </w:pPr>
    </w:p>
    <w:p w14:paraId="4787E86C" w14:textId="77777777" w:rsidR="004A1D79" w:rsidRPr="004A1D79" w:rsidRDefault="004A1D79" w:rsidP="004A1D79">
      <w:pPr>
        <w:spacing w:line="360" w:lineRule="auto"/>
        <w:rPr>
          <w:rFonts w:asciiTheme="minorBidi" w:hAnsiTheme="minorBidi"/>
          <w:b/>
          <w:bCs/>
          <w:sz w:val="22"/>
          <w:szCs w:val="22"/>
        </w:rPr>
      </w:pPr>
    </w:p>
    <w:p w14:paraId="3BC1018F" w14:textId="42A19DEE" w:rsidR="008B089A" w:rsidRPr="004A1D79" w:rsidRDefault="008B089A" w:rsidP="004A1D79">
      <w:pPr>
        <w:spacing w:line="360" w:lineRule="auto"/>
        <w:rPr>
          <w:rFonts w:asciiTheme="minorBidi" w:hAnsiTheme="minorBidi"/>
          <w:b/>
          <w:bCs/>
          <w:sz w:val="22"/>
          <w:szCs w:val="22"/>
        </w:rPr>
      </w:pPr>
      <w:r w:rsidRPr="004A1D79">
        <w:rPr>
          <w:rFonts w:asciiTheme="minorBidi" w:hAnsiTheme="minorBidi"/>
          <w:b/>
          <w:bCs/>
          <w:sz w:val="22"/>
          <w:szCs w:val="22"/>
        </w:rPr>
        <w:t>Reference List</w:t>
      </w:r>
    </w:p>
    <w:p w14:paraId="7665A948"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Children Act 1989. London: HMSO.</w:t>
      </w:r>
    </w:p>
    <w:p w14:paraId="351C234C"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Children Act 2004. London: HMSO.</w:t>
      </w:r>
    </w:p>
    <w:p w14:paraId="1382E311"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Children and Social Work Act 2017. London: HMSO.</w:t>
      </w:r>
    </w:p>
    <w:p w14:paraId="1F4DCF75"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 xml:space="preserve">Department for Education and Department for Levelling Up, Housing and Communities (2022) </w:t>
      </w:r>
      <w:r w:rsidRPr="004A1D79">
        <w:rPr>
          <w:rFonts w:asciiTheme="minorBidi" w:hAnsiTheme="minorBidi"/>
          <w:i/>
          <w:iCs/>
          <w:sz w:val="22"/>
          <w:szCs w:val="22"/>
        </w:rPr>
        <w:t>Supporting Families: Early Help System Guide</w:t>
      </w:r>
      <w:r w:rsidRPr="004A1D79">
        <w:rPr>
          <w:rFonts w:asciiTheme="minorBidi" w:hAnsiTheme="minorBidi"/>
          <w:sz w:val="22"/>
          <w:szCs w:val="22"/>
        </w:rPr>
        <w:t xml:space="preserve">. London: Department for Education. Available at: </w:t>
      </w:r>
      <w:hyperlink r:id="rId6" w:history="1">
        <w:r w:rsidRPr="004A1D79">
          <w:rPr>
            <w:rStyle w:val="Hyperlink"/>
            <w:rFonts w:asciiTheme="minorBidi" w:hAnsiTheme="minorBidi"/>
            <w:sz w:val="22"/>
            <w:szCs w:val="22"/>
          </w:rPr>
          <w:t>https://www.gov.uk/government/publications/supporting-families-early-help-system-guide</w:t>
        </w:r>
      </w:hyperlink>
      <w:r w:rsidRPr="004A1D79">
        <w:rPr>
          <w:rFonts w:asciiTheme="minorBidi" w:hAnsiTheme="minorBidi"/>
          <w:sz w:val="22"/>
          <w:szCs w:val="22"/>
        </w:rPr>
        <w:t xml:space="preserve"> (Accessed: 27 July 2026).</w:t>
      </w:r>
    </w:p>
    <w:p w14:paraId="071C6B89"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 xml:space="preserve">Featherstone, B., Gupta, A., Morris, K. and Warner, J. (2018) </w:t>
      </w:r>
      <w:r w:rsidRPr="004A1D79">
        <w:rPr>
          <w:rFonts w:asciiTheme="minorBidi" w:hAnsiTheme="minorBidi"/>
          <w:i/>
          <w:iCs/>
          <w:sz w:val="22"/>
          <w:szCs w:val="22"/>
        </w:rPr>
        <w:t>Protecting Children: A Social Model</w:t>
      </w:r>
      <w:r w:rsidRPr="004A1D79">
        <w:rPr>
          <w:rFonts w:asciiTheme="minorBidi" w:hAnsiTheme="minorBidi"/>
          <w:sz w:val="22"/>
          <w:szCs w:val="22"/>
        </w:rPr>
        <w:t>. Bristol: Policy Press.</w:t>
      </w:r>
    </w:p>
    <w:p w14:paraId="68562ACD"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 xml:space="preserve">Frost, N. (2020) </w:t>
      </w:r>
      <w:r w:rsidRPr="004A1D79">
        <w:rPr>
          <w:rFonts w:asciiTheme="minorBidi" w:hAnsiTheme="minorBidi"/>
          <w:i/>
          <w:iCs/>
          <w:sz w:val="22"/>
          <w:szCs w:val="22"/>
        </w:rPr>
        <w:t>Understanding Children's Social Care</w:t>
      </w:r>
      <w:r w:rsidRPr="004A1D79">
        <w:rPr>
          <w:rFonts w:asciiTheme="minorBidi" w:hAnsiTheme="minorBidi"/>
          <w:sz w:val="22"/>
          <w:szCs w:val="22"/>
        </w:rPr>
        <w:t xml:space="preserve">. 2nd </w:t>
      </w:r>
      <w:proofErr w:type="spellStart"/>
      <w:r w:rsidRPr="004A1D79">
        <w:rPr>
          <w:rFonts w:asciiTheme="minorBidi" w:hAnsiTheme="minorBidi"/>
          <w:sz w:val="22"/>
          <w:szCs w:val="22"/>
        </w:rPr>
        <w:t>edn</w:t>
      </w:r>
      <w:proofErr w:type="spellEnd"/>
      <w:r w:rsidRPr="004A1D79">
        <w:rPr>
          <w:rFonts w:asciiTheme="minorBidi" w:hAnsiTheme="minorBidi"/>
          <w:sz w:val="22"/>
          <w:szCs w:val="22"/>
        </w:rPr>
        <w:t>. London: Sage.</w:t>
      </w:r>
    </w:p>
    <w:p w14:paraId="4CB4F7FA"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 xml:space="preserve">HM Government (2023) </w:t>
      </w:r>
      <w:r w:rsidRPr="004A1D79">
        <w:rPr>
          <w:rFonts w:asciiTheme="minorBidi" w:hAnsiTheme="minorBidi"/>
          <w:i/>
          <w:iCs/>
          <w:sz w:val="22"/>
          <w:szCs w:val="22"/>
        </w:rPr>
        <w:t>Working Together to Safeguard Children 2023: Statutory Guidance on Inter-agency Working to Safeguard and Promote the Welfare of Children</w:t>
      </w:r>
      <w:r w:rsidRPr="004A1D79">
        <w:rPr>
          <w:rFonts w:asciiTheme="minorBidi" w:hAnsiTheme="minorBidi"/>
          <w:sz w:val="22"/>
          <w:szCs w:val="22"/>
        </w:rPr>
        <w:t xml:space="preserve">. London: Department for Education. Available at: </w:t>
      </w:r>
      <w:hyperlink r:id="rId7" w:history="1">
        <w:r w:rsidRPr="004A1D79">
          <w:rPr>
            <w:rStyle w:val="Hyperlink"/>
            <w:rFonts w:asciiTheme="minorBidi" w:hAnsiTheme="minorBidi"/>
            <w:sz w:val="22"/>
            <w:szCs w:val="22"/>
          </w:rPr>
          <w:t>https://www.gov.uk/government/publications/working-together-to-safeguard-children--2</w:t>
        </w:r>
      </w:hyperlink>
      <w:r w:rsidRPr="004A1D79">
        <w:rPr>
          <w:rFonts w:asciiTheme="minorBidi" w:hAnsiTheme="minorBidi"/>
          <w:sz w:val="22"/>
          <w:szCs w:val="22"/>
        </w:rPr>
        <w:t xml:space="preserve"> (Accessed: 27 July 2026).</w:t>
      </w:r>
    </w:p>
    <w:p w14:paraId="559A152D"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 xml:space="preserve">Leeds City Council (2026) </w:t>
      </w:r>
      <w:r w:rsidRPr="004A1D79">
        <w:rPr>
          <w:rFonts w:asciiTheme="minorBidi" w:hAnsiTheme="minorBidi"/>
          <w:i/>
          <w:iCs/>
          <w:sz w:val="22"/>
          <w:szCs w:val="22"/>
        </w:rPr>
        <w:t>Early Help and Family Support</w:t>
      </w:r>
      <w:r w:rsidRPr="004A1D79">
        <w:rPr>
          <w:rFonts w:asciiTheme="minorBidi" w:hAnsiTheme="minorBidi"/>
          <w:sz w:val="22"/>
          <w:szCs w:val="22"/>
        </w:rPr>
        <w:t xml:space="preserve">. Available at: </w:t>
      </w:r>
      <w:hyperlink r:id="rId8" w:history="1">
        <w:r w:rsidRPr="004A1D79">
          <w:rPr>
            <w:rStyle w:val="Hyperlink"/>
            <w:rFonts w:asciiTheme="minorBidi" w:hAnsiTheme="minorBidi"/>
            <w:sz w:val="22"/>
            <w:szCs w:val="22"/>
          </w:rPr>
          <w:t>https://www.leeds.gov.uk</w:t>
        </w:r>
      </w:hyperlink>
      <w:r w:rsidRPr="004A1D79">
        <w:rPr>
          <w:rFonts w:asciiTheme="minorBidi" w:hAnsiTheme="minorBidi"/>
          <w:sz w:val="22"/>
          <w:szCs w:val="22"/>
        </w:rPr>
        <w:t xml:space="preserve"> (Accessed: 27 July 2026).</w:t>
      </w:r>
    </w:p>
    <w:p w14:paraId="132B33A5"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 xml:space="preserve">Leicester City Council (2026) </w:t>
      </w:r>
      <w:r w:rsidRPr="004A1D79">
        <w:rPr>
          <w:rFonts w:asciiTheme="minorBidi" w:hAnsiTheme="minorBidi"/>
          <w:i/>
          <w:iCs/>
          <w:sz w:val="22"/>
          <w:szCs w:val="22"/>
        </w:rPr>
        <w:t>Early Help for Children, Young People and Families</w:t>
      </w:r>
      <w:r w:rsidRPr="004A1D79">
        <w:rPr>
          <w:rFonts w:asciiTheme="minorBidi" w:hAnsiTheme="minorBidi"/>
          <w:sz w:val="22"/>
          <w:szCs w:val="22"/>
        </w:rPr>
        <w:t xml:space="preserve">. Available at: </w:t>
      </w:r>
      <w:hyperlink r:id="rId9" w:history="1">
        <w:r w:rsidRPr="004A1D79">
          <w:rPr>
            <w:rStyle w:val="Hyperlink"/>
            <w:rFonts w:asciiTheme="minorBidi" w:hAnsiTheme="minorBidi"/>
            <w:sz w:val="22"/>
            <w:szCs w:val="22"/>
          </w:rPr>
          <w:t>https://www.leicester.gov.uk</w:t>
        </w:r>
      </w:hyperlink>
      <w:r w:rsidRPr="004A1D79">
        <w:rPr>
          <w:rFonts w:asciiTheme="minorBidi" w:hAnsiTheme="minorBidi"/>
          <w:sz w:val="22"/>
          <w:szCs w:val="22"/>
        </w:rPr>
        <w:t xml:space="preserve"> (Accessed: 27 July 2026).</w:t>
      </w:r>
    </w:p>
    <w:p w14:paraId="7B6901AD"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 xml:space="preserve">Munro, E. (2011) </w:t>
      </w:r>
      <w:r w:rsidRPr="004A1D79">
        <w:rPr>
          <w:rFonts w:asciiTheme="minorBidi" w:hAnsiTheme="minorBidi"/>
          <w:i/>
          <w:iCs/>
          <w:sz w:val="22"/>
          <w:szCs w:val="22"/>
        </w:rPr>
        <w:t>The Munro Review of Child Protection: Final Report – A Child-centred System</w:t>
      </w:r>
      <w:r w:rsidRPr="004A1D79">
        <w:rPr>
          <w:rFonts w:asciiTheme="minorBidi" w:hAnsiTheme="minorBidi"/>
          <w:sz w:val="22"/>
          <w:szCs w:val="22"/>
        </w:rPr>
        <w:t>. London: Department for Education.</w:t>
      </w:r>
    </w:p>
    <w:p w14:paraId="067247A8"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 xml:space="preserve">Norfolk County Council (2026) </w:t>
      </w:r>
      <w:r w:rsidRPr="004A1D79">
        <w:rPr>
          <w:rFonts w:asciiTheme="minorBidi" w:hAnsiTheme="minorBidi"/>
          <w:i/>
          <w:iCs/>
          <w:sz w:val="22"/>
          <w:szCs w:val="22"/>
        </w:rPr>
        <w:t>Early Help for Children and Families</w:t>
      </w:r>
      <w:r w:rsidRPr="004A1D79">
        <w:rPr>
          <w:rFonts w:asciiTheme="minorBidi" w:hAnsiTheme="minorBidi"/>
          <w:sz w:val="22"/>
          <w:szCs w:val="22"/>
        </w:rPr>
        <w:t xml:space="preserve">. Available at: </w:t>
      </w:r>
      <w:hyperlink r:id="rId10" w:history="1">
        <w:r w:rsidRPr="004A1D79">
          <w:rPr>
            <w:rStyle w:val="Hyperlink"/>
            <w:rFonts w:asciiTheme="minorBidi" w:hAnsiTheme="minorBidi"/>
            <w:sz w:val="22"/>
            <w:szCs w:val="22"/>
          </w:rPr>
          <w:t>https://www.norfolk.gov.uk</w:t>
        </w:r>
      </w:hyperlink>
      <w:r w:rsidRPr="004A1D79">
        <w:rPr>
          <w:rFonts w:asciiTheme="minorBidi" w:hAnsiTheme="minorBidi"/>
          <w:sz w:val="22"/>
          <w:szCs w:val="22"/>
        </w:rPr>
        <w:t xml:space="preserve"> (Accessed: 27 July 2026).</w:t>
      </w:r>
    </w:p>
    <w:p w14:paraId="6933AA9B"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 xml:space="preserve">Parton, N. (2014) </w:t>
      </w:r>
      <w:r w:rsidRPr="004A1D79">
        <w:rPr>
          <w:rFonts w:asciiTheme="minorBidi" w:hAnsiTheme="minorBidi"/>
          <w:i/>
          <w:iCs/>
          <w:sz w:val="22"/>
          <w:szCs w:val="22"/>
        </w:rPr>
        <w:t>The Politics of Child Protection: Contemporary Developments and Future Directions</w:t>
      </w:r>
      <w:r w:rsidRPr="004A1D79">
        <w:rPr>
          <w:rFonts w:asciiTheme="minorBidi" w:hAnsiTheme="minorBidi"/>
          <w:sz w:val="22"/>
          <w:szCs w:val="22"/>
        </w:rPr>
        <w:t>. Basingstoke: Palgrave Macmillan.</w:t>
      </w:r>
    </w:p>
    <w:p w14:paraId="7E24ED72" w14:textId="77777777" w:rsidR="008B089A" w:rsidRPr="004A1D79" w:rsidRDefault="008B089A" w:rsidP="004A1D79">
      <w:pPr>
        <w:spacing w:line="360" w:lineRule="auto"/>
        <w:rPr>
          <w:rFonts w:asciiTheme="minorBidi" w:hAnsiTheme="minorBidi"/>
          <w:sz w:val="22"/>
          <w:szCs w:val="22"/>
        </w:rPr>
      </w:pPr>
      <w:r w:rsidRPr="004A1D79">
        <w:rPr>
          <w:rFonts w:asciiTheme="minorBidi" w:hAnsiTheme="minorBidi"/>
          <w:sz w:val="22"/>
          <w:szCs w:val="22"/>
        </w:rPr>
        <w:t xml:space="preserve">Walker, S. (2021) </w:t>
      </w:r>
      <w:r w:rsidRPr="004A1D79">
        <w:rPr>
          <w:rFonts w:asciiTheme="minorBidi" w:hAnsiTheme="minorBidi"/>
          <w:i/>
          <w:iCs/>
          <w:sz w:val="22"/>
          <w:szCs w:val="22"/>
        </w:rPr>
        <w:t>Effective Safeguarding for Children and Young People</w:t>
      </w:r>
      <w:r w:rsidRPr="004A1D79">
        <w:rPr>
          <w:rFonts w:asciiTheme="minorBidi" w:hAnsiTheme="minorBidi"/>
          <w:sz w:val="22"/>
          <w:szCs w:val="22"/>
        </w:rPr>
        <w:t>. London: Learning Matters.</w:t>
      </w:r>
    </w:p>
    <w:p w14:paraId="69B63941" w14:textId="77777777" w:rsidR="008B089A" w:rsidRPr="008B089A" w:rsidRDefault="008B089A" w:rsidP="008B089A">
      <w:pPr>
        <w:spacing w:line="360" w:lineRule="auto"/>
        <w:rPr>
          <w:rFonts w:asciiTheme="minorBidi" w:hAnsiTheme="minorBidi"/>
          <w:sz w:val="22"/>
          <w:szCs w:val="22"/>
        </w:rPr>
      </w:pPr>
    </w:p>
    <w:sectPr w:rsidR="008B089A" w:rsidRPr="008B089A">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0849E2" w14:textId="77777777" w:rsidR="00423075" w:rsidRDefault="00423075" w:rsidP="008B089A">
      <w:pPr>
        <w:spacing w:after="0" w:line="240" w:lineRule="auto"/>
      </w:pPr>
      <w:r>
        <w:separator/>
      </w:r>
    </w:p>
  </w:endnote>
  <w:endnote w:type="continuationSeparator" w:id="0">
    <w:p w14:paraId="458BE8CD" w14:textId="77777777" w:rsidR="00423075" w:rsidRDefault="00423075" w:rsidP="008B08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4435536"/>
      <w:docPartObj>
        <w:docPartGallery w:val="Page Numbers (Bottom of Page)"/>
        <w:docPartUnique/>
      </w:docPartObj>
    </w:sdtPr>
    <w:sdtContent>
      <w:p w14:paraId="67376B4A" w14:textId="77777777" w:rsidR="008B089A" w:rsidRDefault="008B089A">
        <w:pPr>
          <w:pStyle w:val="Footer"/>
          <w:jc w:val="center"/>
        </w:pPr>
        <w:r>
          <w:fldChar w:fldCharType="begin"/>
        </w:r>
        <w:r>
          <w:instrText>PAGE   \* MERGEFORMAT</w:instrText>
        </w:r>
        <w:r>
          <w:fldChar w:fldCharType="separate"/>
        </w:r>
        <w:r>
          <w:t>2</w:t>
        </w:r>
        <w:r>
          <w:fldChar w:fldCharType="end"/>
        </w:r>
      </w:p>
    </w:sdtContent>
  </w:sdt>
  <w:p w14:paraId="541BF662" w14:textId="77777777" w:rsidR="008B089A" w:rsidRDefault="008B08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A277AF" w14:textId="77777777" w:rsidR="00423075" w:rsidRDefault="00423075" w:rsidP="008B089A">
      <w:pPr>
        <w:spacing w:after="0" w:line="240" w:lineRule="auto"/>
      </w:pPr>
      <w:r>
        <w:separator/>
      </w:r>
    </w:p>
  </w:footnote>
  <w:footnote w:type="continuationSeparator" w:id="0">
    <w:p w14:paraId="1957CF0A" w14:textId="77777777" w:rsidR="00423075" w:rsidRDefault="00423075" w:rsidP="008B08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89A"/>
    <w:rsid w:val="0003034F"/>
    <w:rsid w:val="00224D51"/>
    <w:rsid w:val="00423075"/>
    <w:rsid w:val="004A1D79"/>
    <w:rsid w:val="00781054"/>
    <w:rsid w:val="008B089A"/>
    <w:rsid w:val="009815F3"/>
    <w:rsid w:val="00E8383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E6E24"/>
  <w15:chartTrackingRefBased/>
  <w15:docId w15:val="{FD5E2395-EEB3-49D3-AA69-7D8FBA764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08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08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08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08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08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08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08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08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08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8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08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08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08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08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08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08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08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089A"/>
    <w:rPr>
      <w:rFonts w:eastAsiaTheme="majorEastAsia" w:cstheme="majorBidi"/>
      <w:color w:val="272727" w:themeColor="text1" w:themeTint="D8"/>
    </w:rPr>
  </w:style>
  <w:style w:type="paragraph" w:styleId="Title">
    <w:name w:val="Title"/>
    <w:basedOn w:val="Normal"/>
    <w:next w:val="Normal"/>
    <w:link w:val="TitleChar"/>
    <w:uiPriority w:val="10"/>
    <w:qFormat/>
    <w:rsid w:val="008B08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08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08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08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089A"/>
    <w:pPr>
      <w:spacing w:before="160"/>
      <w:jc w:val="center"/>
    </w:pPr>
    <w:rPr>
      <w:i/>
      <w:iCs/>
      <w:color w:val="404040" w:themeColor="text1" w:themeTint="BF"/>
    </w:rPr>
  </w:style>
  <w:style w:type="character" w:customStyle="1" w:styleId="QuoteChar">
    <w:name w:val="Quote Char"/>
    <w:basedOn w:val="DefaultParagraphFont"/>
    <w:link w:val="Quote"/>
    <w:uiPriority w:val="29"/>
    <w:rsid w:val="008B089A"/>
    <w:rPr>
      <w:i/>
      <w:iCs/>
      <w:color w:val="404040" w:themeColor="text1" w:themeTint="BF"/>
    </w:rPr>
  </w:style>
  <w:style w:type="paragraph" w:styleId="ListParagraph">
    <w:name w:val="List Paragraph"/>
    <w:basedOn w:val="Normal"/>
    <w:uiPriority w:val="34"/>
    <w:qFormat/>
    <w:rsid w:val="008B089A"/>
    <w:pPr>
      <w:ind w:left="720"/>
      <w:contextualSpacing/>
    </w:pPr>
  </w:style>
  <w:style w:type="character" w:styleId="IntenseEmphasis">
    <w:name w:val="Intense Emphasis"/>
    <w:basedOn w:val="DefaultParagraphFont"/>
    <w:uiPriority w:val="21"/>
    <w:qFormat/>
    <w:rsid w:val="008B089A"/>
    <w:rPr>
      <w:i/>
      <w:iCs/>
      <w:color w:val="0F4761" w:themeColor="accent1" w:themeShade="BF"/>
    </w:rPr>
  </w:style>
  <w:style w:type="paragraph" w:styleId="IntenseQuote">
    <w:name w:val="Intense Quote"/>
    <w:basedOn w:val="Normal"/>
    <w:next w:val="Normal"/>
    <w:link w:val="IntenseQuoteChar"/>
    <w:uiPriority w:val="30"/>
    <w:qFormat/>
    <w:rsid w:val="008B08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089A"/>
    <w:rPr>
      <w:i/>
      <w:iCs/>
      <w:color w:val="0F4761" w:themeColor="accent1" w:themeShade="BF"/>
    </w:rPr>
  </w:style>
  <w:style w:type="character" w:styleId="IntenseReference">
    <w:name w:val="Intense Reference"/>
    <w:basedOn w:val="DefaultParagraphFont"/>
    <w:uiPriority w:val="32"/>
    <w:qFormat/>
    <w:rsid w:val="008B089A"/>
    <w:rPr>
      <w:b/>
      <w:bCs/>
      <w:smallCaps/>
      <w:color w:val="0F4761" w:themeColor="accent1" w:themeShade="BF"/>
      <w:spacing w:val="5"/>
    </w:rPr>
  </w:style>
  <w:style w:type="character" w:styleId="Hyperlink">
    <w:name w:val="Hyperlink"/>
    <w:basedOn w:val="DefaultParagraphFont"/>
    <w:uiPriority w:val="99"/>
    <w:unhideWhenUsed/>
    <w:rsid w:val="008B089A"/>
    <w:rPr>
      <w:color w:val="467886" w:themeColor="hyperlink"/>
      <w:u w:val="single"/>
    </w:rPr>
  </w:style>
  <w:style w:type="paragraph" w:styleId="Header">
    <w:name w:val="header"/>
    <w:basedOn w:val="Normal"/>
    <w:link w:val="HeaderChar"/>
    <w:uiPriority w:val="99"/>
    <w:unhideWhenUsed/>
    <w:rsid w:val="008B08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089A"/>
  </w:style>
  <w:style w:type="paragraph" w:styleId="Footer">
    <w:name w:val="footer"/>
    <w:basedOn w:val="Normal"/>
    <w:link w:val="FooterChar"/>
    <w:uiPriority w:val="99"/>
    <w:unhideWhenUsed/>
    <w:rsid w:val="008B08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08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eds.gov.uk"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government/publications/working-together-to-safeguard-children--2"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supporting-families-early-help-system-guide"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norfolk.gov.uk" TargetMode="External"/><Relationship Id="rId4" Type="http://schemas.openxmlformats.org/officeDocument/2006/relationships/footnotes" Target="footnotes.xml"/><Relationship Id="rId9" Type="http://schemas.openxmlformats.org/officeDocument/2006/relationships/hyperlink" Target="https://www.leicester.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2819</Words>
  <Characters>16069</Characters>
  <Application>Microsoft Office Word</Application>
  <DocSecurity>0</DocSecurity>
  <Lines>133</Lines>
  <Paragraphs>37</Paragraphs>
  <ScaleCrop>false</ScaleCrop>
  <Company/>
  <LinksUpToDate>false</LinksUpToDate>
  <CharactersWithSpaces>18851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alim ansar</dc:creator>
  <cp:keywords/>
  <dc:description/>
  <cp:lastModifiedBy>alim ansar</cp:lastModifiedBy>
  <cp:revision>3</cp:revision>
  <dcterms:created xsi:type="dcterms:W3CDTF">2026-07-27T11:05:00Z</dcterms:created>
  <dcterms:modified xsi:type="dcterms:W3CDTF">2026-07-27T11:25:00Z</dcterms:modified>
</cp:coreProperties>
</file>