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name</w:t>
      </w:r>
      <w:r w:rsidDel="00000000" w:rsidR="00000000" w:rsidRPr="00000000">
        <w:rPr>
          <w:rFonts w:ascii="Arial" w:cs="Arial" w:eastAsia="Arial" w:hAnsi="Arial"/>
          <w:sz w:val="22"/>
          <w:szCs w:val="22"/>
          <w:rtl w:val="0"/>
        </w:rPr>
        <w:t xml:space="preserve">: Introduction to Independent Research skills</w:t>
      </w:r>
    </w:p>
    <w:p w:rsidR="00000000" w:rsidDel="00000000" w:rsidP="00000000" w:rsidRDefault="00000000" w:rsidRPr="00000000" w14:paraId="00000007">
      <w:pPr>
        <w:tabs>
          <w:tab w:val="left" w:leader="none" w:pos="6540"/>
        </w:tabs>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r w:rsidDel="00000000" w:rsidR="00000000" w:rsidRPr="00000000">
        <w:rPr>
          <w:rFonts w:ascii="Arial" w:cs="Arial" w:eastAsia="Arial" w:hAnsi="Arial"/>
          <w:sz w:val="22"/>
          <w:szCs w:val="22"/>
          <w:rtl w:val="0"/>
        </w:rPr>
        <w:t xml:space="preserve">: 2408900</w:t>
      </w:r>
      <w:r w:rsidDel="00000000" w:rsidR="00000000" w:rsidRPr="00000000">
        <w:rPr>
          <w:rtl w:val="0"/>
        </w:rPr>
      </w:r>
    </w:p>
    <w:p w:rsidR="00000000" w:rsidDel="00000000" w:rsidP="00000000" w:rsidRDefault="00000000" w:rsidRPr="00000000" w14:paraId="0000000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sz w:val="22"/>
          <w:szCs w:val="22"/>
          <w:rtl w:val="0"/>
        </w:rPr>
        <w:t xml:space="preserve">: Dayna Denny</w:t>
      </w:r>
    </w:p>
    <w:p w:rsidR="00000000" w:rsidDel="00000000" w:rsidP="00000000" w:rsidRDefault="00000000" w:rsidRPr="00000000" w14:paraId="00000009">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ID</w:t>
      </w:r>
      <w:r w:rsidDel="00000000" w:rsidR="00000000" w:rsidRPr="00000000">
        <w:rPr>
          <w:rFonts w:ascii="Arial" w:cs="Arial" w:eastAsia="Arial" w:hAnsi="Arial"/>
          <w:sz w:val="22"/>
          <w:szCs w:val="22"/>
          <w:rtl w:val="0"/>
        </w:rPr>
        <w:t xml:space="preserve">: 218900</w:t>
      </w:r>
    </w:p>
    <w:p w:rsidR="00000000" w:rsidDel="00000000" w:rsidP="00000000" w:rsidRDefault="00000000" w:rsidRPr="00000000" w14:paraId="0000000A">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Lecturer’s name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1d2125"/>
          <w:sz w:val="22"/>
          <w:szCs w:val="22"/>
          <w:rtl w:val="0"/>
        </w:rPr>
        <w:t xml:space="preserve">Eleni Koutsogeorgou-Andreou </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pStyle w:val="Heading1"/>
        <w:rPr>
          <w:sz w:val="22"/>
          <w:szCs w:val="22"/>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keepNext w:val="0"/>
        <w:keepLines w:val="0"/>
        <w:tabs>
          <w:tab w:val="left" w:leader="none" w:pos="6540"/>
        </w:tabs>
        <w:spacing w:after="120" w:before="480" w:lineRule="auto"/>
        <w:rPr>
          <w:sz w:val="22"/>
          <w:szCs w:val="22"/>
        </w:rPr>
      </w:pPr>
      <w:bookmarkStart w:colFirst="0" w:colLast="0" w:name="_heading=h.vhononcyodk0" w:id="0"/>
      <w:bookmarkEnd w:id="0"/>
      <w:r w:rsidDel="00000000" w:rsidR="00000000" w:rsidRPr="00000000">
        <w:rPr>
          <w:sz w:val="22"/>
          <w:szCs w:val="22"/>
          <w:rtl w:val="0"/>
        </w:rPr>
        <w:t xml:space="preserve">Digital Exclusion as a Social Inequality: Disabled Children at Risk of Digital Exclusion in the UK</w:t>
      </w:r>
    </w:p>
    <w:p w:rsidR="00000000" w:rsidDel="00000000" w:rsidP="00000000" w:rsidRDefault="00000000" w:rsidRPr="00000000" w14:paraId="00000014">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krhuq83904gi" w:id="1"/>
      <w:bookmarkEnd w:id="1"/>
      <w:r w:rsidDel="00000000" w:rsidR="00000000" w:rsidRPr="00000000">
        <w:rPr>
          <w:i w:val="0"/>
          <w:iCs w:val="0"/>
          <w:color w:val="000000"/>
          <w:sz w:val="22"/>
          <w:szCs w:val="22"/>
          <w:rtl w:val="0"/>
        </w:rPr>
        <w:t xml:space="preserve">1. Introduction</w:t>
      </w:r>
    </w:p>
    <w:p w:rsidR="00000000" w:rsidDel="00000000" w:rsidP="00000000" w:rsidRDefault="00000000" w:rsidRPr="00000000" w14:paraId="0000001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technology has become increasingly embedded within everyday life, education, communication, healthcare and social services. Internet access, smartphones, tablets and computers can provide children and young people with opportunities to learn, communicate, participate socially and access information and services. However, access to technology and the ability to use it effectively are not equally distributed. Digital exclusion can therefore reinforce existing social inequalities, particularly for groups experiencing disability, poverty, social disadvantage or barriers to participation.</w:t>
      </w:r>
    </w:p>
    <w:p w:rsidR="00000000" w:rsidDel="00000000" w:rsidP="00000000" w:rsidRDefault="00000000" w:rsidRPr="00000000" w14:paraId="0000001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exclusion can be understood as the inability to access or effectively use digital technologies and online services because of barriers such as affordability, inadequate equipment, limited skills, lack of confidence, accessibility requirements or insufficient support. Contemporary understandings increasingly recognise that digital exclusion is multidimensional rather than simply a question of whether an individual has an internet connection. Ofcom's recent UK research similarly identifies digital disadvantage as involving negative or difficult experiences when engaging with digital communications and services, with disabled people among groups potentially experiencing distinctive barriers (Ofcom, 2025).</w:t>
      </w:r>
    </w:p>
    <w:p w:rsidR="00000000" w:rsidDel="00000000" w:rsidP="00000000" w:rsidRDefault="00000000" w:rsidRPr="00000000" w14:paraId="0000001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disabled children, digital participation can have particular significance. Digital technologies may facilitate communication, education, independence, relationships and participation. However, inaccessible technologies, inappropriate educational practices, inadequate support and financial barriers may prevent children from obtaining these benefits. Cranmer's (2020) research with visually impaired children in mainstream schools in England, for example, found that children recognised benefits from digital technologies, particularly tablets, while accessibility practices could also create additional work and potentially stigmatising experiences.</w:t>
      </w:r>
    </w:p>
    <w:p w:rsidR="00000000" w:rsidDel="00000000" w:rsidP="00000000" w:rsidRDefault="00000000" w:rsidRPr="00000000" w14:paraId="0000001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exclusion should therefore be considered within the wider social determinants of inequality. Disability may interact with household income, educational opportunity, availability of appropriate equipment and the capacity of parents, carers and professionals to provide support. Earlier UK research by Blackburn and Read (2005), involving 788 carers of disabled children within a larger sample of adult carers, identified cost, equipment and skills as barriers to internet use and cautioned against relying exclusively on internet-based information and services.</w:t>
      </w:r>
    </w:p>
    <w:p w:rsidR="00000000" w:rsidDel="00000000" w:rsidP="00000000" w:rsidRDefault="00000000" w:rsidRPr="00000000" w14:paraId="0000001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topic is particularly relevant to health, social care and education professionals because services are increasingly delivered or supplemented through digital channels. If digital systems are introduced without considering accessibility and support, existing inequalities may be reproduced.</w:t>
      </w:r>
    </w:p>
    <w:p w:rsidR="00000000" w:rsidDel="00000000" w:rsidP="00000000" w:rsidRDefault="00000000" w:rsidRPr="00000000" w14:paraId="0000001A">
      <w:pPr>
        <w:pStyle w:val="Heading3"/>
        <w:tabs>
          <w:tab w:val="left" w:leader="none" w:pos="6540"/>
        </w:tabs>
        <w:spacing w:after="80" w:before="280" w:line="360" w:lineRule="auto"/>
        <w:rPr>
          <w:sz w:val="22"/>
          <w:szCs w:val="22"/>
        </w:rPr>
      </w:pPr>
      <w:bookmarkStart w:colFirst="0" w:colLast="0" w:name="_heading=h.o94t32mzryiy" w:id="2"/>
      <w:bookmarkEnd w:id="2"/>
      <w:r w:rsidDel="00000000" w:rsidR="00000000" w:rsidRPr="00000000">
        <w:rPr>
          <w:sz w:val="22"/>
          <w:szCs w:val="22"/>
          <w:rtl w:val="0"/>
        </w:rPr>
        <w:t xml:space="preserve">Review question</w:t>
      </w:r>
    </w:p>
    <w:p w:rsidR="00000000" w:rsidDel="00000000" w:rsidP="00000000" w:rsidRDefault="00000000" w:rsidRPr="00000000" w14:paraId="0000001B">
      <w:pPr>
        <w:tabs>
          <w:tab w:val="left" w:leader="none" w:pos="6540"/>
        </w:tabs>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What does the peer-reviewed literature indicate about the factors contributing to digital exclusion among disabled children in the UK, and what are the implications for health, social care and education practice?</w:t>
      </w:r>
    </w:p>
    <w:p w:rsidR="00000000" w:rsidDel="00000000" w:rsidP="00000000" w:rsidRDefault="00000000" w:rsidRPr="00000000" w14:paraId="0000001C">
      <w:pPr>
        <w:pStyle w:val="Heading3"/>
        <w:tabs>
          <w:tab w:val="left" w:leader="none" w:pos="6540"/>
        </w:tabs>
        <w:spacing w:after="80" w:before="280" w:line="360" w:lineRule="auto"/>
        <w:rPr>
          <w:sz w:val="22"/>
          <w:szCs w:val="22"/>
        </w:rPr>
      </w:pPr>
      <w:bookmarkStart w:colFirst="0" w:colLast="0" w:name="_heading=h.gjlgopeb1a3n" w:id="3"/>
      <w:bookmarkEnd w:id="3"/>
      <w:r w:rsidDel="00000000" w:rsidR="00000000" w:rsidRPr="00000000">
        <w:rPr>
          <w:sz w:val="22"/>
          <w:szCs w:val="22"/>
          <w:rtl w:val="0"/>
        </w:rPr>
        <w:t xml:space="preserve">Review objectives</w:t>
      </w:r>
    </w:p>
    <w:p w:rsidR="00000000" w:rsidDel="00000000" w:rsidP="00000000" w:rsidRDefault="00000000" w:rsidRPr="00000000" w14:paraId="0000001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objectives of this scoping review are:</w:t>
      </w:r>
    </w:p>
    <w:p w:rsidR="00000000" w:rsidDel="00000000" w:rsidP="00000000" w:rsidRDefault="00000000" w:rsidRPr="00000000" w14:paraId="0000001E">
      <w:pPr>
        <w:numPr>
          <w:ilvl w:val="0"/>
          <w:numId w:val="7"/>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peer-reviewed research examining digital exclusion and digital participation among disabled children in the UK.</w:t>
      </w:r>
    </w:p>
    <w:p w:rsidR="00000000" w:rsidDel="00000000" w:rsidP="00000000" w:rsidRDefault="00000000" w:rsidRPr="00000000" w14:paraId="0000001F">
      <w:pPr>
        <w:numPr>
          <w:ilvl w:val="0"/>
          <w:numId w:val="7"/>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explore the social, economic, technological and accessibility factors associated with digital exclusion.</w:t>
      </w:r>
    </w:p>
    <w:p w:rsidR="00000000" w:rsidDel="00000000" w:rsidP="00000000" w:rsidRDefault="00000000" w:rsidRPr="00000000" w14:paraId="00000020">
      <w:pPr>
        <w:numPr>
          <w:ilvl w:val="0"/>
          <w:numId w:val="7"/>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examine how digital exclusion affects disabled children's participation in education, communication, services and social life.</w:t>
      </w:r>
    </w:p>
    <w:p w:rsidR="00000000" w:rsidDel="00000000" w:rsidP="00000000" w:rsidRDefault="00000000" w:rsidRPr="00000000" w14:paraId="00000021">
      <w:pPr>
        <w:numPr>
          <w:ilvl w:val="0"/>
          <w:numId w:val="7"/>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explore the role of parents, carers and professionals in supporting digital inclusion.</w:t>
      </w:r>
    </w:p>
    <w:p w:rsidR="00000000" w:rsidDel="00000000" w:rsidP="00000000" w:rsidRDefault="00000000" w:rsidRPr="00000000" w14:paraId="00000022">
      <w:pPr>
        <w:numPr>
          <w:ilvl w:val="0"/>
          <w:numId w:val="7"/>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evidence gaps and develop recommendations for UK research and professional practice.</w:t>
      </w:r>
    </w:p>
    <w:p w:rsidR="00000000" w:rsidDel="00000000" w:rsidP="00000000" w:rsidRDefault="00000000" w:rsidRPr="00000000" w14:paraId="0000002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scoping review is appropriate because the purpose is to map the nature and extent of available evidence and identify knowledge gaps rather than determine the effectiveness of one specific intervention. The JBI methodology identifies scoping reviews as useful for mapping available evidence, clarifying concepts and identifying gaps in knowledge (JBI, 2024).</w:t>
      </w:r>
    </w:p>
    <w:p w:rsidR="00000000" w:rsidDel="00000000" w:rsidP="00000000" w:rsidRDefault="00000000" w:rsidRPr="00000000" w14:paraId="00000024">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5">
      <w:pPr>
        <w:pStyle w:val="Heading1"/>
        <w:keepNext w:val="0"/>
        <w:keepLines w:val="0"/>
        <w:tabs>
          <w:tab w:val="left" w:leader="none" w:pos="6540"/>
        </w:tabs>
        <w:spacing w:after="120" w:before="480" w:lineRule="auto"/>
        <w:rPr>
          <w:sz w:val="22"/>
          <w:szCs w:val="22"/>
        </w:rPr>
      </w:pPr>
      <w:bookmarkStart w:colFirst="0" w:colLast="0" w:name="_heading=h.wsivomhxw27s" w:id="4"/>
      <w:bookmarkEnd w:id="4"/>
      <w:r w:rsidDel="00000000" w:rsidR="00000000" w:rsidRPr="00000000">
        <w:rPr>
          <w:sz w:val="22"/>
          <w:szCs w:val="22"/>
          <w:rtl w:val="0"/>
        </w:rPr>
        <w:t xml:space="preserve">2. Background</w:t>
      </w:r>
    </w:p>
    <w:p w:rsidR="00000000" w:rsidDel="00000000" w:rsidP="00000000" w:rsidRDefault="00000000" w:rsidRPr="00000000" w14:paraId="00000026">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grjhbzkm0eqx" w:id="5"/>
      <w:bookmarkEnd w:id="5"/>
      <w:r w:rsidDel="00000000" w:rsidR="00000000" w:rsidRPr="00000000">
        <w:rPr>
          <w:i w:val="0"/>
          <w:iCs w:val="0"/>
          <w:color w:val="000000"/>
          <w:sz w:val="22"/>
          <w:szCs w:val="22"/>
          <w:rtl w:val="0"/>
        </w:rPr>
        <w:t xml:space="preserve">2.1 Digital exclusion and social inequality</w:t>
      </w:r>
    </w:p>
    <w:p w:rsidR="00000000" w:rsidDel="00000000" w:rsidP="00000000" w:rsidRDefault="00000000" w:rsidRPr="00000000" w14:paraId="0000002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digital environment is increasingly important to children's everyday participation. Education platforms, healthcare information, communication with professionals and social relationships may all depend upon digital access. Consequently, digital exclusion can create disadvantages beyond the immediate absence of technology.</w:t>
      </w:r>
    </w:p>
    <w:p w:rsidR="00000000" w:rsidDel="00000000" w:rsidP="00000000" w:rsidRDefault="00000000" w:rsidRPr="00000000" w14:paraId="0000002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Ofcom reported in 2025 that approximately 2.8 million people in the UK did not have access to the internet at all, while 8% of internet users reported lacking confidence online. Its qualitative research identified groups including disabled people as experiencing distinctive difficulties in engaging with digital communications and services (Ofcom, 2025).</w:t>
      </w:r>
    </w:p>
    <w:p w:rsidR="00000000" w:rsidDel="00000000" w:rsidP="00000000" w:rsidRDefault="00000000" w:rsidRPr="00000000" w14:paraId="0000002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disabled children, digital inequality may operate through several interconnected dimensions. The first is </w:t>
      </w:r>
      <w:r w:rsidDel="00000000" w:rsidR="00000000" w:rsidRPr="00000000">
        <w:rPr>
          <w:rFonts w:ascii="Arial" w:cs="Arial" w:eastAsia="Arial" w:hAnsi="Arial"/>
          <w:b w:val="1"/>
          <w:bCs w:val="1"/>
          <w:sz w:val="22"/>
          <w:szCs w:val="22"/>
          <w:rtl w:val="0"/>
        </w:rPr>
        <w:t xml:space="preserve">material access</w:t>
      </w:r>
      <w:r w:rsidDel="00000000" w:rsidR="00000000" w:rsidRPr="00000000">
        <w:rPr>
          <w:rFonts w:ascii="Arial" w:cs="Arial" w:eastAsia="Arial" w:hAnsi="Arial"/>
          <w:sz w:val="22"/>
          <w:szCs w:val="22"/>
          <w:rtl w:val="0"/>
        </w:rPr>
        <w:t xml:space="preserve">, including the affordability of devices, broadband and mobile data. The second is </w:t>
      </w:r>
      <w:r w:rsidDel="00000000" w:rsidR="00000000" w:rsidRPr="00000000">
        <w:rPr>
          <w:rFonts w:ascii="Arial" w:cs="Arial" w:eastAsia="Arial" w:hAnsi="Arial"/>
          <w:b w:val="1"/>
          <w:bCs w:val="1"/>
          <w:sz w:val="22"/>
          <w:szCs w:val="22"/>
          <w:rtl w:val="0"/>
        </w:rPr>
        <w:t xml:space="preserve">accessibility</w:t>
      </w:r>
      <w:r w:rsidDel="00000000" w:rsidR="00000000" w:rsidRPr="00000000">
        <w:rPr>
          <w:rFonts w:ascii="Arial" w:cs="Arial" w:eastAsia="Arial" w:hAnsi="Arial"/>
          <w:sz w:val="22"/>
          <w:szCs w:val="22"/>
          <w:rtl w:val="0"/>
        </w:rPr>
        <w:t xml:space="preserve">, where standard devices, software or websites may not adequately accommodate sensory, physical, cognitive or communication needs. The third is </w:t>
      </w:r>
      <w:r w:rsidDel="00000000" w:rsidR="00000000" w:rsidRPr="00000000">
        <w:rPr>
          <w:rFonts w:ascii="Arial" w:cs="Arial" w:eastAsia="Arial" w:hAnsi="Arial"/>
          <w:b w:val="1"/>
          <w:bCs w:val="1"/>
          <w:sz w:val="22"/>
          <w:szCs w:val="22"/>
          <w:rtl w:val="0"/>
        </w:rPr>
        <w:t xml:space="preserve">digital skills and confidence</w:t>
      </w:r>
      <w:r w:rsidDel="00000000" w:rsidR="00000000" w:rsidRPr="00000000">
        <w:rPr>
          <w:rFonts w:ascii="Arial" w:cs="Arial" w:eastAsia="Arial" w:hAnsi="Arial"/>
          <w:sz w:val="22"/>
          <w:szCs w:val="22"/>
          <w:rtl w:val="0"/>
        </w:rPr>
        <w:t xml:space="preserve">. Finally, there is the availability of family and professional support to help children participate safely and meaningfully online.</w:t>
      </w:r>
    </w:p>
    <w:p w:rsidR="00000000" w:rsidDel="00000000" w:rsidP="00000000" w:rsidRDefault="00000000" w:rsidRPr="00000000" w14:paraId="0000002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dimensions demonstrate why digital inclusion cannot be reduced to providing an internet connection. A child may technically have internet access but remain digitally excluded if the technology cannot be accessed independently, if assistive technology is unavailable or if the child lacks appropriate support.</w:t>
      </w:r>
    </w:p>
    <w:p w:rsidR="00000000" w:rsidDel="00000000" w:rsidP="00000000" w:rsidRDefault="00000000" w:rsidRPr="00000000" w14:paraId="0000002B">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up3gpwktv9y4" w:id="6"/>
      <w:bookmarkEnd w:id="6"/>
      <w:r w:rsidDel="00000000" w:rsidR="00000000" w:rsidRPr="00000000">
        <w:rPr>
          <w:i w:val="0"/>
          <w:iCs w:val="0"/>
          <w:color w:val="000000"/>
          <w:sz w:val="22"/>
          <w:szCs w:val="22"/>
          <w:rtl w:val="0"/>
        </w:rPr>
        <w:t xml:space="preserve">2.2 Disability, equality and reasonable adjustment</w:t>
      </w:r>
    </w:p>
    <w:p w:rsidR="00000000" w:rsidDel="00000000" w:rsidP="00000000" w:rsidRDefault="00000000" w:rsidRPr="00000000" w14:paraId="0000002C">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Equality Act 2010 provides an important legal context. Disability is a protected characteristic and service providers have responsibilities concerning discrimination and reasonable adjustments. The current Equality and Human Rights Commission Code of Practice explains that reasonable adjustments are relevant to services and public functions and that failure to make appropriate adjustments can constitute unlawful discrimination in circumstances covered by the legislation (Equality and Human Rights Commission, 2026).</w:t>
      </w:r>
    </w:p>
    <w:p w:rsidR="00000000" w:rsidDel="00000000" w:rsidP="00000000" w:rsidRDefault="00000000" w:rsidRPr="00000000" w14:paraId="0000002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accessibility can therefore be considered within the wider responsibility to ensure that disabled people are not placed at a substantial disadvantage. For health, social care and education professionals, this has implications when digital communication, online appointments, educational platforms or electronic information become part of service delivery.</w:t>
      </w:r>
    </w:p>
    <w:p w:rsidR="00000000" w:rsidDel="00000000" w:rsidP="00000000" w:rsidRDefault="00000000" w:rsidRPr="00000000" w14:paraId="0000002E">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cmjn6zr2x1vs" w:id="7"/>
      <w:bookmarkEnd w:id="7"/>
      <w:r w:rsidDel="00000000" w:rsidR="00000000" w:rsidRPr="00000000">
        <w:rPr>
          <w:i w:val="0"/>
          <w:iCs w:val="0"/>
          <w:color w:val="000000"/>
          <w:sz w:val="22"/>
          <w:szCs w:val="22"/>
          <w:rtl w:val="0"/>
        </w:rPr>
        <w:t xml:space="preserve">2.3 SEND and education</w:t>
      </w:r>
    </w:p>
    <w:p w:rsidR="00000000" w:rsidDel="00000000" w:rsidP="00000000" w:rsidRDefault="00000000" w:rsidRPr="00000000" w14:paraId="0000002F">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Special Educational Needs and Disability (SEND) system provides an important context for disabled children's access to education in England. The SEND Code of Practice applies to children and young people aged 0–25 and involves schools, local authorities, education providers and health bodies (Department for Education and Department of Health and Social Care, 2015). The guidance remains an important framework for coordinating education, health and care support.</w:t>
      </w:r>
    </w:p>
    <w:p w:rsidR="00000000" w:rsidDel="00000000" w:rsidP="00000000" w:rsidRDefault="00000000" w:rsidRPr="00000000" w14:paraId="0000003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technologies may support inclusive education by providing alternative methods of accessing learning materials, communication and participation. However, Cranmer (2020) demonstrated that accessibility does not automatically occur because technology is present. In her study of visually impaired children in mainstream schools in England, digital technologies provided learning benefits, but children could experience additional burdens where teachers lacked inclusive digital pedagogical practices.</w:t>
      </w:r>
    </w:p>
    <w:p w:rsidR="00000000" w:rsidDel="00000000" w:rsidP="00000000" w:rsidRDefault="00000000" w:rsidRPr="00000000" w14:paraId="00000031">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suggests that professional digital competence is important alongside children's access to devices. Schools may need to consider accessibility at the design and teaching stage rather than expecting disabled pupils to independently overcome barriers.</w:t>
      </w:r>
    </w:p>
    <w:p w:rsidR="00000000" w:rsidDel="00000000" w:rsidP="00000000" w:rsidRDefault="00000000" w:rsidRPr="00000000" w14:paraId="00000032">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ygfsh0v8chgb" w:id="8"/>
      <w:bookmarkEnd w:id="8"/>
      <w:r w:rsidDel="00000000" w:rsidR="00000000" w:rsidRPr="00000000">
        <w:rPr>
          <w:i w:val="0"/>
          <w:iCs w:val="0"/>
          <w:color w:val="000000"/>
          <w:sz w:val="22"/>
          <w:szCs w:val="22"/>
          <w:rtl w:val="0"/>
        </w:rPr>
        <w:t xml:space="preserve">2.4 Health and social care</w:t>
      </w:r>
    </w:p>
    <w:p w:rsidR="00000000" w:rsidDel="00000000" w:rsidP="00000000" w:rsidRDefault="00000000" w:rsidRPr="00000000" w14:paraId="0000003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technology also has implications for health and social care. Disabled children and their families may use technology to communicate with professionals, obtain information, manage appointments and support therapy. Apps et al. (2024), in a UK study of 43 parents and carers of children or young people with disabilities or additional needs, found frequent use of smartphones, tablets and computers. Parents particularly used technology to obtain information, communicate with services, support therapy and obtain peer support.</w:t>
      </w:r>
    </w:p>
    <w:p w:rsidR="00000000" w:rsidDel="00000000" w:rsidP="00000000" w:rsidRDefault="00000000" w:rsidRPr="00000000" w14:paraId="0000003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the study also identified concerns about cost, training, accessibility and the risk that digital communication could replace rather than complement face-to-face contact. This is important because increasing digitalisation may create new inequalities if families who experience digital barriers are expected to engage with services primarily online.</w:t>
      </w:r>
    </w:p>
    <w:p w:rsidR="00000000" w:rsidDel="00000000" w:rsidP="00000000" w:rsidRDefault="00000000" w:rsidRPr="00000000" w14:paraId="0000003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social care professionals, digital inclusion should therefore be understood as part of person-centred practice. Professionals need to establish whether a child and family can access and use a digital service rather than assuming that online provision automatically increases accessibility.</w:t>
      </w:r>
    </w:p>
    <w:p w:rsidR="00000000" w:rsidDel="00000000" w:rsidP="00000000" w:rsidRDefault="00000000" w:rsidRPr="00000000" w14:paraId="00000036">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7">
      <w:pPr>
        <w:pStyle w:val="Heading1"/>
        <w:keepNext w:val="0"/>
        <w:keepLines w:val="0"/>
        <w:tabs>
          <w:tab w:val="left" w:leader="none" w:pos="6540"/>
        </w:tabs>
        <w:spacing w:after="120" w:before="480" w:lineRule="auto"/>
        <w:rPr>
          <w:sz w:val="22"/>
          <w:szCs w:val="22"/>
        </w:rPr>
      </w:pPr>
      <w:bookmarkStart w:colFirst="0" w:colLast="0" w:name="_heading=h.b294br6ezlo4" w:id="9"/>
      <w:bookmarkEnd w:id="9"/>
      <w:r w:rsidDel="00000000" w:rsidR="00000000" w:rsidRPr="00000000">
        <w:rPr>
          <w:sz w:val="22"/>
          <w:szCs w:val="22"/>
          <w:rtl w:val="0"/>
        </w:rPr>
        <w:t xml:space="preserve">3. Methods</w:t>
      </w:r>
    </w:p>
    <w:p w:rsidR="00000000" w:rsidDel="00000000" w:rsidP="00000000" w:rsidRDefault="00000000" w:rsidRPr="00000000" w14:paraId="00000038">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mojlgqsdawr7" w:id="10"/>
      <w:bookmarkEnd w:id="10"/>
      <w:r w:rsidDel="00000000" w:rsidR="00000000" w:rsidRPr="00000000">
        <w:rPr>
          <w:i w:val="0"/>
          <w:iCs w:val="0"/>
          <w:color w:val="000000"/>
          <w:sz w:val="22"/>
          <w:szCs w:val="22"/>
          <w:rtl w:val="0"/>
        </w:rPr>
        <w:t xml:space="preserve">3.1 Research design</w:t>
      </w:r>
    </w:p>
    <w:p w:rsidR="00000000" w:rsidDel="00000000" w:rsidP="00000000" w:rsidRDefault="00000000" w:rsidRPr="00000000" w14:paraId="0000003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scoping review methodology was selected to map peer-reviewed evidence concerning digital exclusion among disabled children in the UK. The review was informed by the updated JBI approach to scoping reviews and the Preferred Reporting Items for Systematic Reviews and Meta-Analyses extension for Scoping Reviews (PRISMA-ScR).</w:t>
      </w:r>
    </w:p>
    <w:p w:rsidR="00000000" w:rsidDel="00000000" w:rsidP="00000000" w:rsidRDefault="00000000" w:rsidRPr="00000000" w14:paraId="0000003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JBI describes scoping reviews as particularly useful for mapping available evidence, clarifying concepts, identifying characteristics of research and identifying knowledge gaps (JBI, 2024). PRISMA-ScR provides reporting guidance containing 20 essential reporting items and two optional items for scoping reviews (Tricco et al., 2018).</w:t>
      </w:r>
    </w:p>
    <w:p w:rsidR="00000000" w:rsidDel="00000000" w:rsidP="00000000" w:rsidRDefault="00000000" w:rsidRPr="00000000" w14:paraId="0000003B">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dg1cbdqxr0km" w:id="11"/>
      <w:bookmarkEnd w:id="11"/>
      <w:r w:rsidDel="00000000" w:rsidR="00000000" w:rsidRPr="00000000">
        <w:rPr>
          <w:i w:val="0"/>
          <w:iCs w:val="0"/>
          <w:color w:val="000000"/>
          <w:sz w:val="22"/>
          <w:szCs w:val="22"/>
          <w:rtl w:val="0"/>
        </w:rPr>
        <w:t xml:space="preserve">3.2 Search strategy</w:t>
      </w:r>
    </w:p>
    <w:p w:rsidR="00000000" w:rsidDel="00000000" w:rsidP="00000000" w:rsidRDefault="00000000" w:rsidRPr="00000000" w14:paraId="0000003C">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search was designed around three main concepts:</w:t>
      </w:r>
    </w:p>
    <w:p w:rsidR="00000000" w:rsidDel="00000000" w:rsidP="00000000" w:rsidRDefault="00000000" w:rsidRPr="00000000" w14:paraId="0000003D">
      <w:pPr>
        <w:numPr>
          <w:ilvl w:val="0"/>
          <w:numId w:val="3"/>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digital exclusion/digital inequality;</w:t>
      </w:r>
    </w:p>
    <w:p w:rsidR="00000000" w:rsidDel="00000000" w:rsidP="00000000" w:rsidRDefault="00000000" w:rsidRPr="00000000" w14:paraId="0000003E">
      <w:pPr>
        <w:numPr>
          <w:ilvl w:val="0"/>
          <w:numId w:val="3"/>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disabled children/young people;</w:t>
      </w:r>
    </w:p>
    <w:p w:rsidR="00000000" w:rsidDel="00000000" w:rsidP="00000000" w:rsidRDefault="00000000" w:rsidRPr="00000000" w14:paraId="0000003F">
      <w:pPr>
        <w:numPr>
          <w:ilvl w:val="0"/>
          <w:numId w:val="3"/>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United Kingdom.</w:t>
      </w:r>
    </w:p>
    <w:p w:rsidR="00000000" w:rsidDel="00000000" w:rsidP="00000000" w:rsidRDefault="00000000" w:rsidRPr="00000000" w14:paraId="0000004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 example search string was:</w:t>
      </w:r>
    </w:p>
    <w:p w:rsidR="00000000" w:rsidDel="00000000" w:rsidP="00000000" w:rsidRDefault="00000000" w:rsidRPr="00000000" w14:paraId="00000041">
      <w:pPr>
        <w:tabs>
          <w:tab w:val="left" w:leader="none" w:pos="6540"/>
        </w:tabs>
        <w:spacing w:after="240" w:before="240" w:line="360" w:lineRule="auto"/>
        <w:ind w:left="600" w:right="60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("digital exclusion" OR "digital inequality" OR "digital divide" OR "digital inclusion" OR "digital participation") AND ("disabled children" OR "children with disabilities" OR "disabled young people" OR "children with SEND") AND ("United Kingdom" OR UK OR England OR Scotland OR Wales OR "Northern Ireland")</w:t>
      </w:r>
    </w:p>
    <w:p w:rsidR="00000000" w:rsidDel="00000000" w:rsidP="00000000" w:rsidRDefault="00000000" w:rsidRPr="00000000" w14:paraId="0000004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search should be adapted to the indexing requirements of each database. The databases identified in the university brief were prioritised: UWTSD Library, PubMed, Sage and EBSCOhost.</w:t>
      </w:r>
    </w:p>
    <w:p w:rsidR="00000000" w:rsidDel="00000000" w:rsidP="00000000" w:rsidRDefault="00000000" w:rsidRPr="00000000" w14:paraId="0000004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lists of relevant peer-reviewed articles were also considered as a supplementary identification method. However, the principal evidence base was restricted to peer-reviewed journal research.</w:t>
      </w:r>
    </w:p>
    <w:p w:rsidR="00000000" w:rsidDel="00000000" w:rsidP="00000000" w:rsidRDefault="00000000" w:rsidRPr="00000000" w14:paraId="00000044">
      <w:pPr>
        <w:pStyle w:val="Heading3"/>
        <w:tabs>
          <w:tab w:val="left" w:leader="none" w:pos="6540"/>
        </w:tabs>
        <w:spacing w:after="80" w:before="280" w:line="360" w:lineRule="auto"/>
        <w:rPr>
          <w:sz w:val="22"/>
          <w:szCs w:val="22"/>
        </w:rPr>
      </w:pPr>
      <w:bookmarkStart w:colFirst="0" w:colLast="0" w:name="_heading=h.i7fsmrhm5tmh" w:id="12"/>
      <w:bookmarkEnd w:id="12"/>
      <w:r w:rsidDel="00000000" w:rsidR="00000000" w:rsidRPr="00000000">
        <w:rPr>
          <w:sz w:val="22"/>
          <w:szCs w:val="22"/>
          <w:rtl w:val="0"/>
        </w:rPr>
        <w:t xml:space="preserve">PRISMA search process</w:t>
      </w:r>
    </w:p>
    <w:p w:rsidR="00000000" w:rsidDel="00000000" w:rsidP="00000000" w:rsidRDefault="00000000" w:rsidRPr="00000000" w14:paraId="0000004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final submitted report should insert the actual numbers obtained from the student's database searches:</w:t>
      </w:r>
    </w:p>
    <w:tbl>
      <w:tblPr>
        <w:tblStyle w:val="Table1"/>
        <w:tblW w:w="653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995"/>
        <w:gridCol w:w="2540"/>
        <w:tblGridChange w:id="0">
          <w:tblGrid>
            <w:gridCol w:w="3995"/>
            <w:gridCol w:w="2540"/>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PRISMA stage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Records identified through databases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actual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Duplicate records removed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Records screened by title/abstract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Records excluded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Full-text articles assessed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Full-text articles excluded with reasons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[insert number]</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Peer-reviewed studies included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4–5</w:t>
            </w:r>
            <w:r w:rsidDel="00000000" w:rsidR="00000000" w:rsidRPr="00000000">
              <w:rPr>
                <w:rtl w:val="0"/>
              </w:rPr>
            </w:r>
          </w:p>
        </w:tc>
      </w:tr>
    </w:tbl>
    <w:p w:rsidR="00000000" w:rsidDel="00000000" w:rsidP="00000000" w:rsidRDefault="00000000" w:rsidRPr="00000000" w14:paraId="0000005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transparent approach avoids creating unsupported search figures.</w:t>
      </w:r>
    </w:p>
    <w:p w:rsidR="00000000" w:rsidDel="00000000" w:rsidP="00000000" w:rsidRDefault="00000000" w:rsidRPr="00000000" w14:paraId="00000057">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jm7y0rpx36ep" w:id="13"/>
      <w:bookmarkEnd w:id="13"/>
      <w:r w:rsidDel="00000000" w:rsidR="00000000" w:rsidRPr="00000000">
        <w:rPr>
          <w:i w:val="0"/>
          <w:iCs w:val="0"/>
          <w:color w:val="000000"/>
          <w:sz w:val="22"/>
          <w:szCs w:val="22"/>
          <w:rtl w:val="0"/>
        </w:rPr>
        <w:t xml:space="preserve">3.3 Inclusion and exclusion criteria</w:t>
      </w:r>
    </w:p>
    <w:tbl>
      <w:tblPr>
        <w:tblStyle w:val="Table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400.041950358744"/>
        <w:gridCol w:w="3625.4698606648803"/>
        <w:tblGridChange w:id="0">
          <w:tblGrid>
            <w:gridCol w:w="5400.041950358744"/>
            <w:gridCol w:w="3625.4698606648803"/>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Inclusion criteria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Exclusion criteria</w:t>
            </w: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Peer-reviewed academic journal articles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Policy papers</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published in English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Government guidance</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concerning disabled children/young people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Conference proceedings</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UK-based research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Editorials and commentaries</w:t>
            </w:r>
          </w:p>
        </w:tc>
      </w:tr>
      <w:tr>
        <w:trPr>
          <w:cantSplit w:val="0"/>
          <w:trHeight w:val="7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addressing digital access, exclusion, participation or technology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Charity reports used as evidence studies</w:t>
            </w:r>
          </w:p>
        </w:tc>
      </w:tr>
      <w:tr>
        <w:trPr>
          <w:cantSplit w:val="0"/>
          <w:trHeight w:val="7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4">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Primary research or eligible peer-reviewed secondary research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unrelated to children/young people</w:t>
            </w:r>
          </w:p>
        </w:tc>
      </w:tr>
      <w:tr>
        <w:trPr>
          <w:cantSplit w:val="0"/>
          <w:trHeight w:val="7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Relevant to health, social care, education or digital participation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with no relevance to the review question</w:t>
            </w:r>
          </w:p>
        </w:tc>
      </w:tr>
    </w:tbl>
    <w:p w:rsidR="00000000" w:rsidDel="00000000" w:rsidP="00000000" w:rsidRDefault="00000000" w:rsidRPr="00000000" w14:paraId="0000006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criteria were designed to comply with the assessment requirement that the three-to-five studies analysed in the Results section must be peer-reviewed academic journal articles.</w:t>
      </w:r>
    </w:p>
    <w:p w:rsidR="00000000" w:rsidDel="00000000" w:rsidP="00000000" w:rsidRDefault="00000000" w:rsidRPr="00000000" w14:paraId="00000069">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e4u93hrg67ih" w:id="14"/>
      <w:bookmarkEnd w:id="14"/>
      <w:r w:rsidDel="00000000" w:rsidR="00000000" w:rsidRPr="00000000">
        <w:rPr>
          <w:i w:val="0"/>
          <w:iCs w:val="0"/>
          <w:color w:val="000000"/>
          <w:sz w:val="22"/>
          <w:szCs w:val="22"/>
          <w:rtl w:val="0"/>
        </w:rPr>
        <w:t xml:space="preserve">3.4 Study selection</w:t>
      </w:r>
    </w:p>
    <w:p w:rsidR="00000000" w:rsidDel="00000000" w:rsidP="00000000" w:rsidRDefault="00000000" w:rsidRPr="00000000" w14:paraId="0000006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were screened according to title, abstract and full-text relevance. Articles were retained where their population, geographical context and subject matter were sufficiently relevant to the review question.</w:t>
      </w:r>
    </w:p>
    <w:p w:rsidR="00000000" w:rsidDel="00000000" w:rsidP="00000000" w:rsidRDefault="00000000" w:rsidRPr="00000000" w14:paraId="0000006B">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Four particularly relevant peer-reviewed studies were identified:</w:t>
      </w:r>
    </w:p>
    <w:p w:rsidR="00000000" w:rsidDel="00000000" w:rsidP="00000000" w:rsidRDefault="00000000" w:rsidRPr="00000000" w14:paraId="0000006C">
      <w:pPr>
        <w:numPr>
          <w:ilvl w:val="0"/>
          <w:numId w:val="4"/>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Blackburn and Read (2005);</w:t>
      </w:r>
    </w:p>
    <w:p w:rsidR="00000000" w:rsidDel="00000000" w:rsidP="00000000" w:rsidRDefault="00000000" w:rsidRPr="00000000" w14:paraId="0000006D">
      <w:pPr>
        <w:numPr>
          <w:ilvl w:val="0"/>
          <w:numId w:val="4"/>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Cranmer (2020);</w:t>
      </w:r>
    </w:p>
    <w:p w:rsidR="00000000" w:rsidDel="00000000" w:rsidP="00000000" w:rsidRDefault="00000000" w:rsidRPr="00000000" w14:paraId="0000006E">
      <w:pPr>
        <w:numPr>
          <w:ilvl w:val="0"/>
          <w:numId w:val="4"/>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Hammond, D'Arcy and Polizzi (2024);</w:t>
      </w:r>
    </w:p>
    <w:p w:rsidR="00000000" w:rsidDel="00000000" w:rsidP="00000000" w:rsidRDefault="00000000" w:rsidRPr="00000000" w14:paraId="0000006F">
      <w:pPr>
        <w:numPr>
          <w:ilvl w:val="0"/>
          <w:numId w:val="4"/>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Hammond, D'Arcy, Minott and Krasniqi (2024).</w:t>
      </w:r>
    </w:p>
    <w:p w:rsidR="00000000" w:rsidDel="00000000" w:rsidP="00000000" w:rsidRDefault="00000000" w:rsidRPr="00000000" w14:paraId="0000007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fifth study, Apps, Webb and Hutton (2024), may be included where the final database search confirms that the assignment's interpretation of the population permits research focusing on parents/carers of disabled children and digital service access. The study is UK-based and peer-reviewed, but its primary focus is parents/carers rather than children's direct experiences.</w:t>
      </w:r>
    </w:p>
    <w:p w:rsidR="00000000" w:rsidDel="00000000" w:rsidP="00000000" w:rsidRDefault="00000000" w:rsidRPr="00000000" w14:paraId="00000071">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nqextgdg2b2t" w:id="15"/>
      <w:bookmarkEnd w:id="15"/>
      <w:r w:rsidDel="00000000" w:rsidR="00000000" w:rsidRPr="00000000">
        <w:rPr>
          <w:i w:val="0"/>
          <w:iCs w:val="0"/>
          <w:color w:val="000000"/>
          <w:sz w:val="22"/>
          <w:szCs w:val="22"/>
          <w:rtl w:val="0"/>
        </w:rPr>
        <w:t xml:space="preserve">3.5 Data extraction and analysis</w:t>
      </w:r>
    </w:p>
    <w:p w:rsidR="00000000" w:rsidDel="00000000" w:rsidP="00000000" w:rsidRDefault="00000000" w:rsidRPr="00000000" w14:paraId="0000007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Data were extracted according to author/year, UK location, research design, participants, purpose, key findings and relevance to the review question.</w:t>
      </w:r>
    </w:p>
    <w:p w:rsidR="00000000" w:rsidDel="00000000" w:rsidP="00000000" w:rsidRDefault="00000000" w:rsidRPr="00000000" w14:paraId="0000007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Thematic analysis was then used to identify recurring patterns across the included studies. Three overarching themes were identified:</w:t>
      </w:r>
    </w:p>
    <w:p w:rsidR="00000000" w:rsidDel="00000000" w:rsidP="00000000" w:rsidRDefault="00000000" w:rsidRPr="00000000" w14:paraId="00000074">
      <w:pPr>
        <w:numPr>
          <w:ilvl w:val="0"/>
          <w:numId w:val="1"/>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Digital access is multidimensional and influenced by socioeconomic and material barriers.</w:t>
      </w:r>
    </w:p>
    <w:p w:rsidR="00000000" w:rsidDel="00000000" w:rsidP="00000000" w:rsidRDefault="00000000" w:rsidRPr="00000000" w14:paraId="00000075">
      <w:pPr>
        <w:numPr>
          <w:ilvl w:val="0"/>
          <w:numId w:val="1"/>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Accessibility and professional practice shape whether technology becomes genuinely inclusive.</w:t>
      </w:r>
    </w:p>
    <w:p w:rsidR="00000000" w:rsidDel="00000000" w:rsidP="00000000" w:rsidRDefault="00000000" w:rsidRPr="00000000" w14:paraId="00000076">
      <w:pPr>
        <w:numPr>
          <w:ilvl w:val="0"/>
          <w:numId w:val="1"/>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Family and professional support can facilitate digital participation, but support can also become restrictive when risk is prioritised over participation.</w:t>
      </w:r>
    </w:p>
    <w:p w:rsidR="00000000" w:rsidDel="00000000" w:rsidP="00000000" w:rsidRDefault="00000000" w:rsidRPr="00000000" w14:paraId="00000077">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u4229iz1eh4n" w:id="16"/>
      <w:bookmarkEnd w:id="16"/>
      <w:r w:rsidDel="00000000" w:rsidR="00000000" w:rsidRPr="00000000">
        <w:rPr>
          <w:i w:val="0"/>
          <w:iCs w:val="0"/>
          <w:color w:val="000000"/>
          <w:sz w:val="22"/>
          <w:szCs w:val="22"/>
          <w:rtl w:val="0"/>
        </w:rPr>
        <w:t xml:space="preserve">3.6 Ethical considerations</w:t>
      </w:r>
    </w:p>
    <w:p w:rsidR="00000000" w:rsidDel="00000000" w:rsidP="00000000" w:rsidRDefault="00000000" w:rsidRPr="00000000" w14:paraId="0000007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review used previously published research and did not involve direct recruitment of participants. Consequently, no new personal data were collected and no direct participant consent was required for the scoping review itself.</w:t>
      </w:r>
    </w:p>
    <w:p w:rsidR="00000000" w:rsidDel="00000000" w:rsidP="00000000" w:rsidRDefault="00000000" w:rsidRPr="00000000" w14:paraId="0000007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Nevertheless, ethical research principles remained relevant. Sources were represented accurately, findings were not deliberately misinterpreted and appropriate acknowledgement was given to original researchers. Particular care is required when discussing disabled children because disability should not be represented solely through deficit or risk-based narratives. The review therefore sought to recognise both barriers and the opportunities that digital technologies can create.</w:t>
      </w:r>
    </w:p>
    <w:p w:rsidR="00000000" w:rsidDel="00000000" w:rsidP="00000000" w:rsidRDefault="00000000" w:rsidRPr="00000000" w14:paraId="0000007A">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B">
      <w:pPr>
        <w:pStyle w:val="Heading1"/>
        <w:keepNext w:val="0"/>
        <w:keepLines w:val="0"/>
        <w:tabs>
          <w:tab w:val="left" w:leader="none" w:pos="6540"/>
        </w:tabs>
        <w:spacing w:after="120" w:before="480" w:lineRule="auto"/>
        <w:rPr>
          <w:sz w:val="22"/>
          <w:szCs w:val="22"/>
        </w:rPr>
      </w:pPr>
      <w:bookmarkStart w:colFirst="0" w:colLast="0" w:name="_heading=h.ubhu47ewtqol" w:id="17"/>
      <w:bookmarkEnd w:id="17"/>
      <w:r w:rsidDel="00000000" w:rsidR="00000000" w:rsidRPr="00000000">
        <w:rPr>
          <w:sz w:val="22"/>
          <w:szCs w:val="22"/>
          <w:rtl w:val="0"/>
        </w:rPr>
        <w:t xml:space="preserve">4. Results</w:t>
      </w:r>
    </w:p>
    <w:p w:rsidR="00000000" w:rsidDel="00000000" w:rsidP="00000000" w:rsidRDefault="00000000" w:rsidRPr="00000000" w14:paraId="0000007C">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w68dq4dxpbix" w:id="18"/>
      <w:bookmarkEnd w:id="18"/>
      <w:r w:rsidDel="00000000" w:rsidR="00000000" w:rsidRPr="00000000">
        <w:rPr>
          <w:i w:val="0"/>
          <w:iCs w:val="0"/>
          <w:color w:val="000000"/>
          <w:sz w:val="22"/>
          <w:szCs w:val="22"/>
          <w:rtl w:val="0"/>
        </w:rPr>
        <w:t xml:space="preserve">4.1 Characteristics of included studies</w:t>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18.4310532248169"/>
        <w:gridCol w:w="2777.0805572380377"/>
        <w:gridCol w:w="1701.1917320829043"/>
        <w:gridCol w:w="2928.8084684778646"/>
        <w:tblGridChange w:id="0">
          <w:tblGrid>
            <w:gridCol w:w="1618.4310532248169"/>
            <w:gridCol w:w="2777.0805572380377"/>
            <w:gridCol w:w="1701.1917320829043"/>
            <w:gridCol w:w="2928.8084684778646"/>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D">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Study</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E">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Design/population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F">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Main focus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0">
            <w:pPr>
              <w:tabs>
                <w:tab w:val="left" w:leader="none" w:pos="65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Key findings</w:t>
            </w:r>
            <w:r w:rsidDel="00000000" w:rsidR="00000000" w:rsidRPr="00000000">
              <w:rPr>
                <w:rtl w:val="0"/>
              </w:rPr>
            </w:r>
          </w:p>
        </w:tc>
      </w:tr>
      <w:tr>
        <w:trPr>
          <w:cantSplit w:val="0"/>
          <w:trHeight w:val="18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1">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Blackburn and Read (2005)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2">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Cross-sectional UK survey; 788 carers of disabled children within a larger sample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3">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Parents' internet access and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4">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Cost, equipment, skills and technical barriers influenced use; internet could provide valuable information but should not become the only means of service delivery.</w:t>
            </w:r>
          </w:p>
        </w:tc>
      </w:tr>
      <w:tr>
        <w:trPr>
          <w:cantSplit w:val="0"/>
          <w:trHeight w:val="18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5">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Cranmer (2020)</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6">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Participatory qualitative research with visually impaired children and teachers in mainstream schools in England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7">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technology and formal learning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Technology offered learning benefits, but accessibility practices could create additional work and stigma where inclusive digital pedagogy was limited.</w:t>
            </w:r>
          </w:p>
        </w:tc>
      </w:tr>
      <w:tr>
        <w:trPr>
          <w:cantSplit w:val="0"/>
          <w:trHeight w:val="16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9">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Hammond, D'Arcy and Polizzi (2024)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semi-structured interviews with educators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Community digital resilience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C">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Educators acted as "connection brokers", activating networks and resources to support children's digital resilience.</w:t>
            </w:r>
          </w:p>
        </w:tc>
      </w:tr>
      <w:tr>
        <w:trPr>
          <w:cantSplit w:val="0"/>
          <w:trHeight w:val="16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Hammond, D'Arcy, Minott and Krasniqi (2024)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Online semi-structured interviews with 30 educational professionals supporting children aged 8–16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F">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Educators' experiences of children's internet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0">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Educators sometimes adopted restrictive approaches to online risk; a digital-resilience approach could support participation and learning.</w:t>
            </w:r>
          </w:p>
        </w:tc>
      </w:tr>
      <w:tr>
        <w:trPr>
          <w:cantSplit w:val="0"/>
          <w:trHeight w:val="18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1">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Apps, Webb and Hutton (2024)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2">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 online survey of 43 parents/carers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3">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technology in care and rehabilitation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4">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Parents valued digital communication and information but highlighted costs, training, accessibility and the importance of retaining face-to-face services.</w:t>
            </w:r>
          </w:p>
        </w:tc>
      </w:tr>
    </w:tbl>
    <w:p w:rsidR="00000000" w:rsidDel="00000000" w:rsidP="00000000" w:rsidRDefault="00000000" w:rsidRPr="00000000" w14:paraId="0000009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studies demonstrate that the evidence base is multidisciplinary and includes education, health/social care and digital participation perspectives. However, there is relatively little research directly capturing the experiences of disabled children themselves. This limitation is important when interpreting the findings.</w:t>
      </w:r>
    </w:p>
    <w:p w:rsidR="00000000" w:rsidDel="00000000" w:rsidP="00000000" w:rsidRDefault="00000000" w:rsidRPr="00000000" w14:paraId="00000096">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r3hqko58fa2s" w:id="19"/>
      <w:bookmarkEnd w:id="19"/>
      <w:r w:rsidDel="00000000" w:rsidR="00000000" w:rsidRPr="00000000">
        <w:rPr>
          <w:i w:val="0"/>
          <w:iCs w:val="0"/>
          <w:color w:val="000000"/>
          <w:sz w:val="22"/>
          <w:szCs w:val="22"/>
          <w:rtl w:val="0"/>
        </w:rPr>
        <w:t xml:space="preserve">4.2 Theme 1: Digital access is multidimensional</w:t>
      </w:r>
    </w:p>
    <w:p w:rsidR="00000000" w:rsidDel="00000000" w:rsidP="00000000" w:rsidRDefault="00000000" w:rsidRPr="00000000" w14:paraId="0000009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consistent finding across the literature is that digital exclusion involves more than simply having an internet connection.</w:t>
      </w:r>
    </w:p>
    <w:p w:rsidR="00000000" w:rsidDel="00000000" w:rsidP="00000000" w:rsidRDefault="00000000" w:rsidRPr="00000000" w14:paraId="0000009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Blackburn and Read (2005) found that parents of disabled children who did not use the internet identified lack of equipment, cost and lack of skills as important barriers. Their research also identified problems with technical equipment and system design among users.</w:t>
      </w:r>
    </w:p>
    <w:p w:rsidR="00000000" w:rsidDel="00000000" w:rsidP="00000000" w:rsidRDefault="00000000" w:rsidRPr="00000000" w14:paraId="0000009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 study is relatively old, its findings remain conceptually relevant because contemporary digital exclusion continues to involve affordability, equipment and skills. However, the age of the study also creates an important limitation. Digital technologies and patterns of service delivery have changed substantially since 2005, meaning its numerical findings should not be treated as a direct representation of current UK families.</w:t>
      </w:r>
    </w:p>
    <w:p w:rsidR="00000000" w:rsidDel="00000000" w:rsidP="00000000" w:rsidRDefault="00000000" w:rsidRPr="00000000" w14:paraId="0000009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Apps et al. (2024) provide more contemporary evidence. Although all respondents reported using smartphones, tablets or computers in their caring role, 40% identified support with costs as a change that would help them use technology more effectively, while 51% identified training or help with applications of technology as useful.</w:t>
      </w:r>
    </w:p>
    <w:p w:rsidR="00000000" w:rsidDel="00000000" w:rsidP="00000000" w:rsidRDefault="00000000" w:rsidRPr="00000000" w14:paraId="0000009B">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therefore suggest that digital access exists on a continuum. A family can possess a device but still experience digital disadvantage because of cost pressures, inadequate skills, inaccessible software or a lack of appropriate support.</w:t>
      </w:r>
    </w:p>
    <w:p w:rsidR="00000000" w:rsidDel="00000000" w:rsidP="00000000" w:rsidRDefault="00000000" w:rsidRPr="00000000" w14:paraId="0000009C">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wny7c26zypxc" w:id="20"/>
      <w:bookmarkEnd w:id="20"/>
      <w:r w:rsidDel="00000000" w:rsidR="00000000" w:rsidRPr="00000000">
        <w:rPr>
          <w:i w:val="0"/>
          <w:iCs w:val="0"/>
          <w:color w:val="000000"/>
          <w:sz w:val="22"/>
          <w:szCs w:val="22"/>
          <w:rtl w:val="0"/>
        </w:rPr>
        <w:t xml:space="preserve">4.3 Theme 2: Accessibility and professional practice</w:t>
      </w:r>
    </w:p>
    <w:p w:rsidR="00000000" w:rsidDel="00000000" w:rsidP="00000000" w:rsidRDefault="00000000" w:rsidRPr="00000000" w14:paraId="0000009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Cranmer (2020) demonstrates the importance of distinguishing between </w:t>
      </w:r>
      <w:r w:rsidDel="00000000" w:rsidR="00000000" w:rsidRPr="00000000">
        <w:rPr>
          <w:rFonts w:ascii="Arial" w:cs="Arial" w:eastAsia="Arial" w:hAnsi="Arial"/>
          <w:b w:val="1"/>
          <w:bCs w:val="1"/>
          <w:sz w:val="22"/>
          <w:szCs w:val="22"/>
          <w:rtl w:val="0"/>
        </w:rPr>
        <w:t xml:space="preserve">access to technology</w:t>
      </w:r>
      <w:r w:rsidDel="00000000" w:rsidR="00000000" w:rsidRPr="00000000">
        <w:rPr>
          <w:rFonts w:ascii="Arial" w:cs="Arial" w:eastAsia="Arial" w:hAnsi="Arial"/>
          <w:sz w:val="22"/>
          <w:szCs w:val="22"/>
          <w:rtl w:val="0"/>
        </w:rPr>
        <w:t xml:space="preserve"> and </w:t>
      </w:r>
      <w:r w:rsidDel="00000000" w:rsidR="00000000" w:rsidRPr="00000000">
        <w:rPr>
          <w:rFonts w:ascii="Arial" w:cs="Arial" w:eastAsia="Arial" w:hAnsi="Arial"/>
          <w:b w:val="1"/>
          <w:bCs w:val="1"/>
          <w:sz w:val="22"/>
          <w:szCs w:val="22"/>
          <w:rtl w:val="0"/>
        </w:rPr>
        <w:t xml:space="preserve">accessible technology use</w:t>
      </w:r>
      <w:r w:rsidDel="00000000" w:rsidR="00000000" w:rsidRPr="00000000">
        <w:rPr>
          <w:rFonts w:ascii="Arial" w:cs="Arial" w:eastAsia="Arial" w:hAnsi="Arial"/>
          <w:sz w:val="22"/>
          <w:szCs w:val="22"/>
          <w:rtl w:val="0"/>
        </w:rPr>
        <w:t xml:space="preserve">. Visually impaired children participating in the research identified benefits from technologies such as tablets, but accessibility practices could create additional work when teachers lacked inclusive digital pedagogy.</w:t>
      </w:r>
    </w:p>
    <w:p w:rsidR="00000000" w:rsidDel="00000000" w:rsidP="00000000" w:rsidRDefault="00000000" w:rsidRPr="00000000" w14:paraId="0000009E">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finding is significant for education and social care because it moves responsibility away from the individual child alone. A deficit-based interpretation might suggest that a disabled child needs to acquire additional skills to overcome barriers. A social model interpretation instead considers how environments, technologies and professional practices may create disabling barriers.</w:t>
      </w:r>
    </w:p>
    <w:p w:rsidR="00000000" w:rsidDel="00000000" w:rsidP="00000000" w:rsidRDefault="00000000" w:rsidRPr="00000000" w14:paraId="0000009F">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by Hammond et al. (2024) similarly highlights the importance of educators. Their research involved 30 educational professionals supporting children with disabilities aged 8–16. The authors identified different ways in which educators understood and managed online risk. They argue for a digital-resilience approach in which professionals help children learn to navigate connected environments rather than simply restricting access.</w:t>
      </w:r>
    </w:p>
    <w:p w:rsidR="00000000" w:rsidDel="00000000" w:rsidP="00000000" w:rsidRDefault="00000000" w:rsidRPr="00000000" w14:paraId="000000A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is particularly relevant because excessive restriction can itself contribute to digital exclusion. Protecting children from online risks is important, but if risk management results in disabled children having fewer opportunities to develop digital skills than their peers, an unintended inequality may emerge.</w:t>
      </w:r>
    </w:p>
    <w:p w:rsidR="00000000" w:rsidDel="00000000" w:rsidP="00000000" w:rsidRDefault="00000000" w:rsidRPr="00000000" w14:paraId="000000A1">
      <w:pPr>
        <w:pStyle w:val="Heading2"/>
        <w:keepNext w:val="0"/>
        <w:keepLines w:val="0"/>
        <w:tabs>
          <w:tab w:val="left" w:leader="none" w:pos="6540"/>
        </w:tabs>
        <w:spacing w:after="80" w:before="360" w:line="360" w:lineRule="auto"/>
        <w:rPr>
          <w:i w:val="0"/>
          <w:iCs w:val="0"/>
          <w:color w:val="000000"/>
          <w:sz w:val="22"/>
          <w:szCs w:val="22"/>
        </w:rPr>
      </w:pPr>
      <w:bookmarkStart w:colFirst="0" w:colLast="0" w:name="_heading=h.uxiiza6vyan2" w:id="21"/>
      <w:bookmarkEnd w:id="21"/>
      <w:r w:rsidDel="00000000" w:rsidR="00000000" w:rsidRPr="00000000">
        <w:rPr>
          <w:i w:val="0"/>
          <w:iCs w:val="0"/>
          <w:color w:val="000000"/>
          <w:sz w:val="22"/>
          <w:szCs w:val="22"/>
          <w:rtl w:val="0"/>
        </w:rPr>
        <w:t xml:space="preserve">4.4 Theme 3: Family and community support</w:t>
      </w:r>
    </w:p>
    <w:p w:rsidR="00000000" w:rsidDel="00000000" w:rsidP="00000000" w:rsidRDefault="00000000" w:rsidRPr="00000000" w14:paraId="000000A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also demonstrates the importance of social networks.</w:t>
      </w:r>
    </w:p>
    <w:p w:rsidR="00000000" w:rsidDel="00000000" w:rsidP="00000000" w:rsidRDefault="00000000" w:rsidRPr="00000000" w14:paraId="000000A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Hammond, D'Arcy and Polizzi (2024) describe educators as "connection brokers" who activate networks and resources to develop children's digital resilience. Their findings indicate that digital participation is supported not only by individual skills but also by relationships and community resources.</w:t>
      </w:r>
    </w:p>
    <w:p w:rsidR="00000000" w:rsidDel="00000000" w:rsidP="00000000" w:rsidRDefault="00000000" w:rsidRPr="00000000" w14:paraId="000000A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Apps et al. (2024) similarly found that parents used technology to obtain information, communicate with services, support therapy and obtain peer support. The study found that 79% of respondents used technology for peer support, while 88% used it to communicate with services.</w:t>
      </w:r>
    </w:p>
    <w:p w:rsidR="00000000" w:rsidDel="00000000" w:rsidP="00000000" w:rsidRDefault="00000000" w:rsidRPr="00000000" w14:paraId="000000A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suggests that digital inclusion has a relational dimension. Families may require support to identify suitable technologies, understand online information, communicate with professionals and obtain assistive technology. Health, social care and education professionals therefore have an important role in identifying barriers and connecting families with appropriate support.</w:t>
      </w:r>
    </w:p>
    <w:p w:rsidR="00000000" w:rsidDel="00000000" w:rsidP="00000000" w:rsidRDefault="00000000" w:rsidRPr="00000000" w14:paraId="000000A6">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7">
      <w:pPr>
        <w:pStyle w:val="Heading1"/>
        <w:keepNext w:val="0"/>
        <w:keepLines w:val="0"/>
        <w:tabs>
          <w:tab w:val="left" w:leader="none" w:pos="6540"/>
        </w:tabs>
        <w:spacing w:after="120" w:before="480" w:lineRule="auto"/>
        <w:rPr>
          <w:sz w:val="22"/>
          <w:szCs w:val="22"/>
        </w:rPr>
      </w:pPr>
      <w:bookmarkStart w:colFirst="0" w:colLast="0" w:name="_heading=h.6chgvsx7w7ed" w:id="22"/>
      <w:bookmarkEnd w:id="22"/>
      <w:r w:rsidDel="00000000" w:rsidR="00000000" w:rsidRPr="00000000">
        <w:rPr>
          <w:sz w:val="22"/>
          <w:szCs w:val="22"/>
          <w:rtl w:val="0"/>
        </w:rPr>
        <w:t xml:space="preserve">5. Discussion</w:t>
      </w:r>
    </w:p>
    <w:p w:rsidR="00000000" w:rsidDel="00000000" w:rsidP="00000000" w:rsidRDefault="00000000" w:rsidRPr="00000000" w14:paraId="000000A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this scoping review was to examine what peer-reviewed literature indicates about factors contributing to digital exclusion among disabled children in the UK and the implications for professional practice.</w:t>
      </w:r>
    </w:p>
    <w:p w:rsidR="00000000" w:rsidDel="00000000" w:rsidP="00000000" w:rsidRDefault="00000000" w:rsidRPr="00000000" w14:paraId="000000A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the evidence suggests that digital exclusion is a </w:t>
      </w:r>
      <w:r w:rsidDel="00000000" w:rsidR="00000000" w:rsidRPr="00000000">
        <w:rPr>
          <w:rFonts w:ascii="Arial" w:cs="Arial" w:eastAsia="Arial" w:hAnsi="Arial"/>
          <w:b w:val="1"/>
          <w:bCs w:val="1"/>
          <w:sz w:val="22"/>
          <w:szCs w:val="22"/>
          <w:rtl w:val="0"/>
        </w:rPr>
        <w:t xml:space="preserve">multidimensional social inequality</w:t>
      </w:r>
      <w:r w:rsidDel="00000000" w:rsidR="00000000" w:rsidRPr="00000000">
        <w:rPr>
          <w:rFonts w:ascii="Arial" w:cs="Arial" w:eastAsia="Arial" w:hAnsi="Arial"/>
          <w:sz w:val="22"/>
          <w:szCs w:val="22"/>
          <w:rtl w:val="0"/>
        </w:rPr>
        <w:t xml:space="preserve">. It cannot be adequately explained by whether a child has access to an internet connection. Material resources, accessibility, digital skills, professional practice, family support and attitudes towards online risk all influence meaningful participation.</w:t>
      </w:r>
    </w:p>
    <w:p w:rsidR="00000000" w:rsidDel="00000000" w:rsidP="00000000" w:rsidRDefault="00000000" w:rsidRPr="00000000" w14:paraId="000000A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first major finding concerns material inequality. Blackburn and Read (2005) identified cost, equipment and skills as barriers, while Apps et al. (2024) demonstrate that cost and training remain relevant within contemporary UK families. The persistence of similar barriers over time suggests that technological development alone does not eliminate digital inequality. Instead, new technologies can create new costs, accessibility requirements and skills demands.</w:t>
      </w:r>
    </w:p>
    <w:p w:rsidR="00000000" w:rsidDel="00000000" w:rsidP="00000000" w:rsidRDefault="00000000" w:rsidRPr="00000000" w14:paraId="000000AB">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caution is necessary when comparing these studies. Blackburn and Read's research was conducted approximately two decades before Apps et al.'s study. Internet access, smartphone ownership and digital service delivery have changed significantly. The older study should therefore be interpreted primarily as evidence of the longstanding nature of material and skills-based barriers rather than as a measure of current prevalence.</w:t>
      </w:r>
    </w:p>
    <w:p w:rsidR="00000000" w:rsidDel="00000000" w:rsidP="00000000" w:rsidRDefault="00000000" w:rsidRPr="00000000" w14:paraId="000000AC">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second major finding concerns accessibility. Cranmer's (2020) study is particularly significant because it demonstrates that digital inclusion is influenced by educational practice. Providing digital technology is insufficient if learning platforms, teaching practices or assistive technologies are not appropriately accessible. This has implications beyond education because health and social care organisations are also increasingly reliant on digital communication.</w:t>
      </w:r>
    </w:p>
    <w:p w:rsidR="00000000" w:rsidDel="00000000" w:rsidP="00000000" w:rsidRDefault="00000000" w:rsidRPr="00000000" w14:paraId="000000A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supports a shift from an individualised understanding of digital exclusion towards an environmental and relational perspective. Rather than asking only whether a disabled child can use technology, professionals should consider whether the technology, service and environment have been designed to facilitate participation.</w:t>
      </w:r>
    </w:p>
    <w:p w:rsidR="00000000" w:rsidDel="00000000" w:rsidP="00000000" w:rsidRDefault="00000000" w:rsidRPr="00000000" w14:paraId="000000AE">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third theme concerns professional support. Hammond, D'Arcy and Polizzi (2024) demonstrate that educators can operate as connection brokers by linking children to resources and networks. Hammond et al. (2024) also show that professionals' perceptions of online risk can influence the degree to which disabled children are supported to participate.</w:t>
      </w:r>
    </w:p>
    <w:p w:rsidR="00000000" w:rsidDel="00000000" w:rsidP="00000000" w:rsidRDefault="00000000" w:rsidRPr="00000000" w14:paraId="000000AF">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creates an important practice tension. Safeguarding remains essential, but safeguarding approaches should not automatically result in exclusion from beneficial online experiences. A child-centred approach requires professionals to balance protection with participation, skill development and autonomy. This is particularly important for disabled children because restricting access may reduce opportunities to develop the same digital competencies that their non-disabled peers develop through everyday use.</w:t>
      </w:r>
    </w:p>
    <w:p w:rsidR="00000000" w:rsidDel="00000000" w:rsidP="00000000" w:rsidRDefault="00000000" w:rsidRPr="00000000" w14:paraId="000000B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also have implications for health and social care. Apps et al. (2024) found strong parental interest in digital communication and support, but participants did not necessarily want digital services to replace face-to-face contact. This supports a </w:t>
      </w:r>
      <w:r w:rsidDel="00000000" w:rsidR="00000000" w:rsidRPr="00000000">
        <w:rPr>
          <w:rFonts w:ascii="Arial" w:cs="Arial" w:eastAsia="Arial" w:hAnsi="Arial"/>
          <w:b w:val="1"/>
          <w:bCs w:val="1"/>
          <w:sz w:val="22"/>
          <w:szCs w:val="22"/>
          <w:rtl w:val="0"/>
        </w:rPr>
        <w:t xml:space="preserve">digital-by-choice and digitally inclusive</w:t>
      </w:r>
      <w:r w:rsidDel="00000000" w:rsidR="00000000" w:rsidRPr="00000000">
        <w:rPr>
          <w:rFonts w:ascii="Arial" w:cs="Arial" w:eastAsia="Arial" w:hAnsi="Arial"/>
          <w:sz w:val="22"/>
          <w:szCs w:val="22"/>
          <w:rtl w:val="0"/>
        </w:rPr>
        <w:t xml:space="preserve"> approach rather than assuming that online provision is universally preferable.</w:t>
      </w:r>
    </w:p>
    <w:p w:rsidR="00000000" w:rsidDel="00000000" w:rsidP="00000000" w:rsidRDefault="00000000" w:rsidRPr="00000000" w14:paraId="000000B1">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wider UK policy context reinforces the importance of accessibility. The Equality Act 2010 and associated guidance establish responsibilities concerning disability discrimination and reasonable adjustments, while the SEND framework requires education, health and local authority services to work together to support children and young people with SEND.</w:t>
      </w:r>
    </w:p>
    <w:p w:rsidR="00000000" w:rsidDel="00000000" w:rsidP="00000000" w:rsidRDefault="00000000" w:rsidRPr="00000000" w14:paraId="000000B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therefore suggests that digital inclusion should be incorporated into existing person-centred and multi-agency practice rather than treated as a separate technological issue.</w:t>
      </w:r>
    </w:p>
    <w:p w:rsidR="00000000" w:rsidDel="00000000" w:rsidP="00000000" w:rsidRDefault="00000000" w:rsidRPr="00000000" w14:paraId="000000B3">
      <w:pPr>
        <w:pStyle w:val="Heading3"/>
        <w:tabs>
          <w:tab w:val="left" w:leader="none" w:pos="6540"/>
        </w:tabs>
        <w:spacing w:after="80" w:before="280" w:line="360" w:lineRule="auto"/>
        <w:rPr>
          <w:sz w:val="22"/>
          <w:szCs w:val="22"/>
        </w:rPr>
      </w:pPr>
      <w:bookmarkStart w:colFirst="0" w:colLast="0" w:name="_heading=h.rpbthljra48c" w:id="23"/>
      <w:bookmarkEnd w:id="23"/>
      <w:r w:rsidDel="00000000" w:rsidR="00000000" w:rsidRPr="00000000">
        <w:rPr>
          <w:sz w:val="22"/>
          <w:szCs w:val="22"/>
          <w:rtl w:val="0"/>
        </w:rPr>
        <w:t xml:space="preserve">Limitations of the evidence</w:t>
      </w:r>
    </w:p>
    <w:p w:rsidR="00000000" w:rsidDel="00000000" w:rsidP="00000000" w:rsidRDefault="00000000" w:rsidRPr="00000000" w14:paraId="000000B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Several limitations should be acknowledged.</w:t>
      </w:r>
    </w:p>
    <w:p w:rsidR="00000000" w:rsidDel="00000000" w:rsidP="00000000" w:rsidRDefault="00000000" w:rsidRPr="00000000" w14:paraId="000000B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First, the number of directly relevant UK peer-reviewed studies appears limited. This restricts the breadth of conclusions that can be drawn.</w:t>
      </w:r>
    </w:p>
    <w:p w:rsidR="00000000" w:rsidDel="00000000" w:rsidP="00000000" w:rsidRDefault="00000000" w:rsidRPr="00000000" w14:paraId="000000B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 some studies focus on particular disability groups, especially visual impairment, or on professionals and parents rather than disabled children's own voices. Cranmer (2020), for example, provides valuable evidence from visually impaired children, but the findings cannot automatically be generalised to children with all forms of disability.</w:t>
      </w:r>
    </w:p>
    <w:p w:rsidR="00000000" w:rsidDel="00000000" w:rsidP="00000000" w:rsidRDefault="00000000" w:rsidRPr="00000000" w14:paraId="000000B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Third, the evidence includes different methodological approaches, populations and definitions of digital participation, making direct comparison difficult.</w:t>
      </w:r>
    </w:p>
    <w:p w:rsidR="00000000" w:rsidDel="00000000" w:rsidP="00000000" w:rsidRDefault="00000000" w:rsidRPr="00000000" w14:paraId="000000B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the literature suggests that children's experiences may be mediated by parents, teachers and other professionals. Further research involving disabled children directly is therefore needed to ensure that digital inclusion strategies reflect their own priorities and experiences.</w:t>
      </w:r>
    </w:p>
    <w:p w:rsidR="00000000" w:rsidDel="00000000" w:rsidP="00000000" w:rsidRDefault="00000000" w:rsidRPr="00000000" w14:paraId="000000B9">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A">
      <w:pPr>
        <w:pStyle w:val="Heading1"/>
        <w:keepNext w:val="0"/>
        <w:keepLines w:val="0"/>
        <w:tabs>
          <w:tab w:val="left" w:leader="none" w:pos="6540"/>
        </w:tabs>
        <w:spacing w:after="120" w:before="480" w:lineRule="auto"/>
        <w:rPr>
          <w:sz w:val="22"/>
          <w:szCs w:val="22"/>
        </w:rPr>
      </w:pPr>
      <w:bookmarkStart w:colFirst="0" w:colLast="0" w:name="_heading=h.1r3uvjx3hd2l" w:id="24"/>
      <w:bookmarkEnd w:id="24"/>
      <w:r w:rsidDel="00000000" w:rsidR="00000000" w:rsidRPr="00000000">
        <w:rPr>
          <w:sz w:val="22"/>
          <w:szCs w:val="22"/>
          <w:rtl w:val="0"/>
        </w:rPr>
        <w:t xml:space="preserve">6. Conclusion</w:t>
      </w:r>
    </w:p>
    <w:p w:rsidR="00000000" w:rsidDel="00000000" w:rsidP="00000000" w:rsidRDefault="00000000" w:rsidRPr="00000000" w14:paraId="000000BB">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scoping review explored peer-reviewed evidence concerning digital exclusion among disabled children in the UK. The findings indicate that digital exclusion is a multidimensional social inequality involving more than internet access alone.</w:t>
      </w:r>
    </w:p>
    <w:p w:rsidR="00000000" w:rsidDel="00000000" w:rsidP="00000000" w:rsidRDefault="00000000" w:rsidRPr="00000000" w14:paraId="000000BC">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identified three interconnected issues: material and socioeconomic barriers, accessibility and professional practice, and the importance of family and community support. Disabled children may benefit considerably from digital technology for education, communication, relationships and access to services, but these benefits are not automatically achieved through technology provision.</w:t>
      </w:r>
    </w:p>
    <w:p w:rsidR="00000000" w:rsidDel="00000000" w:rsidP="00000000" w:rsidRDefault="00000000" w:rsidRPr="00000000" w14:paraId="000000B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also suggests that professional practice is central to digital inclusion. Education, health and social care professionals can reduce exclusion by identifying barriers, facilitating access to appropriate technology, developing digital skills and confidence, ensuring accessibility and supporting safe participation.</w:t>
      </w:r>
    </w:p>
    <w:p w:rsidR="00000000" w:rsidDel="00000000" w:rsidP="00000000" w:rsidRDefault="00000000" w:rsidRPr="00000000" w14:paraId="000000BE">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same time, professionals need to avoid assuming that digital services are universally accessible or that online delivery should replace face-to-face support. A genuinely inclusive approach should provide appropriate choice and reasonable adjustments.</w:t>
      </w:r>
    </w:p>
    <w:p w:rsidR="00000000" w:rsidDel="00000000" w:rsidP="00000000" w:rsidRDefault="00000000" w:rsidRPr="00000000" w14:paraId="000000BF">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digital inclusion should be considered part of wider equality, participation and person-centred practice for disabled children.</w:t>
      </w:r>
    </w:p>
    <w:p w:rsidR="00000000" w:rsidDel="00000000" w:rsidP="00000000" w:rsidRDefault="00000000" w:rsidRPr="00000000" w14:paraId="000000C0">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1">
      <w:pPr>
        <w:pStyle w:val="Heading1"/>
        <w:keepNext w:val="0"/>
        <w:keepLines w:val="0"/>
        <w:tabs>
          <w:tab w:val="left" w:leader="none" w:pos="6540"/>
        </w:tabs>
        <w:spacing w:after="120" w:before="480" w:lineRule="auto"/>
        <w:rPr>
          <w:sz w:val="22"/>
          <w:szCs w:val="22"/>
        </w:rPr>
      </w:pPr>
      <w:bookmarkStart w:colFirst="0" w:colLast="0" w:name="_heading=h.svc6pj30rs0q" w:id="25"/>
      <w:bookmarkEnd w:id="25"/>
      <w:r w:rsidDel="00000000" w:rsidR="00000000" w:rsidRPr="00000000">
        <w:rPr>
          <w:sz w:val="22"/>
          <w:szCs w:val="22"/>
          <w:rtl w:val="0"/>
        </w:rPr>
        <w:t xml:space="preserve">7. Recommendations</w:t>
      </w:r>
    </w:p>
    <w:p w:rsidR="00000000" w:rsidDel="00000000" w:rsidP="00000000" w:rsidRDefault="00000000" w:rsidRPr="00000000" w14:paraId="000000C2">
      <w:pPr>
        <w:pStyle w:val="Heading3"/>
        <w:tabs>
          <w:tab w:val="left" w:leader="none" w:pos="6540"/>
        </w:tabs>
        <w:spacing w:after="80" w:before="280" w:line="360" w:lineRule="auto"/>
        <w:rPr>
          <w:sz w:val="22"/>
          <w:szCs w:val="22"/>
        </w:rPr>
      </w:pPr>
      <w:bookmarkStart w:colFirst="0" w:colLast="0" w:name="_heading=h.m2no36x211mw" w:id="26"/>
      <w:bookmarkEnd w:id="26"/>
      <w:r w:rsidDel="00000000" w:rsidR="00000000" w:rsidRPr="00000000">
        <w:rPr>
          <w:sz w:val="22"/>
          <w:szCs w:val="22"/>
          <w:rtl w:val="0"/>
        </w:rPr>
        <w:t xml:space="preserve">7.1 Recommendations for future research</w:t>
      </w:r>
    </w:p>
    <w:p w:rsidR="00000000" w:rsidDel="00000000" w:rsidP="00000000" w:rsidRDefault="00000000" w:rsidRPr="00000000" w14:paraId="000000C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Future UK research should:</w:t>
      </w:r>
    </w:p>
    <w:p w:rsidR="00000000" w:rsidDel="00000000" w:rsidP="00000000" w:rsidRDefault="00000000" w:rsidRPr="00000000" w14:paraId="000000C4">
      <w:pPr>
        <w:numPr>
          <w:ilvl w:val="0"/>
          <w:numId w:val="6"/>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Increase research directly involving disabled children and young people, ensuring their voices influence the development of digital inclusion interventions.</w:t>
      </w:r>
    </w:p>
    <w:p w:rsidR="00000000" w:rsidDel="00000000" w:rsidP="00000000" w:rsidRDefault="00000000" w:rsidRPr="00000000" w14:paraId="000000C5">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Examine differences between disability groups rather than treating disabled children as a homogeneous population.</w:t>
      </w:r>
    </w:p>
    <w:p w:rsidR="00000000" w:rsidDel="00000000" w:rsidP="00000000" w:rsidRDefault="00000000" w:rsidRPr="00000000" w14:paraId="000000C6">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Investigate the interaction between disability, household income, ethnicity, geography and other forms of disadvantage.</w:t>
      </w:r>
    </w:p>
    <w:p w:rsidR="00000000" w:rsidDel="00000000" w:rsidP="00000000" w:rsidRDefault="00000000" w:rsidRPr="00000000" w14:paraId="000000C7">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Conduct longitudinal research examining how digital exclusion affects educational, social and health outcomes over time.</w:t>
      </w:r>
    </w:p>
    <w:p w:rsidR="00000000" w:rsidDel="00000000" w:rsidP="00000000" w:rsidRDefault="00000000" w:rsidRPr="00000000" w14:paraId="000000C8">
      <w:pPr>
        <w:numPr>
          <w:ilvl w:val="0"/>
          <w:numId w:val="6"/>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Evaluate the effectiveness of assistive technologies, digital-skills interventions and professional support programmes.</w:t>
      </w:r>
    </w:p>
    <w:p w:rsidR="00000000" w:rsidDel="00000000" w:rsidP="00000000" w:rsidRDefault="00000000" w:rsidRPr="00000000" w14:paraId="000000C9">
      <w:pPr>
        <w:pStyle w:val="Heading3"/>
        <w:tabs>
          <w:tab w:val="left" w:leader="none" w:pos="6540"/>
        </w:tabs>
        <w:spacing w:after="80" w:before="280" w:line="360" w:lineRule="auto"/>
        <w:rPr>
          <w:sz w:val="22"/>
          <w:szCs w:val="22"/>
        </w:rPr>
      </w:pPr>
      <w:bookmarkStart w:colFirst="0" w:colLast="0" w:name="_heading=h.dwbfw1edk1ux" w:id="27"/>
      <w:bookmarkEnd w:id="27"/>
      <w:r w:rsidDel="00000000" w:rsidR="00000000" w:rsidRPr="00000000">
        <w:rPr>
          <w:sz w:val="22"/>
          <w:szCs w:val="22"/>
          <w:rtl w:val="0"/>
        </w:rPr>
        <w:t xml:space="preserve">7.2 Recommendations for health and social care practice</w:t>
      </w:r>
    </w:p>
    <w:p w:rsidR="00000000" w:rsidDel="00000000" w:rsidP="00000000" w:rsidRDefault="00000000" w:rsidRPr="00000000" w14:paraId="000000C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Health and social care organisations should:</w:t>
      </w:r>
    </w:p>
    <w:p w:rsidR="00000000" w:rsidDel="00000000" w:rsidP="00000000" w:rsidRDefault="00000000" w:rsidRPr="00000000" w14:paraId="000000CB">
      <w:pPr>
        <w:numPr>
          <w:ilvl w:val="0"/>
          <w:numId w:val="5"/>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routinely consider digital accessibility when assessing children and families;</w:t>
      </w:r>
    </w:p>
    <w:p w:rsidR="00000000" w:rsidDel="00000000" w:rsidP="00000000" w:rsidRDefault="00000000" w:rsidRPr="00000000" w14:paraId="000000CC">
      <w:pPr>
        <w:numPr>
          <w:ilvl w:val="0"/>
          <w:numId w:val="5"/>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ask whether families have suitable devices, connectivity and digital skills;</w:t>
      </w:r>
    </w:p>
    <w:p w:rsidR="00000000" w:rsidDel="00000000" w:rsidP="00000000" w:rsidRDefault="00000000" w:rsidRPr="00000000" w14:paraId="000000CD">
      <w:pPr>
        <w:numPr>
          <w:ilvl w:val="0"/>
          <w:numId w:val="5"/>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accessible alternatives where online systems create barriers;</w:t>
      </w:r>
    </w:p>
    <w:p w:rsidR="00000000" w:rsidDel="00000000" w:rsidP="00000000" w:rsidRDefault="00000000" w:rsidRPr="00000000" w14:paraId="000000CE">
      <w:pPr>
        <w:numPr>
          <w:ilvl w:val="0"/>
          <w:numId w:val="5"/>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ensure digital communication complements rather than automatically replaces face-to-face support;</w:t>
      </w:r>
    </w:p>
    <w:p w:rsidR="00000000" w:rsidDel="00000000" w:rsidP="00000000" w:rsidRDefault="00000000" w:rsidRPr="00000000" w14:paraId="000000CF">
      <w:pPr>
        <w:numPr>
          <w:ilvl w:val="0"/>
          <w:numId w:val="5"/>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signpost families towards appropriate digital inclusion and assistive-technology support;</w:t>
      </w:r>
    </w:p>
    <w:p w:rsidR="00000000" w:rsidDel="00000000" w:rsidP="00000000" w:rsidRDefault="00000000" w:rsidRPr="00000000" w14:paraId="000000D0">
      <w:pPr>
        <w:numPr>
          <w:ilvl w:val="0"/>
          <w:numId w:val="5"/>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professionals with training in digital accessibility and inclusive practice.</w:t>
      </w:r>
    </w:p>
    <w:p w:rsidR="00000000" w:rsidDel="00000000" w:rsidP="00000000" w:rsidRDefault="00000000" w:rsidRPr="00000000" w14:paraId="000000D1">
      <w:pPr>
        <w:pStyle w:val="Heading3"/>
        <w:tabs>
          <w:tab w:val="left" w:leader="none" w:pos="6540"/>
        </w:tabs>
        <w:spacing w:after="80" w:before="280" w:line="360" w:lineRule="auto"/>
        <w:rPr>
          <w:sz w:val="22"/>
          <w:szCs w:val="22"/>
        </w:rPr>
      </w:pPr>
      <w:bookmarkStart w:colFirst="0" w:colLast="0" w:name="_heading=h.u0becsvxd3bf" w:id="28"/>
      <w:bookmarkEnd w:id="28"/>
      <w:r w:rsidDel="00000000" w:rsidR="00000000" w:rsidRPr="00000000">
        <w:rPr>
          <w:sz w:val="22"/>
          <w:szCs w:val="22"/>
          <w:rtl w:val="0"/>
        </w:rPr>
        <w:t xml:space="preserve">7.3 Recommendations for education</w:t>
      </w:r>
    </w:p>
    <w:p w:rsidR="00000000" w:rsidDel="00000000" w:rsidP="00000000" w:rsidRDefault="00000000" w:rsidRPr="00000000" w14:paraId="000000D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Schools and education professionals should:</w:t>
      </w:r>
    </w:p>
    <w:p w:rsidR="00000000" w:rsidDel="00000000" w:rsidP="00000000" w:rsidRDefault="00000000" w:rsidRPr="00000000" w14:paraId="000000D3">
      <w:pPr>
        <w:numPr>
          <w:ilvl w:val="0"/>
          <w:numId w:val="2"/>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incorporate accessibility into the design and delivery of digital learning;</w:t>
      </w:r>
    </w:p>
    <w:p w:rsidR="00000000" w:rsidDel="00000000" w:rsidP="00000000" w:rsidRDefault="00000000" w:rsidRPr="00000000" w14:paraId="000000D4">
      <w:pPr>
        <w:numPr>
          <w:ilvl w:val="0"/>
          <w:numId w:val="2"/>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ensure assistive technology is appropriate and maintained;</w:t>
      </w:r>
    </w:p>
    <w:p w:rsidR="00000000" w:rsidDel="00000000" w:rsidP="00000000" w:rsidRDefault="00000000" w:rsidRPr="00000000" w14:paraId="000000D5">
      <w:pPr>
        <w:numPr>
          <w:ilvl w:val="0"/>
          <w:numId w:val="2"/>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training and support for disabled pupils;</w:t>
      </w:r>
    </w:p>
    <w:p w:rsidR="00000000" w:rsidDel="00000000" w:rsidP="00000000" w:rsidRDefault="00000000" w:rsidRPr="00000000" w14:paraId="000000D6">
      <w:pPr>
        <w:numPr>
          <w:ilvl w:val="0"/>
          <w:numId w:val="2"/>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 digital resilience rather than relying solely on restrictive approaches to online risk;</w:t>
      </w:r>
    </w:p>
    <w:p w:rsidR="00000000" w:rsidDel="00000000" w:rsidP="00000000" w:rsidRDefault="00000000" w:rsidRPr="00000000" w14:paraId="000000D7">
      <w:pPr>
        <w:numPr>
          <w:ilvl w:val="0"/>
          <w:numId w:val="2"/>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involve disabled children in decisions about technology used for learning.</w:t>
      </w:r>
    </w:p>
    <w:p w:rsidR="00000000" w:rsidDel="00000000" w:rsidP="00000000" w:rsidRDefault="00000000" w:rsidRPr="00000000" w14:paraId="000000D8">
      <w:pPr>
        <w:pStyle w:val="Heading3"/>
        <w:tabs>
          <w:tab w:val="left" w:leader="none" w:pos="6540"/>
        </w:tabs>
        <w:spacing w:after="80" w:before="280" w:line="360" w:lineRule="auto"/>
        <w:rPr>
          <w:sz w:val="22"/>
          <w:szCs w:val="22"/>
        </w:rPr>
      </w:pPr>
      <w:bookmarkStart w:colFirst="0" w:colLast="0" w:name="_heading=h.lcvc1di2dgm9" w:id="29"/>
      <w:bookmarkEnd w:id="29"/>
      <w:r w:rsidDel="00000000" w:rsidR="00000000" w:rsidRPr="00000000">
        <w:rPr>
          <w:sz w:val="22"/>
          <w:szCs w:val="22"/>
          <w:rtl w:val="0"/>
        </w:rPr>
        <w:t xml:space="preserve">7.4 Recommendations for policy</w:t>
      </w:r>
    </w:p>
    <w:p w:rsidR="00000000" w:rsidDel="00000000" w:rsidP="00000000" w:rsidRDefault="00000000" w:rsidRPr="00000000" w14:paraId="000000D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 policy should recognise digital access as increasingly connected to participation in education, health, social care and wider society. Digital inclusion strategies should therefore address affordability, accessibility, skills and support simultaneously rather than concentrating solely on internet connectivity.</w:t>
      </w:r>
    </w:p>
    <w:p w:rsidR="00000000" w:rsidDel="00000000" w:rsidP="00000000" w:rsidRDefault="00000000" w:rsidRPr="00000000" w14:paraId="000000DA">
      <w:pPr>
        <w:tabs>
          <w:tab w:val="left" w:leader="none" w:pos="6540"/>
        </w:tabs>
        <w:spacing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B">
      <w:pPr>
        <w:pStyle w:val="Heading1"/>
        <w:keepNext w:val="0"/>
        <w:keepLines w:val="0"/>
        <w:tabs>
          <w:tab w:val="left" w:leader="none" w:pos="6540"/>
        </w:tabs>
        <w:spacing w:after="120" w:before="480" w:lineRule="auto"/>
        <w:rPr>
          <w:sz w:val="22"/>
          <w:szCs w:val="22"/>
        </w:rPr>
      </w:pPr>
      <w:bookmarkStart w:colFirst="0" w:colLast="0" w:name="_heading=h.yf179028gfk4" w:id="30"/>
      <w:bookmarkEnd w:id="30"/>
      <w:r w:rsidDel="00000000" w:rsidR="00000000" w:rsidRPr="00000000">
        <w:rPr>
          <w:sz w:val="22"/>
          <w:szCs w:val="22"/>
          <w:rtl w:val="0"/>
        </w:rPr>
        <w:t xml:space="preserve">References</w:t>
      </w:r>
    </w:p>
    <w:p w:rsidR="00000000" w:rsidDel="00000000" w:rsidP="00000000" w:rsidRDefault="00000000" w:rsidRPr="00000000" w14:paraId="000000DC">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Apps, J., Webb, S. and Hutton, E. (2024) ‘Parents’ and carers’ attitudes to the use of digital technology and its role in the care of children with complex needs’, </w:t>
      </w:r>
      <w:r w:rsidDel="00000000" w:rsidR="00000000" w:rsidRPr="00000000">
        <w:rPr>
          <w:rFonts w:ascii="Arial" w:cs="Arial" w:eastAsia="Arial" w:hAnsi="Arial"/>
          <w:i w:val="1"/>
          <w:iCs w:val="1"/>
          <w:sz w:val="22"/>
          <w:szCs w:val="22"/>
          <w:rtl w:val="0"/>
        </w:rPr>
        <w:t xml:space="preserve">British Journal of Occupational Therapy</w:t>
      </w:r>
      <w:r w:rsidDel="00000000" w:rsidR="00000000" w:rsidRPr="00000000">
        <w:rPr>
          <w:rFonts w:ascii="Arial" w:cs="Arial" w:eastAsia="Arial" w:hAnsi="Arial"/>
          <w:sz w:val="22"/>
          <w:szCs w:val="22"/>
          <w:rtl w:val="0"/>
        </w:rPr>
        <w:t xml:space="preserve">, 87(7), pp. 1–12. doi: 10.1177/03080226241233112.</w:t>
      </w:r>
    </w:p>
    <w:p w:rsidR="00000000" w:rsidDel="00000000" w:rsidP="00000000" w:rsidRDefault="00000000" w:rsidRPr="00000000" w14:paraId="000000DD">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Blackburn, C. and Read, J. (2005) ‘Using the Internet? The experiences of parents of disabled children’, </w:t>
      </w:r>
      <w:r w:rsidDel="00000000" w:rsidR="00000000" w:rsidRPr="00000000">
        <w:rPr>
          <w:rFonts w:ascii="Arial" w:cs="Arial" w:eastAsia="Arial" w:hAnsi="Arial"/>
          <w:i w:val="1"/>
          <w:iCs w:val="1"/>
          <w:sz w:val="22"/>
          <w:szCs w:val="22"/>
          <w:rtl w:val="0"/>
        </w:rPr>
        <w:t xml:space="preserve">Child: Care, Health and Development</w:t>
      </w:r>
      <w:r w:rsidDel="00000000" w:rsidR="00000000" w:rsidRPr="00000000">
        <w:rPr>
          <w:rFonts w:ascii="Arial" w:cs="Arial" w:eastAsia="Arial" w:hAnsi="Arial"/>
          <w:sz w:val="22"/>
          <w:szCs w:val="22"/>
          <w:rtl w:val="0"/>
        </w:rPr>
        <w:t xml:space="preserve">, 31(5), pp. 507–515. doi: 10.1111/j.1365-2214.2005.00541.x.</w:t>
      </w:r>
    </w:p>
    <w:p w:rsidR="00000000" w:rsidDel="00000000" w:rsidP="00000000" w:rsidRDefault="00000000" w:rsidRPr="00000000" w14:paraId="000000DE">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Cranmer, S. (2020) ‘Disabled children's evolving digital use practices to support formal learning: A missed opportunity for inclusion’, </w:t>
      </w:r>
      <w:r w:rsidDel="00000000" w:rsidR="00000000" w:rsidRPr="00000000">
        <w:rPr>
          <w:rFonts w:ascii="Arial" w:cs="Arial" w:eastAsia="Arial" w:hAnsi="Arial"/>
          <w:i w:val="1"/>
          <w:iCs w:val="1"/>
          <w:sz w:val="22"/>
          <w:szCs w:val="22"/>
          <w:rtl w:val="0"/>
        </w:rPr>
        <w:t xml:space="preserve">British Journal of Educational Technology</w:t>
      </w:r>
      <w:r w:rsidDel="00000000" w:rsidR="00000000" w:rsidRPr="00000000">
        <w:rPr>
          <w:rFonts w:ascii="Arial" w:cs="Arial" w:eastAsia="Arial" w:hAnsi="Arial"/>
          <w:sz w:val="22"/>
          <w:szCs w:val="22"/>
          <w:rtl w:val="0"/>
        </w:rPr>
        <w:t xml:space="preserve">, 51(2), pp. 315–330. doi: 10.1111/bjet.12827.</w:t>
      </w:r>
    </w:p>
    <w:p w:rsidR="00000000" w:rsidDel="00000000" w:rsidP="00000000" w:rsidRDefault="00000000" w:rsidRPr="00000000" w14:paraId="000000DF">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for Education and Department of Health and Social Care (2015) </w:t>
      </w:r>
      <w:r w:rsidDel="00000000" w:rsidR="00000000" w:rsidRPr="00000000">
        <w:rPr>
          <w:rFonts w:ascii="Arial" w:cs="Arial" w:eastAsia="Arial" w:hAnsi="Arial"/>
          <w:i w:val="1"/>
          <w:iCs w:val="1"/>
          <w:sz w:val="22"/>
          <w:szCs w:val="22"/>
          <w:rtl w:val="0"/>
        </w:rPr>
        <w:t xml:space="preserve">Special educational needs and disability code of practice: 0 to 25 years</w:t>
      </w:r>
      <w:r w:rsidDel="00000000" w:rsidR="00000000" w:rsidRPr="00000000">
        <w:rPr>
          <w:rFonts w:ascii="Arial" w:cs="Arial" w:eastAsia="Arial" w:hAnsi="Arial"/>
          <w:sz w:val="22"/>
          <w:szCs w:val="22"/>
          <w:rtl w:val="0"/>
        </w:rPr>
        <w:t xml:space="preserve">. London: Department for Education. Updated 2024.</w:t>
      </w:r>
    </w:p>
    <w:p w:rsidR="00000000" w:rsidDel="00000000" w:rsidP="00000000" w:rsidRDefault="00000000" w:rsidRPr="00000000" w14:paraId="000000E0">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Equality Act 2010. London: The Stationery Office.</w:t>
      </w:r>
    </w:p>
    <w:p w:rsidR="00000000" w:rsidDel="00000000" w:rsidP="00000000" w:rsidRDefault="00000000" w:rsidRPr="00000000" w14:paraId="000000E1">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Equality and Human Rights Commission (2026) </w:t>
      </w:r>
      <w:r w:rsidDel="00000000" w:rsidR="00000000" w:rsidRPr="00000000">
        <w:rPr>
          <w:rFonts w:ascii="Arial" w:cs="Arial" w:eastAsia="Arial" w:hAnsi="Arial"/>
          <w:i w:val="1"/>
          <w:iCs w:val="1"/>
          <w:sz w:val="22"/>
          <w:szCs w:val="22"/>
          <w:rtl w:val="0"/>
        </w:rPr>
        <w:t xml:space="preserve">Equality Act 2010: Code of Practice for services, public functions and associations</w:t>
      </w:r>
      <w:r w:rsidDel="00000000" w:rsidR="00000000" w:rsidRPr="00000000">
        <w:rPr>
          <w:rFonts w:ascii="Arial" w:cs="Arial" w:eastAsia="Arial" w:hAnsi="Arial"/>
          <w:sz w:val="22"/>
          <w:szCs w:val="22"/>
          <w:rtl w:val="0"/>
        </w:rPr>
        <w:t xml:space="preserve">. London: EHRC.</w:t>
      </w:r>
    </w:p>
    <w:p w:rsidR="00000000" w:rsidDel="00000000" w:rsidP="00000000" w:rsidRDefault="00000000" w:rsidRPr="00000000" w14:paraId="000000E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Hammond, S.P., D'Arcy, J. and Polizzi, G. (2024) ‘Connection brokers: How educators work within and between social networks to cultivate community digital resilience to support children with disabilities using the Internet’, </w:t>
      </w:r>
      <w:r w:rsidDel="00000000" w:rsidR="00000000" w:rsidRPr="00000000">
        <w:rPr>
          <w:rFonts w:ascii="Arial" w:cs="Arial" w:eastAsia="Arial" w:hAnsi="Arial"/>
          <w:i w:val="1"/>
          <w:iCs w:val="1"/>
          <w:sz w:val="22"/>
          <w:szCs w:val="22"/>
          <w:rtl w:val="0"/>
        </w:rPr>
        <w:t xml:space="preserve">New Media &amp; Society</w:t>
      </w:r>
      <w:r w:rsidDel="00000000" w:rsidR="00000000" w:rsidRPr="00000000">
        <w:rPr>
          <w:rFonts w:ascii="Arial" w:cs="Arial" w:eastAsia="Arial" w:hAnsi="Arial"/>
          <w:sz w:val="22"/>
          <w:szCs w:val="22"/>
          <w:rtl w:val="0"/>
        </w:rPr>
        <w:t xml:space="preserve">, 26(11), pp. 6736–6755. doi: 10.1177/14614448231157330.</w:t>
      </w:r>
    </w:p>
    <w:p w:rsidR="00000000" w:rsidDel="00000000" w:rsidP="00000000" w:rsidRDefault="00000000" w:rsidRPr="00000000" w14:paraId="000000E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Hammond, S.P., D'Arcy, J., Minott, M. and Krasniqi, E. (2024) ‘A discursive psychological examination of educators’ experiences of children with disabilities accessing the Internet: A role for digital resilience’, </w:t>
      </w:r>
      <w:r w:rsidDel="00000000" w:rsidR="00000000" w:rsidRPr="00000000">
        <w:rPr>
          <w:rFonts w:ascii="Arial" w:cs="Arial" w:eastAsia="Arial" w:hAnsi="Arial"/>
          <w:i w:val="1"/>
          <w:iCs w:val="1"/>
          <w:sz w:val="22"/>
          <w:szCs w:val="22"/>
          <w:rtl w:val="0"/>
        </w:rPr>
        <w:t xml:space="preserve">Information, Communication &amp; Society</w:t>
      </w:r>
      <w:r w:rsidDel="00000000" w:rsidR="00000000" w:rsidRPr="00000000">
        <w:rPr>
          <w:rFonts w:ascii="Arial" w:cs="Arial" w:eastAsia="Arial" w:hAnsi="Arial"/>
          <w:sz w:val="22"/>
          <w:szCs w:val="22"/>
          <w:rtl w:val="0"/>
        </w:rPr>
        <w:t xml:space="preserve">, 27(1), pp. 161–181. doi: 10.1080/1369118X.2023.2185103.</w:t>
      </w:r>
    </w:p>
    <w:p w:rsidR="00000000" w:rsidDel="00000000" w:rsidP="00000000" w:rsidRDefault="00000000" w:rsidRPr="00000000" w14:paraId="000000E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JBI (2024) </w:t>
      </w:r>
      <w:r w:rsidDel="00000000" w:rsidR="00000000" w:rsidRPr="00000000">
        <w:rPr>
          <w:rFonts w:ascii="Arial" w:cs="Arial" w:eastAsia="Arial" w:hAnsi="Arial"/>
          <w:i w:val="1"/>
          <w:iCs w:val="1"/>
          <w:sz w:val="22"/>
          <w:szCs w:val="22"/>
          <w:rtl w:val="0"/>
        </w:rPr>
        <w:t xml:space="preserve">JBI Manual for Evidence Synthesis</w:t>
      </w:r>
      <w:r w:rsidDel="00000000" w:rsidR="00000000" w:rsidRPr="00000000">
        <w:rPr>
          <w:rFonts w:ascii="Arial" w:cs="Arial" w:eastAsia="Arial" w:hAnsi="Arial"/>
          <w:sz w:val="22"/>
          <w:szCs w:val="22"/>
          <w:rtl w:val="0"/>
        </w:rPr>
        <w:t xml:space="preserve">. Adelaide: Joanna Briggs Institute.</w:t>
      </w:r>
    </w:p>
    <w:p w:rsidR="00000000" w:rsidDel="00000000" w:rsidP="00000000" w:rsidRDefault="00000000" w:rsidRPr="00000000" w14:paraId="000000E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Del="00000000" w:rsidR="00000000" w:rsidRPr="00000000">
        <w:rPr>
          <w:rFonts w:ascii="Arial" w:cs="Arial" w:eastAsia="Arial" w:hAnsi="Arial"/>
          <w:i w:val="1"/>
          <w:iCs w:val="1"/>
          <w:sz w:val="22"/>
          <w:szCs w:val="22"/>
          <w:rtl w:val="0"/>
        </w:rPr>
        <w:t xml:space="preserve">Annals of Internal Medicine</w:t>
      </w:r>
      <w:r w:rsidDel="00000000" w:rsidR="00000000" w:rsidRPr="00000000">
        <w:rPr>
          <w:rFonts w:ascii="Arial" w:cs="Arial" w:eastAsia="Arial" w:hAnsi="Arial"/>
          <w:sz w:val="22"/>
          <w:szCs w:val="22"/>
          <w:rtl w:val="0"/>
        </w:rPr>
        <w:t xml:space="preserve">, 169(7), pp. 467–473. doi: 10.7326/M18-0850.</w:t>
      </w:r>
    </w:p>
    <w:p w:rsidR="00000000" w:rsidDel="00000000" w:rsidP="00000000" w:rsidRDefault="00000000" w:rsidRPr="00000000" w14:paraId="000000E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Ofcom (2025) </w:t>
      </w:r>
      <w:r w:rsidDel="00000000" w:rsidR="00000000" w:rsidRPr="00000000">
        <w:rPr>
          <w:rFonts w:ascii="Arial" w:cs="Arial" w:eastAsia="Arial" w:hAnsi="Arial"/>
          <w:i w:val="1"/>
          <w:iCs w:val="1"/>
          <w:sz w:val="22"/>
          <w:szCs w:val="22"/>
          <w:rtl w:val="0"/>
        </w:rPr>
        <w:t xml:space="preserve">Exploring how people in the UK are affected by digital disadvantage</w:t>
      </w:r>
      <w:r w:rsidDel="00000000" w:rsidR="00000000" w:rsidRPr="00000000">
        <w:rPr>
          <w:rFonts w:ascii="Arial" w:cs="Arial" w:eastAsia="Arial" w:hAnsi="Arial"/>
          <w:sz w:val="22"/>
          <w:szCs w:val="22"/>
          <w:rtl w:val="0"/>
        </w:rPr>
        <w:t xml:space="preserve">. London: Ofcom.</w:t>
      </w:r>
    </w:p>
    <w:p w:rsidR="00000000" w:rsidDel="00000000" w:rsidP="00000000" w:rsidRDefault="00000000" w:rsidRPr="00000000" w14:paraId="000000E7">
      <w:pPr>
        <w:tabs>
          <w:tab w:val="left" w:leader="none" w:pos="6540"/>
        </w:tabs>
        <w:spacing w:line="360" w:lineRule="auto"/>
        <w:rPr>
          <w:sz w:val="22"/>
          <w:szCs w:val="22"/>
        </w:rPr>
      </w:pPr>
      <w:r w:rsidDel="00000000" w:rsidR="00000000" w:rsidRPr="00000000">
        <w:rPr>
          <w:rtl w:val="0"/>
        </w:rPr>
      </w:r>
    </w:p>
    <w:sectPr>
      <w:footerReference r:id="rId8"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620E7"/>
    <w:rPr>
      <w:rFonts w:ascii="Arial" w:hAnsi="Arial" w:eastAsiaTheme="majorEastAsia"/>
      <w:b w:val="1"/>
      <w:sz w:val="32"/>
    </w:rPr>
  </w:style>
  <w:style w:type="character" w:styleId="Heading2Char" w:customStyle="1">
    <w:name w:val="Heading 2 Char"/>
    <w:basedOn w:val="DefaultParagraphFont"/>
    <w:link w:val="Heading2"/>
    <w:uiPriority w:val="9"/>
    <w:rsid w:val="00A035FD"/>
    <w:rPr>
      <w:rFonts w:ascii="Arial" w:hAnsi="Arial" w:cstheme="majorBidi" w:eastAsiaTheme="majorEastAsia"/>
      <w:b w:val="1"/>
      <w:i w:val="1"/>
      <w:color w:val="2f5496" w:themeColor="accent1" w:themeShade="0000BF"/>
      <w:sz w:val="26"/>
      <w:szCs w:val="26"/>
    </w:rPr>
  </w:style>
  <w:style w:type="character" w:styleId="Heading3Char" w:customStyle="1">
    <w:name w:val="Heading 3 Char"/>
    <w:basedOn w:val="DefaultParagraphFont"/>
    <w:link w:val="Heading3"/>
    <w:uiPriority w:val="9"/>
    <w:rsid w:val="002C3965"/>
    <w:rPr>
      <w:rFonts w:ascii="Arial" w:cs="Times New Roman" w:eastAsia="Times New Roman" w:hAnsi="Arial"/>
      <w:b w:val="1"/>
      <w:bCs w:val="1"/>
      <w:szCs w:val="27"/>
      <w:lang w:eastAsia="en-GB"/>
    </w:rPr>
  </w:style>
  <w:style w:type="paragraph" w:styleId="Header">
    <w:name w:val="header"/>
    <w:basedOn w:val="Normal"/>
    <w:link w:val="HeaderChar"/>
    <w:uiPriority w:val="99"/>
    <w:unhideWhenUsed w:val="1"/>
    <w:rsid w:val="003E4EC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4ECF"/>
  </w:style>
  <w:style w:type="paragraph" w:styleId="Footer">
    <w:name w:val="footer"/>
    <w:basedOn w:val="Normal"/>
    <w:link w:val="FooterChar"/>
    <w:uiPriority w:val="99"/>
    <w:unhideWhenUsed w:val="1"/>
    <w:rsid w:val="003E4EC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4ECF"/>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Zew9l0aZzb0riCBrqPHispiiHw==">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2026-08-07T09:16:00Z</dcterms:created>
  <dc:creator>Eleni Koutsogeorgou</dc:creator>
</cp:coreProperties>
</file>