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Style w:val="page number"/>
          <w:sz w:val="32"/>
          <w:szCs w:val="32"/>
        </w:rPr>
      </w:pPr>
      <w:r>
        <w:rPr>
          <w:rStyle w:val="page number"/>
          <w:sz w:val="32"/>
          <w:szCs w:val="32"/>
          <w:rtl w:val="0"/>
          <w:lang w:val="en-US"/>
        </w:rPr>
        <w:t>Event Risk Assessment:</w:t>
      </w:r>
    </w:p>
    <w:p>
      <w:pPr>
        <w:pStyle w:val="Body"/>
      </w:pPr>
    </w:p>
    <w:p>
      <w:pPr>
        <w:pStyle w:val="Body"/>
      </w:pPr>
      <w:r>
        <w:rPr>
          <w:rtl w:val="0"/>
          <w:lang w:val="de-DE"/>
        </w:rPr>
        <w:t>Title:</w:t>
      </w:r>
      <w:r>
        <w:rPr>
          <w:rtl w:val="0"/>
          <w:lang w:val="en-US"/>
        </w:rPr>
        <w:t xml:space="preserve"> VISIT TO THE CWAD COFFEE SHOP</w:t>
      </w:r>
    </w:p>
    <w:p>
      <w:pPr>
        <w:pStyle w:val="Body"/>
      </w:pPr>
      <w:r>
        <w:rPr>
          <w:rtl w:val="0"/>
          <w:lang w:val="de-DE"/>
        </w:rPr>
        <w:t>Date:</w:t>
      </w:r>
      <w:r>
        <w:rPr>
          <w:rtl w:val="0"/>
          <w:lang w:val="en-US"/>
        </w:rPr>
        <w:t xml:space="preserve"> 21/04/2019</w:t>
      </w:r>
    </w:p>
    <w:p>
      <w:pPr>
        <w:pStyle w:val="Body"/>
      </w:pPr>
    </w:p>
    <w:tbl>
      <w:tblPr>
        <w:tblW w:w="85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660"/>
        <w:gridCol w:w="5862"/>
      </w:tblGrid>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Event Description</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Visit to the Cwad Coffee Shop</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Department:</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SHOE - UWTSD</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Event Location:</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UWTSD - Carmarthen Campus</w:t>
            </w:r>
          </w:p>
        </w:tc>
      </w:tr>
      <w:tr>
        <w:tblPrEx>
          <w:shd w:val="clear" w:color="auto" w:fill="ced7e7"/>
        </w:tblPrEx>
        <w:trPr>
          <w:trHeight w:val="526"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Event Organiser (Module Lead) Name</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Amanda Owens</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 xml:space="preserve">Student Event Manager </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Amanda Owens</w:t>
            </w:r>
          </w:p>
        </w:tc>
      </w:tr>
      <w:tr>
        <w:tblPrEx>
          <w:shd w:val="clear" w:color="auto" w:fill="ced7e7"/>
        </w:tblPrEx>
        <w:trPr>
          <w:trHeight w:val="526"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Numbers of students attending</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5</w:t>
            </w:r>
          </w:p>
        </w:tc>
      </w:tr>
      <w:tr>
        <w:tblPrEx>
          <w:shd w:val="clear" w:color="auto" w:fill="ced7e7"/>
        </w:tblPrEx>
        <w:trPr>
          <w:trHeight w:val="526"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Students with additional needs (please describe)</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Not Applicable/ None disclosed</w:t>
            </w:r>
          </w:p>
        </w:tc>
      </w:tr>
      <w:tr>
        <w:tblPrEx>
          <w:shd w:val="clear" w:color="auto" w:fill="ced7e7"/>
        </w:tblPrEx>
        <w:trPr>
          <w:trHeight w:val="526"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Numbers of staff attending</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1</w:t>
            </w:r>
          </w:p>
        </w:tc>
      </w:tr>
      <w:tr>
        <w:tblPrEx>
          <w:shd w:val="clear" w:color="auto" w:fill="ced7e7"/>
        </w:tblPrEx>
        <w:trPr>
          <w:trHeight w:val="526"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Number of first aiders attending</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1</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Start Date:</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color w:val="808080"/>
                <w:u w:color="808080"/>
                <w:rtl w:val="0"/>
                <w:lang w:val="en-US"/>
              </w:rPr>
              <w:t>21/04/2019</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Return Date:</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color w:val="808080"/>
                <w:u w:color="808080"/>
                <w:rtl w:val="0"/>
                <w:lang w:val="en-US"/>
              </w:rPr>
              <w:t>21/04/2019</w:t>
            </w:r>
          </w:p>
        </w:tc>
      </w:tr>
      <w:tr>
        <w:tblPrEx>
          <w:shd w:val="clear" w:color="auto" w:fill="ced7e7"/>
        </w:tblPrEx>
        <w:trPr>
          <w:trHeight w:val="802"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Event Details:</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5 students will participate in a social visit to the Cwad Coffee Shop, departing from the library at UWTSD, Carmarthen Campus.</w:t>
            </w:r>
          </w:p>
        </w:tc>
      </w:tr>
      <w:tr>
        <w:tblPrEx>
          <w:shd w:val="clear" w:color="auto" w:fill="ced7e7"/>
        </w:tblPrEx>
        <w:trPr>
          <w:trHeight w:val="250" w:hRule="atLeast"/>
        </w:trPr>
        <w:tc>
          <w:tcPr>
            <w:tcW w:type="dxa" w:w="2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Route:</w:t>
            </w:r>
          </w:p>
        </w:tc>
        <w:tc>
          <w:tcPr>
            <w:tcW w:type="dxa" w:w="58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Main building walkways.</w:t>
            </w:r>
          </w:p>
        </w:tc>
      </w:tr>
    </w:tbl>
    <w:p>
      <w:pPr>
        <w:pStyle w:val="Body"/>
        <w:widowControl w:val="0"/>
        <w:spacing w:line="240" w:lineRule="auto"/>
      </w:pPr>
    </w:p>
    <w:p>
      <w:pPr>
        <w:pStyle w:val="Body"/>
      </w:pPr>
    </w:p>
    <w:p>
      <w:pPr>
        <w:pStyle w:val="Body"/>
      </w:pPr>
    </w:p>
    <w:p>
      <w:pPr>
        <w:pStyle w:val="Body"/>
      </w:pPr>
    </w:p>
    <w:p>
      <w:pPr>
        <w:pStyle w:val="Body"/>
        <w:rPr>
          <w:sz w:val="32"/>
          <w:szCs w:val="32"/>
        </w:rPr>
      </w:pPr>
    </w:p>
    <w:p>
      <w:pPr>
        <w:pStyle w:val="Body"/>
        <w:rPr>
          <w:rStyle w:val="page number"/>
          <w:sz w:val="32"/>
          <w:szCs w:val="32"/>
        </w:rPr>
      </w:pPr>
      <w:r>
        <w:rPr>
          <w:rStyle w:val="page number"/>
          <w:sz w:val="32"/>
          <w:szCs w:val="32"/>
          <w:rtl w:val="0"/>
          <w:lang w:val="en-US"/>
        </w:rPr>
        <w:t xml:space="preserve">Examination and Description of Health and Safety Legislation Included </w:t>
      </w:r>
      <w:r>
        <w:rPr>
          <w:rStyle w:val="page number"/>
          <w:sz w:val="28"/>
          <w:szCs w:val="28"/>
          <w:rtl w:val="0"/>
          <w:lang w:val="en-US"/>
        </w:rPr>
        <w:t>(500 words)</w:t>
      </w:r>
    </w:p>
    <w:tbl>
      <w:tblPr>
        <w:tblW w:w="85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22"/>
      </w:tblGrid>
      <w:tr>
        <w:tblPrEx>
          <w:shd w:val="clear" w:color="auto" w:fill="ced7e7"/>
        </w:tblPrEx>
        <w:trPr>
          <w:trHeight w:val="8494" w:hRule="atLeast"/>
        </w:trPr>
        <w:tc>
          <w:tcPr>
            <w:tcW w:type="dxa" w:w="85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r>
              <w:rPr>
                <w:rtl w:val="0"/>
                <w:lang w:val="en-US"/>
              </w:rPr>
              <w:t xml:space="preserve">In the event of an incident occurring which causes injury, disease or a dangerous occurrence. </w:t>
            </w:r>
            <w:r>
              <w:rPr>
                <w:rtl w:val="0"/>
                <w:lang w:val="en-US"/>
              </w:rPr>
              <w:t>Incidents involving members of the public which result in them being taken directly to hospital must be reported</w:t>
            </w:r>
            <w:r>
              <w:rPr>
                <w:rtl w:val="0"/>
                <w:lang w:val="en-US"/>
              </w:rPr>
              <w:t xml:space="preserve"> to the Incident Contact Centre at the Health and Safety Executive</w:t>
            </w:r>
            <w:r>
              <w:rPr>
                <w:rtl w:val="0"/>
                <w:lang w:val="en-US"/>
              </w:rPr>
              <w:t>. This includes violent incidents that result in physical injury. However, RIDDOR does not cover threats and verbal abuse.</w:t>
            </w:r>
            <w:r>
              <w:rPr>
                <w:rtl w:val="0"/>
                <w:lang w:val="en-US"/>
              </w:rPr>
              <w:t>(RIDDOR, 1995).</w:t>
            </w: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pPr>
            <w:r>
              <w:rPr>
                <w:rStyle w:val="page number"/>
                <w:lang w:val="en-US"/>
              </w:rPr>
            </w:r>
          </w:p>
        </w:tc>
      </w:tr>
    </w:tbl>
    <w:p>
      <w:pPr>
        <w:pStyle w:val="Body"/>
        <w:widowControl w:val="0"/>
        <w:spacing w:line="240" w:lineRule="auto"/>
        <w:rPr>
          <w:rStyle w:val="page number"/>
          <w:sz w:val="32"/>
          <w:szCs w:val="32"/>
        </w:rPr>
      </w:pPr>
    </w:p>
    <w:p>
      <w:pPr>
        <w:pStyle w:val="Body"/>
        <w:jc w:val="both"/>
        <w:rPr>
          <w:rStyle w:val="page number"/>
          <w:b w:val="1"/>
          <w:bCs w:val="1"/>
          <w:u w:val="single"/>
        </w:rPr>
      </w:pPr>
    </w:p>
    <w:p>
      <w:pPr>
        <w:pStyle w:val="Body"/>
        <w:sectPr>
          <w:headerReference w:type="default" r:id="rId4"/>
          <w:headerReference w:type="first" r:id="rId5"/>
          <w:footerReference w:type="default" r:id="rId6"/>
          <w:footerReference w:type="first" r:id="rId7"/>
          <w:pgSz w:w="11900" w:h="16840" w:orient="portrait"/>
          <w:pgMar w:top="1701" w:right="1701" w:bottom="1559" w:left="1701" w:header="708" w:footer="708"/>
          <w:titlePg w:val="1"/>
          <w:bidi w:val="0"/>
        </w:sectPr>
      </w:pPr>
    </w:p>
    <w:p>
      <w:pPr>
        <w:pStyle w:val="Body"/>
        <w:rPr>
          <w:rStyle w:val="page number"/>
          <w:sz w:val="32"/>
          <w:szCs w:val="32"/>
        </w:rPr>
      </w:pPr>
      <w:r>
        <w:rPr>
          <w:rStyle w:val="page number"/>
          <w:sz w:val="32"/>
          <w:szCs w:val="32"/>
          <w:rtl w:val="0"/>
          <w:lang w:val="en-US"/>
        </w:rPr>
        <w:t>Event Risk Assessment</w:t>
      </w:r>
    </w:p>
    <w:p>
      <w:pPr>
        <w:pStyle w:val="Body"/>
      </w:pPr>
    </w:p>
    <w:tbl>
      <w:tblPr>
        <w:tblW w:w="140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34"/>
        <w:gridCol w:w="3260"/>
        <w:gridCol w:w="2126"/>
        <w:gridCol w:w="3119"/>
        <w:gridCol w:w="2693"/>
        <w:gridCol w:w="1134"/>
        <w:gridCol w:w="1134"/>
      </w:tblGrid>
      <w:tr>
        <w:tblPrEx>
          <w:shd w:val="clear" w:color="auto" w:fill="ced7e7"/>
        </w:tblPrEx>
        <w:trPr>
          <w:trHeight w:val="1078"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Style w:val="page number"/>
                <w:rtl w:val="0"/>
                <w:lang w:val="en-US"/>
              </w:rPr>
              <w:t>Ref</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rPr>
                <w:rStyle w:val="page number"/>
              </w:rPr>
            </w:pPr>
            <w:r>
              <w:rPr>
                <w:rStyle w:val="page number"/>
                <w:rtl w:val="0"/>
                <w:lang w:val="en-US"/>
              </w:rPr>
              <w:t>Hazard / Task / Activity</w:t>
            </w:r>
          </w:p>
          <w:p>
            <w:pPr>
              <w:pStyle w:val="Body"/>
              <w:jc w:val="center"/>
            </w:pPr>
            <w:r>
              <w:rPr>
                <w:rStyle w:val="page number"/>
                <w:rtl w:val="0"/>
                <w:lang w:val="en-US"/>
              </w:rPr>
              <w:t xml:space="preserve"> Area of Concern</w:t>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Style w:val="page number"/>
                <w:rtl w:val="0"/>
                <w:lang w:val="en-US"/>
              </w:rPr>
              <w:t>Persons at Risk</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Style w:val="page number"/>
                <w:rtl w:val="0"/>
                <w:lang w:val="en-US"/>
              </w:rPr>
              <w:t>Existing Controls</w:t>
            </w: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Style w:val="page number"/>
                <w:rtl w:val="0"/>
                <w:lang w:val="en-US"/>
              </w:rPr>
              <w:t>Describe Any Further Controls Actions Needed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Style w:val="page number"/>
                <w:rtl w:val="0"/>
                <w:lang w:val="en-US"/>
              </w:rPr>
              <w:t>Actions By Whom</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pPr>
            <w:r>
              <w:rPr>
                <w:rStyle w:val="page number"/>
                <w:rtl w:val="0"/>
                <w:lang w:val="en-US"/>
              </w:rPr>
              <w:t>Action By When</w:t>
            </w:r>
          </w:p>
        </w:tc>
      </w:tr>
      <w:tr>
        <w:tblPrEx>
          <w:shd w:val="clear" w:color="auto" w:fill="ced7e7"/>
        </w:tblPrEx>
        <w:trPr>
          <w:trHeight w:val="1078"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p>
          <w:p>
            <w:pPr>
              <w:pStyle w:val="Body"/>
            </w:pPr>
            <w:r>
              <w:rPr>
                <w:rStyle w:val="page number"/>
                <w:rtl w:val="0"/>
                <w:lang w:val="en-US"/>
              </w:rPr>
              <w:t>1</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Preparation of hot drinks, scalding from hot fluids and steam.</w:t>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 xml:space="preserve">Staff </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Temperature control on equipment.</w:t>
            </w: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None required.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286"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p>
          <w:p>
            <w:pPr>
              <w:pStyle w:val="Body"/>
            </w:pPr>
            <w:r>
              <w:rPr>
                <w:rStyle w:val="page number"/>
                <w:rtl w:val="0"/>
                <w:lang w:val="en-US"/>
              </w:rPr>
              <w:t>2</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Wet floor's due to spillages. risk of slipping.</w:t>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Staff and Students</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Wet floor signs.</w:t>
            </w: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Students and staff to be mindful of spillages, observe wet floor signs where applicable. Students and staff to report spillages to cafe satff.</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2"/>
                <w:szCs w:val="22"/>
                <w:u w:val="none" w:color="000000"/>
                <w:vertAlign w:val="baseline"/>
                <w:rtl w:val="0"/>
              </w:rPr>
              <w:t>Students and staff</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ASAP</w:t>
            </w:r>
          </w:p>
        </w:tc>
      </w:tr>
      <w:tr>
        <w:tblPrEx>
          <w:shd w:val="clear" w:color="auto" w:fill="ced7e7"/>
        </w:tblPrEx>
        <w:trPr>
          <w:trHeight w:val="2734"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p>
          <w:p>
            <w:pPr>
              <w:pStyle w:val="Body"/>
            </w:pPr>
            <w:r>
              <w:rPr>
                <w:rStyle w:val="page number"/>
                <w:rtl w:val="0"/>
                <w:lang w:val="en-US"/>
              </w:rPr>
              <w:t>3</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Carriage of hot drinks, hot fluid and hot container. risk of scalding and/or spillages.</w:t>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Students</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Cardboard sleeve around disposable cups.</w:t>
            </w:r>
          </w:p>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plastic safety lid to prevent spillages.</w:t>
            </w: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students to be mindful when carrying hot drinks and observe surrounding customers, careful not to spill the hot drink.</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2"/>
                <w:szCs w:val="22"/>
                <w:u w:val="none" w:color="000000"/>
                <w:vertAlign w:val="baseline"/>
                <w:rtl w:val="0"/>
              </w:rPr>
              <w:t>Students and staff</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200" w:line="276" w:lineRule="auto"/>
              <w:ind w:left="0" w:right="0" w:firstLine="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At all times</w:t>
            </w:r>
          </w:p>
        </w:tc>
      </w:tr>
      <w:tr>
        <w:tblPrEx>
          <w:shd w:val="clear" w:color="auto" w:fill="ced7e7"/>
        </w:tblPrEx>
        <w:trPr>
          <w:trHeight w:val="526"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p>
          <w:p>
            <w:pPr>
              <w:pStyle w:val="Body"/>
            </w:pPr>
            <w:r>
              <w:rPr>
                <w:rStyle w:val="page number"/>
                <w:rtl w:val="0"/>
                <w:lang w:val="en-US"/>
              </w:rPr>
              <w:t>4</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6"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p>
          <w:p>
            <w:pPr>
              <w:pStyle w:val="Body"/>
            </w:pPr>
            <w:r>
              <w:rPr>
                <w:rStyle w:val="page number"/>
                <w:rtl w:val="0"/>
                <w:lang w:val="en-US"/>
              </w:rPr>
              <w:t>5</w:t>
            </w:r>
          </w:p>
        </w:tc>
        <w:tc>
          <w:tcPr>
            <w:tcW w:type="dxa" w:w="3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rPr>
          <w:sz w:val="18"/>
          <w:szCs w:val="18"/>
        </w:rPr>
      </w:pPr>
    </w:p>
    <w:p>
      <w:pPr>
        <w:pStyle w:val="Body"/>
      </w:pPr>
    </w:p>
    <w:p>
      <w:pPr>
        <w:pStyle w:val="Body"/>
        <w:sectPr>
          <w:headerReference w:type="default" r:id="rId8"/>
          <w:footerReference w:type="default" r:id="rId9"/>
          <w:pgSz w:w="11900" w:h="16840" w:orient="portrait"/>
          <w:pgMar w:top="1440" w:right="1440" w:bottom="1440" w:left="1440" w:header="708" w:footer="708"/>
          <w:bidi w:val="0"/>
        </w:sectPr>
      </w:pPr>
    </w:p>
    <w:p>
      <w:pPr>
        <w:pStyle w:val="Body"/>
      </w:pPr>
    </w:p>
    <w:p>
      <w:pPr>
        <w:pStyle w:val="Body"/>
        <w:rPr>
          <w:rStyle w:val="page number"/>
          <w:sz w:val="32"/>
          <w:szCs w:val="32"/>
        </w:rPr>
      </w:pPr>
      <w:r>
        <w:rPr>
          <w:rStyle w:val="page number"/>
          <w:sz w:val="32"/>
          <w:szCs w:val="32"/>
          <w:rtl w:val="0"/>
          <w:lang w:val="en-US"/>
        </w:rPr>
        <w:t xml:space="preserve">Review of Risk Assessment </w:t>
      </w:r>
      <w:r>
        <w:rPr>
          <w:rStyle w:val="page number"/>
          <w:sz w:val="28"/>
          <w:szCs w:val="28"/>
          <w:rtl w:val="0"/>
          <w:lang w:val="en-US"/>
        </w:rPr>
        <w:t>(250 words minimum; to be completed after event)</w:t>
      </w:r>
    </w:p>
    <w:tbl>
      <w:tblPr>
        <w:tblW w:w="85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18"/>
        <w:gridCol w:w="6704"/>
      </w:tblGrid>
      <w:tr>
        <w:tblPrEx>
          <w:shd w:val="clear" w:color="auto" w:fill="ced7e7"/>
        </w:tblPrEx>
        <w:trPr>
          <w:trHeight w:val="250" w:hRule="atLeast"/>
        </w:trPr>
        <w:tc>
          <w:tcPr>
            <w:tcW w:type="dxa" w:w="1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rtl w:val="0"/>
                <w:lang w:val="en-US"/>
              </w:rPr>
              <w:t>Review Date:</w:t>
            </w:r>
          </w:p>
        </w:tc>
        <w:tc>
          <w:tcPr>
            <w:tcW w:type="dxa" w:w="6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page number"/>
                <w:color w:val="808080"/>
                <w:u w:color="808080"/>
                <w:rtl w:val="0"/>
                <w:lang w:val="en-US"/>
              </w:rPr>
              <w:t>22/04/2019</w:t>
            </w:r>
          </w:p>
        </w:tc>
      </w:tr>
      <w:tr>
        <w:tblPrEx>
          <w:shd w:val="clear" w:color="auto" w:fill="ced7e7"/>
        </w:tblPrEx>
        <w:trPr>
          <w:trHeight w:val="5914" w:hRule="atLeast"/>
        </w:trPr>
        <w:tc>
          <w:tcPr>
            <w:tcW w:type="dxa" w:w="852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page number"/>
                <w:lang w:val="en-US"/>
              </w:rPr>
            </w:pPr>
            <w:r>
              <w:rPr>
                <w:rtl w:val="0"/>
                <w:lang w:val="en-US"/>
              </w:rPr>
              <w:t xml:space="preserve">The event went as planned and no incidents occurred. Students were briefed of the risks involved by means of reading the acquired risk assessment. It was not included in the risk assessment for carriage of hot food items and/or cutlery which could potentially cause harm if the existing controls were not followed. All participating students remained vigilant of all customers present to prevent harm to themselves or  others from the spillage of drinks and/or food items. </w:t>
            </w: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rPr>
                <w:rStyle w:val="page number"/>
                <w:lang w:val="en-US"/>
              </w:rPr>
            </w:pPr>
          </w:p>
          <w:p>
            <w:pPr>
              <w:pStyle w:val="Body"/>
            </w:pPr>
            <w:r>
              <w:rPr>
                <w:rStyle w:val="page number"/>
                <w:lang w:val="en-US"/>
              </w:rPr>
            </w:r>
          </w:p>
        </w:tc>
      </w:tr>
    </w:tbl>
    <w:p>
      <w:pPr>
        <w:pStyle w:val="Body"/>
        <w:widowControl w:val="0"/>
        <w:spacing w:line="240" w:lineRule="auto"/>
        <w:rPr>
          <w:rStyle w:val="page number"/>
          <w:sz w:val="32"/>
          <w:szCs w:val="32"/>
        </w:rPr>
      </w:pPr>
    </w:p>
    <w:p>
      <w:pPr>
        <w:pStyle w:val="Body"/>
        <w:jc w:val="both"/>
        <w:rPr>
          <w:rStyle w:val="page number"/>
          <w:b w:val="1"/>
          <w:bCs w:val="1"/>
          <w:u w:val="single"/>
        </w:rPr>
      </w:pPr>
    </w:p>
    <w:p>
      <w:pPr>
        <w:pStyle w:val="Body"/>
        <w:jc w:val="both"/>
        <w:rPr>
          <w:rStyle w:val="page number"/>
          <w:b w:val="1"/>
          <w:bCs w:val="1"/>
          <w:u w:val="single"/>
        </w:rPr>
      </w:pPr>
      <w:r>
        <w:rPr>
          <w:rStyle w:val="page number"/>
          <w:b w:val="1"/>
          <w:bCs w:val="1"/>
          <w:u w:val="single"/>
          <w:rtl w:val="0"/>
          <w:lang w:val="en-US"/>
        </w:rPr>
        <w:t>FULL RISK ASSESSMENTS MUST BE COMPLETED FOR ALL VISITS</w:t>
      </w:r>
    </w:p>
    <w:p>
      <w:pPr>
        <w:pStyle w:val="Body"/>
        <w:jc w:val="both"/>
        <w:rPr>
          <w:rStyle w:val="page number"/>
          <w:b w:val="1"/>
          <w:bCs w:val="1"/>
        </w:rPr>
      </w:pPr>
      <w:r>
        <w:rPr>
          <w:rStyle w:val="page number"/>
          <w:b w:val="1"/>
          <w:bCs w:val="1"/>
          <w:rtl w:val="0"/>
          <w:lang w:val="en-US"/>
        </w:rPr>
        <w:t>NOTES:</w:t>
        <w:tab/>
      </w:r>
    </w:p>
    <w:p>
      <w:pPr>
        <w:pStyle w:val="List Paragraph"/>
        <w:numPr>
          <w:ilvl w:val="0"/>
          <w:numId w:val="2"/>
        </w:numPr>
        <w:bidi w:val="0"/>
        <w:ind w:right="0"/>
        <w:jc w:val="both"/>
        <w:rPr>
          <w:rStyle w:val="page number"/>
          <w:b w:val="1"/>
          <w:bCs w:val="1"/>
          <w:rtl w:val="0"/>
          <w:lang w:val="en-US"/>
        </w:rPr>
      </w:pPr>
      <w:r>
        <w:rPr>
          <w:rStyle w:val="page number"/>
          <w:b w:val="1"/>
          <w:bCs w:val="1"/>
          <w:rtl w:val="0"/>
          <w:lang w:val="en-US"/>
        </w:rPr>
        <w:t>In the event of any student or member of staff listed below failing to attend for whatever reasons his/her name must be given to the Faculty Secretary.</w:t>
      </w:r>
    </w:p>
    <w:p>
      <w:pPr>
        <w:pStyle w:val="Body"/>
        <w:numPr>
          <w:ilvl w:val="0"/>
          <w:numId w:val="2"/>
        </w:numPr>
        <w:bidi w:val="0"/>
        <w:spacing w:after="0" w:line="240" w:lineRule="auto"/>
        <w:ind w:right="0"/>
        <w:jc w:val="both"/>
        <w:rPr>
          <w:rStyle w:val="page number"/>
          <w:b w:val="1"/>
          <w:bCs w:val="1"/>
          <w:rtl w:val="0"/>
          <w:lang w:val="en-US"/>
        </w:rPr>
      </w:pPr>
      <w:r>
        <w:rPr>
          <w:rStyle w:val="page number"/>
          <w:b w:val="1"/>
          <w:bCs w:val="1"/>
          <w:rtl w:val="0"/>
          <w:lang w:val="en-US"/>
        </w:rPr>
        <w:t xml:space="preserve">For purposes of Health Insurance the Tutor-in-Charge of the visit must make known to all members participating in the visit, the provisions contained in the relevant Insurance Notes. </w:t>
      </w:r>
    </w:p>
    <w:p>
      <w:pPr>
        <w:pStyle w:val="Body"/>
        <w:spacing w:after="0" w:line="240" w:lineRule="auto"/>
        <w:ind w:left="720" w:firstLine="0"/>
        <w:jc w:val="both"/>
        <w:rPr>
          <w:b w:val="1"/>
          <w:bCs w:val="1"/>
        </w:rPr>
      </w:pPr>
    </w:p>
    <w:p>
      <w:pPr>
        <w:pStyle w:val="List Paragraph"/>
        <w:numPr>
          <w:ilvl w:val="0"/>
          <w:numId w:val="2"/>
        </w:numPr>
        <w:bidi w:val="0"/>
        <w:ind w:right="0"/>
        <w:jc w:val="both"/>
        <w:rPr>
          <w:rStyle w:val="page number"/>
          <w:b w:val="1"/>
          <w:bCs w:val="1"/>
          <w:rtl w:val="0"/>
          <w:lang w:val="en-US"/>
        </w:rPr>
      </w:pPr>
      <w:r>
        <w:rPr>
          <w:rStyle w:val="page number"/>
          <w:b w:val="1"/>
          <w:bCs w:val="1"/>
          <w:rtl w:val="0"/>
          <w:lang w:val="en-US"/>
        </w:rPr>
        <w:t>The Event Manager must deliver to Module Lead of the proposed Educational Visit ALL names and mobile numbers of all Students who have agreed to participate in the Activity.</w:t>
      </w:r>
    </w:p>
    <w:p>
      <w:pPr>
        <w:pStyle w:val="Body"/>
      </w:pPr>
      <w:r/>
    </w:p>
    <w:sectPr>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505"/>
        <w:tab w:val="right" w:pos="9000"/>
        <w:tab w:val="clear" w:pos="9026"/>
      </w:tabs>
      <w:jc w:val="both"/>
    </w:pPr>
    <w:r>
      <w:rPr>
        <w:rtl w:val="0"/>
        <w:lang w:val="en-US"/>
      </w:rPr>
      <w:t>Trinity St. David</w:t>
      <w:tab/>
      <w:t xml:space="preserve">Page </w:t>
    </w:r>
    <w:r>
      <w:rPr/>
      <w:fldChar w:fldCharType="begin" w:fldLock="0"/>
    </w:r>
    <w:r>
      <w:instrText xml:space="preserve"> PAGE </w:instrText>
    </w:r>
    <w:r>
      <w:rPr/>
      <w:fldChar w:fldCharType="separate" w:fldLock="0"/>
    </w:r>
    <w:r>
      <w:t>2</w:t>
    </w:r>
    <w:r>
      <w:rPr/>
      <w:fldChar w:fldCharType="end" w:fldLock="0"/>
    </w:r>
    <w:r>
      <w:rPr>
        <w:rtl w:val="0"/>
        <w:lang w:val="en-US"/>
      </w:rPr>
      <w:t xml:space="preserve"> of </w:t>
    </w:r>
    <w:r>
      <w:rPr/>
      <w:fldChar w:fldCharType="begin" w:fldLock="0"/>
    </w:r>
    <w:r>
      <w:instrText xml:space="preserve"> NUMPAGES </w:instrText>
    </w:r>
    <w:r>
      <w:rPr/>
      <w:fldChar w:fldCharType="separate" w:fldLock="0"/>
    </w:r>
    <w:r>
      <w:t>4</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505"/>
        <w:tab w:val="right" w:pos="9000"/>
        <w:tab w:val="clear" w:pos="9026"/>
      </w:tabs>
      <w:jc w:val="both"/>
    </w:pPr>
    <w:r>
      <w:rPr>
        <w:rtl w:val="0"/>
        <w:lang w:val="en-US"/>
      </w:rPr>
      <w:t>Trinity St. David</w:t>
      <w:tab/>
      <w:t xml:space="preserve">Page </w:t>
    </w:r>
    <w:r>
      <w:rPr/>
      <w:fldChar w:fldCharType="begin" w:fldLock="0"/>
    </w:r>
    <w:r>
      <w:instrText xml:space="preserve"> PAGE </w:instrText>
    </w:r>
    <w:r>
      <w:rPr/>
      <w:fldChar w:fldCharType="separate" w:fldLock="0"/>
    </w:r>
    <w:r>
      <w:t>4</w:t>
    </w:r>
    <w:r>
      <w:rPr/>
      <w:fldChar w:fldCharType="end" w:fldLock="0"/>
    </w:r>
    <w:r>
      <w:rPr>
        <w:rtl w:val="0"/>
        <w:lang w:val="en-US"/>
      </w:rPr>
      <w:t xml:space="preserve"> of </w:t>
    </w:r>
    <w:r>
      <w:rPr/>
      <w:fldChar w:fldCharType="begin" w:fldLock="0"/>
    </w:r>
    <w:r>
      <w:instrText xml:space="preserve"> NUMPAGES </w:instrText>
    </w:r>
    <w:r>
      <w:rPr/>
      <w:fldChar w:fldCharType="separate" w:fldLock="0"/>
    </w:r>
    <w:r>
      <w:t>4</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jc w:val="right"/>
      <w:rPr>
        <w:rStyle w:val="page number"/>
        <w:sz w:val="16"/>
        <w:szCs w:val="16"/>
      </w:rPr>
    </w:pPr>
    <w:r>
      <mc:AlternateContent>
        <mc:Choice Requires="wps">
          <w:drawing>
            <wp:anchor distT="152400" distB="152400" distL="152400" distR="152400" simplePos="0" relativeHeight="251658240" behindDoc="1" locked="0" layoutInCell="1" allowOverlap="1">
              <wp:simplePos x="0" y="0"/>
              <wp:positionH relativeFrom="page">
                <wp:posOffset>1047750</wp:posOffset>
              </wp:positionH>
              <wp:positionV relativeFrom="page">
                <wp:posOffset>626110</wp:posOffset>
              </wp:positionV>
              <wp:extent cx="5457826" cy="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5457826" cy="0"/>
                      </a:xfrm>
                      <a:prstGeom prst="line">
                        <a:avLst/>
                      </a:prstGeom>
                      <a:noFill/>
                      <a:ln w="9525" cap="flat">
                        <a:solidFill>
                          <a:srgbClr val="000000"/>
                        </a:solidFill>
                        <a:prstDash val="solid"/>
                        <a:round/>
                      </a:ln>
                      <a:effectLst/>
                    </wps:spPr>
                    <wps:bodyPr/>
                  </wps:wsp>
                </a:graphicData>
              </a:graphic>
            </wp:anchor>
          </w:drawing>
        </mc:Choice>
        <mc:Fallback>
          <w:pict>
            <v:line id="_x0000_s1026" style="visibility:visible;position:absolute;margin-left:82.5pt;margin-top:49.3pt;width:429.8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1047750</wp:posOffset>
              </wp:positionH>
              <wp:positionV relativeFrom="page">
                <wp:posOffset>9981564</wp:posOffset>
              </wp:positionV>
              <wp:extent cx="5457826" cy="0"/>
              <wp:effectExtent l="0" t="0" r="0" b="0"/>
              <wp:wrapNone/>
              <wp:docPr id="1073741827" name="officeArt object"/>
              <wp:cNvGraphicFramePr/>
              <a:graphic xmlns:a="http://schemas.openxmlformats.org/drawingml/2006/main">
                <a:graphicData uri="http://schemas.microsoft.com/office/word/2010/wordprocessingShape">
                  <wps:wsp>
                    <wps:cNvSpPr/>
                    <wps:spPr>
                      <a:xfrm>
                        <a:off x="0" y="0"/>
                        <a:ext cx="5457826" cy="0"/>
                      </a:xfrm>
                      <a:prstGeom prst="line">
                        <a:avLst/>
                      </a:prstGeom>
                      <a:noFill/>
                      <a:ln w="9525" cap="flat">
                        <a:solidFill>
                          <a:srgbClr val="000000"/>
                        </a:solidFill>
                        <a:prstDash val="solid"/>
                        <a:round/>
                      </a:ln>
                      <a:effectLst/>
                    </wps:spPr>
                    <wps:bodyPr/>
                  </wps:wsp>
                </a:graphicData>
              </a:graphic>
            </wp:anchor>
          </w:drawing>
        </mc:Choice>
        <mc:Fallback>
          <w:pict>
            <v:line id="_x0000_s1027" style="visibility:visible;position:absolute;margin-left:82.5pt;margin-top:786.0pt;width:429.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page" anchory="page"/>
            </v:line>
          </w:pict>
        </mc:Fallback>
      </mc:AlternateContent>
    </w:r>
    <w:r>
      <w:drawing>
        <wp:inline distT="0" distB="0" distL="0" distR="0">
          <wp:extent cx="2019300" cy="438150"/>
          <wp:effectExtent l="0" t="0" r="0" b="0"/>
          <wp:docPr id="1073741825" name="officeArt object" descr="SMULogo"/>
          <wp:cNvGraphicFramePr/>
          <a:graphic xmlns:a="http://schemas.openxmlformats.org/drawingml/2006/main">
            <a:graphicData uri="http://schemas.openxmlformats.org/drawingml/2006/picture">
              <pic:pic xmlns:pic="http://schemas.openxmlformats.org/drawingml/2006/picture">
                <pic:nvPicPr>
                  <pic:cNvPr id="1073741825" name="image1.png" descr="SMULogo"/>
                  <pic:cNvPicPr>
                    <a:picLocks noChangeAspect="1"/>
                  </pic:cNvPicPr>
                </pic:nvPicPr>
                <pic:blipFill>
                  <a:blip r:embed="rId1">
                    <a:extLst/>
                  </a:blip>
                  <a:stretch>
                    <a:fillRect/>
                  </a:stretch>
                </pic:blipFill>
                <pic:spPr>
                  <a:xfrm>
                    <a:off x="0" y="0"/>
                    <a:ext cx="2019300" cy="438150"/>
                  </a:xfrm>
                  <a:prstGeom prst="rect">
                    <a:avLst/>
                  </a:prstGeom>
                  <a:ln w="12700" cap="flat">
                    <a:noFill/>
                    <a:miter lim="400000"/>
                  </a:ln>
                  <a:effectLst/>
                </pic:spPr>
              </pic:pic>
            </a:graphicData>
          </a:graphic>
        </wp:inline>
      </w:drawing>
    </w:r>
  </w:p>
  <w:p>
    <w:pPr>
      <w:pStyle w:val="header"/>
      <w:tabs>
        <w:tab w:val="right" w:pos="9000"/>
        <w:tab w:val="clear" w:pos="9026"/>
      </w:tabs>
      <w:rPr>
        <w:sz w:val="16"/>
        <w:szCs w:val="16"/>
      </w:rPr>
    </w:pPr>
  </w:p>
  <w:p>
    <w:pPr>
      <w:pStyle w:val="header"/>
      <w:tabs>
        <w:tab w:val="right" w:pos="8505"/>
        <w:tab w:val="right" w:pos="9000"/>
        <w:tab w:val="clear" w:pos="9026"/>
      </w:tabs>
    </w:pPr>
    <w:r>
      <w:rPr>
        <w:rStyle w:val="page number"/>
        <w:sz w:val="16"/>
        <w:szCs w:val="16"/>
        <w:rtl w:val="0"/>
        <w:lang w:val="en-US"/>
      </w:rPr>
      <w:t xml:space="preserve">Event Risk Assessment </w:t>
      <w:tab/>
      <w:tab/>
    </w:r>
  </w:p>
  <w:p>
    <w:pPr>
      <w:pStyle w:val="Body"/>
    </w:pPr>
  </w:p>
  <w:p>
    <w:pPr>
      <w:pStyle w:val="header"/>
      <w:tabs>
        <w:tab w:val="right" w:pos="9000"/>
        <w:tab w:val="right" w:pos="9000"/>
        <w:tab w:val="clear" w:pos="9026"/>
      </w:tabs>
    </w:pPr>
    <w:r>
      <w:tab/>
      <w:tab/>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jc w:val="right"/>
    </w:pPr>
    <w:r>
      <w:drawing>
        <wp:inline distT="0" distB="0" distL="0" distR="0">
          <wp:extent cx="2019300" cy="438150"/>
          <wp:effectExtent l="0" t="0" r="0" b="0"/>
          <wp:docPr id="1073741828" name="officeArt object" descr="SMULogo"/>
          <wp:cNvGraphicFramePr/>
          <a:graphic xmlns:a="http://schemas.openxmlformats.org/drawingml/2006/main">
            <a:graphicData uri="http://schemas.openxmlformats.org/drawingml/2006/picture">
              <pic:pic xmlns:pic="http://schemas.openxmlformats.org/drawingml/2006/picture">
                <pic:nvPicPr>
                  <pic:cNvPr id="1073741828" name="image1.png" descr="SMULogo"/>
                  <pic:cNvPicPr>
                    <a:picLocks noChangeAspect="1"/>
                  </pic:cNvPicPr>
                </pic:nvPicPr>
                <pic:blipFill>
                  <a:blip r:embed="rId1">
                    <a:extLst/>
                  </a:blip>
                  <a:stretch>
                    <a:fillRect/>
                  </a:stretch>
                </pic:blipFill>
                <pic:spPr>
                  <a:xfrm>
                    <a:off x="0" y="0"/>
                    <a:ext cx="2019300" cy="438150"/>
                  </a:xfrm>
                  <a:prstGeom prst="rect">
                    <a:avLst/>
                  </a:prstGeom>
                  <a:ln w="12700" cap="flat">
                    <a:noFill/>
                    <a:miter lim="400000"/>
                  </a:ln>
                  <a:effectLst/>
                </pic:spPr>
              </pic:pic>
            </a:graphicData>
          </a:graphic>
        </wp:inline>
      </w:drawing>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jc w:val="right"/>
    </w:pPr>
    <w:r>
      <w:drawing>
        <wp:anchor distT="152400" distB="152400" distL="152400" distR="152400" simplePos="0" relativeHeight="251658240" behindDoc="1" locked="0" layoutInCell="1" allowOverlap="1">
          <wp:simplePos x="0" y="0"/>
          <wp:positionH relativeFrom="page">
            <wp:posOffset>4162424</wp:posOffset>
          </wp:positionH>
          <wp:positionV relativeFrom="page">
            <wp:posOffset>447676</wp:posOffset>
          </wp:positionV>
          <wp:extent cx="1552575" cy="622378"/>
          <wp:effectExtent l="0" t="0" r="0" b="0"/>
          <wp:wrapNone/>
          <wp:docPr id="1073741829" name="officeArt object" descr="https://upload.wikimedia.org/wikipedia/en/f/fe/TSDLogo.png"/>
          <wp:cNvGraphicFramePr/>
          <a:graphic xmlns:a="http://schemas.openxmlformats.org/drawingml/2006/main">
            <a:graphicData uri="http://schemas.openxmlformats.org/drawingml/2006/picture">
              <pic:pic xmlns:pic="http://schemas.openxmlformats.org/drawingml/2006/picture">
                <pic:nvPicPr>
                  <pic:cNvPr id="1073741829" name="image2.png" descr="https://upload.wikimedia.org/wikipedia/en/f/fe/TSDLogo.png"/>
                  <pic:cNvPicPr>
                    <a:picLocks noChangeAspect="1"/>
                  </pic:cNvPicPr>
                </pic:nvPicPr>
                <pic:blipFill>
                  <a:blip r:embed="rId1">
                    <a:extLst/>
                  </a:blip>
                  <a:stretch>
                    <a:fillRect/>
                  </a:stretch>
                </pic:blipFill>
                <pic:spPr>
                  <a:xfrm>
                    <a:off x="0" y="0"/>
                    <a:ext cx="1552575" cy="622378"/>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59264" behindDoc="1" locked="0" layoutInCell="1" allowOverlap="1">
              <wp:simplePos x="0" y="0"/>
              <wp:positionH relativeFrom="page">
                <wp:posOffset>882014</wp:posOffset>
              </wp:positionH>
              <wp:positionV relativeFrom="page">
                <wp:posOffset>6849109</wp:posOffset>
              </wp:positionV>
              <wp:extent cx="5457826" cy="0"/>
              <wp:effectExtent l="0" t="0" r="0" b="0"/>
              <wp:wrapNone/>
              <wp:docPr id="1073741830" name="officeArt object"/>
              <wp:cNvGraphicFramePr/>
              <a:graphic xmlns:a="http://schemas.openxmlformats.org/drawingml/2006/main">
                <a:graphicData uri="http://schemas.microsoft.com/office/word/2010/wordprocessingShape">
                  <wps:wsp>
                    <wps:cNvSpPr/>
                    <wps:spPr>
                      <a:xfrm>
                        <a:off x="0" y="0"/>
                        <a:ext cx="5457826" cy="0"/>
                      </a:xfrm>
                      <a:prstGeom prst="line">
                        <a:avLst/>
                      </a:prstGeom>
                      <a:noFill/>
                      <a:ln w="9525" cap="flat">
                        <a:solidFill>
                          <a:srgbClr val="000000"/>
                        </a:solidFill>
                        <a:prstDash val="solid"/>
                        <a:round/>
                      </a:ln>
                      <a:effectLst/>
                    </wps:spPr>
                    <wps:bodyPr/>
                  </wps:wsp>
                </a:graphicData>
              </a:graphic>
            </wp:anchor>
          </w:drawing>
        </mc:Choice>
        <mc:Fallback>
          <w:pict>
            <v:line id="_x0000_s1028" style="visibility:visible;position:absolute;margin-left:69.4pt;margin-top:539.3pt;width:429.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8pt" dashstyle="solid" endcap="flat" joinstyle="round" linestyle="single" startarrow="none" startarrowwidth="medium" startarrowlength="medium" endarrow="none" endarrowwidth="medium" endarrowlength="medium"/>
              <w10:wrap type="none" side="bothSides" anchorx="page" anchory="page"/>
            </v:lin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lowerRoman"/>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Roman"/>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lowerRoman"/>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Roman"/>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Roman"/>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page number">
    <w:name w:val="page numbe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