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Times New Roman" w:cs="Times New Roman" w:hAnsi="Times New Roman" w:eastAsia="Times New Roman"/>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8"/>
          <w:szCs w:val="28"/>
          <w:lang w:val="en-US"/>
        </w:rPr>
      </w:pPr>
      <w:r>
        <w:rPr>
          <w:rFonts w:ascii="Arial" w:hAnsi="Arial"/>
          <w:sz w:val="28"/>
          <w:szCs w:val="28"/>
          <w:rtl w:val="0"/>
          <w:lang w:val="en-US"/>
        </w:rPr>
        <w:t xml:space="preserve">Creating a thriving learning culture </w:t>
      </w:r>
    </w:p>
    <w:p>
      <w:pPr>
        <w:pStyle w:val="Body A"/>
        <w:jc w:val="center"/>
        <w:rPr>
          <w:rFonts w:ascii="Arial" w:cs="Arial" w:hAnsi="Arial" w:eastAsia="Arial"/>
          <w:sz w:val="28"/>
          <w:szCs w:val="28"/>
        </w:rPr>
      </w:pPr>
      <w:r>
        <w:rPr>
          <w:rFonts w:ascii="Arial" w:hAnsi="Arial"/>
          <w:sz w:val="28"/>
          <w:szCs w:val="28"/>
          <w:rtl w:val="0"/>
          <w:lang w:val="en-US"/>
        </w:rPr>
        <w:t>with</w:t>
      </w:r>
      <w:r>
        <w:rPr>
          <w:rFonts w:ascii="Arial" w:hAnsi="Arial"/>
          <w:sz w:val="28"/>
          <w:szCs w:val="28"/>
          <w:rtl w:val="0"/>
          <w:lang w:val="en-US"/>
        </w:rPr>
        <w:t>in</w:t>
      </w:r>
      <w:r>
        <w:rPr>
          <w:rFonts w:ascii="Arial" w:hAnsi="Arial"/>
          <w:sz w:val="28"/>
          <w:szCs w:val="28"/>
          <w:rtl w:val="0"/>
          <w:lang w:val="en-US"/>
        </w:rPr>
        <w:t xml:space="preserve"> an organisation</w:t>
      </w: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jc w:val="center"/>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Name: Callum Griffiths-Barlow</w:t>
      </w:r>
    </w:p>
    <w:p>
      <w:pPr>
        <w:pStyle w:val="Body A"/>
        <w:rPr>
          <w:rFonts w:ascii="Arial" w:cs="Arial" w:hAnsi="Arial" w:eastAsia="Arial"/>
          <w:b w:val="1"/>
          <w:bCs w:val="1"/>
          <w:sz w:val="24"/>
          <w:szCs w:val="24"/>
        </w:rPr>
      </w:pPr>
      <w:r>
        <w:rPr>
          <w:rFonts w:ascii="Arial" w:hAnsi="Arial"/>
          <w:b w:val="1"/>
          <w:bCs w:val="1"/>
          <w:sz w:val="24"/>
          <w:szCs w:val="24"/>
          <w:rtl w:val="0"/>
          <w:lang w:val="en-US"/>
        </w:rPr>
        <w:t>Student Number: 2316490</w:t>
      </w:r>
    </w:p>
    <w:p>
      <w:pPr>
        <w:pStyle w:val="Body A"/>
        <w:rPr>
          <w:rFonts w:ascii="Arial" w:cs="Arial" w:hAnsi="Arial" w:eastAsia="Arial"/>
          <w:b w:val="1"/>
          <w:bCs w:val="1"/>
          <w:sz w:val="24"/>
          <w:szCs w:val="24"/>
        </w:rPr>
      </w:pPr>
      <w:r>
        <w:rPr>
          <w:rFonts w:ascii="Arial" w:hAnsi="Arial"/>
          <w:b w:val="1"/>
          <w:bCs w:val="1"/>
          <w:sz w:val="24"/>
          <w:szCs w:val="24"/>
          <w:rtl w:val="0"/>
          <w:lang w:val="en-US"/>
        </w:rPr>
        <w:t>Word Count:</w:t>
      </w:r>
      <w:r>
        <w:rPr>
          <w:rFonts w:ascii="Arial" w:hAnsi="Arial"/>
          <w:b w:val="1"/>
          <w:bCs w:val="1"/>
          <w:sz w:val="24"/>
          <w:szCs w:val="24"/>
          <w:rtl w:val="0"/>
          <w:lang w:val="en-US"/>
        </w:rPr>
        <w:t xml:space="preserve"> 3832</w:t>
      </w:r>
    </w:p>
    <w:p>
      <w:pPr>
        <w:pStyle w:val="Body A"/>
        <w:rPr>
          <w:rFonts w:ascii="Arial" w:cs="Arial" w:hAnsi="Arial" w:eastAsia="Arial"/>
          <w:u w:val="single"/>
        </w:rPr>
      </w:pPr>
    </w:p>
    <w:p>
      <w:pPr>
        <w:pStyle w:val="Body A"/>
        <w:rPr>
          <w:rFonts w:ascii="Arial" w:cs="Arial" w:hAnsi="Arial" w:eastAsia="Arial"/>
          <w:b w:val="1"/>
          <w:bCs w:val="1"/>
          <w:sz w:val="24"/>
          <w:szCs w:val="24"/>
          <w:u w:val="single"/>
        </w:rPr>
      </w:pPr>
      <w:r>
        <w:rPr>
          <w:rFonts w:ascii="Arial" w:hAnsi="Arial"/>
          <w:b w:val="1"/>
          <w:bCs w:val="1"/>
          <w:sz w:val="24"/>
          <w:szCs w:val="24"/>
          <w:u w:val="single"/>
          <w:rtl w:val="0"/>
          <w:lang w:val="en-US"/>
        </w:rPr>
        <w:t>I confirm this assignment is my own work</w:t>
      </w:r>
    </w:p>
    <w:p>
      <w:pPr>
        <w:pStyle w:val="Body A"/>
        <w:rPr>
          <w:rFonts w:ascii="Arial" w:cs="Arial" w:hAnsi="Arial" w:eastAsia="Arial"/>
          <w:sz w:val="24"/>
          <w:szCs w:val="24"/>
          <w:u w:val="single"/>
        </w:rPr>
      </w:pPr>
    </w:p>
    <w:p>
      <w:pPr>
        <w:pStyle w:val="Body A"/>
        <w:rPr>
          <w:rFonts w:ascii="Arial" w:cs="Arial" w:hAnsi="Arial" w:eastAsia="Arial"/>
          <w:u w:val="single"/>
        </w:rPr>
      </w:pPr>
    </w:p>
    <w:p>
      <w:pPr>
        <w:pStyle w:val="Body A"/>
        <w:rPr>
          <w:rFonts w:ascii="Arial" w:cs="Arial" w:hAnsi="Arial" w:eastAsia="Arial"/>
          <w:b w:val="1"/>
          <w:bCs w:val="1"/>
          <w:sz w:val="24"/>
          <w:szCs w:val="24"/>
          <w:u w:val="single"/>
        </w:rPr>
      </w:pPr>
      <w:r>
        <w:rPr>
          <w:rFonts w:ascii="Arial" w:hAnsi="Arial"/>
          <w:b w:val="1"/>
          <w:bCs w:val="1"/>
          <w:sz w:val="24"/>
          <w:szCs w:val="24"/>
          <w:u w:val="single"/>
          <w:rtl w:val="0"/>
          <w:lang w:val="en-US"/>
        </w:rPr>
        <w:t>EXECUTIVE SUMMARY</w:t>
      </w:r>
    </w:p>
    <w:p>
      <w:pPr>
        <w:pStyle w:val="Body A"/>
        <w:jc w:val="both"/>
        <w:rPr>
          <w:rFonts w:ascii="Arial" w:cs="Arial" w:hAnsi="Arial" w:eastAsia="Arial"/>
          <w:sz w:val="24"/>
          <w:szCs w:val="24"/>
        </w:rPr>
      </w:pPr>
    </w:p>
    <w:p>
      <w:pPr>
        <w:pStyle w:val="Body A"/>
        <w:bidi w:val="0"/>
        <w:ind w:left="0" w:right="0" w:firstLine="0"/>
        <w:jc w:val="both"/>
        <w:rPr>
          <w:rFonts w:ascii="Arial" w:cs="Arial" w:hAnsi="Arial" w:eastAsia="Arial"/>
          <w:sz w:val="24"/>
          <w:szCs w:val="24"/>
          <w:rtl w:val="0"/>
          <w:lang w:val="en-US"/>
        </w:rPr>
      </w:pPr>
      <w:r>
        <w:rPr>
          <w:rFonts w:ascii="Arial" w:hAnsi="Arial"/>
          <w:sz w:val="24"/>
          <w:szCs w:val="24"/>
          <w:rtl w:val="0"/>
          <w:lang w:val="en-US"/>
        </w:rPr>
        <w:t>This report highlights the findings of an evaluation conducted on the external and internal factors affecting learning and development within Dwr Cymru Welsh Water, both currently and in the coming years. A PESTLE analysis was completed to ensure that all factors were considered throughout. Given the limitations of PESTLE, a SWOT analysis and start, stop, continue exercise should be carried out by the learning and development team, in conjunction with the relevant managers, to ascertain where  further attention needs to be focused.</w:t>
      </w:r>
    </w:p>
    <w:p>
      <w:pPr>
        <w:pStyle w:val="Body A"/>
        <w:bidi w:val="0"/>
        <w:ind w:left="0" w:right="0" w:firstLine="0"/>
        <w:jc w:val="both"/>
        <w:rPr>
          <w:rFonts w:ascii="Arial" w:cs="Arial" w:hAnsi="Arial" w:eastAsia="Arial"/>
          <w:outline w:val="0"/>
          <w:color w:val="cc3480"/>
          <w:sz w:val="24"/>
          <w:szCs w:val="24"/>
          <w:rtl w:val="0"/>
          <w:lang w:val="en-US"/>
          <w14:textFill>
            <w14:solidFill>
              <w14:srgbClr w14:val="CC3581"/>
            </w14:solidFill>
          </w14:textFill>
        </w:rPr>
      </w:pPr>
    </w:p>
    <w:p>
      <w:pPr>
        <w:pStyle w:val="Body A"/>
        <w:bidi w:val="0"/>
        <w:ind w:left="0" w:right="0" w:firstLine="0"/>
        <w:jc w:val="both"/>
        <w:rPr>
          <w:rFonts w:ascii="Arial" w:cs="Arial" w:hAnsi="Arial" w:eastAsia="Arial"/>
          <w:outline w:val="0"/>
          <w:color w:val="000000"/>
          <w:sz w:val="24"/>
          <w:szCs w:val="24"/>
          <w:rtl w:val="0"/>
          <w:lang w:val="en-US"/>
          <w14:textFill>
            <w14:solidFill>
              <w14:srgbClr w14:val="000000"/>
            </w14:solidFill>
          </w14:textFill>
        </w:rPr>
      </w:pPr>
      <w:r>
        <w:rPr>
          <w:rFonts w:ascii="Arial" w:hAnsi="Arial"/>
          <w:outline w:val="0"/>
          <w:color w:val="000000"/>
          <w:sz w:val="24"/>
          <w:szCs w:val="24"/>
          <w:rtl w:val="0"/>
          <w:lang w:val="en-US"/>
          <w14:textFill>
            <w14:solidFill>
              <w14:srgbClr w14:val="000000"/>
            </w14:solidFill>
          </w14:textFill>
        </w:rPr>
        <w:t>A critical analysis has been carried out on the current approach taken by the Company, when it comes to learning and development, to aid in identifying how</w:t>
      </w:r>
      <w:r>
        <w:rPr>
          <w:rFonts w:ascii="Arial" w:hAnsi="Arial"/>
          <w:outline w:val="0"/>
          <w:color w:val="cc3480"/>
          <w:sz w:val="24"/>
          <w:szCs w:val="24"/>
          <w:rtl w:val="0"/>
          <w:lang w:val="en-US"/>
          <w14:textFill>
            <w14:solidFill>
              <w14:srgbClr w14:val="CC3581"/>
            </w14:solidFill>
          </w14:textFill>
        </w:rPr>
        <w:t xml:space="preserve"> </w:t>
      </w:r>
      <w:r>
        <w:rPr>
          <w:rFonts w:ascii="Arial" w:hAnsi="Arial"/>
          <w:outline w:val="0"/>
          <w:color w:val="000000"/>
          <w:sz w:val="24"/>
          <w:szCs w:val="24"/>
          <w:rtl w:val="0"/>
          <w:lang w:val="en-US"/>
          <w14:textFill>
            <w14:solidFill>
              <w14:srgbClr w14:val="000000"/>
            </w14:solidFill>
          </w14:textFill>
        </w:rPr>
        <w:t>this</w:t>
      </w:r>
      <w:r>
        <w:rPr>
          <w:rFonts w:ascii="Arial" w:hAnsi="Arial"/>
          <w:outline w:val="0"/>
          <w:color w:val="cc3480"/>
          <w:sz w:val="24"/>
          <w:szCs w:val="24"/>
          <w:rtl w:val="0"/>
          <w:lang w:val="en-US"/>
          <w14:textFill>
            <w14:solidFill>
              <w14:srgbClr w14:val="CC3581"/>
            </w14:solidFill>
          </w14:textFill>
        </w:rPr>
        <w:t xml:space="preserve"> </w:t>
      </w:r>
      <w:r>
        <w:rPr>
          <w:rFonts w:ascii="Arial" w:hAnsi="Arial"/>
          <w:outline w:val="0"/>
          <w:color w:val="000000"/>
          <w:sz w:val="24"/>
          <w:szCs w:val="24"/>
          <w:rtl w:val="0"/>
          <w:lang w:val="en-US"/>
          <w14:textFill>
            <w14:solidFill>
              <w14:srgbClr w14:val="000000"/>
            </w14:solidFill>
          </w14:textFill>
        </w:rPr>
        <w:t>can be improved.</w:t>
      </w:r>
    </w:p>
    <w:p>
      <w:pPr>
        <w:pStyle w:val="Body A"/>
        <w:bidi w:val="0"/>
        <w:ind w:left="0" w:right="0" w:firstLine="0"/>
        <w:jc w:val="both"/>
        <w:rPr>
          <w:rFonts w:ascii="Arial" w:cs="Arial" w:hAnsi="Arial" w:eastAsia="Arial"/>
          <w:outline w:val="0"/>
          <w:color w:val="cc3480"/>
          <w:sz w:val="24"/>
          <w:szCs w:val="24"/>
          <w:rtl w:val="0"/>
          <w:lang w:val="en-US"/>
          <w14:textFill>
            <w14:solidFill>
              <w14:srgbClr w14:val="CC3581"/>
            </w14:solidFill>
          </w14:textFill>
        </w:rPr>
      </w:pPr>
    </w:p>
    <w:p>
      <w:pPr>
        <w:pStyle w:val="Body A"/>
        <w:bidi w:val="0"/>
        <w:ind w:left="0" w:right="0" w:firstLine="0"/>
        <w:jc w:val="both"/>
        <w:rPr>
          <w:rFonts w:ascii="Arial" w:cs="Arial" w:hAnsi="Arial" w:eastAsia="Arial"/>
          <w:sz w:val="24"/>
          <w:szCs w:val="24"/>
          <w:rtl w:val="0"/>
          <w:lang w:val="en-US"/>
        </w:rPr>
      </w:pPr>
      <w:r>
        <w:rPr>
          <w:rFonts w:ascii="Arial" w:hAnsi="Arial"/>
          <w:sz w:val="24"/>
          <w:szCs w:val="24"/>
          <w:rtl w:val="0"/>
          <w:lang w:val="en-US"/>
        </w:rPr>
        <w:t>The main areas of concern I have discovered from my analysis need immediate management attention in order to prevent serious workforce implications moving forwards.</w:t>
      </w:r>
    </w:p>
    <w:p>
      <w:pPr>
        <w:pStyle w:val="Body A"/>
        <w:bidi w:val="0"/>
        <w:ind w:left="0" w:right="0" w:firstLine="0"/>
        <w:jc w:val="both"/>
        <w:rPr>
          <w:rFonts w:ascii="Arial" w:cs="Arial" w:hAnsi="Arial" w:eastAsia="Arial"/>
          <w:outline w:val="0"/>
          <w:color w:val="cc3480"/>
          <w:sz w:val="24"/>
          <w:szCs w:val="24"/>
          <w:rtl w:val="0"/>
          <w:lang w:val="en-US"/>
          <w14:textFill>
            <w14:solidFill>
              <w14:srgbClr w14:val="CC3581"/>
            </w14:solidFill>
          </w14:textFill>
        </w:rPr>
      </w:pPr>
    </w:p>
    <w:p>
      <w:pPr>
        <w:pStyle w:val="Body A"/>
        <w:bidi w:val="0"/>
        <w:ind w:left="0" w:right="0" w:firstLine="0"/>
        <w:jc w:val="both"/>
        <w:rPr>
          <w:rFonts w:ascii="Arial" w:cs="Arial" w:hAnsi="Arial" w:eastAsia="Arial"/>
          <w:sz w:val="24"/>
          <w:szCs w:val="24"/>
          <w:rtl w:val="0"/>
          <w:lang w:val="en-US"/>
        </w:rPr>
      </w:pPr>
      <w:r>
        <w:rPr>
          <w:rFonts w:ascii="Arial" w:hAnsi="Arial"/>
          <w:sz w:val="24"/>
          <w:szCs w:val="24"/>
          <w:rtl w:val="0"/>
          <w:lang w:val="en-US"/>
        </w:rPr>
        <w:t>Recommendations discussed within the report are:</w:t>
      </w:r>
    </w:p>
    <w:p>
      <w:pPr>
        <w:pStyle w:val="Body A"/>
        <w:bidi w:val="0"/>
        <w:ind w:left="0" w:right="0" w:firstLine="0"/>
        <w:jc w:val="both"/>
        <w:rPr>
          <w:rFonts w:ascii="Arial" w:cs="Arial" w:hAnsi="Arial" w:eastAsia="Arial"/>
          <w:outline w:val="0"/>
          <w:color w:val="cc3480"/>
          <w:sz w:val="24"/>
          <w:szCs w:val="24"/>
          <w:rtl w:val="0"/>
          <w:lang w:val="en-US"/>
          <w14:textFill>
            <w14:solidFill>
              <w14:srgbClr w14:val="CC3581"/>
            </w14:solidFill>
          </w14:textFill>
        </w:rPr>
      </w:pPr>
    </w:p>
    <w:p>
      <w:pPr>
        <w:pStyle w:val="Body A"/>
        <w:numPr>
          <w:ilvl w:val="0"/>
          <w:numId w:val="2"/>
        </w:numPr>
        <w:bidi w:val="0"/>
        <w:ind w:right="0"/>
        <w:jc w:val="both"/>
        <w:rPr>
          <w:rFonts w:ascii="Arial" w:hAnsi="Arial"/>
          <w:sz w:val="24"/>
          <w:szCs w:val="24"/>
          <w:rtl w:val="0"/>
          <w:lang w:val="en-US"/>
        </w:rPr>
      </w:pPr>
      <w:r>
        <w:rPr>
          <w:rFonts w:ascii="Arial" w:hAnsi="Arial"/>
          <w:sz w:val="24"/>
          <w:szCs w:val="24"/>
          <w:rtl w:val="0"/>
          <w:lang w:val="en-US"/>
        </w:rPr>
        <w:t>To improve collaboration within the HR function through the implementation of fortnightly face to face collaboration sessions.</w:t>
      </w:r>
    </w:p>
    <w:p>
      <w:pPr>
        <w:pStyle w:val="Body A"/>
        <w:bidi w:val="0"/>
        <w:ind w:left="0" w:right="0" w:firstLine="0"/>
        <w:jc w:val="both"/>
        <w:rPr>
          <w:rFonts w:ascii="Arial" w:cs="Arial" w:hAnsi="Arial" w:eastAsia="Arial"/>
          <w:sz w:val="24"/>
          <w:szCs w:val="24"/>
          <w:rtl w:val="0"/>
          <w:lang w:val="en-US"/>
        </w:rPr>
      </w:pPr>
    </w:p>
    <w:p>
      <w:pPr>
        <w:pStyle w:val="Body A"/>
        <w:numPr>
          <w:ilvl w:val="0"/>
          <w:numId w:val="2"/>
        </w:numPr>
        <w:bidi w:val="0"/>
        <w:ind w:right="0"/>
        <w:jc w:val="both"/>
        <w:rPr>
          <w:rFonts w:ascii="Arial" w:hAnsi="Arial"/>
          <w:sz w:val="24"/>
          <w:szCs w:val="24"/>
          <w:rtl w:val="0"/>
          <w:lang w:val="en-US"/>
        </w:rPr>
      </w:pPr>
      <w:r>
        <w:rPr>
          <w:rFonts w:ascii="Arial" w:hAnsi="Arial"/>
          <w:sz w:val="24"/>
          <w:szCs w:val="24"/>
          <w:rtl w:val="0"/>
          <w:lang w:val="en-US"/>
        </w:rPr>
        <w:t>There needs to be an overhaul of the l</w:t>
      </w:r>
      <w:r>
        <w:rPr>
          <w:rFonts w:ascii="Arial" w:hAnsi="Arial"/>
          <w:sz w:val="24"/>
          <w:szCs w:val="24"/>
          <w:rtl w:val="0"/>
          <w:lang w:val="en-US"/>
        </w:rPr>
        <w:t>ine manager competency training with it being brought more in line with what managers are expected to deal with in their role.</w:t>
      </w:r>
    </w:p>
    <w:p>
      <w:pPr>
        <w:pStyle w:val="Body A"/>
        <w:bidi w:val="0"/>
        <w:ind w:left="0" w:right="0" w:firstLine="0"/>
        <w:jc w:val="both"/>
        <w:rPr>
          <w:rFonts w:ascii="Arial" w:cs="Arial" w:hAnsi="Arial" w:eastAsia="Arial"/>
          <w:sz w:val="24"/>
          <w:szCs w:val="24"/>
          <w:rtl w:val="0"/>
          <w:lang w:val="en-US"/>
        </w:rPr>
      </w:pPr>
    </w:p>
    <w:p>
      <w:pPr>
        <w:pStyle w:val="Body A"/>
        <w:bidi w:val="0"/>
        <w:ind w:left="0" w:right="0" w:firstLine="0"/>
        <w:jc w:val="left"/>
        <w:rPr>
          <w:rFonts w:ascii="Arial" w:cs="Arial" w:hAnsi="Arial" w:eastAsia="Arial"/>
          <w:sz w:val="24"/>
          <w:szCs w:val="24"/>
          <w:rtl w:val="0"/>
          <w:lang w:val="en-US"/>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bidi w:val="0"/>
        <w:ind w:left="0" w:right="0" w:firstLine="0"/>
        <w:jc w:val="left"/>
        <w:rPr>
          <w:rFonts w:ascii="Arial" w:cs="Arial" w:hAnsi="Arial" w:eastAsia="Arial"/>
          <w:sz w:val="24"/>
          <w:szCs w:val="24"/>
          <w:rtl w:val="0"/>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rPr>
      </w:pPr>
    </w:p>
    <w:p>
      <w:pPr>
        <w:pStyle w:val="Body A"/>
        <w:rPr>
          <w:rFonts w:ascii="Arial" w:cs="Arial" w:hAnsi="Arial" w:eastAsia="Arial"/>
          <w:b w:val="1"/>
          <w:bCs w:val="1"/>
          <w:sz w:val="24"/>
          <w:szCs w:val="24"/>
          <w:u w:val="single"/>
        </w:rPr>
      </w:pPr>
      <w:r>
        <w:rPr>
          <w:rFonts w:ascii="Arial" w:hAnsi="Arial"/>
          <w:b w:val="1"/>
          <w:bCs w:val="1"/>
          <w:sz w:val="24"/>
          <w:szCs w:val="24"/>
          <w:u w:val="single"/>
          <w:rtl w:val="0"/>
          <w:lang w:val="en-US"/>
        </w:rPr>
        <w:t>Contents</w:t>
      </w:r>
    </w:p>
    <w:p>
      <w:pPr>
        <w:pStyle w:val="Body A"/>
        <w:rPr>
          <w:rFonts w:ascii="Arial" w:cs="Arial" w:hAnsi="Arial" w:eastAsia="Arial"/>
          <w:b w:val="1"/>
          <w:bCs w:val="1"/>
          <w:sz w:val="24"/>
          <w:szCs w:val="24"/>
          <w:u w:val="single"/>
        </w:rPr>
      </w:pPr>
    </w:p>
    <w:p>
      <w:pPr>
        <w:pStyle w:val="Body A"/>
        <w:rPr>
          <w:rFonts w:ascii="Arial" w:cs="Arial" w:hAnsi="Arial" w:eastAsia="Arial"/>
          <w:sz w:val="24"/>
          <w:szCs w:val="24"/>
        </w:rPr>
      </w:pPr>
    </w:p>
    <w:tbl>
      <w:tblPr>
        <w:tblW w:w="963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000000" w:sz="8" w:space="0" w:shadow="0" w:frame="0"/>
          <w:insideV w:val="single" w:color="000000" w:sz="8" w:space="0" w:shadow="0" w:frame="0"/>
        </w:tblBorders>
        <w:shd w:val="clear" w:color="auto" w:fill="cadfff"/>
        <w:tblLayout w:type="fixed"/>
      </w:tblPr>
      <w:tblGrid>
        <w:gridCol w:w="8531"/>
        <w:gridCol w:w="1099"/>
      </w:tblGrid>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Introduction</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Critical Analysis of DCWW</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s Current Approach</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Recommendations</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Conclusion</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rtl w:val="0"/>
                <w14:textOutline w14:w="12700" w14:cap="flat">
                  <w14:noFill/>
                  <w14:miter w14:lim="400000"/>
                </w14:textOutline>
                <w14:textFill>
                  <w14:solidFill>
                    <w14:srgbClr w14:val="000000"/>
                  </w14:solidFill>
                </w14:textFill>
              </w:rPr>
              <w:t>Reference List</w:t>
            </w: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adfff"/>
        </w:tblPrEx>
        <w:trPr>
          <w:trHeight w:val="295" w:hRule="atLeast"/>
        </w:trPr>
        <w:tc>
          <w:tcPr>
            <w:tcW w:type="dxa" w:w="8531"/>
            <w:tcBorders>
              <w:top w:val="nil"/>
              <w:left w:val="nil"/>
              <w:bottom w:val="nil"/>
              <w:right w:val="nil"/>
            </w:tcBorders>
            <w:shd w:val="clear" w:color="auto" w:fill="auto"/>
            <w:tcMar>
              <w:top w:type="dxa" w:w="80"/>
              <w:left w:type="dxa" w:w="80"/>
              <w:bottom w:type="dxa" w:w="80"/>
              <w:right w:type="dxa" w:w="80"/>
            </w:tcMar>
            <w:vAlign w:val="top"/>
          </w:tcPr>
          <w:p/>
        </w:tc>
        <w:tc>
          <w:tcPr>
            <w:tcW w:type="dxa" w:w="1099"/>
            <w:tcBorders>
              <w:top w:val="nil"/>
              <w:left w:val="nil"/>
              <w:bottom w:val="nil"/>
              <w:right w:val="nil"/>
            </w:tcBorders>
            <w:shd w:val="clear" w:color="auto" w:fill="auto"/>
            <w:tcMar>
              <w:top w:type="dxa" w:w="80"/>
              <w:left w:type="dxa" w:w="80"/>
              <w:bottom w:type="dxa" w:w="80"/>
              <w:right w:type="dxa" w:w="80"/>
            </w:tcMar>
            <w:vAlign w:val="top"/>
          </w:tcPr>
          <w:p/>
        </w:tc>
      </w:tr>
    </w:tbl>
    <w:p>
      <w:pPr>
        <w:pStyle w:val="Body A"/>
        <w:widowControl w:val="0"/>
        <w:ind w:left="108" w:hanging="108"/>
        <w:rPr>
          <w:rFonts w:ascii="Arial" w:cs="Arial" w:hAnsi="Arial" w:eastAsia="Arial"/>
          <w:sz w:val="24"/>
          <w:szCs w:val="24"/>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b w:val="1"/>
          <w:bCs w:val="1"/>
          <w:sz w:val="24"/>
          <w:szCs w:val="24"/>
          <w:u w:val="single"/>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rPr>
          <w:rFonts w:ascii="Arial" w:cs="Arial" w:hAnsi="Arial" w:eastAsia="Arial"/>
        </w:rPr>
      </w:pPr>
    </w:p>
    <w:p>
      <w:pPr>
        <w:pStyle w:val="Body A"/>
        <w:jc w:val="both"/>
        <w:rPr>
          <w:rFonts w:ascii="Arial" w:cs="Arial" w:hAnsi="Arial" w:eastAsia="Arial"/>
          <w:b w:val="1"/>
          <w:bCs w:val="1"/>
          <w:sz w:val="24"/>
          <w:szCs w:val="24"/>
          <w:u w:val="single"/>
        </w:rPr>
      </w:pPr>
      <w:r>
        <w:rPr>
          <w:rFonts w:ascii="Arial" w:hAnsi="Arial"/>
          <w:b w:val="1"/>
          <w:bCs w:val="1"/>
          <w:sz w:val="24"/>
          <w:szCs w:val="24"/>
          <w:u w:val="single"/>
          <w:rtl w:val="0"/>
          <w:lang w:val="en-US"/>
        </w:rPr>
        <w:t>Introduction</w:t>
      </w:r>
    </w:p>
    <w:p>
      <w:pPr>
        <w:pStyle w:val="Body A"/>
        <w:jc w:val="both"/>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line="240" w:lineRule="auto"/>
        <w:jc w:val="both"/>
        <w:rPr>
          <w:rFonts w:ascii="Arial" w:cs="Arial" w:hAnsi="Arial" w:eastAsia="Arial"/>
        </w:rPr>
      </w:pPr>
      <w:r>
        <w:rPr>
          <w:rFonts w:ascii="Arial" w:hAnsi="Arial"/>
          <w:rtl w:val="0"/>
          <w:lang w:val="en-US"/>
        </w:rPr>
        <w:t xml:space="preserve">Learning and development (L&amp;D) within Dwr Cymru Welsh Water (DCWW) is a key element of its strategic plan for the next 5 years. Due to the critical nature of the business, there are many roles and functions that are heavily regulated and require a significant level of technical training in order to sustain compliance. Alongside that are the soft skills that are crucial for colleagues to succeed in their careers, namely line manager training, equality, diversity and inclusivity awareness and time management.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line="240" w:lineRule="auto"/>
        <w:jc w:val="both"/>
        <w:rPr>
          <w:rFonts w:ascii="Arial" w:cs="Arial" w:hAnsi="Arial" w:eastAsia="Aria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line="240" w:lineRule="auto"/>
        <w:jc w:val="both"/>
        <w:rPr>
          <w:rFonts w:ascii="Arial" w:cs="Arial" w:hAnsi="Arial" w:eastAsia="Arial"/>
          <w:lang w:val="en-US"/>
        </w:rPr>
      </w:pPr>
      <w:r>
        <w:rPr>
          <w:rFonts w:ascii="Arial" w:hAnsi="Arial"/>
          <w:rtl w:val="0"/>
          <w:lang w:val="en-US"/>
        </w:rPr>
        <w:t>As part of this research, a PESTLE (see appendix 1) has been completed to highlight the internal and external factors affecting DCWW, which link back to its L&amp;D strategic plan. According to CIPD (2024a), the core of its L&amp;D strategy should show how DCWW</w:t>
      </w:r>
      <w:r>
        <w:rPr>
          <w:rFonts w:ascii="Arial" w:hAnsi="Arial" w:hint="default"/>
          <w:rtl w:val="0"/>
          <w:lang w:val="en-US"/>
        </w:rPr>
        <w:t>’</w:t>
      </w:r>
      <w:r>
        <w:rPr>
          <w:rFonts w:ascii="Arial" w:hAnsi="Arial"/>
          <w:rtl w:val="0"/>
          <w:lang w:val="en-US"/>
        </w:rPr>
        <w:t>s performance needs are met through the development of its workforce. With various external influences impacting on the regulatory skills required of employees, it should be clear when planning what L&amp;D needs there are across the business and allocate resources appropriately. This does not happen in reality due to the increasing headcount of the overall business, but not within the L&amp;D function, creating more pressure to deliver which in turn takes focus away from other learning activities, such as soft skills. In the long term this can have a detrimental impact on retention and skills levels internally due to  societal changes where employees will look elsewhere for an employer who invests in L&amp;D for all employees, not just those impacted by regulations (Smith, 2020).</w:t>
      </w:r>
    </w:p>
    <w:p>
      <w:pPr>
        <w:pStyle w:val="Body A"/>
        <w:jc w:val="both"/>
        <w:rPr>
          <w:rFonts w:ascii="Arial" w:cs="Arial" w:hAnsi="Arial" w:eastAsia="Arial"/>
          <w:b w:val="1"/>
          <w:bCs w:val="1"/>
          <w:sz w:val="24"/>
          <w:szCs w:val="24"/>
          <w:u w:val="single"/>
          <w:lang w:val="en-US"/>
        </w:rPr>
      </w:pPr>
    </w:p>
    <w:p>
      <w:pPr>
        <w:pStyle w:val="Body A"/>
        <w:jc w:val="both"/>
        <w:rPr>
          <w:rFonts w:ascii="Arial" w:cs="Arial" w:hAnsi="Arial" w:eastAsia="Arial"/>
          <w:b w:val="1"/>
          <w:bCs w:val="1"/>
          <w:sz w:val="24"/>
          <w:szCs w:val="24"/>
          <w:u w:val="single"/>
          <w:lang w:val="en-US"/>
        </w:rPr>
      </w:pPr>
      <w:r>
        <w:rPr>
          <w:rFonts w:ascii="Arial" w:hAnsi="Arial"/>
          <w:b w:val="1"/>
          <w:bCs w:val="1"/>
          <w:sz w:val="24"/>
          <w:szCs w:val="24"/>
          <w:u w:val="single"/>
          <w:rtl w:val="0"/>
          <w:lang w:val="en-US"/>
        </w:rPr>
        <w:t>Critical Analysis of DCWW</w:t>
      </w:r>
      <w:r>
        <w:rPr>
          <w:rFonts w:ascii="Arial" w:hAnsi="Arial" w:hint="default"/>
          <w:b w:val="1"/>
          <w:bCs w:val="1"/>
          <w:sz w:val="24"/>
          <w:szCs w:val="24"/>
          <w:u w:val="single"/>
          <w:rtl w:val="0"/>
          <w:lang w:val="en-US"/>
        </w:rPr>
        <w:t>’</w:t>
      </w:r>
      <w:r>
        <w:rPr>
          <w:rFonts w:ascii="Arial" w:hAnsi="Arial"/>
          <w:b w:val="1"/>
          <w:bCs w:val="1"/>
          <w:sz w:val="24"/>
          <w:szCs w:val="24"/>
          <w:u w:val="single"/>
          <w:rtl w:val="0"/>
          <w:lang w:val="en-US"/>
        </w:rPr>
        <w:t>s Current Approach</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line="240" w:lineRule="auto"/>
        <w:jc w:val="both"/>
        <w:rPr>
          <w:rFonts w:ascii="Arial" w:cs="Arial" w:hAnsi="Arial" w:eastAsia="Arial"/>
          <w:b w:val="1"/>
          <w:bCs w:val="1"/>
          <w:sz w:val="24"/>
          <w:szCs w:val="24"/>
          <w:u w:val="single"/>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line="240" w:lineRule="auto"/>
        <w:jc w:val="both"/>
        <w:rPr>
          <w:rFonts w:ascii="Arial" w:cs="Arial" w:hAnsi="Arial" w:eastAsia="Arial"/>
          <w:b w:val="1"/>
          <w:bCs w:val="1"/>
          <w:sz w:val="24"/>
          <w:szCs w:val="24"/>
          <w:u w:val="single"/>
          <w:lang w:val="en-US"/>
        </w:rPr>
      </w:pPr>
      <w:r>
        <w:rPr>
          <w:rFonts w:ascii="Arial" w:hAnsi="Arial"/>
          <w:rtl w:val="0"/>
          <w:lang w:val="en-US"/>
        </w:rPr>
        <w:t>DCWW</w:t>
      </w:r>
      <w:r>
        <w:rPr>
          <w:rFonts w:ascii="Arial" w:hAnsi="Arial" w:hint="default"/>
          <w:rtl w:val="0"/>
          <w:lang w:val="en-US"/>
        </w:rPr>
        <w:t>’</w:t>
      </w:r>
      <w:r>
        <w:rPr>
          <w:rFonts w:ascii="Arial" w:hAnsi="Arial"/>
          <w:rtl w:val="0"/>
          <w:lang w:val="en-US"/>
        </w:rPr>
        <w:t>s learning and development approach has been analysed against the four areas that Fitch (2023) identified as obstacles to an organisation</w:t>
      </w:r>
      <w:r>
        <w:rPr>
          <w:rFonts w:ascii="Arial" w:hAnsi="Arial" w:hint="default"/>
          <w:rtl w:val="0"/>
          <w:lang w:val="en-US"/>
        </w:rPr>
        <w:t>’</w:t>
      </w:r>
      <w:r>
        <w:rPr>
          <w:rFonts w:ascii="Arial" w:hAnsi="Arial"/>
          <w:rtl w:val="0"/>
          <w:lang w:val="en-US"/>
        </w:rPr>
        <w:t>s learning culture.</w:t>
      </w:r>
    </w:p>
    <w:p>
      <w:pPr>
        <w:pStyle w:val="Body A"/>
        <w:jc w:val="both"/>
        <w:rPr>
          <w:rFonts w:ascii="Arial" w:cs="Arial" w:hAnsi="Arial" w:eastAsia="Arial"/>
          <w:b w:val="1"/>
          <w:bCs w:val="1"/>
          <w:sz w:val="24"/>
          <w:szCs w:val="24"/>
          <w:u w:val="single"/>
          <w:lang w:val="en-US"/>
        </w:rPr>
      </w:pPr>
    </w:p>
    <w:p>
      <w:pPr>
        <w:pStyle w:val="Body A"/>
        <w:jc w:val="both"/>
        <w:rPr>
          <w:rFonts w:ascii="Arial" w:cs="Arial" w:hAnsi="Arial" w:eastAsia="Arial"/>
          <w:sz w:val="24"/>
          <w:szCs w:val="24"/>
          <w:u w:val="single"/>
          <w:lang w:val="en-US"/>
        </w:rPr>
      </w:pPr>
      <w:r>
        <w:rPr>
          <w:rFonts w:ascii="Arial" w:hAnsi="Arial"/>
          <w:sz w:val="24"/>
          <w:szCs w:val="24"/>
          <w:u w:val="single"/>
          <w:rtl w:val="0"/>
          <w:lang w:val="en-US"/>
        </w:rPr>
        <w:t>Lack of support from leaders and managers</w:t>
      </w:r>
    </w:p>
    <w:p>
      <w:pPr>
        <w:pStyle w:val="Body A"/>
        <w:jc w:val="both"/>
        <w:rPr>
          <w:rFonts w:ascii="Arial" w:cs="Arial" w:hAnsi="Arial" w:eastAsia="Arial"/>
          <w:sz w:val="24"/>
          <w:szCs w:val="24"/>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r>
        <w:rPr>
          <w:rFonts w:ascii="Arial" w:hAnsi="Arial"/>
          <w:rtl w:val="0"/>
          <w:lang w:val="en-US"/>
        </w:rPr>
        <w:t xml:space="preserve">With such a large management team and a total headcount of over 4000 colleagues spread across the business, DCWW has to focus on having a strong, robust approach when it comes to gaining buy in from managers for learning and development endeavours. Fortunately, due to the regulate nature of the business, there is a connection between the L&amp;D team and the operational areas as there is a rotation of compulsory, technical training that the teams Neva to engage with to stay compliant and keep their skills updated. In the main, managers put this high on they priority list as progress reports are heavily scrutinised by senior leaders. When it comes to optional, soft skills training, that is where to challenge takes hold (Hayes-Allen, 2024). The value, especially in operational areas, is not seen in soft skills, such as line manager training, so is not taken seriously, with colleagues either not enrolling in courses or signing up and then not attending.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r>
        <w:rPr>
          <w:rFonts w:ascii="Arial" w:hAnsi="Arial"/>
          <w:rtl w:val="0"/>
          <w:lang w:val="en-US"/>
        </w:rPr>
        <w:t>Business support departments within DCWW tend to have a different mentality. They are not governed by regulatory training so managers do not have that mandatory element to their job role. There is a much larger uptake in continuous professional development (CPD) activities and a higher participation rate in both internal and external courses. It could be argued that due to the working environment of these positions being mostly office based, these colleagues have the desk time and ability to attend an L&amp;D event, either remote or in person.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r>
        <w:rPr>
          <w:rFonts w:ascii="Arial" w:hAnsi="Arial"/>
          <w:rtl w:val="0"/>
          <w:lang w:val="en-US"/>
        </w:rPr>
        <w:t>In such a large organisation, the management team are crucial in building respect and trust in the company and their strategic vision. L&amp;D activities are key to this as developing the workforce is about personal growth, awareness and learning new skills to progress forward, whether to a higher position or expanding skills and knowledge in their current role. As a result, team performance can improve with benefits such as increased communication, higher self awareness and better team dynamics, which is crucial as it can negatively impact on work output if the team are not working efficiently (Benson, 2018).</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lang w:val="en-US"/>
        </w:rPr>
      </w:pPr>
      <w:r>
        <w:rPr>
          <w:rFonts w:ascii="Arial" w:hAnsi="Arial"/>
          <w:rtl w:val="0"/>
          <w:lang w:val="en-US"/>
        </w:rPr>
        <w:t>Manager</w:t>
      </w:r>
      <w:r>
        <w:rPr>
          <w:rFonts w:ascii="Arial" w:hAnsi="Arial" w:hint="default"/>
          <w:rtl w:val="0"/>
          <w:lang w:val="en-US"/>
        </w:rPr>
        <w:t>’</w:t>
      </w:r>
      <w:r>
        <w:rPr>
          <w:rFonts w:ascii="Arial" w:hAnsi="Arial"/>
          <w:rtl w:val="0"/>
          <w:lang w:val="en-US"/>
        </w:rPr>
        <w:t>s can make an impact on the culture of a team and the wider business by challenging colleague behaviours when they are not acting in an appropriate way. This sends a message to other colleagues which can instill trust and respect in that manager as they see where that they are holding people to account for their actions and expectations are clearly being set. Having managers feeling confident to do this can come down to them feeling secure in their role and abilities and themselves feeling valued in the company . This in-itself can positively influence colleagues behaviours and attitudes in the workplace as they are being led by example (Baunsgaard, 2024).</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u w:val="single"/>
          <w:lang w:val="en-US"/>
        </w:rPr>
      </w:pPr>
      <w:r>
        <w:rPr>
          <w:rFonts w:ascii="Arial" w:hAnsi="Arial"/>
          <w:sz w:val="24"/>
          <w:szCs w:val="24"/>
          <w:u w:val="single"/>
          <w:rtl w:val="0"/>
          <w:lang w:val="en-US"/>
        </w:rPr>
        <w:t>Limited tim</w:t>
      </w:r>
      <w:r>
        <w:rPr>
          <w:rFonts w:ascii="Arial" w:hAnsi="Arial"/>
          <w:sz w:val="24"/>
          <w:szCs w:val="24"/>
          <w:u w:val="single"/>
          <w:rtl w:val="0"/>
          <w:lang w:val="en-US"/>
        </w:rPr>
        <w:t>e</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For DCWW, regulatory and health and safety compliance, rightly takes precedent over many other agenda items, including soft skill L&amp;D, when it comes to priorities and can be a large task to oversee (Graham, 2022). This ranges from tracking completion and arranging courses that are regular and fit with a variety of shift patterns to constantly developing and updating content to ensure legislation changes are accounted for. This draws the focus onto those skills rather than the soft skills that managers, both operational and office based, require to fulfil their role as a line manager.</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According to Jamil (2023), a survey showed that 52% of employees found that time was a barrier to learning and development with busy workloads and manager expectations some of the main causes. As time moves on and ways of working changes, L&amp;D culture has to change with it. This can be through the offering of a variety of delivery methods to increase accessibility to those who are not always at a desk in standard office hours or for those colleagues who have additional needs and would struggle to sit through a classroom session and retain that knowledge. As organisational expectations of colleagues increases, leaders needs to look at their methods to ensure they are fit for purpose before forcing colleagues through development that is not achievable based on the current workload and set up.</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The HR function within DCWW is made up of circa 50 colleagues, split between several areas - reward, HR operations, talent and L&amp;D. Operations look after all of the employee relations matters and work with line managers across the business every day. There is, however, a</w:t>
      </w:r>
      <w:r>
        <w:rPr>
          <w:rFonts w:ascii="Arial" w:hAnsi="Arial"/>
          <w:outline w:val="0"/>
          <w:color w:val="000000"/>
          <w:sz w:val="24"/>
          <w:szCs w:val="24"/>
          <w:rtl w:val="0"/>
          <w:lang w:val="en-US"/>
          <w14:textFill>
            <w14:solidFill>
              <w14:srgbClr w14:val="000000"/>
            </w14:solidFill>
          </w14:textFill>
        </w:rPr>
        <w:t xml:space="preserve"> disconnect between the L&amp;D and the HR operations functions, resulting in priorities not being aligned. Issues that are faced by the business, usually highlighted through employee relations cases or manager conversations, are raised within the wider HR team but the strategy the L&amp;D team deliver is not aligned with those concerns. T</w:t>
      </w:r>
      <w:r>
        <w:rPr>
          <w:rFonts w:ascii="Arial" w:hAnsi="Arial"/>
          <w:sz w:val="24"/>
          <w:szCs w:val="24"/>
          <w:rtl w:val="0"/>
          <w:lang w:val="en-US"/>
        </w:rPr>
        <w:t xml:space="preserve">his information should be used when formulating learning pathways to help address, reduce  and prevent these issues (Adamopoulos, 2022). </w:t>
      </w:r>
      <w:r>
        <w:rPr>
          <w:rFonts w:ascii="Arial" w:hAnsi="Arial"/>
          <w:outline w:val="0"/>
          <w:color w:val="000000"/>
          <w:sz w:val="24"/>
          <w:szCs w:val="24"/>
          <w:rtl w:val="0"/>
          <w:lang w:val="en-US"/>
          <w14:textFill>
            <w14:solidFill>
              <w14:srgbClr w14:val="000000"/>
            </w14:solidFill>
          </w14:textFill>
        </w:rPr>
        <w:t>This presents a missed opportunity to be delivering L&amp;D courses that would have a larger uptake due to the content being focus on what managers need. This lack of engagement could potential be down to a skills gaps in the L&amp;D function resulting in their resistance to implement development resources for managers that would aid in tackling behaviour based issues and general confidence building (Glaveski, 2019).</w:t>
      </w:r>
    </w:p>
    <w:p>
      <w:pPr>
        <w:pStyle w:val="Body A"/>
        <w:jc w:val="both"/>
        <w:rPr>
          <w:rFonts w:ascii="Arial" w:cs="Arial" w:hAnsi="Arial" w:eastAsia="Arial"/>
          <w:sz w:val="24"/>
          <w:szCs w:val="24"/>
          <w:u w:val="single"/>
          <w:lang w:val="en-US"/>
        </w:rPr>
      </w:pPr>
    </w:p>
    <w:p>
      <w:pPr>
        <w:pStyle w:val="Body A"/>
        <w:jc w:val="both"/>
        <w:rPr>
          <w:rFonts w:ascii="Arial" w:cs="Arial" w:hAnsi="Arial" w:eastAsia="Arial"/>
          <w:sz w:val="24"/>
          <w:szCs w:val="24"/>
          <w:u w:val="single"/>
          <w:lang w:val="en-US"/>
        </w:rPr>
      </w:pPr>
    </w:p>
    <w:p>
      <w:pPr>
        <w:pStyle w:val="Body A"/>
        <w:jc w:val="both"/>
        <w:rPr>
          <w:rFonts w:ascii="Arial" w:cs="Arial" w:hAnsi="Arial" w:eastAsia="Arial"/>
          <w:sz w:val="24"/>
          <w:szCs w:val="24"/>
          <w:u w:val="single"/>
          <w:lang w:val="en-US"/>
        </w:rPr>
      </w:pPr>
    </w:p>
    <w:p>
      <w:pPr>
        <w:pStyle w:val="Body A"/>
        <w:jc w:val="both"/>
        <w:rPr>
          <w:rFonts w:ascii="Arial" w:cs="Arial" w:hAnsi="Arial" w:eastAsia="Arial"/>
          <w:sz w:val="24"/>
          <w:szCs w:val="24"/>
          <w:u w:val="single"/>
          <w:lang w:val="en-US"/>
        </w:rPr>
      </w:pPr>
      <w:r>
        <w:rPr>
          <w:rFonts w:ascii="Arial" w:hAnsi="Arial"/>
          <w:sz w:val="24"/>
          <w:szCs w:val="24"/>
          <w:u w:val="single"/>
          <w:rtl w:val="0"/>
          <w:lang w:val="en-US"/>
        </w:rPr>
        <w:t>Poor or insufficient resources</w:t>
      </w:r>
    </w:p>
    <w:p>
      <w:pPr>
        <w:pStyle w:val="Body A"/>
        <w:jc w:val="both"/>
        <w:rPr>
          <w:rFonts w:ascii="Arial" w:cs="Arial" w:hAnsi="Arial" w:eastAsia="Arial"/>
          <w:sz w:val="24"/>
          <w:szCs w:val="24"/>
          <w:u w:val="single"/>
          <w:lang w:val="en-US"/>
        </w:rPr>
      </w:pPr>
    </w:p>
    <w:p>
      <w:pPr>
        <w:pStyle w:val="Body A"/>
        <w:jc w:val="both"/>
        <w:rPr>
          <w:rFonts w:ascii="Arial" w:cs="Arial" w:hAnsi="Arial" w:eastAsia="Arial"/>
          <w:sz w:val="24"/>
          <w:szCs w:val="24"/>
        </w:rPr>
      </w:pPr>
      <w:r>
        <w:rPr>
          <w:rFonts w:ascii="Arial" w:hAnsi="Arial"/>
          <w:sz w:val="24"/>
          <w:szCs w:val="24"/>
          <w:rtl w:val="0"/>
          <w:lang w:val="en-US"/>
        </w:rPr>
        <w:t xml:space="preserve">Outside of the technical skills training that DCWW offers, the main focal point of their learning and development strategy focuses, mainly, on desirable courses and associated skills, rather than the fundamental, essential foundations of what is required to become, for example, a robust and progressive line manager. A leadership programme has been developed for managers who are new in post, which provides knowledge around the internal DCWW processes associated with performance conversations, equality and the role of a leader. It does, however, omit critical exposure to the main challenges that line managers face, such as attendance management, highlighting concerns and formal investigation processes (Acton </w:t>
      </w:r>
      <w:r>
        <w:rPr>
          <w:rFonts w:ascii="Arial" w:hAnsi="Arial"/>
          <w:i w:val="1"/>
          <w:iCs w:val="1"/>
          <w:sz w:val="24"/>
          <w:szCs w:val="24"/>
          <w:rtl w:val="0"/>
          <w:lang w:val="en-US"/>
        </w:rPr>
        <w:t>et al</w:t>
      </w:r>
      <w:r>
        <w:rPr>
          <w:rFonts w:ascii="Arial" w:hAnsi="Arial"/>
          <w:sz w:val="24"/>
          <w:szCs w:val="24"/>
          <w:rtl w:val="0"/>
          <w:lang w:val="en-US"/>
        </w:rPr>
        <w:t xml:space="preserve">., 2023). These areas are covered very briefly, without any input from the HR operations team who own these policies and work with managers during these live processes. This is a clear flaw in the programme as L&amp;D advisors are avoiding topics due to their own knowledge gaps when they could bring in members of their wider team to assist in the delivery </w:t>
      </w:r>
      <w:r>
        <w:rPr>
          <w:rFonts w:ascii="Arial" w:hAnsi="Arial"/>
          <w:sz w:val="24"/>
          <w:szCs w:val="24"/>
          <w:rtl w:val="0"/>
        </w:rPr>
        <w:t>(Clarey, 2020)</w:t>
      </w:r>
      <w:r>
        <w:rPr>
          <w:rFonts w:ascii="Arial" w:hAnsi="Arial"/>
          <w:sz w:val="24"/>
          <w:szCs w:val="24"/>
          <w:rtl w:val="0"/>
          <w:lang w:val="en-US"/>
        </w:rPr>
        <w:t xml:space="preserve">. This </w:t>
      </w:r>
      <w:r>
        <w:rPr>
          <w:rFonts w:ascii="Arial" w:hAnsi="Arial"/>
          <w:sz w:val="24"/>
          <w:szCs w:val="24"/>
          <w:rtl w:val="0"/>
          <w:lang w:val="en-US"/>
        </w:rPr>
        <w:t>exposes the Company to cracks forming in their culture by progressing forward cohorts of line managers who are not equipt to effectively manage their teams. Furthermore, a</w:t>
      </w:r>
      <w:r>
        <w:rPr>
          <w:rFonts w:ascii="Arial" w:hAnsi="Arial"/>
          <w:sz w:val="24"/>
          <w:szCs w:val="24"/>
          <w:rtl w:val="0"/>
          <w:lang w:val="en-US"/>
        </w:rPr>
        <w:t>voidance on challenging conversations by line managers and the inability to handle difficult conversations is having a detrimental impact on areas, such as attendance management and absence figures (Forbes, 2021).</w:t>
      </w:r>
    </w:p>
    <w:p>
      <w:pPr>
        <w:pStyle w:val="Body A"/>
        <w:jc w:val="both"/>
        <w:rPr>
          <w:rFonts w:ascii="Arial" w:cs="Arial" w:hAnsi="Arial" w:eastAsia="Arial"/>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r>
        <w:rPr>
          <w:rFonts w:ascii="Arial" w:hAnsi="Arial"/>
          <w:rtl w:val="0"/>
          <w:lang w:val="en-US"/>
        </w:rPr>
        <w:t>DCWW has a comprehensive intranet with many resources for colleagues and line managers, including written procedures on how a policy is executed and step by step guides on processes. However, these can be restrictive to individuals with additional needs, such as dyslexia, ADHD or autism. Materials should be available in a range of interactive methods to incorporate the various learning methods colleagues have. For some, reading a guide on how to do something is not suitable, whereas a visual, practical or recorded vocal resource could enable the colleague to carry out the task at hand, empowering them to work independently, without the need to reach out to another team or individual. This approach would create a more inclusive and accessible learning environment, not just for colleagues with additional needs but for all colleagues through the catering of different learning styles (McKay, 2024). According to the University of Dundee (2024), the POUR methodology should be used when creating digital content. This ensures that content is Perceivable, Operable, Understandable and Robust, which is something they use for their students. The same principles can apply when publishing resources for DCWW</w:t>
      </w:r>
      <w:r>
        <w:rPr>
          <w:rFonts w:ascii="Arial" w:hAnsi="Arial" w:hint="default"/>
          <w:rtl w:val="0"/>
          <w:lang w:val="en-US"/>
        </w:rPr>
        <w:t>’</w:t>
      </w:r>
      <w:r>
        <w:rPr>
          <w:rFonts w:ascii="Arial" w:hAnsi="Arial"/>
          <w:rtl w:val="0"/>
          <w:lang w:val="en-US"/>
        </w:rPr>
        <w:t>s employees.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sz w:val="24"/>
          <w:szCs w:val="24"/>
        </w:rPr>
      </w:pPr>
      <w:r>
        <w:rPr>
          <w:rFonts w:ascii="Arial" w:hAnsi="Arial"/>
          <w:rtl w:val="0"/>
          <w:lang w:val="en-US"/>
        </w:rPr>
        <w:t>L&amp;D practitioners within DCWW do not currently do any pre-session evaluation for their training sessions. The purpose behind this is their belief that all training resources should be accessible for all, regardless of learning stye or disability, however, in reality this does not translate to all training sessions and resources. Something which would be ideal for gaining a better understanding of their cohort is to have prior knowledge of the attendees</w:t>
      </w:r>
      <w:r>
        <w:rPr>
          <w:rFonts w:ascii="Arial" w:hAnsi="Arial" w:hint="default"/>
          <w:rtl w:val="0"/>
          <w:lang w:val="en-US"/>
        </w:rPr>
        <w:t xml:space="preserve">’ </w:t>
      </w:r>
      <w:r>
        <w:rPr>
          <w:rFonts w:ascii="Arial" w:hAnsi="Arial"/>
          <w:rtl w:val="0"/>
          <w:lang w:val="en-US"/>
        </w:rPr>
        <w:t>circumstances, for example not being able to see certain colours together, struggles with large bodies of text or not being able to pause and rewind visual demonstrations. Knowing this information prior gives the facilitator the opportunity to adapt their delivery to cater for the attendees (Bozarth, 2024).</w:t>
      </w:r>
      <w:r>
        <w:rPr>
          <w:rFonts w:ascii="Arial" w:hAnsi="Arial"/>
          <w:rtl w:val="0"/>
          <w:lang w:val="en-US"/>
        </w:rPr>
        <w:t xml:space="preserve"> </w:t>
      </w:r>
      <w:r>
        <w:rPr>
          <w:rFonts w:ascii="Arial" w:hAnsi="Arial"/>
          <w:rtl w:val="0"/>
          <w:lang w:val="en-US"/>
        </w:rPr>
        <w:t>One step further could be to extend this to gauge learner</w:t>
      </w:r>
      <w:r>
        <w:rPr>
          <w:rFonts w:ascii="Arial" w:hAnsi="Arial" w:hint="default"/>
          <w:rtl w:val="0"/>
          <w:lang w:val="en-US"/>
        </w:rPr>
        <w:t>’</w:t>
      </w:r>
      <w:r>
        <w:rPr>
          <w:rFonts w:ascii="Arial" w:hAnsi="Arial"/>
          <w:rtl w:val="0"/>
          <w:lang w:val="en-US"/>
        </w:rPr>
        <w:t>s knowledge levels of the session topic so the content can be adapted to suit, removing the chance of covering basic areas when the cohorts abilities are already mid-range, for example.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i w:val="1"/>
          <w:iCs w:val="1"/>
          <w:sz w:val="24"/>
          <w:szCs w:val="24"/>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sz w:val="24"/>
          <w:szCs w:val="24"/>
        </w:rPr>
      </w:pPr>
      <w:r>
        <w:rPr>
          <w:rFonts w:ascii="Arial" w:hAnsi="Arial"/>
          <w:sz w:val="24"/>
          <w:szCs w:val="24"/>
          <w:rtl w:val="0"/>
          <w:lang w:val="en-US"/>
        </w:rPr>
        <w:t>With the adoption of a hybrid working model, DCWW need to consider the geographical restrictions that can place on L&amp;D. With their head office in South East Wales but their employee and customer reaching the whole of Wales, there are many teams spread across the country, some in remote and challenging locations, making regular travel to the office time consuming and impractical (Cookson, 2024). A mixed approach needs to be embedded whereby a strong set of online resources are available, which include visual and auditory formats, to cater for different learning styles. The L&amp;D team also need to allocate time to travel around remote areas to offer in person training to enable kinaesthetic and social learners the same opportunity, even if this was focused towards line managers who could then train their teams (Avado, 2021).</w:t>
      </w:r>
    </w:p>
    <w:p>
      <w:pPr>
        <w:pStyle w:val="Body A"/>
        <w:jc w:val="both"/>
        <w:rPr>
          <w:rFonts w:ascii="Arial" w:cs="Arial" w:hAnsi="Arial" w:eastAsia="Arial"/>
          <w:sz w:val="24"/>
          <w:szCs w:val="24"/>
          <w:lang w:val="en-US"/>
        </w:rPr>
      </w:pPr>
    </w:p>
    <w:p>
      <w:pPr>
        <w:pStyle w:val="Body A"/>
        <w:jc w:val="both"/>
        <w:rPr>
          <w:rFonts w:ascii="Arial" w:cs="Arial" w:hAnsi="Arial" w:eastAsia="Arial"/>
          <w:b w:val="1"/>
          <w:bCs w:val="1"/>
          <w:sz w:val="24"/>
          <w:szCs w:val="24"/>
          <w:u w:val="single"/>
          <w:lang w:val="en-US"/>
        </w:rPr>
      </w:pPr>
      <w:r>
        <w:rPr>
          <w:rFonts w:ascii="Arial" w:hAnsi="Arial"/>
          <w:sz w:val="24"/>
          <w:szCs w:val="24"/>
          <w:u w:val="single"/>
          <w:rtl w:val="0"/>
          <w:lang w:val="en-US"/>
        </w:rPr>
        <w:t>Resistances to new processes and change</w:t>
      </w:r>
    </w:p>
    <w:p>
      <w:pPr>
        <w:pStyle w:val="Body A"/>
        <w:jc w:val="both"/>
        <w:rPr>
          <w:rFonts w:ascii="Arial" w:cs="Arial" w:hAnsi="Arial" w:eastAsia="Arial"/>
          <w:b w:val="1"/>
          <w:bCs w:val="1"/>
          <w:sz w:val="24"/>
          <w:szCs w:val="24"/>
          <w:u w:val="single"/>
          <w:lang w:val="en-US"/>
        </w:rPr>
      </w:pPr>
    </w:p>
    <w:p>
      <w:pPr>
        <w:pStyle w:val="Body A"/>
        <w:jc w:val="both"/>
        <w:rPr>
          <w:rFonts w:ascii="Arial" w:cs="Arial" w:hAnsi="Arial" w:eastAsia="Arial"/>
          <w:sz w:val="24"/>
          <w:szCs w:val="24"/>
          <w:lang w:val="en-US"/>
        </w:rPr>
      </w:pPr>
      <w:r>
        <w:rPr>
          <w:rFonts w:ascii="Arial" w:hAnsi="Arial"/>
          <w:sz w:val="24"/>
          <w:szCs w:val="24"/>
          <w:rtl w:val="0"/>
          <w:lang w:val="en-US"/>
        </w:rPr>
        <w:t>With a workforce made up of a large proportion of long-serving, older employees, shifting focus and adapting culture can be challenging. New managers tend to be younger colleagues who have gained academic knowledge and skills through early careers programmes, such as apprenticeships and internships, mixed with their drive and enthusiasm, this has led to their progression within the Company.</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With L&amp;D, DCWW have many avenues for younger people to start a career in the water industry, however they lack in their approach to cater for older colleagues. With advancements in technology and ever changing ways of working, older generations are at risk of being demotivated to continuously develop themselves, which potentially puts them at risk of complacency in upskilling and restricting their wealth of knowledge from growing  further (Dadzie, 2023). This can be detrimental to DCWW through the risk of loosing valuable skills and expertise.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When evaluating cultural norms and insufficient line manager training, handling colleagues through HR processes, such as attendance, can be difficult with high levels of resistance present. This is historical and links back to bad behaviours not being addressed by previous managers, which has normalised certain traits and embedded a sense of entitlement within teams, creating a significant level of defiance for managers to have to deal with. In the last 3 years DCWW have begun the process of embedding a </w:t>
      </w:r>
      <w:r>
        <w:rPr>
          <w:rFonts w:ascii="Arial" w:hAnsi="Arial" w:hint="default"/>
          <w:sz w:val="24"/>
          <w:szCs w:val="24"/>
          <w:rtl w:val="0"/>
          <w:lang w:val="en-US"/>
        </w:rPr>
        <w:t>‘</w:t>
      </w:r>
      <w:r>
        <w:rPr>
          <w:rFonts w:ascii="Arial" w:hAnsi="Arial"/>
          <w:sz w:val="24"/>
          <w:szCs w:val="24"/>
          <w:rtl w:val="0"/>
          <w:lang w:val="en-US"/>
        </w:rPr>
        <w:t>Fair and Just</w:t>
      </w:r>
      <w:r>
        <w:rPr>
          <w:rFonts w:ascii="Arial" w:hAnsi="Arial" w:hint="default"/>
          <w:sz w:val="24"/>
          <w:szCs w:val="24"/>
          <w:rtl w:val="0"/>
          <w:lang w:val="en-US"/>
        </w:rPr>
        <w:t xml:space="preserve">’ </w:t>
      </w:r>
      <w:r>
        <w:rPr>
          <w:rFonts w:ascii="Arial" w:hAnsi="Arial"/>
          <w:sz w:val="24"/>
          <w:szCs w:val="24"/>
          <w:rtl w:val="0"/>
          <w:lang w:val="en-US"/>
        </w:rPr>
        <w:t>culture, opening up the doors to more listening and adapting, moving away from the blame cultural of the past. As with any culture change, this takes time and the drive of the management team is essential, with colleague trust then being developed, sometimes taking many years (Soule and Walker, 2017). This also feeds into learning and development and, aside from regulatory training, leaves teams questioning the need for this.</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An area that is lacking in adequate L&amp;D attention but is a significant Company issue is attendance management. This links back to the leadership programme and the insufficient coverage of effectively dealing with colleagues who have concerning levels of sickness absence. As managers are not equipt to handle colleagues in these situations, support opportunities are being missed, which can prolong periods of absence, and for those individuals who are problematic in their absence trends, vital touchpoint for implementing management techniques are passed by (CIPD, 2019). </w:t>
      </w:r>
    </w:p>
    <w:p>
      <w:pPr>
        <w:pStyle w:val="Body A"/>
        <w:jc w:val="both"/>
        <w:rPr>
          <w:rFonts w:ascii="Arial" w:cs="Arial" w:hAnsi="Arial" w:eastAsia="Arial"/>
          <w:b w:val="1"/>
          <w:bCs w:val="1"/>
          <w:sz w:val="24"/>
          <w:szCs w:val="24"/>
          <w:lang w:val="en-US"/>
        </w:rPr>
      </w:pPr>
    </w:p>
    <w:p>
      <w:pPr>
        <w:pStyle w:val="Body A"/>
        <w:jc w:val="both"/>
        <w:rPr>
          <w:rFonts w:ascii="Arial" w:cs="Arial" w:hAnsi="Arial" w:eastAsia="Arial"/>
          <w:b w:val="1"/>
          <w:bCs w:val="1"/>
          <w:sz w:val="24"/>
          <w:szCs w:val="24"/>
          <w:u w:val="single"/>
          <w:lang w:val="en-US"/>
        </w:rPr>
      </w:pPr>
      <w:r>
        <w:rPr>
          <w:rFonts w:ascii="Arial" w:hAnsi="Arial"/>
          <w:sz w:val="24"/>
          <w:szCs w:val="24"/>
          <w:rtl w:val="0"/>
          <w:lang w:val="en-US"/>
        </w:rPr>
        <w:t xml:space="preserve">If managers were given the skills to handle situations like this within their teams, they are not only building their own confidence and knowledge, but demonstrating to their reportees that they will address issues when they arise so it is setting expectations and highlighting that poor behaviours and performance will not be ignored. This approach also embeds a culture of care and trust as processes like attendance management are not purely about discipline, they are there to ensure that colleagues have the correct support in place and that their health is of a good standard, and if not, what can we do to help. In the long run, this can see improvements in absence figures through increased support and it can be a deterrent for those thinking of acting in ways that are not within the values of DCWW (CIPD, 2025). </w:t>
      </w:r>
    </w:p>
    <w:p>
      <w:pPr>
        <w:pStyle w:val="Body A"/>
        <w:jc w:val="both"/>
        <w:rPr>
          <w:rFonts w:ascii="Arial" w:cs="Arial" w:hAnsi="Arial" w:eastAsia="Arial"/>
          <w:i w:val="1"/>
          <w:iCs w:val="1"/>
          <w:sz w:val="24"/>
          <w:szCs w:val="24"/>
        </w:rPr>
      </w:pPr>
    </w:p>
    <w:p>
      <w:pPr>
        <w:pStyle w:val="Body A"/>
        <w:jc w:val="both"/>
        <w:rPr>
          <w:rFonts w:ascii="Arial" w:cs="Arial" w:hAnsi="Arial" w:eastAsia="Arial"/>
          <w:b w:val="1"/>
          <w:bCs w:val="1"/>
          <w:sz w:val="24"/>
          <w:szCs w:val="24"/>
          <w:u w:val="single"/>
          <w:lang w:val="en-US"/>
        </w:rPr>
      </w:pPr>
      <w:r>
        <w:rPr>
          <w:rFonts w:ascii="Arial" w:hAnsi="Arial"/>
          <w:sz w:val="24"/>
          <w:szCs w:val="24"/>
          <w:rtl w:val="0"/>
          <w:lang w:val="en-US"/>
        </w:rPr>
        <w:t>This</w:t>
      </w:r>
      <w:r>
        <w:rPr>
          <w:rFonts w:ascii="Arial" w:hAnsi="Arial"/>
          <w:sz w:val="24"/>
          <w:szCs w:val="24"/>
          <w:rtl w:val="0"/>
          <w:lang w:val="en-US"/>
        </w:rPr>
        <w:t xml:space="preserve"> circles back to needing to improve the working culture by having colleagues feel supported and behaviours being challenged in line with the Company values. This is fundamental to the DCWW belief that it is not always the individual at fault, it could be a process or policy that is not fit for purpose. Therefore, ways of working need to be frequently challenged and reviewed (Dwr Cymru Welsh Water, No Date).</w:t>
      </w:r>
    </w:p>
    <w:p>
      <w:pPr>
        <w:pStyle w:val="Body A"/>
        <w:jc w:val="both"/>
        <w:rPr>
          <w:rFonts w:ascii="Arial" w:cs="Arial" w:hAnsi="Arial" w:eastAsia="Arial"/>
          <w:b w:val="1"/>
          <w:bCs w:val="1"/>
          <w:sz w:val="24"/>
          <w:szCs w:val="24"/>
          <w:u w:val="single"/>
          <w:lang w:val="en-US"/>
        </w:rPr>
      </w:pPr>
    </w:p>
    <w:p>
      <w:pPr>
        <w:pStyle w:val="Body A"/>
        <w:jc w:val="both"/>
        <w:rPr>
          <w:rFonts w:ascii="Arial" w:cs="Arial" w:hAnsi="Arial" w:eastAsia="Arial"/>
          <w:b w:val="1"/>
          <w:bCs w:val="1"/>
          <w:sz w:val="24"/>
          <w:szCs w:val="24"/>
          <w:u w:val="single"/>
          <w:lang w:val="en-US"/>
        </w:rPr>
      </w:pPr>
      <w:r>
        <w:rPr>
          <w:rFonts w:ascii="Arial" w:hAnsi="Arial"/>
          <w:b w:val="1"/>
          <w:bCs w:val="1"/>
          <w:sz w:val="24"/>
          <w:szCs w:val="24"/>
          <w:u w:val="single"/>
          <w:rtl w:val="0"/>
          <w:lang w:val="en-US"/>
        </w:rPr>
        <w:t>Recommendations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line="240" w:lineRule="auto"/>
        <w:jc w:val="both"/>
        <w:rPr>
          <w:rFonts w:ascii="Arial" w:cs="Arial" w:hAnsi="Arial" w:eastAsia="Arial"/>
          <w:sz w:val="24"/>
          <w:szCs w:val="24"/>
        </w:rPr>
      </w:pPr>
    </w:p>
    <w:p>
      <w:pPr>
        <w:pStyle w:val="Body A"/>
        <w:numPr>
          <w:ilvl w:val="0"/>
          <w:numId w:val="3"/>
        </w:numPr>
        <w:jc w:val="both"/>
        <w:rPr>
          <w:rFonts w:ascii="Arial" w:hAnsi="Arial"/>
          <w:sz w:val="24"/>
          <w:szCs w:val="24"/>
          <w:lang w:val="en-US"/>
        </w:rPr>
      </w:pPr>
      <w:r>
        <w:rPr>
          <w:rFonts w:ascii="Arial" w:hAnsi="Arial"/>
          <w:sz w:val="24"/>
          <w:szCs w:val="24"/>
          <w:rtl w:val="0"/>
          <w:lang w:val="en-US"/>
        </w:rPr>
        <w:t>Improved collaboration within the HR function through the implementation of fortnightly face to face collaboration sessions</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There is a breakdown in communication, and therefore strategic direction, when it comes to learning and development opportunities aligning with business need. The HR operations  (ops) team are the HR professionals who are integrated within the business, work closely with line managers, advise on policy and support with employee relations (ER) cases. The L&amp;D function, however, does not engage with this team to hone in on what common trends are being witnessed in the workplace that they could support with in terms L&amp;D provision. The 2 teams are acting in silos, each with their own agenda and direction, which, ultimately, does not aid in reaching the overarching vision. Prior to the Covid-19 lockdowns, both teams were office based full time, so there were ample opportunities to collaborate and share ideas and issues of how business areas could be improved or better supported (Machell, 2023). With the move to a hybrid model, these frequent interactions in the same office have disappeared and, currently, the reliance is solely on chance meetings in one of the DCWW offices or proactively scheduling in a meeting, often remotely, which can be challenging (Yang </w:t>
      </w:r>
      <w:r>
        <w:rPr>
          <w:rFonts w:ascii="Arial" w:hAnsi="Arial"/>
          <w:i w:val="1"/>
          <w:iCs w:val="1"/>
          <w:sz w:val="24"/>
          <w:szCs w:val="24"/>
          <w:rtl w:val="0"/>
          <w:lang w:val="en-US"/>
        </w:rPr>
        <w:t>et al</w:t>
      </w:r>
      <w:r>
        <w:rPr>
          <w:rFonts w:ascii="Arial" w:hAnsi="Arial"/>
          <w:sz w:val="24"/>
          <w:szCs w:val="24"/>
          <w:rtl w:val="0"/>
          <w:lang w:val="en-US"/>
        </w:rPr>
        <w:t>,. 2022).</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As time has gone on since Covid-19, the </w:t>
      </w:r>
      <w:r>
        <w:rPr>
          <w:rFonts w:ascii="Arial" w:hAnsi="Arial" w:hint="default"/>
          <w:sz w:val="24"/>
          <w:szCs w:val="24"/>
          <w:rtl w:val="0"/>
          <w:lang w:val="en-US"/>
        </w:rPr>
        <w:t>‘</w:t>
      </w:r>
      <w:r>
        <w:rPr>
          <w:rFonts w:ascii="Arial" w:hAnsi="Arial"/>
          <w:sz w:val="24"/>
          <w:szCs w:val="24"/>
          <w:rtl w:val="0"/>
          <w:lang w:val="en-US"/>
        </w:rPr>
        <w:t>new normal</w:t>
      </w:r>
      <w:r>
        <w:rPr>
          <w:rFonts w:ascii="Arial" w:hAnsi="Arial" w:hint="default"/>
          <w:sz w:val="24"/>
          <w:szCs w:val="24"/>
          <w:rtl w:val="0"/>
          <w:lang w:val="en-US"/>
        </w:rPr>
        <w:t xml:space="preserve">’ </w:t>
      </w:r>
      <w:r>
        <w:rPr>
          <w:rFonts w:ascii="Arial" w:hAnsi="Arial"/>
          <w:sz w:val="24"/>
          <w:szCs w:val="24"/>
          <w:rtl w:val="0"/>
          <w:lang w:val="en-US"/>
        </w:rPr>
        <w:t>has taken hold and employee</w:t>
      </w:r>
      <w:r>
        <w:rPr>
          <w:rFonts w:ascii="Arial" w:hAnsi="Arial" w:hint="default"/>
          <w:sz w:val="24"/>
          <w:szCs w:val="24"/>
          <w:rtl w:val="0"/>
          <w:lang w:val="en-US"/>
        </w:rPr>
        <w:t>’</w:t>
      </w:r>
      <w:r>
        <w:rPr>
          <w:rFonts w:ascii="Arial" w:hAnsi="Arial"/>
          <w:sz w:val="24"/>
          <w:szCs w:val="24"/>
          <w:rtl w:val="0"/>
          <w:lang w:val="en-US"/>
        </w:rPr>
        <w:t xml:space="preserve">s mentality has adapted as such and things that were take for granted previously have now disappeared. Other teams in the business, for example developer services, have dedicated days in the office as a whole team to collaborate on projects, meet face to face and to relationship build in person. Due to the complex nature of their projects, this approach is at the forefront of their way of working and the team buy into that, mainly because is is driven by their director. With human resources, the standard hybrid working model has been adopted with little thought into ensuring how the various areas within the HR function will collaborate and link their work together. It could be argued that issues such as this have developed over time due to the nature of HR being to support the wider business and their own way of working has become an after thought (Price, 2023).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According to Komm </w:t>
      </w:r>
      <w:r>
        <w:rPr>
          <w:rFonts w:ascii="Arial" w:hAnsi="Arial"/>
          <w:i w:val="1"/>
          <w:iCs w:val="1"/>
          <w:sz w:val="24"/>
          <w:szCs w:val="24"/>
          <w:rtl w:val="0"/>
          <w:lang w:val="en-US"/>
        </w:rPr>
        <w:t>et al</w:t>
      </w:r>
      <w:r>
        <w:rPr>
          <w:rFonts w:ascii="Arial" w:hAnsi="Arial"/>
          <w:sz w:val="24"/>
          <w:szCs w:val="24"/>
          <w:rtl w:val="0"/>
          <w:lang w:val="en-US"/>
        </w:rPr>
        <w:t>. (2021), HR need to evaluate themselves against the strategic direction and ensure they are fit for purpose and able to deliver on what the Company expects of them. The function is often bogged down with administrative tasks and reactive work, leaving little time to forward plan and add value to the business. For comparison, the ER caseload sat at 46 for 2023, whereas in 2024 this rose to 58 and continues to increase into January 2025 for a higher number of cases compared to the previous 2 years.</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If L&amp;D resources were aligned with the issues on the ground, such as teaching line managers how to have difficult conversations or holding regular DCWW values session with new and existing colleagues, this would then feed into a reduction of issues that the ops team have to be involved in. The time gained could be used to create new initiatives or explore ways to implement improvements across the business, adding real value (Bolton, 2006).</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2. Line manager competency training needs to be overhauled and brought more in line with what managers are expected to deal with in their role</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The current line manager training provision is not fit for purpose. It does cover various topics and lightly touches on the common issues managers will have to handle but it is very surface level and does not encapsulate the reality or align with HR policy.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The proposal would be to overhaul the training programme and start by building from the foundations of what it takes to be an effective line manager and then progressing from that point (CIPD, 2023). The trends that are coming out of the business are that managers are not equipt to handle basic HR related tasks, such as investigations, attendance management or performance management, which can be linked back to the quality of the training they are receiving when new in role. The business cannot expect managers to work at a high level if they are not receiving adequate and relevant training.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The format for the new programme should be in the style of toolbox talks, which can be detailed sessions linked with policy, case studies and participant discussion. This creates more a bitesize approach to training which can be beneficial to a wider audience and increase information retention (</w:t>
      </w:r>
      <w:r>
        <w:rPr>
          <w:rFonts w:ascii="Arial" w:hAnsi="Arial"/>
          <w:sz w:val="24"/>
          <w:szCs w:val="24"/>
          <w:rtl w:val="0"/>
          <w:lang w:val="en-US"/>
        </w:rPr>
        <w:t>Manning</w:t>
      </w:r>
      <w:r>
        <w:rPr>
          <w:rFonts w:ascii="Arial" w:hAnsi="Arial"/>
          <w:sz w:val="24"/>
          <w:szCs w:val="24"/>
          <w:rtl w:val="0"/>
          <w:lang w:val="en-US"/>
        </w:rPr>
        <w:t xml:space="preserve"> </w:t>
      </w:r>
      <w:r>
        <w:rPr>
          <w:rFonts w:ascii="Arial" w:hAnsi="Arial"/>
          <w:i w:val="1"/>
          <w:iCs w:val="1"/>
          <w:sz w:val="24"/>
          <w:szCs w:val="24"/>
          <w:rtl w:val="0"/>
          <w:lang w:val="en-US"/>
        </w:rPr>
        <w:t>et al,</w:t>
      </w:r>
      <w:r>
        <w:rPr>
          <w:rFonts w:ascii="Arial" w:hAnsi="Arial"/>
          <w:sz w:val="24"/>
          <w:szCs w:val="24"/>
          <w:rtl w:val="0"/>
          <w:lang w:val="en-US"/>
        </w:rPr>
        <w:t xml:space="preserve"> 2021)</w:t>
      </w:r>
      <w:r>
        <w:rPr>
          <w:rFonts w:ascii="Arial" w:hAnsi="Arial"/>
          <w:sz w:val="24"/>
          <w:szCs w:val="24"/>
          <w:rtl w:val="0"/>
          <w:lang w:val="en-US"/>
        </w:rPr>
        <w:t xml:space="preserve">. These can also be used as standalone sessions which can be delivered as refreshed courses to managers and to aspiring managers who are in supervisory positions where they could  start to take on additional duties. It must be highlighted that the content of the current  leadership programme is of a good quality and should be utilised later on in the new curriculum, which will make the process more cost effective by not having to redo the whole resource.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An example of where to begin would be to collaborate with the HR ops team to establish what issues are managers currently facing. Attendance management is a frequent issues and one that can have a detrimental impact on individuals, teams and the wider business. The approach taken with this topic needs to also link with the </w:t>
      </w:r>
      <w:r>
        <w:rPr>
          <w:rFonts w:ascii="Arial" w:hAnsi="Arial" w:hint="default"/>
          <w:sz w:val="24"/>
          <w:szCs w:val="24"/>
          <w:rtl w:val="0"/>
          <w:lang w:val="en-US"/>
        </w:rPr>
        <w:t>‘</w:t>
      </w:r>
      <w:r>
        <w:rPr>
          <w:rFonts w:ascii="Arial" w:hAnsi="Arial"/>
          <w:sz w:val="24"/>
          <w:szCs w:val="24"/>
          <w:rtl w:val="0"/>
          <w:lang w:val="en-US"/>
        </w:rPr>
        <w:t>Fair and Just</w:t>
      </w:r>
      <w:r>
        <w:rPr>
          <w:rFonts w:ascii="Arial" w:hAnsi="Arial" w:hint="default"/>
          <w:sz w:val="24"/>
          <w:szCs w:val="24"/>
          <w:rtl w:val="0"/>
          <w:lang w:val="en-US"/>
        </w:rPr>
        <w:t xml:space="preserve">’ </w:t>
      </w:r>
      <w:r>
        <w:rPr>
          <w:rFonts w:ascii="Arial" w:hAnsi="Arial"/>
          <w:sz w:val="24"/>
          <w:szCs w:val="24"/>
          <w:rtl w:val="0"/>
          <w:lang w:val="en-US"/>
        </w:rPr>
        <w:t xml:space="preserve">culture of DCWW with a view of being supportive as well as policy driven.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With a headcount of circa 3900, in 2023 DCWW</w:t>
      </w:r>
      <w:r>
        <w:rPr>
          <w:rFonts w:ascii="Arial" w:hAnsi="Arial" w:hint="default"/>
          <w:sz w:val="24"/>
          <w:szCs w:val="24"/>
          <w:rtl w:val="0"/>
          <w:lang w:val="en-US"/>
        </w:rPr>
        <w:t>’</w:t>
      </w:r>
      <w:r>
        <w:rPr>
          <w:rFonts w:ascii="Arial" w:hAnsi="Arial"/>
          <w:sz w:val="24"/>
          <w:szCs w:val="24"/>
          <w:rtl w:val="0"/>
          <w:lang w:val="en-US"/>
        </w:rPr>
        <w:t xml:space="preserve">s sickness cost was </w:t>
      </w:r>
      <w:r>
        <w:rPr>
          <w:rFonts w:ascii="Arial" w:hAnsi="Arial" w:hint="default"/>
          <w:sz w:val="24"/>
          <w:szCs w:val="24"/>
          <w:rtl w:val="0"/>
          <w:lang w:val="en-US"/>
        </w:rPr>
        <w:t>£</w:t>
      </w:r>
      <w:r>
        <w:rPr>
          <w:rFonts w:ascii="Arial" w:hAnsi="Arial"/>
          <w:sz w:val="24"/>
          <w:szCs w:val="24"/>
          <w:rtl w:val="0"/>
          <w:lang w:val="en-US"/>
        </w:rPr>
        <w:t>3.44million with a total of 9558 sickness days across the business. Increasing manager competency and awareness of how to effectively handle sickness absence can have a significant impact on cost and also productivity, which feeds into a more effective operating model.</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To evaluate the effective of the new resource, the Kirkpatrick model should be used when exploring the impact the training has had on the Company (Kirkpatrick Partners, No Date). This could be done by using the 4 levels:</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Results - Overall, to explore if there has there been a decrease in absence figures and  ultimately costs due to the introduction of improved manager training.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Behaviour - Evaluating if there has been an increase in absence meetings and support resource interactions in line with attendance figures.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Learning - Discussing with participants what they have learnt and what would they like to explore further. Knowledge levels will vary greatly in this subject area as first hand experience is crucial to bring the policy content to life.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Reaction - Finding out what the participants thought of the training and how it made them feel. This would be interesting to understand because the direction the Company is taking when managing absence is very different to that of time gone by with a stronger focus on support and intervention first and foremost. Previously it would have a black and white, transactional process with little consideration for the colleague</w:t>
      </w:r>
      <w:r>
        <w:rPr>
          <w:rFonts w:ascii="Arial" w:hAnsi="Arial" w:hint="default"/>
          <w:sz w:val="24"/>
          <w:szCs w:val="24"/>
          <w:rtl w:val="0"/>
          <w:lang w:val="en-US"/>
        </w:rPr>
        <w:t>’</w:t>
      </w:r>
      <w:r>
        <w:rPr>
          <w:rFonts w:ascii="Arial" w:hAnsi="Arial"/>
          <w:sz w:val="24"/>
          <w:szCs w:val="24"/>
          <w:rtl w:val="0"/>
          <w:lang w:val="en-US"/>
        </w:rPr>
        <w:t xml:space="preserve">s circumstances. </w:t>
      </w:r>
    </w:p>
    <w:p>
      <w:pPr>
        <w:pStyle w:val="Body A"/>
        <w:jc w:val="both"/>
        <w:rPr>
          <w:rFonts w:ascii="Arial" w:cs="Arial" w:hAnsi="Arial" w:eastAsia="Arial"/>
          <w:sz w:val="24"/>
          <w:szCs w:val="24"/>
        </w:rPr>
      </w:pPr>
    </w:p>
    <w:p>
      <w:pPr>
        <w:pStyle w:val="Body A"/>
        <w:jc w:val="both"/>
        <w:rPr>
          <w:rFonts w:ascii="Arial" w:cs="Arial" w:hAnsi="Arial" w:eastAsia="Arial"/>
          <w:b w:val="1"/>
          <w:bCs w:val="1"/>
          <w:sz w:val="24"/>
          <w:szCs w:val="24"/>
          <w:u w:val="single"/>
          <w:lang w:val="en-US"/>
        </w:rPr>
      </w:pPr>
      <w:r>
        <w:rPr>
          <w:rFonts w:ascii="Arial" w:hAnsi="Arial"/>
          <w:b w:val="1"/>
          <w:bCs w:val="1"/>
          <w:sz w:val="24"/>
          <w:szCs w:val="24"/>
          <w:u w:val="single"/>
          <w:rtl w:val="0"/>
          <w:lang w:val="en-US"/>
        </w:rPr>
        <w:t>Conclusion</w:t>
      </w:r>
    </w:p>
    <w:p>
      <w:pPr>
        <w:pStyle w:val="Body A"/>
        <w:jc w:val="both"/>
        <w:rPr>
          <w:rFonts w:ascii="Arial" w:cs="Arial" w:hAnsi="Arial" w:eastAsia="Arial"/>
          <w:b w:val="1"/>
          <w:bCs w:val="1"/>
          <w:sz w:val="24"/>
          <w:szCs w:val="24"/>
          <w:u w:val="single"/>
          <w:lang w:val="en-US"/>
        </w:rPr>
      </w:pPr>
    </w:p>
    <w:p>
      <w:pPr>
        <w:pStyle w:val="Body A"/>
        <w:jc w:val="both"/>
        <w:rPr>
          <w:rFonts w:ascii="Arial" w:cs="Arial" w:hAnsi="Arial" w:eastAsia="Arial"/>
          <w:sz w:val="24"/>
          <w:szCs w:val="24"/>
          <w:lang w:val="en-US"/>
        </w:rPr>
      </w:pPr>
      <w:r>
        <w:rPr>
          <w:rFonts w:ascii="Arial" w:hAnsi="Arial"/>
          <w:sz w:val="24"/>
          <w:szCs w:val="24"/>
          <w:rtl w:val="0"/>
          <w:lang w:val="en-US"/>
        </w:rPr>
        <w:t>To conclude, DCWW</w:t>
      </w:r>
      <w:r>
        <w:rPr>
          <w:rFonts w:ascii="Arial" w:hAnsi="Arial" w:hint="default"/>
          <w:sz w:val="24"/>
          <w:szCs w:val="24"/>
          <w:rtl w:val="0"/>
          <w:lang w:val="en-US"/>
        </w:rPr>
        <w:t>’</w:t>
      </w:r>
      <w:r>
        <w:rPr>
          <w:rFonts w:ascii="Arial" w:hAnsi="Arial"/>
          <w:sz w:val="24"/>
          <w:szCs w:val="24"/>
          <w:rtl w:val="0"/>
          <w:lang w:val="en-US"/>
        </w:rPr>
        <w:t>s approach to learning and development has some positive elements which work, in practise, and results are being seen culturally. However, there are fundamental flaws in various practises carried out by the HR function which could have detrimental impacts on the overall Company, employee</w:t>
      </w:r>
      <w:r>
        <w:rPr>
          <w:rFonts w:ascii="Arial" w:hAnsi="Arial" w:hint="default"/>
          <w:sz w:val="24"/>
          <w:szCs w:val="24"/>
          <w:rtl w:val="0"/>
          <w:lang w:val="en-US"/>
        </w:rPr>
        <w:t>’</w:t>
      </w:r>
      <w:r>
        <w:rPr>
          <w:rFonts w:ascii="Arial" w:hAnsi="Arial"/>
          <w:sz w:val="24"/>
          <w:szCs w:val="24"/>
          <w:rtl w:val="0"/>
          <w:lang w:val="en-US"/>
        </w:rPr>
        <w:t xml:space="preserve">s experience and the workload of the HR ops team. </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lang w:val="en-US"/>
        </w:rPr>
      </w:pPr>
      <w:r>
        <w:rPr>
          <w:rFonts w:ascii="Arial" w:hAnsi="Arial"/>
          <w:sz w:val="24"/>
          <w:szCs w:val="24"/>
          <w:rtl w:val="0"/>
          <w:lang w:val="en-US"/>
        </w:rPr>
        <w:t xml:space="preserve">The recommendations given are aligned with the </w:t>
      </w:r>
      <w:r>
        <w:rPr>
          <w:rFonts w:ascii="Arial" w:hAnsi="Arial" w:hint="default"/>
          <w:sz w:val="24"/>
          <w:szCs w:val="24"/>
          <w:rtl w:val="0"/>
          <w:lang w:val="en-US"/>
        </w:rPr>
        <w:t>‘</w:t>
      </w:r>
      <w:r>
        <w:rPr>
          <w:rFonts w:ascii="Arial" w:hAnsi="Arial"/>
          <w:sz w:val="24"/>
          <w:szCs w:val="24"/>
          <w:rtl w:val="0"/>
          <w:lang w:val="en-US"/>
        </w:rPr>
        <w:t>Fair and Just</w:t>
      </w:r>
      <w:r>
        <w:rPr>
          <w:rFonts w:ascii="Arial" w:hAnsi="Arial" w:hint="default"/>
          <w:sz w:val="24"/>
          <w:szCs w:val="24"/>
          <w:rtl w:val="0"/>
          <w:lang w:val="en-US"/>
        </w:rPr>
        <w:t xml:space="preserve">’ </w:t>
      </w:r>
      <w:r>
        <w:rPr>
          <w:rFonts w:ascii="Arial" w:hAnsi="Arial"/>
          <w:sz w:val="24"/>
          <w:szCs w:val="24"/>
          <w:rtl w:val="0"/>
          <w:lang w:val="en-US"/>
        </w:rPr>
        <w:t>cultural shift DCWW has adopted by having a more supportive nature in contrast to historically transactional HR processes, which have a tendency to omit the circumstances of the individual that is going through the process (Parikh, 2022).</w:t>
      </w:r>
    </w:p>
    <w:p>
      <w:pPr>
        <w:pStyle w:val="Body A"/>
        <w:jc w:val="both"/>
        <w:rPr>
          <w:rFonts w:ascii="Arial" w:cs="Arial" w:hAnsi="Arial" w:eastAsia="Arial"/>
          <w:sz w:val="24"/>
          <w:szCs w:val="24"/>
          <w:lang w:val="en-US"/>
        </w:rPr>
      </w:pPr>
    </w:p>
    <w:p>
      <w:pPr>
        <w:pStyle w:val="Body A"/>
        <w:jc w:val="both"/>
        <w:rPr>
          <w:rFonts w:ascii="Arial" w:cs="Arial" w:hAnsi="Arial" w:eastAsia="Arial"/>
          <w:sz w:val="24"/>
          <w:szCs w:val="24"/>
        </w:rPr>
      </w:pPr>
      <w:r>
        <w:rPr>
          <w:rFonts w:ascii="Arial" w:hAnsi="Arial"/>
          <w:sz w:val="24"/>
          <w:szCs w:val="24"/>
          <w:rtl w:val="0"/>
          <w:lang w:val="en-US"/>
        </w:rPr>
        <w:t xml:space="preserve">From a senior leadership perspective, soft skills need to be endorsed and incorporated into the L&amp;D focus and taken as seriously as regulatory training. It is harder to put a monetary value on the impact soft skills can have on the Company when compared to potential fines for breaching statutory training, but the deliverable value is significant in terms of culture, employee value and associated time and cost savings when looking at manager and HR workloads (CIPD, 2024b). </w:t>
      </w:r>
    </w:p>
    <w:p>
      <w:pPr>
        <w:pStyle w:val="Body A"/>
        <w:jc w:val="both"/>
        <w:rPr>
          <w:rFonts w:ascii="Arial" w:cs="Arial" w:hAnsi="Arial" w:eastAsia="Arial"/>
          <w:sz w:val="24"/>
          <w:szCs w:val="24"/>
          <w:u w:val="single"/>
        </w:rPr>
      </w:pPr>
    </w:p>
    <w:p>
      <w:pPr>
        <w:pStyle w:val="Body A"/>
        <w:jc w:val="both"/>
        <w:rPr>
          <w:rFonts w:ascii="Arial" w:cs="Arial" w:hAnsi="Arial" w:eastAsia="Arial"/>
          <w:b w:val="1"/>
          <w:bCs w:val="1"/>
          <w:sz w:val="24"/>
          <w:szCs w:val="24"/>
          <w:u w:val="single"/>
        </w:rPr>
      </w:pPr>
      <w:r>
        <w:rPr>
          <w:rFonts w:ascii="Arial" w:hAnsi="Arial"/>
          <w:b w:val="1"/>
          <w:bCs w:val="1"/>
          <w:sz w:val="24"/>
          <w:szCs w:val="24"/>
          <w:u w:val="single"/>
          <w:rtl w:val="0"/>
          <w:lang w:val="en-US"/>
        </w:rPr>
        <w:t>Reference List</w:t>
      </w:r>
    </w:p>
    <w:p>
      <w:pPr>
        <w:pStyle w:val="Body A"/>
        <w:jc w:val="both"/>
        <w:rPr>
          <w:rFonts w:ascii="Arial" w:cs="Arial" w:hAnsi="Arial" w:eastAsia="Arial"/>
          <w:b w:val="1"/>
          <w:bCs w:val="1"/>
          <w:sz w:val="24"/>
          <w:szCs w:val="24"/>
          <w:u w:val="single"/>
        </w:rPr>
      </w:pPr>
    </w:p>
    <w:p>
      <w:pPr>
        <w:pStyle w:val="Body A"/>
        <w:jc w:val="both"/>
        <w:rPr>
          <w:rFonts w:ascii="Arial" w:cs="Arial" w:hAnsi="Arial" w:eastAsia="Arial"/>
          <w:sz w:val="24"/>
          <w:szCs w:val="24"/>
        </w:rPr>
      </w:pPr>
      <w:r>
        <w:rPr>
          <w:rFonts w:ascii="Arial" w:hAnsi="Arial"/>
          <w:sz w:val="24"/>
          <w:szCs w:val="24"/>
          <w:rtl w:val="0"/>
          <w:lang w:val="en-US"/>
        </w:rPr>
        <w:t xml:space="preserve">Adamopoulous, A. (2022). </w:t>
      </w:r>
      <w:r>
        <w:rPr>
          <w:rFonts w:ascii="Arial" w:hAnsi="Arial"/>
          <w:i w:val="1"/>
          <w:iCs w:val="1"/>
          <w:sz w:val="24"/>
          <w:szCs w:val="24"/>
          <w:rtl w:val="0"/>
          <w:lang w:val="en-US"/>
        </w:rPr>
        <w:t xml:space="preserve">The Value of Learning Through Alignment with Business Goals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"https://www.forbes.com/councils/forbesbusinesscouncil/2022/12/09/the-value-of-learning-through-alignment-with-business-goals/"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https://www.forbes.com/councils/forbesbusinesscouncil/2022/12/09/the-value-of-learning-through-alignment-with-business-goals/</w:t>
      </w:r>
      <w:r>
        <w:rPr>
          <w:rFonts w:ascii="Arial" w:cs="Arial" w:hAnsi="Arial" w:eastAsia="Arial"/>
          <w:sz w:val="24"/>
          <w:szCs w:val="24"/>
        </w:rPr>
        <w:fldChar w:fldCharType="end" w:fldLock="0"/>
      </w:r>
      <w:r>
        <w:rPr>
          <w:rFonts w:ascii="Arial" w:hAnsi="Arial"/>
          <w:sz w:val="24"/>
          <w:szCs w:val="24"/>
          <w:rtl w:val="0"/>
          <w:lang w:val="en-US"/>
        </w:rPr>
        <w:t xml:space="preserve"> (Accessed 8th February 2025).</w:t>
      </w:r>
    </w:p>
    <w:p>
      <w:pPr>
        <w:pStyle w:val="Body A"/>
        <w:jc w:val="both"/>
        <w:rPr>
          <w:rFonts w:ascii="Arial" w:cs="Arial" w:hAnsi="Arial" w:eastAsia="Arial"/>
          <w:sz w:val="24"/>
          <w:szCs w:val="24"/>
        </w:rPr>
      </w:pPr>
    </w:p>
    <w:p>
      <w:pPr>
        <w:pStyle w:val="Body A"/>
        <w:jc w:val="both"/>
        <w:rPr>
          <w:rFonts w:ascii="Arial" w:cs="Arial" w:hAnsi="Arial" w:eastAsia="Arial"/>
          <w:b w:val="1"/>
          <w:bCs w:val="1"/>
          <w:sz w:val="24"/>
          <w:szCs w:val="24"/>
          <w:u w:val="single"/>
        </w:rPr>
      </w:pPr>
      <w:r>
        <w:rPr>
          <w:rFonts w:ascii="Arial" w:hAnsi="Arial"/>
          <w:sz w:val="24"/>
          <w:szCs w:val="24"/>
          <w:rtl w:val="0"/>
          <w:lang w:val="en-US"/>
        </w:rPr>
        <w:t xml:space="preserve">Avado. (2021). </w:t>
      </w:r>
      <w:r>
        <w:rPr>
          <w:rFonts w:ascii="Arial" w:hAnsi="Arial"/>
          <w:i w:val="1"/>
          <w:iCs w:val="1"/>
          <w:sz w:val="24"/>
          <w:szCs w:val="24"/>
          <w:rtl w:val="0"/>
          <w:lang w:val="en-US"/>
        </w:rPr>
        <w:t>What are the 7 different learning style sand do they work?</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"https://www.avadolearning.com/blog/the-7-different-learning-styles-and-what-they-mean/#:~:text=Informational%20Learning%20Styles.%20The%20last%20category%20for,the%20senses%20or%20the%20learner's%20social%20surroundings"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https://www.avadolearning.com/blog/the-7-different-learning-styles-and-what-they-mean/#:~:text=Informational%20Learning%20Styles.%20The%20last%20category%20for,the%20senses%20or%20the%20learner's%20social%20surroundings</w:t>
      </w:r>
      <w:r>
        <w:rPr>
          <w:rFonts w:ascii="Arial" w:cs="Arial" w:hAnsi="Arial" w:eastAsia="Arial"/>
          <w:sz w:val="24"/>
          <w:szCs w:val="24"/>
        </w:rPr>
        <w:fldChar w:fldCharType="end" w:fldLock="0"/>
      </w:r>
      <w:r>
        <w:rPr>
          <w:rFonts w:ascii="Arial" w:hAnsi="Arial"/>
          <w:sz w:val="24"/>
          <w:szCs w:val="24"/>
          <w:rtl w:val="0"/>
          <w:lang w:val="en-US"/>
        </w:rPr>
        <w:t xml:space="preserve"> (Accessed 17th February 2025).</w:t>
      </w:r>
    </w:p>
    <w:p>
      <w:pPr>
        <w:pStyle w:val="Body A"/>
        <w:jc w:val="both"/>
        <w:rPr>
          <w:rFonts w:ascii="Arial" w:cs="Arial" w:hAnsi="Arial" w:eastAsia="Arial"/>
          <w:sz w:val="24"/>
          <w:szCs w:val="24"/>
          <w:u w:val="single"/>
        </w:rPr>
      </w:pPr>
    </w:p>
    <w:p>
      <w:pPr>
        <w:pStyle w:val="Body A"/>
        <w:jc w:val="both"/>
        <w:rPr>
          <w:rFonts w:ascii="Arial" w:cs="Arial" w:hAnsi="Arial" w:eastAsia="Arial"/>
          <w:sz w:val="24"/>
          <w:szCs w:val="24"/>
        </w:rPr>
      </w:pPr>
      <w:r>
        <w:rPr>
          <w:rFonts w:ascii="Arial" w:hAnsi="Arial"/>
          <w:sz w:val="24"/>
          <w:szCs w:val="24"/>
          <w:rtl w:val="0"/>
          <w:lang w:val="en-US"/>
        </w:rPr>
        <w:t xml:space="preserve">Baunsgaard, V. (2024). </w:t>
      </w:r>
      <w:r>
        <w:rPr>
          <w:rFonts w:ascii="Arial" w:hAnsi="Arial"/>
          <w:i w:val="1"/>
          <w:iCs w:val="1"/>
          <w:sz w:val="24"/>
          <w:szCs w:val="24"/>
          <w:rtl w:val="0"/>
          <w:lang w:val="en-US"/>
        </w:rPr>
        <w:t xml:space="preserve">How Leaders Can Prevent Bad Behavior from Creating a Poor Work Environment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"https://www.managemagazine.com/article-bank/leadership/how-leaders-can-prevent-bad-behavior-from-creating-a-poor-work-environment/#:~:text=When%20leaders%20address%20bad%20behavior,and%20are%20transparent%20about%20expectations"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https://www.managemagazine.com/article-bank/leadership/how-leaders-can-prevent-bad-behavior-from-creating-a-poor-work-environment/#:~:text=When%20leaders%20address%20bad%20behavior,and%20are%20transparent%20about%20expectations</w:t>
      </w:r>
      <w:r>
        <w:rPr>
          <w:rFonts w:ascii="Arial" w:cs="Arial" w:hAnsi="Arial" w:eastAsia="Arial"/>
          <w:sz w:val="24"/>
          <w:szCs w:val="24"/>
        </w:rPr>
        <w:fldChar w:fldCharType="end" w:fldLock="0"/>
      </w:r>
      <w:r>
        <w:rPr>
          <w:rFonts w:ascii="Arial" w:hAnsi="Arial"/>
          <w:sz w:val="24"/>
          <w:szCs w:val="24"/>
          <w:rtl w:val="0"/>
          <w:lang w:val="en-US"/>
        </w:rPr>
        <w:t xml:space="preserve"> (Accessed 7th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Benson, T. (2018). </w:t>
      </w:r>
      <w:r>
        <w:rPr>
          <w:rFonts w:ascii="Arial" w:hAnsi="Arial"/>
          <w:i w:val="1"/>
          <w:iCs w:val="1"/>
          <w:sz w:val="24"/>
          <w:szCs w:val="24"/>
          <w:rtl w:val="0"/>
          <w:lang w:val="en-US"/>
        </w:rPr>
        <w:t>5 Ways Learning &amp; Development (L&amp;D) Can Elevate Your Team</w:t>
      </w:r>
      <w:r>
        <w:rPr>
          <w:rFonts w:ascii="Arial" w:hAnsi="Arial" w:hint="default"/>
          <w:i w:val="1"/>
          <w:iCs w:val="1"/>
          <w:sz w:val="24"/>
          <w:szCs w:val="24"/>
          <w:rtl w:val="0"/>
          <w:lang w:val="en-US"/>
        </w:rPr>
        <w:t>’</w:t>
      </w:r>
      <w:r>
        <w:rPr>
          <w:rFonts w:ascii="Arial" w:hAnsi="Arial"/>
          <w:i w:val="1"/>
          <w:iCs w:val="1"/>
          <w:sz w:val="24"/>
          <w:szCs w:val="24"/>
          <w:rtl w:val="0"/>
          <w:lang w:val="en-US"/>
        </w:rPr>
        <w:t xml:space="preserve">s  Performance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"https://www.teamtactics.co.uk/blog/5-benefits-of-team-learning-development-for-your-team/?privacy=updated"</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https://www.teamtactics.co.uk/blog/5-benefits-of-team-learning-development-for-your-team/?privacy=updated</w:t>
      </w:r>
      <w:r>
        <w:rPr>
          <w:rFonts w:ascii="Arial" w:cs="Arial" w:hAnsi="Arial" w:eastAsia="Arial"/>
          <w:sz w:val="24"/>
          <w:szCs w:val="24"/>
        </w:rPr>
        <w:fldChar w:fldCharType="end" w:fldLock="0"/>
      </w:r>
      <w:r>
        <w:rPr>
          <w:rFonts w:ascii="Arial" w:hAnsi="Arial"/>
          <w:sz w:val="24"/>
          <w:szCs w:val="24"/>
          <w:rtl w:val="0"/>
          <w:lang w:val="en-US"/>
        </w:rPr>
        <w:t xml:space="preserve"> (Accessed 7th February 2025).</w:t>
      </w:r>
    </w:p>
    <w:p>
      <w:pPr>
        <w:pStyle w:val="Default"/>
        <w:spacing w:before="0" w:line="240" w:lineRule="auto"/>
        <w:jc w:val="left"/>
        <w:rPr>
          <w:rFonts w:ascii="Arial" w:cs="Arial" w:hAnsi="Arial" w:eastAsia="Arial"/>
          <w:outline w:val="0"/>
          <w:color w:val="555555"/>
          <w:shd w:val="clear" w:color="auto" w:fill="ffffff"/>
          <w14:textFill>
            <w14:solidFill>
              <w14:srgbClr w14:val="555555"/>
            </w14:solidFill>
          </w14:textFill>
        </w:rPr>
      </w:pPr>
    </w:p>
    <w:p>
      <w:pPr>
        <w:pStyle w:val="Default"/>
        <w:spacing w:before="0" w:line="240" w:lineRule="auto"/>
        <w:jc w:val="left"/>
        <w:rPr>
          <w:rFonts w:ascii="Arial" w:cs="Arial" w:hAnsi="Arial" w:eastAsia="Arial"/>
          <w:outline w:val="0"/>
          <w:color w:val="000000"/>
          <w:shd w:val="clear" w:color="auto" w:fill="ffffff"/>
          <w14:textFill>
            <w14:solidFill>
              <w14:srgbClr w14:val="000000"/>
            </w14:solidFill>
          </w14:textFill>
        </w:rPr>
      </w:pPr>
      <w:r>
        <w:rPr>
          <w:rFonts w:ascii="Arial" w:hAnsi="Arial"/>
          <w:outline w:val="0"/>
          <w:color w:val="000000"/>
          <w:shd w:val="clear" w:color="auto" w:fill="ffffff"/>
          <w:rtl w:val="0"/>
          <w:lang w:val="en-US"/>
          <w14:textFill>
            <w14:solidFill>
              <w14:srgbClr w14:val="000000"/>
            </w14:solidFill>
          </w14:textFill>
        </w:rPr>
        <w:t>B</w:t>
      </w:r>
      <w:r>
        <w:rPr>
          <w:rFonts w:ascii="Arial" w:hAnsi="Arial"/>
          <w:outline w:val="0"/>
          <w:color w:val="000000"/>
          <w:shd w:val="clear" w:color="auto" w:fill="ffffff"/>
          <w:rtl w:val="0"/>
          <w:lang w:val="en-US"/>
          <w14:textFill>
            <w14:solidFill>
              <w14:srgbClr w14:val="000000"/>
            </w14:solidFill>
          </w14:textFill>
        </w:rPr>
        <w:t>olton</w:t>
      </w:r>
      <w:r>
        <w:rPr>
          <w:rFonts w:ascii="Arial" w:hAnsi="Arial"/>
          <w:outline w:val="0"/>
          <w:color w:val="000000"/>
          <w:shd w:val="clear" w:color="auto" w:fill="ffffff"/>
          <w:rtl w:val="0"/>
          <w:lang w:val="en-US"/>
          <w14:textFill>
            <w14:solidFill>
              <w14:srgbClr w14:val="000000"/>
            </w14:solidFill>
          </w14:textFill>
        </w:rPr>
        <w:t xml:space="preserve">, R. </w:t>
      </w:r>
      <w:r>
        <w:rPr>
          <w:rFonts w:ascii="Arial" w:hAnsi="Arial"/>
          <w:outline w:val="0"/>
          <w:color w:val="000000"/>
          <w:shd w:val="clear" w:color="auto" w:fill="ffffff"/>
          <w:rtl w:val="0"/>
          <w:lang w:val="en-US"/>
          <w14:textFill>
            <w14:solidFill>
              <w14:srgbClr w14:val="000000"/>
            </w14:solidFill>
          </w14:textFill>
        </w:rPr>
        <w:t>(</w:t>
      </w:r>
      <w:r>
        <w:rPr>
          <w:rFonts w:ascii="Arial" w:hAnsi="Arial"/>
          <w:outline w:val="0"/>
          <w:color w:val="000000"/>
          <w:shd w:val="clear" w:color="auto" w:fill="ffffff"/>
          <w:rtl w:val="0"/>
          <w:lang w:val="en-US"/>
          <w14:textFill>
            <w14:solidFill>
              <w14:srgbClr w14:val="000000"/>
            </w14:solidFill>
          </w14:textFill>
        </w:rPr>
        <w:t>2006</w:t>
      </w:r>
      <w:r>
        <w:rPr>
          <w:rFonts w:ascii="Arial" w:hAnsi="Arial"/>
          <w:outline w:val="0"/>
          <w:color w:val="000000"/>
          <w:shd w:val="clear" w:color="auto" w:fill="ffffff"/>
          <w:rtl w:val="0"/>
          <w:lang w:val="en-US"/>
          <w14:textFill>
            <w14:solidFill>
              <w14:srgbClr w14:val="000000"/>
            </w14:solidFill>
          </w14:textFill>
        </w:rPr>
        <w:t>).</w:t>
      </w:r>
      <w:r>
        <w:rPr>
          <w:rFonts w:ascii="Arial" w:hAnsi="Arial"/>
          <w:outline w:val="0"/>
          <w:color w:val="000000"/>
          <w:shd w:val="clear" w:color="auto" w:fill="ffffff"/>
          <w:rtl w:val="0"/>
          <w:lang w:val="en-US"/>
          <w14:textFill>
            <w14:solidFill>
              <w14:srgbClr w14:val="000000"/>
            </w14:solidFill>
          </w14:textFill>
        </w:rPr>
        <w:t xml:space="preserve"> </w:t>
      </w:r>
      <w:r>
        <w:rPr>
          <w:rFonts w:ascii="Arial" w:hAnsi="Arial" w:hint="default"/>
          <w:outline w:val="0"/>
          <w:color w:val="000000"/>
          <w:shd w:val="clear" w:color="auto" w:fill="ffffff"/>
          <w:rtl w:val="0"/>
          <w:lang w:val="en-US"/>
          <w14:textFill>
            <w14:solidFill>
              <w14:srgbClr w14:val="000000"/>
            </w14:solidFill>
          </w14:textFill>
        </w:rPr>
        <w:t>‘</w:t>
      </w:r>
      <w:r>
        <w:rPr>
          <w:rFonts w:ascii="Arial" w:hAnsi="Arial"/>
          <w:outline w:val="0"/>
          <w:color w:val="000000"/>
          <w:shd w:val="clear" w:color="auto" w:fill="ffffff"/>
          <w:rtl w:val="0"/>
          <w:lang w:val="en-US"/>
          <w14:textFill>
            <w14:solidFill>
              <w14:srgbClr w14:val="000000"/>
            </w14:solidFill>
          </w14:textFill>
        </w:rPr>
        <w:t>Tying up loose ends in HR: using a value-adding formula</w:t>
      </w:r>
      <w:r>
        <w:rPr>
          <w:rFonts w:ascii="Arial" w:hAnsi="Arial" w:hint="default"/>
          <w:outline w:val="0"/>
          <w:color w:val="000000"/>
          <w:shd w:val="clear" w:color="auto" w:fill="ffffff"/>
          <w:rtl w:val="0"/>
          <w:lang w:val="en-US"/>
          <w14:textFill>
            <w14:solidFill>
              <w14:srgbClr w14:val="000000"/>
            </w14:solidFill>
          </w14:textFill>
        </w:rPr>
        <w:t>’</w:t>
      </w:r>
      <w:r>
        <w:rPr>
          <w:rFonts w:ascii="Arial" w:hAnsi="Arial"/>
          <w:outline w:val="0"/>
          <w:color w:val="000000"/>
          <w:shd w:val="clear" w:color="auto" w:fill="ffffff"/>
          <w:rtl w:val="0"/>
          <w:lang w:val="en-US"/>
          <w14:textFill>
            <w14:solidFill>
              <w14:srgbClr w14:val="000000"/>
            </w14:solidFill>
          </w14:textFill>
        </w:rPr>
        <w:t>,</w:t>
      </w:r>
      <w:r>
        <w:rPr>
          <w:rFonts w:ascii="Arial" w:hAnsi="Arial" w:hint="default"/>
          <w:outline w:val="0"/>
          <w:color w:val="000000"/>
          <w:shd w:val="clear" w:color="auto" w:fill="ffffff"/>
          <w:rtl w:val="0"/>
          <w:lang w:val="en-US"/>
          <w14:textFill>
            <w14:solidFill>
              <w14:srgbClr w14:val="000000"/>
            </w14:solidFill>
          </w14:textFill>
        </w:rPr>
        <w:t> </w:t>
      </w:r>
      <w:r>
        <w:rPr>
          <w:rFonts w:ascii="Arial" w:hAnsi="Arial"/>
          <w:i w:val="1"/>
          <w:iCs w:val="1"/>
          <w:outline w:val="0"/>
          <w:color w:val="000000"/>
          <w:shd w:val="clear" w:color="auto" w:fill="ffffff"/>
          <w:rtl w:val="0"/>
          <w:lang w:val="en-US"/>
          <w14:textFill>
            <w14:solidFill>
              <w14:srgbClr w14:val="000000"/>
            </w14:solidFill>
          </w14:textFill>
        </w:rPr>
        <w:t>Strategic HR Review,</w:t>
      </w:r>
      <w:r>
        <w:rPr>
          <w:rFonts w:ascii="Arial" w:hAnsi="Arial" w:hint="default"/>
          <w:i w:val="1"/>
          <w:iCs w:val="1"/>
          <w:outline w:val="0"/>
          <w:color w:val="000000"/>
          <w:shd w:val="clear" w:color="auto" w:fill="ffffff"/>
          <w:rtl w:val="0"/>
          <w:lang w:val="en-US"/>
          <w14:textFill>
            <w14:solidFill>
              <w14:srgbClr w14:val="000000"/>
            </w14:solidFill>
          </w14:textFill>
        </w:rPr>
        <w:t> </w:t>
      </w:r>
      <w:r>
        <w:rPr>
          <w:rFonts w:ascii="Arial" w:hAnsi="Arial"/>
          <w:outline w:val="0"/>
          <w:color w:val="000000"/>
          <w:shd w:val="clear" w:color="auto" w:fill="ffffff"/>
          <w:rtl w:val="0"/>
          <w:lang w:val="en-US"/>
          <w14:textFill>
            <w14:solidFill>
              <w14:srgbClr w14:val="000000"/>
            </w14:solidFill>
          </w14:textFill>
        </w:rPr>
        <w:t>6(1), pp. 8-9.</w:t>
      </w:r>
      <w:r>
        <w:rPr>
          <w:rFonts w:ascii="Arial" w:hAnsi="Arial"/>
          <w:outline w:val="0"/>
          <w:color w:val="000000"/>
          <w:shd w:val="clear" w:color="auto" w:fill="ffffff"/>
          <w:rtl w:val="0"/>
          <w:lang w:val="en-US"/>
          <w14:textFill>
            <w14:solidFill>
              <w14:srgbClr w14:val="000000"/>
            </w14:solidFill>
          </w14:textFill>
        </w:rPr>
        <w:t xml:space="preserve"> Available at: </w:t>
      </w:r>
      <w:r>
        <w:rPr>
          <w:rStyle w:val="Hyperlink.0"/>
          <w:rFonts w:ascii="Arial" w:cs="Arial" w:hAnsi="Arial" w:eastAsia="Arial"/>
          <w:outline w:val="0"/>
          <w:color w:val="000000"/>
          <w:u w:val="none" w:color="0000ff"/>
          <w:shd w:val="clear" w:color="auto" w:fill="ffffff"/>
          <w14:textFill>
            <w14:solidFill>
              <w14:srgbClr w14:val="000000"/>
            </w14:solidFill>
          </w14:textFill>
        </w:rPr>
        <w:fldChar w:fldCharType="begin" w:fldLock="0"/>
      </w:r>
      <w:r>
        <w:rPr>
          <w:rStyle w:val="Hyperlink.0"/>
          <w:rFonts w:ascii="Arial" w:cs="Arial" w:hAnsi="Arial" w:eastAsia="Arial"/>
          <w:outline w:val="0"/>
          <w:color w:val="000000"/>
          <w:u w:val="none" w:color="0000ff"/>
          <w:shd w:val="clear" w:color="auto" w:fill="ffffff"/>
          <w14:textFill>
            <w14:solidFill>
              <w14:srgbClr w14:val="000000"/>
            </w14:solidFill>
          </w14:textFill>
        </w:rPr>
        <w:instrText xml:space="preserve"> HYPERLINK "https://www.proquest.com/scholarly-journals/tying-up-loose-ends-hr-using-value-adding-formula/docview/217178810/se-2?accountid=130472"</w:instrText>
      </w:r>
      <w:r>
        <w:rPr>
          <w:rStyle w:val="Hyperlink.0"/>
          <w:rFonts w:ascii="Arial" w:cs="Arial" w:hAnsi="Arial" w:eastAsia="Arial"/>
          <w:outline w:val="0"/>
          <w:color w:val="000000"/>
          <w:u w:val="none" w:color="0000ff"/>
          <w:shd w:val="clear" w:color="auto" w:fill="ffffff"/>
          <w14:textFill>
            <w14:solidFill>
              <w14:srgbClr w14:val="000000"/>
            </w14:solidFill>
          </w14:textFill>
        </w:rPr>
        <w:fldChar w:fldCharType="separate" w:fldLock="0"/>
      </w:r>
      <w:r>
        <w:rPr>
          <w:rStyle w:val="Hyperlink.0"/>
          <w:rFonts w:ascii="Arial" w:hAnsi="Arial"/>
          <w:outline w:val="0"/>
          <w:color w:val="000000"/>
          <w:u w:val="none" w:color="0000ff"/>
          <w:shd w:val="clear" w:color="auto" w:fill="ffffff"/>
          <w:rtl w:val="0"/>
          <w:lang w:val="en-US"/>
          <w14:textFill>
            <w14:solidFill>
              <w14:srgbClr w14:val="000000"/>
            </w14:solidFill>
          </w14:textFill>
        </w:rPr>
        <w:t>https://www.proquest.com/scholarly-journals/tying-up-loose-ends-hr-using-value-adding-formula/docview/217178810/se-2?accountid=130472</w:t>
      </w:r>
      <w:r>
        <w:rPr>
          <w:rFonts w:ascii="Arial" w:cs="Arial" w:hAnsi="Arial" w:eastAsia="Arial"/>
          <w:outline w:val="0"/>
          <w:color w:val="555555"/>
          <w:shd w:val="clear" w:color="auto" w:fill="ffffff"/>
          <w14:textFill>
            <w14:solidFill>
              <w14:srgbClr w14:val="555555"/>
            </w14:solidFill>
          </w14:textFill>
        </w:rPr>
        <w:fldChar w:fldCharType="end" w:fldLock="0"/>
      </w:r>
      <w:r>
        <w:rPr>
          <w:rFonts w:ascii="Arial" w:hAnsi="Arial"/>
          <w:outline w:val="0"/>
          <w:color w:val="555555"/>
          <w:shd w:val="clear" w:color="auto" w:fill="ffffff"/>
          <w:rtl w:val="0"/>
          <w:lang w:val="en-US"/>
          <w14:textFill>
            <w14:solidFill>
              <w14:srgbClr w14:val="555555"/>
            </w14:solidFill>
          </w14:textFill>
        </w:rPr>
        <w:t xml:space="preserve"> </w:t>
      </w:r>
      <w:r>
        <w:rPr>
          <w:rFonts w:ascii="Arial" w:hAnsi="Arial"/>
          <w:outline w:val="0"/>
          <w:color w:val="000000"/>
          <w:shd w:val="clear" w:color="auto" w:fill="ffffff"/>
          <w:rtl w:val="0"/>
          <w:lang w:val="en-US"/>
          <w14:textFill>
            <w14:solidFill>
              <w14:srgbClr w14:val="000000"/>
            </w14:solidFill>
          </w14:textFill>
        </w:rPr>
        <w:t>(Accessed 12th February 2025).</w:t>
      </w:r>
    </w:p>
    <w:p>
      <w:pPr>
        <w:pStyle w:val="Default"/>
        <w:spacing w:before="0" w:line="240" w:lineRule="auto"/>
        <w:jc w:val="left"/>
        <w:rPr>
          <w:rFonts w:ascii="Arial" w:cs="Arial" w:hAnsi="Arial" w:eastAsia="Arial"/>
          <w:outline w:val="0"/>
          <w:color w:val="000000"/>
          <w:shd w:val="clear" w:color="auto" w:fill="ffffff"/>
          <w14:textFill>
            <w14:solidFill>
              <w14:srgbClr w14:val="000000"/>
            </w14:solidFill>
          </w14:textFill>
        </w:rPr>
      </w:pPr>
    </w:p>
    <w:p>
      <w:pPr>
        <w:pStyle w:val="Body A"/>
        <w:jc w:val="both"/>
        <w:rPr>
          <w:rFonts w:ascii="Arial" w:cs="Arial" w:hAnsi="Arial" w:eastAsia="Arial"/>
          <w:sz w:val="24"/>
          <w:szCs w:val="24"/>
        </w:rPr>
      </w:pPr>
      <w:r>
        <w:rPr>
          <w:rFonts w:ascii="Arial" w:hAnsi="Arial"/>
          <w:sz w:val="24"/>
          <w:szCs w:val="24"/>
          <w:rtl w:val="0"/>
          <w:lang w:val="en-US"/>
        </w:rPr>
        <w:t xml:space="preserve">Bozarth, J. (2024). </w:t>
      </w:r>
      <w:r>
        <w:rPr>
          <w:rFonts w:ascii="Arial" w:hAnsi="Arial"/>
          <w:i w:val="1"/>
          <w:iCs w:val="1"/>
          <w:sz w:val="24"/>
          <w:szCs w:val="24"/>
          <w:rtl w:val="0"/>
          <w:lang w:val="en-US"/>
        </w:rPr>
        <w:t>Accessibility &amp; Inclusion in L&amp;D: Perspectives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"https://www.linkedin.com/pulse/accessibility-inclusion-perspectives-jane-bozarth-4kyue/"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https://www.linkedin.com/pulse/accessibility-inclusion-perspectives-jane-bozarth-4kyue/</w:t>
      </w:r>
      <w:r>
        <w:rPr>
          <w:rFonts w:ascii="Arial" w:cs="Arial" w:hAnsi="Arial" w:eastAsia="Arial"/>
          <w:sz w:val="24"/>
          <w:szCs w:val="24"/>
        </w:rPr>
        <w:fldChar w:fldCharType="end" w:fldLock="0"/>
      </w:r>
      <w:r>
        <w:rPr>
          <w:rFonts w:ascii="Arial" w:hAnsi="Arial"/>
          <w:sz w:val="24"/>
          <w:szCs w:val="24"/>
          <w:rtl w:val="0"/>
          <w:lang w:val="en-US"/>
        </w:rPr>
        <w:t xml:space="preserve"> </w:t>
      </w:r>
      <w:r>
        <w:rPr>
          <w:rFonts w:ascii="Arial" w:hAnsi="Arial"/>
          <w:sz w:val="24"/>
          <w:szCs w:val="24"/>
          <w:rtl w:val="0"/>
          <w:lang w:val="en-US"/>
        </w:rPr>
        <w:t>(Accessed 12th February 2025)</w:t>
      </w:r>
      <w:r>
        <w:rPr>
          <w:rFonts w:ascii="Arial" w:hAnsi="Arial"/>
          <w:sz w:val="24"/>
          <w:szCs w:val="24"/>
          <w:rtl w:val="0"/>
          <w:lang w:val="en-US"/>
        </w:rPr>
        <w:t>.</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CIPD. (2019). </w:t>
      </w:r>
      <w:r>
        <w:rPr>
          <w:rFonts w:ascii="Arial" w:hAnsi="Arial"/>
          <w:i w:val="1"/>
          <w:iCs w:val="1"/>
          <w:sz w:val="24"/>
          <w:szCs w:val="24"/>
          <w:rtl w:val="0"/>
          <w:lang w:val="en-US"/>
        </w:rPr>
        <w:t xml:space="preserve">Rise in stress at work linked to poor management, new research finds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"https://www.cipd.org/uk/about/press-releases/rise-stress-poor-management/"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https://www.cipd.org/uk/about/press-releases/rise-stress-poor-management/</w:t>
      </w:r>
      <w:r>
        <w:rPr>
          <w:rFonts w:ascii="Arial" w:cs="Arial" w:hAnsi="Arial" w:eastAsia="Arial"/>
          <w:sz w:val="24"/>
          <w:szCs w:val="24"/>
        </w:rPr>
        <w:fldChar w:fldCharType="end" w:fldLock="0"/>
      </w:r>
      <w:r>
        <w:rPr>
          <w:rFonts w:ascii="Arial" w:hAnsi="Arial"/>
          <w:sz w:val="24"/>
          <w:szCs w:val="24"/>
          <w:rtl w:val="0"/>
          <w:lang w:val="en-US"/>
        </w:rPr>
        <w:t xml:space="preserve"> (Accessed 11th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CIPD. (2023). </w:t>
      </w:r>
      <w:r>
        <w:rPr>
          <w:rFonts w:ascii="Arial" w:hAnsi="Arial"/>
          <w:i w:val="1"/>
          <w:iCs w:val="1"/>
          <w:sz w:val="24"/>
          <w:szCs w:val="24"/>
          <w:rtl w:val="0"/>
          <w:lang w:val="en-US"/>
        </w:rPr>
        <w:t>The importance of people management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"https://www.cipd.org/globalassets/media/knowledge/knowledge-hub/reports/2023-pdfs/2023-report-importance-of-people-management-8329-may23.pdf"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https://www.cipd.org/globalassets/media/knowledge/knowledge-hub/reports/2023-pdfs/2023-report-importance-of-people-management-8329-may23.pdf</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CIPD. (2024a). </w:t>
      </w:r>
      <w:r>
        <w:rPr>
          <w:rFonts w:ascii="Arial" w:hAnsi="Arial"/>
          <w:i w:val="1"/>
          <w:iCs w:val="1"/>
          <w:sz w:val="24"/>
          <w:szCs w:val="24"/>
          <w:rtl w:val="0"/>
          <w:lang w:val="en-US"/>
        </w:rPr>
        <w:t>Learning and development strategy and policy</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"https://www.cipd.org/uk/knowledge/factsheets/strategy-development-factsheet/"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https://www.cipd.org/uk/knowledge/factsheets/strategy-development-factsheet/</w:t>
      </w:r>
      <w:r>
        <w:rPr>
          <w:rFonts w:ascii="Arial" w:cs="Arial" w:hAnsi="Arial" w:eastAsia="Arial"/>
          <w:sz w:val="24"/>
          <w:szCs w:val="24"/>
        </w:rPr>
        <w:fldChar w:fldCharType="end" w:fldLock="0"/>
      </w:r>
      <w:r>
        <w:rPr>
          <w:rFonts w:ascii="Arial" w:hAnsi="Arial"/>
          <w:sz w:val="24"/>
          <w:szCs w:val="24"/>
          <w:rtl w:val="0"/>
          <w:lang w:val="en-US"/>
        </w:rPr>
        <w:t xml:space="preserve"> (Accessed 29th January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CIPD. (2024b). Strategic human resource management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"https://www.cipd.org/uk/knowledge/factsheets/strategic-hrm-factsheet/"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https://www.cipd.org/uk/knowledge/factsheets/strategic-hrm-factsheet/</w:t>
      </w:r>
      <w:r>
        <w:rPr>
          <w:rFonts w:ascii="Arial" w:cs="Arial" w:hAnsi="Arial" w:eastAsia="Arial"/>
          <w:sz w:val="24"/>
          <w:szCs w:val="24"/>
        </w:rPr>
        <w:fldChar w:fldCharType="end" w:fldLock="0"/>
      </w:r>
      <w:r>
        <w:rPr>
          <w:rFonts w:ascii="Arial" w:hAnsi="Arial"/>
          <w:sz w:val="24"/>
          <w:szCs w:val="24"/>
          <w:rtl w:val="0"/>
          <w:lang w:val="en-US"/>
        </w:rPr>
        <w:t xml:space="preserve"> (Accessed 17th February 2025). </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CIPD. (2025). </w:t>
      </w:r>
      <w:r>
        <w:rPr>
          <w:rFonts w:ascii="Arial" w:hAnsi="Arial"/>
          <w:i w:val="1"/>
          <w:iCs w:val="1"/>
          <w:sz w:val="24"/>
          <w:szCs w:val="24"/>
          <w:rtl w:val="0"/>
          <w:lang w:val="en-US"/>
        </w:rPr>
        <w:t>Line managers</w:t>
      </w:r>
      <w:r>
        <w:rPr>
          <w:rFonts w:ascii="Arial" w:hAnsi="Arial" w:hint="default"/>
          <w:i w:val="1"/>
          <w:iCs w:val="1"/>
          <w:sz w:val="24"/>
          <w:szCs w:val="24"/>
          <w:rtl w:val="0"/>
          <w:lang w:val="en-US"/>
        </w:rPr>
        <w:t xml:space="preserve">’ </w:t>
      </w:r>
      <w:r>
        <w:rPr>
          <w:rFonts w:ascii="Arial" w:hAnsi="Arial"/>
          <w:i w:val="1"/>
          <w:iCs w:val="1"/>
          <w:sz w:val="24"/>
          <w:szCs w:val="24"/>
          <w:rtl w:val="0"/>
          <w:lang w:val="en-US"/>
        </w:rPr>
        <w:t xml:space="preserve">role in supporting the people profession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"https://www.cipd.org/uk/knowledge/factsheets/line-managers-factsheet/"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https://www.cipd.org/uk/knowledge/factsheets/line-managers-factsheet/</w:t>
      </w:r>
      <w:r>
        <w:rPr>
          <w:rFonts w:ascii="Arial" w:cs="Arial" w:hAnsi="Arial" w:eastAsia="Arial"/>
          <w:sz w:val="24"/>
          <w:szCs w:val="24"/>
        </w:rPr>
        <w:fldChar w:fldCharType="end" w:fldLock="0"/>
      </w:r>
      <w:r>
        <w:rPr>
          <w:rFonts w:ascii="Arial" w:hAnsi="Arial"/>
          <w:sz w:val="24"/>
          <w:szCs w:val="24"/>
          <w:rtl w:val="0"/>
          <w:lang w:val="en-US"/>
        </w:rPr>
        <w:t xml:space="preserve"> (Accessed 11th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Clarey, K. (2020). </w:t>
      </w:r>
      <w:r>
        <w:rPr>
          <w:rFonts w:ascii="Arial" w:hAnsi="Arial"/>
          <w:i w:val="1"/>
          <w:iCs w:val="1"/>
          <w:sz w:val="24"/>
          <w:szCs w:val="24"/>
          <w:rtl w:val="0"/>
          <w:lang w:val="en-US"/>
        </w:rPr>
        <w:t>Soft skills training is a priority, but lack of time and resources stands in the way</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"https://www.hrdive.com/news/soft-skills-training-is-a-priority-but-lack-of-time-and-resources-stands-i/574779/"</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https://www.hrdive.com/news/soft-skills-training-is-a-priority-but-lack-of-time-and-resources-stands-i/574779/</w:t>
      </w:r>
      <w:r>
        <w:rPr>
          <w:rFonts w:ascii="Arial" w:cs="Arial" w:hAnsi="Arial" w:eastAsia="Arial"/>
          <w:sz w:val="24"/>
          <w:szCs w:val="24"/>
        </w:rPr>
        <w:fldChar w:fldCharType="end" w:fldLock="0"/>
      </w:r>
      <w:r>
        <w:rPr>
          <w:rFonts w:ascii="Arial" w:hAnsi="Arial"/>
          <w:sz w:val="24"/>
          <w:szCs w:val="24"/>
          <w:rtl w:val="0"/>
          <w:lang w:val="en-US"/>
        </w:rPr>
        <w:t xml:space="preserve"> (Accessed 10th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Cookson, G. (2024). </w:t>
      </w:r>
      <w:r>
        <w:rPr>
          <w:rFonts w:ascii="Arial" w:hAnsi="Arial"/>
          <w:i w:val="1"/>
          <w:iCs w:val="1"/>
          <w:sz w:val="24"/>
          <w:szCs w:val="24"/>
          <w:rtl w:val="0"/>
          <w:lang w:val="en-US"/>
        </w:rPr>
        <w:t>Creating a learning culture in a hybrid workforce: the role of L&amp;D in building connection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"https://www.peoplemanagement.co.uk/article/1899809/creating-learning-culture-hybrid-workforce-role-l-d-building-connection"</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https://www.peoplemanagement.co.uk/article/1899809/creating-learning-culture-hybrid-workforce-role-l-d-building-connection</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Dadzie, N. (2023). </w:t>
      </w:r>
      <w:r>
        <w:rPr>
          <w:rFonts w:ascii="Arial" w:hAnsi="Arial"/>
          <w:i w:val="1"/>
          <w:iCs w:val="1"/>
          <w:sz w:val="24"/>
          <w:szCs w:val="24"/>
          <w:rtl w:val="0"/>
          <w:lang w:val="en-US"/>
        </w:rPr>
        <w:t>Upskilling across generations: where employers must step in</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"https://www.personneltoday.com/hr/upskilling-across-generations-younger-older-workers/"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https://www.personneltoday.com/hr/upskilling-across-generations-younger-older-workers/</w:t>
      </w:r>
      <w:r>
        <w:rPr>
          <w:rFonts w:ascii="Arial" w:cs="Arial" w:hAnsi="Arial" w:eastAsia="Arial"/>
          <w:sz w:val="24"/>
          <w:szCs w:val="24"/>
        </w:rPr>
        <w:fldChar w:fldCharType="end" w:fldLock="0"/>
      </w:r>
      <w:r>
        <w:rPr>
          <w:rFonts w:ascii="Arial" w:hAnsi="Arial"/>
          <w:sz w:val="24"/>
          <w:szCs w:val="24"/>
          <w:rtl w:val="0"/>
          <w:lang w:val="en-US"/>
        </w:rPr>
        <w:t xml:space="preserve"> (Accessed 12th February 2025).</w:t>
      </w:r>
    </w:p>
    <w:p>
      <w:pPr>
        <w:pStyle w:val="Body A"/>
        <w:jc w:val="both"/>
        <w:rPr>
          <w:rFonts w:ascii="Arial" w:cs="Arial" w:hAnsi="Arial" w:eastAsia="Arial"/>
          <w:sz w:val="24"/>
          <w:szCs w:val="24"/>
        </w:rPr>
      </w:pPr>
    </w:p>
    <w:p>
      <w:pPr>
        <w:pStyle w:val="Default"/>
        <w:spacing w:before="0" w:line="240" w:lineRule="auto"/>
        <w:jc w:val="left"/>
        <w:rPr>
          <w:rFonts w:ascii="Arial" w:cs="Arial" w:hAnsi="Arial" w:eastAsia="Arial"/>
        </w:rPr>
      </w:pPr>
      <w:r>
        <w:rPr>
          <w:rFonts w:ascii="Arial" w:hAnsi="Arial"/>
          <w:rtl w:val="0"/>
          <w:lang w:val="en-US"/>
        </w:rPr>
        <w:t xml:space="preserve">Dwr Cymru Welsh Water. (No Date). </w:t>
      </w:r>
      <w:r>
        <w:rPr>
          <w:rFonts w:ascii="Arial" w:hAnsi="Arial"/>
          <w:i w:val="1"/>
          <w:iCs w:val="1"/>
          <w:rtl w:val="0"/>
          <w:lang w:val="en-US"/>
        </w:rPr>
        <w:t>Our Purpose and Vision</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"https://corporate.dwrcymru.com/-/media/project/files/page-documents/corporate/library/company-statements/our-purpose-and-vision/english/our-purpose-and-vision.ashx"</w:instrText>
      </w:r>
      <w:r>
        <w:rPr>
          <w:rStyle w:val="Hyperlink.0"/>
          <w:rFonts w:ascii="Arial" w:cs="Arial" w:hAnsi="Arial" w:eastAsia="Arial"/>
        </w:rPr>
        <w:fldChar w:fldCharType="separate" w:fldLock="0"/>
      </w:r>
      <w:r>
        <w:rPr>
          <w:rStyle w:val="Hyperlink.0"/>
          <w:rFonts w:ascii="Arial" w:hAnsi="Arial"/>
          <w:rtl w:val="0"/>
          <w:lang w:val="en-US"/>
        </w:rPr>
        <w:t>https://corporate.dwrcymru.com/-/media/project/files/page-documents/corporate/library/company-statements/our-purpose-and-vision/english/our-purpose-and-vision.ashx</w:t>
      </w:r>
      <w:r>
        <w:rPr>
          <w:rFonts w:ascii="Arial" w:cs="Arial" w:hAnsi="Arial" w:eastAsia="Arial"/>
        </w:rPr>
        <w:fldChar w:fldCharType="end" w:fldLock="0"/>
      </w:r>
      <w:r>
        <w:rPr>
          <w:rFonts w:ascii="Arial" w:hAnsi="Arial"/>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Fitch, D. (2023). </w:t>
      </w:r>
      <w:r>
        <w:rPr>
          <w:rFonts w:ascii="Arial" w:hAnsi="Arial"/>
          <w:i w:val="1"/>
          <w:iCs w:val="1"/>
          <w:sz w:val="24"/>
          <w:szCs w:val="24"/>
          <w:rtl w:val="0"/>
          <w:lang w:val="en-US"/>
        </w:rPr>
        <w:t>Creating a thriving learning culture: four obstacles to overcome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"https://www.peoplemanagement.co.uk/article/1850423/creating-thriving-learning-culture-four-obstacles-overcome"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https://www.peoplemanagement.co.uk/article/1850423/creating-thriving-learning-culture-four-obstacles-overcome</w:t>
      </w:r>
      <w:r>
        <w:rPr>
          <w:rFonts w:ascii="Arial" w:cs="Arial" w:hAnsi="Arial" w:eastAsia="Arial"/>
          <w:sz w:val="24"/>
          <w:szCs w:val="24"/>
        </w:rPr>
        <w:fldChar w:fldCharType="end" w:fldLock="0"/>
      </w:r>
      <w:r>
        <w:rPr>
          <w:rFonts w:ascii="Arial" w:hAnsi="Arial"/>
          <w:sz w:val="24"/>
          <w:szCs w:val="24"/>
          <w:rtl w:val="0"/>
          <w:lang w:val="en-US"/>
        </w:rPr>
        <w:t xml:space="preserve"> (Accessed 30th January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Forbes. (2021). </w:t>
      </w:r>
      <w:r>
        <w:rPr>
          <w:rFonts w:ascii="Arial" w:hAnsi="Arial"/>
          <w:i w:val="1"/>
          <w:iCs w:val="1"/>
          <w:sz w:val="24"/>
          <w:szCs w:val="24"/>
          <w:rtl w:val="0"/>
          <w:lang w:val="en-US"/>
        </w:rPr>
        <w:t>Nine HR Mistakes in Strategic Management Planning</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"https://www.forbes.com/councils/forbeshumanresourcescouncil/2021/06/24/nine-hr-mistakes-in-strategic-management-planning/"</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https://www.forbes.com/councils/forbeshumanresourcescouncil/2021/06/24/nine-hr-mistakes-in-strategic-management-planning/</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Glaveski, S. (2019). </w:t>
      </w:r>
      <w:r>
        <w:rPr>
          <w:rFonts w:ascii="Arial" w:hAnsi="Arial"/>
          <w:i w:val="1"/>
          <w:iCs w:val="1"/>
          <w:sz w:val="24"/>
          <w:szCs w:val="24"/>
          <w:rtl w:val="0"/>
          <w:lang w:val="en-US"/>
        </w:rPr>
        <w:t xml:space="preserve">Where Companies Go Wrong with Learning and Development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"https://hbr.org/2019/10/where-companies-go-wrong-with-learning-and-development"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https://hbr.org/2019/10/where-companies-go-wrong-with-learning-and-development</w:t>
      </w:r>
      <w:r>
        <w:rPr>
          <w:rFonts w:ascii="Arial" w:cs="Arial" w:hAnsi="Arial" w:eastAsia="Arial"/>
          <w:sz w:val="24"/>
          <w:szCs w:val="24"/>
        </w:rPr>
        <w:fldChar w:fldCharType="end" w:fldLock="0"/>
      </w:r>
      <w:r>
        <w:rPr>
          <w:rFonts w:ascii="Arial" w:hAnsi="Arial"/>
          <w:sz w:val="24"/>
          <w:szCs w:val="24"/>
          <w:rtl w:val="0"/>
          <w:lang w:val="en-US"/>
        </w:rPr>
        <w:t xml:space="preserve"> (Accessed 8th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Hayes- Allen. (2024). </w:t>
      </w:r>
      <w:r>
        <w:rPr>
          <w:rFonts w:ascii="Arial" w:hAnsi="Arial"/>
          <w:i w:val="1"/>
          <w:iCs w:val="1"/>
          <w:sz w:val="24"/>
          <w:szCs w:val="24"/>
          <w:rtl w:val="0"/>
          <w:lang w:val="en-US"/>
        </w:rPr>
        <w:t>How to get leadership buy in for L&amp;D</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"https://www.peoplemanagement.co.uk/article/1880523/leadership-buy-in-l-d"</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https://www.peoplemanagement.co.uk/article/1880523/leadership-buy-in-l-d</w:t>
      </w:r>
      <w:r>
        <w:rPr>
          <w:rFonts w:ascii="Arial" w:cs="Arial" w:hAnsi="Arial" w:eastAsia="Arial"/>
          <w:sz w:val="24"/>
          <w:szCs w:val="24"/>
        </w:rPr>
        <w:fldChar w:fldCharType="end" w:fldLock="0"/>
      </w:r>
      <w:r>
        <w:rPr>
          <w:rFonts w:ascii="Arial" w:hAnsi="Arial"/>
          <w:sz w:val="24"/>
          <w:szCs w:val="24"/>
          <w:rtl w:val="0"/>
          <w:lang w:val="en-US"/>
        </w:rPr>
        <w:t xml:space="preserve"> (Accessed 7th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Jamil, J. (2023). </w:t>
      </w:r>
      <w:r>
        <w:rPr>
          <w:rFonts w:ascii="Arial" w:hAnsi="Arial"/>
          <w:i w:val="1"/>
          <w:iCs w:val="1"/>
          <w:sz w:val="24"/>
          <w:szCs w:val="24"/>
          <w:rtl w:val="0"/>
          <w:lang w:val="en-US"/>
        </w:rPr>
        <w:t xml:space="preserve">52% of our learners see time as a barrier to learning and development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"https://highspark.co/lack-of-time-to-learn-at-work/"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https://highspark.co/lack-of-time-to-learn-at-work/</w:t>
      </w:r>
      <w:r>
        <w:rPr>
          <w:rFonts w:ascii="Arial" w:cs="Arial" w:hAnsi="Arial" w:eastAsia="Arial"/>
          <w:sz w:val="24"/>
          <w:szCs w:val="24"/>
        </w:rPr>
        <w:fldChar w:fldCharType="end" w:fldLock="0"/>
      </w:r>
      <w:r>
        <w:rPr>
          <w:rFonts w:ascii="Arial" w:hAnsi="Arial"/>
          <w:sz w:val="24"/>
          <w:szCs w:val="24"/>
          <w:rtl w:val="0"/>
          <w:lang w:val="en-US"/>
        </w:rPr>
        <w:t xml:space="preserve"> (Accessed 8th February 2025).</w:t>
      </w:r>
    </w:p>
    <w:p>
      <w:pPr>
        <w:pStyle w:val="Body A"/>
        <w:jc w:val="both"/>
        <w:rPr>
          <w:rFonts w:ascii="Arial" w:cs="Arial" w:hAnsi="Arial" w:eastAsia="Arial"/>
          <w:sz w:val="24"/>
          <w:szCs w:val="24"/>
        </w:rPr>
      </w:pPr>
    </w:p>
    <w:p>
      <w:pPr>
        <w:pStyle w:val="Default"/>
        <w:spacing w:before="0" w:line="240" w:lineRule="auto"/>
        <w:jc w:val="left"/>
        <w:rPr>
          <w:rFonts w:ascii="Verdana" w:cs="Verdana" w:hAnsi="Verdana" w:eastAsia="Verdana"/>
          <w:outline w:val="0"/>
          <w:color w:val="555555"/>
          <w:shd w:val="clear" w:color="auto" w:fill="ffffff"/>
          <w14:textFill>
            <w14:solidFill>
              <w14:srgbClr w14:val="555555"/>
            </w14:solidFill>
          </w14:textFill>
        </w:rPr>
      </w:pPr>
      <w:r>
        <w:rPr>
          <w:rFonts w:ascii="Arial" w:hAnsi="Arial"/>
          <w:outline w:val="0"/>
          <w:color w:val="000000"/>
          <w:shd w:val="clear" w:color="auto" w:fill="ffffff"/>
          <w:rtl w:val="0"/>
          <w:lang w:val="en-US"/>
          <w14:textFill>
            <w14:solidFill>
              <w14:srgbClr w14:val="000000"/>
            </w14:solidFill>
          </w14:textFill>
        </w:rPr>
        <w:t xml:space="preserve">Kirkpatrick Partners. (No Date). </w:t>
      </w:r>
      <w:r>
        <w:rPr>
          <w:rFonts w:ascii="Arial" w:hAnsi="Arial"/>
          <w:i w:val="1"/>
          <w:iCs w:val="1"/>
          <w:outline w:val="0"/>
          <w:color w:val="000000"/>
          <w:shd w:val="clear" w:color="auto" w:fill="ffffff"/>
          <w:rtl w:val="0"/>
          <w:lang w:val="en-US"/>
          <w14:textFill>
            <w14:solidFill>
              <w14:srgbClr w14:val="000000"/>
            </w14:solidFill>
          </w14:textFill>
        </w:rPr>
        <w:t xml:space="preserve">The Kirkpatrick Model </w:t>
      </w:r>
      <w:r>
        <w:rPr>
          <w:rFonts w:ascii="Arial" w:hAnsi="Arial"/>
          <w:outline w:val="0"/>
          <w:color w:val="000000"/>
          <w:shd w:val="clear" w:color="auto" w:fill="ffffff"/>
          <w:rtl w:val="0"/>
          <w:lang w:val="en-US"/>
          <w14:textFill>
            <w14:solidFill>
              <w14:srgbClr w14:val="000000"/>
            </w14:solidFill>
          </w14:textFill>
        </w:rPr>
        <w:t>Available at:</w:t>
      </w:r>
      <w:r>
        <w:rPr>
          <w:rFonts w:ascii="Verdana" w:hAnsi="Verdana"/>
          <w:outline w:val="0"/>
          <w:color w:val="555555"/>
          <w:shd w:val="clear" w:color="auto" w:fill="ffffff"/>
          <w:rtl w:val="0"/>
          <w:lang w:val="en-US"/>
          <w14:textFill>
            <w14:solidFill>
              <w14:srgbClr w14:val="555555"/>
            </w14:solidFill>
          </w14:textFill>
        </w:rPr>
        <w:t xml:space="preserve"> </w:t>
      </w:r>
      <w:r>
        <w:rPr>
          <w:rStyle w:val="Hyperlink.1"/>
          <w:rFonts w:ascii="Arial" w:cs="Arial" w:hAnsi="Arial" w:eastAsia="Arial"/>
          <w:outline w:val="0"/>
          <w:color w:val="000000"/>
          <w:u w:val="none" w:color="0000ff"/>
          <w:shd w:val="clear" w:color="auto" w:fill="ffffff"/>
          <w14:textFill>
            <w14:solidFill>
              <w14:srgbClr w14:val="000000"/>
            </w14:solidFill>
          </w14:textFill>
        </w:rPr>
        <w:fldChar w:fldCharType="begin" w:fldLock="0"/>
      </w:r>
      <w:r>
        <w:rPr>
          <w:rStyle w:val="Hyperlink.1"/>
          <w:rFonts w:ascii="Arial" w:cs="Arial" w:hAnsi="Arial" w:eastAsia="Arial"/>
          <w:outline w:val="0"/>
          <w:color w:val="000000"/>
          <w:u w:val="none" w:color="0000ff"/>
          <w:shd w:val="clear" w:color="auto" w:fill="ffffff"/>
          <w14:textFill>
            <w14:solidFill>
              <w14:srgbClr w14:val="000000"/>
            </w14:solidFill>
          </w14:textFill>
        </w:rPr>
        <w:instrText xml:space="preserve"> HYPERLINK "https://www.kirkpatrickpartners.com/the-kirkpatrick-model/"</w:instrText>
      </w:r>
      <w:r>
        <w:rPr>
          <w:rStyle w:val="Hyperlink.1"/>
          <w:rFonts w:ascii="Arial" w:cs="Arial" w:hAnsi="Arial" w:eastAsia="Arial"/>
          <w:outline w:val="0"/>
          <w:color w:val="000000"/>
          <w:u w:val="none" w:color="0000ff"/>
          <w:shd w:val="clear" w:color="auto" w:fill="ffffff"/>
          <w14:textFill>
            <w14:solidFill>
              <w14:srgbClr w14:val="000000"/>
            </w14:solidFill>
          </w14:textFill>
        </w:rPr>
        <w:fldChar w:fldCharType="separate" w:fldLock="0"/>
      </w:r>
      <w:r>
        <w:rPr>
          <w:rStyle w:val="Hyperlink.1"/>
          <w:rFonts w:ascii="Arial" w:hAnsi="Arial"/>
          <w:outline w:val="0"/>
          <w:color w:val="000000"/>
          <w:u w:val="none" w:color="0000ff"/>
          <w:shd w:val="clear" w:color="auto" w:fill="ffffff"/>
          <w:rtl w:val="0"/>
          <w:lang w:val="en-US"/>
          <w14:textFill>
            <w14:solidFill>
              <w14:srgbClr w14:val="000000"/>
            </w14:solidFill>
          </w14:textFill>
        </w:rPr>
        <w:t>https://www.kirkpatrickpartners.com/the-kirkpatrick-model/</w:t>
      </w:r>
      <w:r>
        <w:rPr>
          <w:rFonts w:ascii="Verdana" w:cs="Verdana" w:hAnsi="Verdana" w:eastAsia="Verdana"/>
          <w:outline w:val="0"/>
          <w:color w:val="555555"/>
          <w:shd w:val="clear" w:color="auto" w:fill="ffffff"/>
          <w14:textFill>
            <w14:solidFill>
              <w14:srgbClr w14:val="555555"/>
            </w14:solidFill>
          </w14:textFill>
        </w:rPr>
        <w:fldChar w:fldCharType="end" w:fldLock="0"/>
      </w:r>
      <w:r>
        <w:rPr>
          <w:rFonts w:ascii="Verdana" w:hAnsi="Verdana"/>
          <w:outline w:val="0"/>
          <w:color w:val="555555"/>
          <w:shd w:val="clear" w:color="auto" w:fill="ffffff"/>
          <w:rtl w:val="0"/>
          <w:lang w:val="en-US"/>
          <w14:textFill>
            <w14:solidFill>
              <w14:srgbClr w14:val="555555"/>
            </w14:solidFill>
          </w14:textFill>
        </w:rPr>
        <w:t xml:space="preserve"> </w:t>
      </w:r>
      <w:r>
        <w:rPr>
          <w:rFonts w:ascii="Arial" w:hAnsi="Arial"/>
          <w:outline w:val="0"/>
          <w:color w:val="000000"/>
          <w:shd w:val="clear" w:color="auto" w:fill="ffffff"/>
          <w:rtl w:val="0"/>
          <w:lang w:val="en-US"/>
          <w14:textFill>
            <w14:solidFill>
              <w14:srgbClr w14:val="000000"/>
            </w14:solidFill>
          </w14:textFill>
        </w:rPr>
        <w:t>(Accessed 10th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Komm, A., Pollner, F., Schaninger, B., </w:t>
      </w:r>
      <w:r>
        <w:rPr>
          <w:rFonts w:ascii="Arial" w:hAnsi="Arial"/>
          <w:i w:val="1"/>
          <w:iCs w:val="1"/>
          <w:sz w:val="24"/>
          <w:szCs w:val="24"/>
          <w:rtl w:val="0"/>
          <w:lang w:val="en-US"/>
        </w:rPr>
        <w:t>et al</w:t>
      </w:r>
      <w:r>
        <w:rPr>
          <w:rFonts w:ascii="Arial" w:hAnsi="Arial"/>
          <w:sz w:val="24"/>
          <w:szCs w:val="24"/>
          <w:rtl w:val="0"/>
          <w:lang w:val="en-US"/>
        </w:rPr>
        <w:t xml:space="preserve"> (2021). </w:t>
      </w:r>
      <w:r>
        <w:rPr>
          <w:rFonts w:ascii="Arial" w:hAnsi="Arial"/>
          <w:i w:val="1"/>
          <w:iCs w:val="1"/>
          <w:sz w:val="24"/>
          <w:szCs w:val="24"/>
          <w:rtl w:val="0"/>
          <w:lang w:val="en-US"/>
        </w:rPr>
        <w:t xml:space="preserve">The new possible: How HR can help build the organization of the future </w:t>
      </w:r>
      <w:r>
        <w:rPr>
          <w:rFonts w:ascii="Arial" w:hAnsi="Arial"/>
          <w:sz w:val="24"/>
          <w:szCs w:val="24"/>
          <w:rtl w:val="0"/>
          <w:lang w:val="en-US"/>
        </w:rPr>
        <w:t xml:space="preserve">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"https://www.mckinsey.com/capabilities/people-and-organizational-performance/our-insights/the-new-possible-how-hr-can-help-build-the-organization-of-the-future"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https://www.mckinsey.com/capabilities/people-and-organizational-performance/our-insights/the-new-possible-how-hr-can-help-build-the-organization-of-the-future</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Default"/>
        <w:spacing w:before="0" w:line="240" w:lineRule="auto"/>
        <w:jc w:val="left"/>
        <w:rPr>
          <w:rFonts w:ascii="Arial" w:cs="Arial" w:hAnsi="Arial" w:eastAsia="Arial"/>
          <w:shd w:val="clear" w:color="auto" w:fill="ffffff"/>
        </w:rPr>
      </w:pPr>
      <w:r>
        <w:rPr>
          <w:rFonts w:ascii="Arial" w:hAnsi="Arial"/>
          <w:shd w:val="clear" w:color="auto" w:fill="ffffff"/>
          <w:rtl w:val="0"/>
          <w:lang w:val="en-US"/>
        </w:rPr>
        <w:t>Manning</w:t>
      </w:r>
      <w:r>
        <w:rPr>
          <w:rFonts w:ascii="Arial" w:hAnsi="Arial"/>
          <w:shd w:val="clear" w:color="auto" w:fill="ffffff"/>
          <w:rtl w:val="0"/>
          <w:lang w:val="en-US"/>
        </w:rPr>
        <w:t>,</w:t>
      </w:r>
      <w:r>
        <w:rPr>
          <w:rFonts w:ascii="Arial" w:hAnsi="Arial"/>
          <w:shd w:val="clear" w:color="auto" w:fill="ffffff"/>
          <w:rtl w:val="0"/>
          <w:lang w:val="en-US"/>
        </w:rPr>
        <w:t xml:space="preserve"> K</w:t>
      </w:r>
      <w:r>
        <w:rPr>
          <w:rFonts w:ascii="Arial" w:hAnsi="Arial"/>
          <w:shd w:val="clear" w:color="auto" w:fill="ffffff"/>
          <w:rtl w:val="0"/>
          <w:lang w:val="en-US"/>
        </w:rPr>
        <w:t>.</w:t>
      </w:r>
      <w:r>
        <w:rPr>
          <w:rFonts w:ascii="Arial" w:hAnsi="Arial"/>
          <w:shd w:val="clear" w:color="auto" w:fill="ffffff"/>
          <w:rtl w:val="0"/>
          <w:lang w:val="en-US"/>
        </w:rPr>
        <w:t>, Spicer</w:t>
      </w:r>
      <w:r>
        <w:rPr>
          <w:rFonts w:ascii="Arial" w:hAnsi="Arial"/>
          <w:shd w:val="clear" w:color="auto" w:fill="ffffff"/>
          <w:rtl w:val="0"/>
          <w:lang w:val="en-US"/>
        </w:rPr>
        <w:t>,</w:t>
      </w:r>
      <w:r>
        <w:rPr>
          <w:rFonts w:ascii="Arial" w:hAnsi="Arial"/>
          <w:shd w:val="clear" w:color="auto" w:fill="ffffff"/>
          <w:rtl w:val="0"/>
          <w:lang w:val="en-US"/>
        </w:rPr>
        <w:t xml:space="preserve"> J</w:t>
      </w:r>
      <w:r>
        <w:rPr>
          <w:rFonts w:ascii="Arial" w:hAnsi="Arial"/>
          <w:shd w:val="clear" w:color="auto" w:fill="ffffff"/>
          <w:rtl w:val="0"/>
          <w:lang w:val="en-US"/>
        </w:rPr>
        <w:t>.</w:t>
      </w:r>
      <w:r>
        <w:rPr>
          <w:rFonts w:ascii="Arial" w:hAnsi="Arial"/>
          <w:shd w:val="clear" w:color="auto" w:fill="ffffff"/>
          <w:rtl w:val="0"/>
          <w:lang w:val="en-US"/>
        </w:rPr>
        <w:t>, Golub</w:t>
      </w:r>
      <w:r>
        <w:rPr>
          <w:rFonts w:ascii="Arial" w:hAnsi="Arial"/>
          <w:shd w:val="clear" w:color="auto" w:fill="ffffff"/>
          <w:rtl w:val="0"/>
          <w:lang w:val="en-US"/>
        </w:rPr>
        <w:t>,</w:t>
      </w:r>
      <w:r>
        <w:rPr>
          <w:rFonts w:ascii="Arial" w:hAnsi="Arial"/>
          <w:shd w:val="clear" w:color="auto" w:fill="ffffff"/>
          <w:rtl w:val="0"/>
          <w:lang w:val="en-US"/>
        </w:rPr>
        <w:t xml:space="preserve"> L</w:t>
      </w:r>
      <w:r>
        <w:rPr>
          <w:rFonts w:ascii="Arial" w:hAnsi="Arial"/>
          <w:shd w:val="clear" w:color="auto" w:fill="ffffff"/>
          <w:rtl w:val="0"/>
          <w:lang w:val="en-US"/>
        </w:rPr>
        <w:t xml:space="preserve">. </w:t>
      </w:r>
      <w:r>
        <w:rPr>
          <w:rFonts w:ascii="Arial" w:hAnsi="Arial"/>
          <w:i w:val="1"/>
          <w:iCs w:val="1"/>
          <w:shd w:val="clear" w:color="auto" w:fill="ffffff"/>
          <w:rtl w:val="0"/>
          <w:lang w:val="en-US"/>
        </w:rPr>
        <w:t>et al</w:t>
      </w:r>
      <w:r>
        <w:rPr>
          <w:rFonts w:ascii="Arial" w:hAnsi="Arial"/>
          <w:shd w:val="clear" w:color="auto" w:fill="ffffff"/>
          <w:rtl w:val="0"/>
          <w:lang w:val="en-US"/>
        </w:rPr>
        <w:t xml:space="preserve"> (2021)</w:t>
      </w:r>
      <w:r>
        <w:rPr>
          <w:rFonts w:ascii="Arial" w:hAnsi="Arial"/>
          <w:shd w:val="clear" w:color="auto" w:fill="ffffff"/>
          <w:rtl w:val="0"/>
          <w:lang w:val="en-US"/>
        </w:rPr>
        <w:t xml:space="preserve"> </w:t>
      </w:r>
      <w:r>
        <w:rPr>
          <w:rFonts w:ascii="Arial" w:hAnsi="Arial" w:hint="default"/>
          <w:shd w:val="clear" w:color="auto" w:fill="ffffff"/>
          <w:rtl w:val="0"/>
          <w:lang w:val="en-US"/>
        </w:rPr>
        <w:t>‘</w:t>
      </w:r>
      <w:r>
        <w:rPr>
          <w:rFonts w:ascii="Arial" w:hAnsi="Arial"/>
          <w:shd w:val="clear" w:color="auto" w:fill="ffffff"/>
          <w:rtl w:val="0"/>
          <w:lang w:val="en-US"/>
        </w:rPr>
        <w:t>The micro revolution: effect of Bite-Sized Teaching (BST) on learner engagement and learning in postgraduate medical education</w:t>
      </w:r>
      <w:r>
        <w:rPr>
          <w:rFonts w:ascii="Arial" w:hAnsi="Arial" w:hint="default"/>
          <w:shd w:val="clear" w:color="auto" w:fill="ffffff"/>
          <w:rtl w:val="0"/>
          <w:lang w:val="en-US"/>
        </w:rPr>
        <w:t>’</w:t>
      </w:r>
      <w:r>
        <w:rPr>
          <w:rFonts w:ascii="Arial" w:hAnsi="Arial"/>
          <w:shd w:val="clear" w:color="auto" w:fill="ffffff"/>
          <w:rtl w:val="0"/>
          <w:lang w:val="en-US"/>
        </w:rPr>
        <w:t xml:space="preserve">, </w:t>
      </w:r>
      <w:r>
        <w:rPr>
          <w:rFonts w:ascii="Arial" w:hAnsi="Arial"/>
          <w:i w:val="1"/>
          <w:iCs w:val="1"/>
          <w:shd w:val="clear" w:color="auto" w:fill="ffffff"/>
          <w:rtl w:val="0"/>
          <w:lang w:val="en-US"/>
        </w:rPr>
        <w:t>BMC Med Educ</w:t>
      </w:r>
      <w:r>
        <w:rPr>
          <w:rFonts w:ascii="Arial" w:hAnsi="Arial"/>
          <w:shd w:val="clear" w:color="auto" w:fill="ffffff"/>
          <w:rtl w:val="0"/>
          <w:lang w:val="en-US"/>
        </w:rPr>
        <w:t xml:space="preserve">, </w:t>
      </w:r>
      <w:r>
        <w:rPr>
          <w:rFonts w:ascii="Arial" w:hAnsi="Arial"/>
          <w:shd w:val="clear" w:color="auto" w:fill="ffffff"/>
          <w:rtl w:val="0"/>
          <w:lang w:val="en-US"/>
        </w:rPr>
        <w:t>21(1)</w:t>
      </w:r>
      <w:r>
        <w:rPr>
          <w:rFonts w:ascii="Arial" w:hAnsi="Arial"/>
          <w:shd w:val="clear" w:color="auto" w:fill="ffffff"/>
          <w:rtl w:val="0"/>
          <w:lang w:val="en-US"/>
        </w:rPr>
        <w:t xml:space="preserve"> </w:t>
      </w:r>
      <w:r>
        <w:rPr>
          <w:rFonts w:ascii="Arial" w:hAnsi="Arial"/>
          <w:shd w:val="clear" w:color="auto" w:fill="ffffff"/>
          <w:rtl w:val="0"/>
          <w:lang w:val="en-US"/>
        </w:rPr>
        <w:t xml:space="preserve">69. </w:t>
      </w:r>
      <w:r>
        <w:rPr>
          <w:rFonts w:ascii="Arial" w:hAnsi="Arial"/>
          <w:shd w:val="clear" w:color="auto" w:fill="ffffff"/>
          <w:rtl w:val="0"/>
          <w:lang w:val="en-US"/>
        </w:rPr>
        <w:t xml:space="preserve">Available at: </w:t>
      </w:r>
      <w:r>
        <w:rPr>
          <w:rStyle w:val="Hyperlink.0"/>
          <w:rFonts w:ascii="Arial" w:cs="Arial" w:hAnsi="Arial" w:eastAsia="Arial"/>
          <w:shd w:val="clear" w:color="auto" w:fill="ffffff"/>
        </w:rPr>
        <w:fldChar w:fldCharType="begin" w:fldLock="0"/>
      </w:r>
      <w:r>
        <w:rPr>
          <w:rStyle w:val="Hyperlink.0"/>
          <w:rFonts w:ascii="Arial" w:cs="Arial" w:hAnsi="Arial" w:eastAsia="Arial"/>
          <w:shd w:val="clear" w:color="auto" w:fill="ffffff"/>
        </w:rPr>
        <w:instrText xml:space="preserve"> HYPERLINK "https://doi.org/10.1186/s12909-021-02496-z"</w:instrText>
      </w:r>
      <w:r>
        <w:rPr>
          <w:rStyle w:val="Hyperlink.0"/>
          <w:rFonts w:ascii="Arial" w:cs="Arial" w:hAnsi="Arial" w:eastAsia="Arial"/>
          <w:shd w:val="clear" w:color="auto" w:fill="ffffff"/>
        </w:rPr>
        <w:fldChar w:fldCharType="separate" w:fldLock="0"/>
      </w:r>
      <w:r>
        <w:rPr>
          <w:rStyle w:val="Hyperlink.0"/>
          <w:rFonts w:ascii="Arial" w:hAnsi="Arial"/>
          <w:shd w:val="clear" w:color="auto" w:fill="ffffff"/>
          <w:rtl w:val="0"/>
          <w:lang w:val="en-US"/>
        </w:rPr>
        <w:t>https://doi.org/10.1186/s12909-021-02496-z</w:t>
      </w:r>
      <w:r>
        <w:rPr>
          <w:rFonts w:ascii="Arial" w:cs="Arial" w:hAnsi="Arial" w:eastAsia="Arial"/>
          <w:shd w:val="clear" w:color="auto" w:fill="ffffff"/>
        </w:rPr>
        <w:fldChar w:fldCharType="end" w:fldLock="0"/>
      </w:r>
    </w:p>
    <w:p>
      <w:pPr>
        <w:pStyle w:val="Default"/>
        <w:spacing w:before="0" w:line="240" w:lineRule="auto"/>
        <w:jc w:val="left"/>
        <w:rPr>
          <w:rFonts w:ascii="Arial" w:cs="Arial" w:hAnsi="Arial" w:eastAsia="Arial"/>
          <w:shd w:val="clear" w:color="auto" w:fill="ffffff"/>
        </w:rPr>
      </w:pPr>
    </w:p>
    <w:p>
      <w:pPr>
        <w:pStyle w:val="Body A"/>
        <w:jc w:val="both"/>
        <w:rPr>
          <w:rFonts w:ascii="Arial" w:cs="Arial" w:hAnsi="Arial" w:eastAsia="Arial"/>
        </w:rPr>
      </w:pPr>
      <w:r>
        <w:rPr>
          <w:rFonts w:ascii="Arial" w:hAnsi="Arial"/>
          <w:sz w:val="24"/>
          <w:szCs w:val="24"/>
          <w:rtl w:val="0"/>
          <w:lang w:val="en-US"/>
        </w:rPr>
        <w:t xml:space="preserve">Machell, M. (2023). </w:t>
      </w:r>
      <w:r>
        <w:rPr>
          <w:rFonts w:ascii="Arial" w:hAnsi="Arial"/>
          <w:i w:val="1"/>
          <w:iCs w:val="1"/>
          <w:sz w:val="24"/>
          <w:szCs w:val="24"/>
          <w:rtl w:val="0"/>
          <w:lang w:val="en-US"/>
        </w:rPr>
        <w:t>Remote working causes communication gap between managers and employees</w:t>
      </w:r>
      <w:r>
        <w:rPr>
          <w:rFonts w:ascii="Arial" w:hAnsi="Arial"/>
          <w:sz w:val="24"/>
          <w:szCs w:val="24"/>
          <w:rtl w:val="0"/>
          <w:lang w:val="en-US"/>
        </w:rPr>
        <w:t xml:space="preserv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"https://www.hrmagazine.co.uk/content/news/remote-working-causes-communication-gap-between-managers-and-employees/"</w:instrText>
      </w:r>
      <w:r>
        <w:rPr>
          <w:rStyle w:val="Hyperlink.2"/>
          <w:rFonts w:ascii="Arial" w:cs="Arial" w:hAnsi="Arial" w:eastAsia="Arial"/>
        </w:rPr>
        <w:fldChar w:fldCharType="separate" w:fldLock="0"/>
      </w:r>
      <w:r>
        <w:rPr>
          <w:rStyle w:val="Hyperlink.2"/>
          <w:rFonts w:ascii="Arial" w:hAnsi="Arial"/>
          <w:rtl w:val="0"/>
          <w:lang w:val="en-US"/>
        </w:rPr>
        <w:t>https://www.hrmagazine.co.uk/content/news/remote-working-causes-communication-gap-between-managers-and-employees/</w:t>
      </w:r>
      <w:r>
        <w:rPr>
          <w:rFonts w:ascii="Arial" w:cs="Arial" w:hAnsi="Arial" w:eastAsia="Arial"/>
        </w:rPr>
        <w:fldChar w:fldCharType="end" w:fldLock="0"/>
      </w:r>
      <w:r>
        <w:rPr>
          <w:rFonts w:ascii="Arial" w:hAnsi="Arial"/>
          <w:sz w:val="24"/>
          <w:szCs w:val="24"/>
          <w:rtl w:val="0"/>
          <w:lang w:val="en-US"/>
        </w:rPr>
        <w:t xml:space="preserve"> (Accessed 16th February 2025).</w:t>
      </w:r>
    </w:p>
    <w:p>
      <w:pPr>
        <w:pStyle w:val="Default"/>
        <w:spacing w:before="0" w:line="240" w:lineRule="auto"/>
        <w:jc w:val="left"/>
        <w:rPr>
          <w:rFonts w:ascii="Arial" w:cs="Arial" w:hAnsi="Arial" w:eastAsia="Arial"/>
          <w:shd w:val="clear" w:color="auto" w:fill="ffffff"/>
        </w:rPr>
      </w:pPr>
    </w:p>
    <w:p>
      <w:pPr>
        <w:pStyle w:val="Body A"/>
        <w:jc w:val="both"/>
        <w:rPr>
          <w:rFonts w:ascii="Arial" w:cs="Arial" w:hAnsi="Arial" w:eastAsia="Arial"/>
          <w:sz w:val="24"/>
          <w:szCs w:val="24"/>
        </w:rPr>
      </w:pPr>
      <w:r>
        <w:rPr>
          <w:rFonts w:ascii="Arial" w:hAnsi="Arial"/>
          <w:sz w:val="24"/>
          <w:szCs w:val="24"/>
          <w:rtl w:val="0"/>
          <w:lang w:val="en-US"/>
        </w:rPr>
        <w:t xml:space="preserve">McKay, A. (2024). </w:t>
      </w:r>
      <w:r>
        <w:rPr>
          <w:rFonts w:ascii="Arial" w:hAnsi="Arial"/>
          <w:i w:val="1"/>
          <w:iCs w:val="1"/>
          <w:sz w:val="24"/>
          <w:szCs w:val="24"/>
          <w:rtl w:val="0"/>
          <w:lang w:val="en-US"/>
        </w:rPr>
        <w:t>Inclusive L&amp;D: the importance of accessible e-learning content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"https://www.peoplemanagement.co.uk/article/1881409/inclusive-l-d-importance-accessible-e-learning-content"</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https://www.peoplemanagement.co.uk/article/1881409/inclusive-l-d-importance-accessible-e-learning-content</w:t>
      </w:r>
      <w:r>
        <w:rPr>
          <w:rFonts w:ascii="Arial" w:cs="Arial" w:hAnsi="Arial" w:eastAsia="Arial"/>
          <w:sz w:val="24"/>
          <w:szCs w:val="24"/>
        </w:rPr>
        <w:fldChar w:fldCharType="end" w:fldLock="0"/>
      </w:r>
      <w:r>
        <w:rPr>
          <w:rFonts w:ascii="Arial" w:hAnsi="Arial"/>
          <w:sz w:val="24"/>
          <w:szCs w:val="24"/>
          <w:rtl w:val="0"/>
          <w:lang w:val="en-US"/>
        </w:rPr>
        <w:t xml:space="preserve"> (Accessed 14th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Parikh, N. (2022). </w:t>
      </w:r>
      <w:r>
        <w:rPr>
          <w:rFonts w:ascii="Arial" w:hAnsi="Arial"/>
          <w:i w:val="1"/>
          <w:iCs w:val="1"/>
          <w:sz w:val="24"/>
          <w:szCs w:val="24"/>
          <w:rtl w:val="0"/>
          <w:lang w:val="en-US"/>
        </w:rPr>
        <w:t>Toward People-Centric HR</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"https://www.forbes.com/councils/forbeshumanresourcescouncil/2022/09/27/toward-people-centric-hr/#:~:text=Companies%20that%20treat%20their%20workers,more%20importance%20than%20ever%20before"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https://www.forbes.com/councils/forbeshumanresourcescouncil/2022/09/27/toward-people-centric-hr/#:~:text=Companies%20that%20treat%20their%20workers,more%20importance%20than%20ever%20before</w:t>
      </w:r>
      <w:r>
        <w:rPr>
          <w:rFonts w:ascii="Arial" w:cs="Arial" w:hAnsi="Arial" w:eastAsia="Arial"/>
          <w:sz w:val="24"/>
          <w:szCs w:val="24"/>
        </w:rPr>
        <w:fldChar w:fldCharType="end" w:fldLock="0"/>
      </w:r>
      <w:r>
        <w:rPr>
          <w:rFonts w:ascii="Arial" w:hAnsi="Arial"/>
          <w:sz w:val="24"/>
          <w:szCs w:val="24"/>
          <w:rtl w:val="0"/>
          <w:lang w:val="en-US"/>
        </w:rPr>
        <w:t xml:space="preserve"> (Accessed 17th February 2025).</w:t>
      </w:r>
    </w:p>
    <w:p>
      <w:pPr>
        <w:pStyle w:val="Body A"/>
        <w:jc w:val="both"/>
        <w:rPr>
          <w:rFonts w:ascii="Arial" w:cs="Arial" w:hAnsi="Arial" w:eastAsia="Arial"/>
          <w:sz w:val="24"/>
          <w:szCs w:val="24"/>
        </w:rPr>
      </w:pPr>
    </w:p>
    <w:p>
      <w:pPr>
        <w:pStyle w:val="Body A"/>
        <w:jc w:val="both"/>
        <w:rPr>
          <w:rFonts w:ascii="Arial" w:cs="Arial" w:hAnsi="Arial" w:eastAsia="Arial"/>
        </w:rPr>
      </w:pPr>
      <w:r>
        <w:rPr>
          <w:rFonts w:ascii="Arial" w:hAnsi="Arial"/>
          <w:sz w:val="24"/>
          <w:szCs w:val="24"/>
          <w:rtl w:val="0"/>
          <w:lang w:val="en-US"/>
        </w:rPr>
        <w:t xml:space="preserve">Price, J. (2023). </w:t>
      </w:r>
      <w:r>
        <w:rPr>
          <w:rFonts w:ascii="Arial" w:hAnsi="Arial"/>
          <w:i w:val="1"/>
          <w:iCs w:val="1"/>
          <w:sz w:val="24"/>
          <w:szCs w:val="24"/>
          <w:rtl w:val="0"/>
          <w:lang w:val="en-US"/>
        </w:rPr>
        <w:t>Why HR is Key to Executive Success: How the Human Resources Function Impacts Business Growth</w:t>
      </w:r>
      <w:r>
        <w:rPr>
          <w:rFonts w:ascii="Arial" w:hAnsi="Arial"/>
          <w:sz w:val="24"/>
          <w:szCs w:val="24"/>
          <w:rtl w:val="0"/>
          <w:lang w:val="en-US"/>
        </w:rPr>
        <w:t xml:space="preserve"> Available at: </w:t>
      </w:r>
      <w:r>
        <w:rPr>
          <w:rStyle w:val="Hyperlink.2"/>
          <w:rFonts w:ascii="Arial" w:cs="Arial" w:hAnsi="Arial" w:eastAsia="Arial"/>
        </w:rPr>
        <w:fldChar w:fldCharType="begin" w:fldLock="0"/>
      </w:r>
      <w:r>
        <w:rPr>
          <w:rStyle w:val="Hyperlink.2"/>
          <w:rFonts w:ascii="Arial" w:cs="Arial" w:hAnsi="Arial" w:eastAsia="Arial"/>
        </w:rPr>
        <w:instrText xml:space="preserve"> HYPERLINK "https://www.forbes.com/councils/forbeshumanresourcescouncil/2023/02/08/why-hr-is-key-to-executive-success-how-the-human-resources-function-impacts-business-growth/"</w:instrText>
      </w:r>
      <w:r>
        <w:rPr>
          <w:rStyle w:val="Hyperlink.2"/>
          <w:rFonts w:ascii="Arial" w:cs="Arial" w:hAnsi="Arial" w:eastAsia="Arial"/>
        </w:rPr>
        <w:fldChar w:fldCharType="separate" w:fldLock="0"/>
      </w:r>
      <w:r>
        <w:rPr>
          <w:rStyle w:val="Hyperlink.2"/>
          <w:rFonts w:ascii="Arial" w:hAnsi="Arial"/>
          <w:rtl w:val="0"/>
          <w:lang w:val="en-US"/>
        </w:rPr>
        <w:t>https://www.forbes.com/councils/forbeshumanresourcescouncil/2023/02/08/why-hr-is-key-to-executive-success-how-the-human-resources-function-impacts-business-growth/</w:t>
      </w:r>
      <w:r>
        <w:rPr>
          <w:rFonts w:ascii="Arial" w:cs="Arial" w:hAnsi="Arial" w:eastAsia="Arial"/>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Rouse, J., Atkinson, C., Lupton, B., </w:t>
      </w:r>
      <w:r>
        <w:rPr>
          <w:rFonts w:ascii="Arial" w:hAnsi="Arial"/>
          <w:i w:val="1"/>
          <w:iCs w:val="1"/>
          <w:sz w:val="24"/>
          <w:szCs w:val="24"/>
          <w:rtl w:val="0"/>
          <w:lang w:val="en-US"/>
        </w:rPr>
        <w:t>et al</w:t>
      </w:r>
      <w:r>
        <w:rPr>
          <w:rFonts w:ascii="Arial" w:hAnsi="Arial"/>
          <w:sz w:val="24"/>
          <w:szCs w:val="24"/>
          <w:rtl w:val="0"/>
          <w:lang w:val="en-US"/>
        </w:rPr>
        <w:t xml:space="preserve"> (2023). </w:t>
      </w:r>
      <w:r>
        <w:rPr>
          <w:rFonts w:ascii="Arial" w:hAnsi="Arial"/>
          <w:i w:val="1"/>
          <w:iCs w:val="1"/>
          <w:sz w:val="24"/>
          <w:szCs w:val="24"/>
          <w:rtl w:val="0"/>
          <w:lang w:val="en-US"/>
        </w:rPr>
        <w:t>How to Develop the People Management Skills of Line Managers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"https://www.mmu.ac.uk/sites/default/files/2023-05/How-To-Develop-The-People-Management-Skills-of-Line-Managers-Good-Employment-Learning-Lab.pdf"</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https://www.mmu.ac.uk/sites/default/files/2023-05/How-To-Develop-The-People-Management-Skills-of-Line-Managers-Good-Employment-Learning-Lab.pdf</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Smith, T. (2020). </w:t>
      </w:r>
      <w:r>
        <w:rPr>
          <w:rFonts w:ascii="Arial" w:hAnsi="Arial"/>
          <w:i w:val="1"/>
          <w:iCs w:val="1"/>
          <w:sz w:val="24"/>
          <w:szCs w:val="24"/>
          <w:rtl w:val="0"/>
          <w:lang w:val="en-US"/>
        </w:rPr>
        <w:t>Don</w:t>
      </w:r>
      <w:r>
        <w:rPr>
          <w:rFonts w:ascii="Arial" w:hAnsi="Arial" w:hint="default"/>
          <w:i w:val="1"/>
          <w:iCs w:val="1"/>
          <w:sz w:val="24"/>
          <w:szCs w:val="24"/>
          <w:rtl w:val="0"/>
          <w:lang w:val="en-US"/>
        </w:rPr>
        <w:t>’</w:t>
      </w:r>
      <w:r>
        <w:rPr>
          <w:rFonts w:ascii="Arial" w:hAnsi="Arial"/>
          <w:i w:val="1"/>
          <w:iCs w:val="1"/>
          <w:sz w:val="24"/>
          <w:szCs w:val="24"/>
          <w:rtl w:val="0"/>
          <w:lang w:val="en-US"/>
        </w:rPr>
        <w:t xml:space="preserve">t Overlook </w:t>
      </w:r>
      <w:r>
        <w:rPr>
          <w:rFonts w:ascii="Arial" w:hAnsi="Arial" w:hint="default"/>
          <w:i w:val="1"/>
          <w:iCs w:val="1"/>
          <w:sz w:val="24"/>
          <w:szCs w:val="24"/>
          <w:rtl w:val="0"/>
          <w:lang w:val="en-US"/>
        </w:rPr>
        <w:t>‘</w:t>
      </w:r>
      <w:r>
        <w:rPr>
          <w:rFonts w:ascii="Arial" w:hAnsi="Arial"/>
          <w:i w:val="1"/>
          <w:iCs w:val="1"/>
          <w:sz w:val="24"/>
          <w:szCs w:val="24"/>
          <w:rtl w:val="0"/>
          <w:lang w:val="en-US"/>
        </w:rPr>
        <w:t>Soft Skills</w:t>
      </w:r>
      <w:r>
        <w:rPr>
          <w:rFonts w:ascii="Arial" w:hAnsi="Arial" w:hint="default"/>
          <w:i w:val="1"/>
          <w:iCs w:val="1"/>
          <w:sz w:val="24"/>
          <w:szCs w:val="24"/>
          <w:rtl w:val="0"/>
          <w:lang w:val="en-US"/>
        </w:rPr>
        <w:t xml:space="preserve">’ </w:t>
      </w:r>
      <w:r>
        <w:rPr>
          <w:rFonts w:ascii="Arial" w:hAnsi="Arial"/>
          <w:i w:val="1"/>
          <w:iCs w:val="1"/>
          <w:sz w:val="24"/>
          <w:szCs w:val="24"/>
          <w:rtl w:val="0"/>
          <w:lang w:val="en-US"/>
        </w:rPr>
        <w:t>Training!</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"https://insight.rwabusiness.com/blog/posts/2020/november/don-t-overlook-soft-skills-training/"</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https://insight.rwabusiness.com/blog/posts/2020/november/don-t-overlook-soft-skills-training/</w:t>
      </w:r>
      <w:r>
        <w:rPr>
          <w:rFonts w:ascii="Arial" w:cs="Arial" w:hAnsi="Arial" w:eastAsia="Arial"/>
          <w:sz w:val="24"/>
          <w:szCs w:val="24"/>
        </w:rPr>
        <w:fldChar w:fldCharType="end" w:fldLock="0"/>
      </w:r>
      <w:r>
        <w:rPr>
          <w:rFonts w:ascii="Arial" w:hAnsi="Arial"/>
          <w:sz w:val="24"/>
          <w:szCs w:val="24"/>
          <w:rtl w:val="0"/>
          <w:lang w:val="en-US"/>
        </w:rPr>
        <w:t xml:space="preserve"> (Accessed 9th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Soule, S., Walker, B. (2017). </w:t>
      </w:r>
      <w:r>
        <w:rPr>
          <w:rFonts w:ascii="Arial" w:hAnsi="Arial"/>
          <w:i w:val="1"/>
          <w:iCs w:val="1"/>
          <w:sz w:val="24"/>
          <w:szCs w:val="24"/>
          <w:rtl w:val="0"/>
          <w:lang w:val="en-US"/>
        </w:rPr>
        <w:t>Changing Company Culture Requires a Movement, Not a Mandate</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"https://hbr.org/2017/06/changing-company-culture-requires-a-movement-not-a-mandate"</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https://hbr.org/2017/06/changing-company-culture-requires-a-movement-not-a-mandate</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Body A"/>
        <w:jc w:val="both"/>
        <w:rPr>
          <w:rFonts w:ascii="Arial" w:cs="Arial" w:hAnsi="Arial" w:eastAsia="Arial"/>
          <w:sz w:val="24"/>
          <w:szCs w:val="24"/>
        </w:rPr>
      </w:pPr>
      <w:r>
        <w:rPr>
          <w:rFonts w:ascii="Arial" w:hAnsi="Arial"/>
          <w:sz w:val="24"/>
          <w:szCs w:val="24"/>
          <w:rtl w:val="0"/>
          <w:lang w:val="en-US"/>
        </w:rPr>
        <w:t xml:space="preserve">University of Dundee. (2024). </w:t>
      </w:r>
      <w:r>
        <w:rPr>
          <w:rFonts w:ascii="Arial" w:hAnsi="Arial"/>
          <w:i w:val="1"/>
          <w:iCs w:val="1"/>
          <w:sz w:val="24"/>
          <w:szCs w:val="24"/>
          <w:rtl w:val="0"/>
          <w:lang w:val="en-US"/>
        </w:rPr>
        <w:t>Creating inclusive teaching materials</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"https://www.dundee.ac.uk/guides/creating-inclusive-teaching-materials"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https://www.dundee.ac.uk/guides/creating-inclusive-teaching-materials</w:t>
      </w:r>
      <w:r>
        <w:rPr>
          <w:rFonts w:ascii="Arial" w:cs="Arial" w:hAnsi="Arial" w:eastAsia="Arial"/>
          <w:sz w:val="24"/>
          <w:szCs w:val="24"/>
        </w:rPr>
        <w:fldChar w:fldCharType="end" w:fldLock="0"/>
      </w:r>
      <w:r>
        <w:rPr>
          <w:rFonts w:ascii="Arial" w:hAnsi="Arial"/>
          <w:sz w:val="24"/>
          <w:szCs w:val="24"/>
          <w:rtl w:val="0"/>
          <w:lang w:val="en-US"/>
        </w:rPr>
        <w:t xml:space="preserve"> (Accessed 15th February 2025).</w:t>
      </w:r>
    </w:p>
    <w:p>
      <w:pPr>
        <w:pStyle w:val="Body A"/>
        <w:jc w:val="both"/>
        <w:rPr>
          <w:rFonts w:ascii="Arial" w:cs="Arial" w:hAnsi="Arial" w:eastAsia="Arial"/>
          <w:sz w:val="24"/>
          <w:szCs w:val="24"/>
        </w:rPr>
      </w:pPr>
    </w:p>
    <w:p>
      <w:pPr>
        <w:pStyle w:val="Default"/>
        <w:spacing w:before="0" w:line="240" w:lineRule="auto"/>
        <w:jc w:val="left"/>
      </w:pPr>
      <w:r>
        <w:rPr>
          <w:rFonts w:ascii="Arial" w:hAnsi="Arial"/>
          <w:rtl w:val="0"/>
          <w:lang w:val="en-US"/>
        </w:rPr>
        <w:t xml:space="preserve">Yang, L., Holtz, D., Jaffe, S. </w:t>
      </w:r>
      <w:r>
        <w:rPr>
          <w:rFonts w:ascii="Arial" w:hAnsi="Arial"/>
          <w:i w:val="1"/>
          <w:iCs w:val="1"/>
          <w:rtl w:val="0"/>
          <w:lang w:val="en-US"/>
        </w:rPr>
        <w:t>et al</w:t>
      </w:r>
      <w:r>
        <w:rPr>
          <w:rFonts w:ascii="Arial" w:hAnsi="Arial"/>
          <w:rtl w:val="0"/>
          <w:lang w:val="en-US"/>
        </w:rPr>
        <w:t xml:space="preserve"> (2022) </w:t>
      </w:r>
      <w:r>
        <w:rPr>
          <w:rFonts w:ascii="Arial" w:hAnsi="Arial" w:hint="default"/>
          <w:rtl w:val="0"/>
          <w:lang w:val="en-US"/>
        </w:rPr>
        <w:t>‘</w:t>
      </w:r>
      <w:r>
        <w:rPr>
          <w:rFonts w:ascii="Arial" w:hAnsi="Arial"/>
          <w:rtl w:val="0"/>
          <w:lang w:val="en-US"/>
        </w:rPr>
        <w:t>The effects of remote work on collaboration among information workers</w:t>
      </w:r>
      <w:r>
        <w:rPr>
          <w:rFonts w:ascii="Arial" w:hAnsi="Arial" w:hint="default"/>
          <w:rtl w:val="0"/>
          <w:lang w:val="en-US"/>
        </w:rPr>
        <w:t>’</w:t>
      </w:r>
      <w:r>
        <w:rPr>
          <w:rFonts w:ascii="Arial" w:hAnsi="Arial"/>
          <w:rtl w:val="0"/>
          <w:lang w:val="en-US"/>
        </w:rPr>
        <w:t xml:space="preserve">, </w:t>
      </w:r>
      <w:r>
        <w:rPr>
          <w:rFonts w:ascii="Arial" w:hAnsi="Arial"/>
          <w:i w:val="1"/>
          <w:iCs w:val="1"/>
          <w:rtl w:val="0"/>
          <w:lang w:val="en-US"/>
        </w:rPr>
        <w:t>Nature Human Behaviour</w:t>
      </w:r>
      <w:r>
        <w:rPr>
          <w:rFonts w:ascii="Arial" w:hAnsi="Arial"/>
          <w:rtl w:val="0"/>
          <w:lang w:val="en-US"/>
        </w:rPr>
        <w:t xml:space="preserve">, 6(1), pp. 43-54.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"https://www.proquest.com/scholarly-journals/effects-remote-work-on-collaboration-among/docview/2623201577/se-2?accountid=130472"</w:instrText>
      </w:r>
      <w:r>
        <w:rPr>
          <w:rStyle w:val="Hyperlink.0"/>
          <w:rFonts w:ascii="Arial" w:cs="Arial" w:hAnsi="Arial" w:eastAsia="Arial"/>
        </w:rPr>
        <w:fldChar w:fldCharType="separate" w:fldLock="0"/>
      </w:r>
      <w:r>
        <w:rPr>
          <w:rStyle w:val="Hyperlink.0"/>
          <w:rFonts w:ascii="Arial" w:hAnsi="Arial"/>
          <w:rtl w:val="0"/>
          <w:lang w:val="en-US"/>
        </w:rPr>
        <w:t>https://www.proquest.com/scholarly-journals/effects-remote-work-on-collaboration-among/docview/2623201577/se-2?accountid=130472</w:t>
      </w:r>
      <w:r>
        <w:rPr>
          <w:rFonts w:ascii="Arial" w:cs="Arial" w:hAnsi="Arial" w:eastAsia="Arial"/>
        </w:rPr>
        <w:fldChar w:fldCharType="end" w:fldLock="0"/>
      </w:r>
      <w:r>
        <w:rPr>
          <w:rFonts w:ascii="Arial" w:hAnsi="Arial"/>
          <w:rtl w:val="0"/>
          <w:lang w:val="en-US"/>
        </w:rPr>
        <w:t xml:space="preserve"> (Accessed 10th February 2025).</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 w:ilvl="0">
        <w:start w:val="1"/>
        <w:numFmt w:val="decimal"/>
        <w:suff w:val="tab"/>
        <w:lvlText w:val="%1."/>
        <w:lvlJc w:val="left"/>
        <w:pPr>
          <w:ind w:left="2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decimal"/>
        <w:suff w:val="tab"/>
        <w:lvlText w:val="%2."/>
        <w:lvlJc w:val="left"/>
        <w:pPr>
          <w:ind w:left="10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decimal"/>
        <w:suff w:val="tab"/>
        <w:lvlText w:val="%3."/>
        <w:lvlJc w:val="left"/>
        <w:pPr>
          <w:ind w:left="1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decimal"/>
        <w:suff w:val="tab"/>
        <w:lvlText w:val="%5."/>
        <w:lvlJc w:val="left"/>
        <w:pPr>
          <w:ind w:left="34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decimal"/>
        <w:suff w:val="tab"/>
        <w:lvlText w:val="%6."/>
        <w:lvlJc w:val="left"/>
        <w:pPr>
          <w:ind w:left="42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decimal"/>
        <w:suff w:val="tab"/>
        <w:lvlText w:val="%8."/>
        <w:lvlJc w:val="left"/>
        <w:pPr>
          <w:ind w:left="58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decimal"/>
        <w:suff w:val="tab"/>
        <w:lvlText w:val="%9."/>
        <w:lvlJc w:val="left"/>
        <w:pPr>
          <w:ind w:left="6632" w:hanging="232"/>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numbering" w:styleId="Numbered">
    <w:name w:val="Numbered"/>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outline w:val="0"/>
      <w:color w:val="000000"/>
      <w:u w:val="none"/>
      <w14:textFill>
        <w14:solidFill>
          <w14:srgbClr w14:val="000000"/>
        </w14:solidFill>
      </w14:textFill>
    </w:rPr>
  </w:style>
  <w:style w:type="character" w:styleId="Hyperlink.1">
    <w:name w:val="Hyperlink.1"/>
    <w:basedOn w:val="Link"/>
    <w:next w:val="Hyperlink.1"/>
    <w:rPr>
      <w:rFonts w:ascii="Arial" w:cs="Arial" w:hAnsi="Arial" w:eastAsia="Arial"/>
      <w:outline w:val="0"/>
      <w:color w:val="000000"/>
      <w:u w:val="none"/>
      <w14:textFill>
        <w14:solidFill>
          <w14:srgbClr w14:val="000000"/>
        </w14:solidFill>
      </w14:textFill>
    </w:rPr>
  </w:style>
  <w:style w:type="character" w:styleId="Hyperlink.2">
    <w:name w:val="Hyperlink.2"/>
    <w:basedOn w:val="Link"/>
    <w:next w:val="Hyperlink.2"/>
    <w:rPr>
      <w:outline w:val="0"/>
      <w:color w:val="000000"/>
      <w:sz w:val="24"/>
      <w:szCs w:val="24"/>
      <w:u w:val="no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