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A415B0" w14:textId="19181A07" w:rsidR="00A30608" w:rsidRDefault="00A30608" w:rsidP="00A30608">
      <w:pPr>
        <w:pStyle w:val="NormalWeb"/>
        <w:rPr>
          <w:b/>
          <w:sz w:val="28"/>
        </w:rPr>
      </w:pPr>
      <w:r>
        <w:rPr>
          <w:b/>
          <w:sz w:val="28"/>
        </w:rPr>
        <w:t xml:space="preserve">                                                 Ebrima Njie</w:t>
      </w:r>
    </w:p>
    <w:p w14:paraId="6153FCD6" w14:textId="649C50C9" w:rsidR="00A30608" w:rsidRDefault="00A30608" w:rsidP="00A30608">
      <w:pPr>
        <w:pStyle w:val="NormalWeb"/>
        <w:rPr>
          <w:b/>
          <w:sz w:val="28"/>
        </w:rPr>
      </w:pPr>
      <w:r>
        <w:rPr>
          <w:b/>
          <w:sz w:val="28"/>
        </w:rPr>
        <w:t xml:space="preserve">                                                 SWOT Analysis</w:t>
      </w:r>
    </w:p>
    <w:p w14:paraId="74E55DBB" w14:textId="4294C6B7" w:rsidR="00A30608" w:rsidRDefault="00A30608" w:rsidP="00A30608">
      <w:pPr>
        <w:pStyle w:val="NormalWeb"/>
        <w:rPr>
          <w:b/>
          <w:sz w:val="28"/>
        </w:rPr>
      </w:pPr>
      <w:r>
        <w:rPr>
          <w:b/>
          <w:sz w:val="28"/>
        </w:rPr>
        <w:t xml:space="preserve">                                                 Harvard Referencing</w:t>
      </w:r>
    </w:p>
    <w:p w14:paraId="494FE8A5" w14:textId="47A4F5E4" w:rsidR="00A30608" w:rsidRDefault="00A30608" w:rsidP="00A30608">
      <w:pPr>
        <w:pStyle w:val="NormalWeb"/>
        <w:rPr>
          <w:b/>
          <w:sz w:val="28"/>
        </w:rPr>
      </w:pPr>
      <w:r>
        <w:rPr>
          <w:b/>
          <w:sz w:val="28"/>
        </w:rPr>
        <w:t xml:space="preserve">                                                 Student NO: 2514125</w:t>
      </w:r>
    </w:p>
    <w:p w14:paraId="4C184D32" w14:textId="7E1C7240" w:rsidR="00A30608" w:rsidRDefault="00A30608" w:rsidP="00A30608">
      <w:pPr>
        <w:pStyle w:val="NormalWeb"/>
        <w:rPr>
          <w:b/>
          <w:sz w:val="28"/>
        </w:rPr>
      </w:pPr>
    </w:p>
    <w:p w14:paraId="401544C9" w14:textId="77777777" w:rsidR="004A0573" w:rsidRDefault="00A30608" w:rsidP="004A0573">
      <w:pPr>
        <w:pStyle w:val="NormalWeb"/>
        <w:rPr>
          <w:b/>
          <w:sz w:val="28"/>
        </w:rPr>
      </w:pPr>
      <w:r>
        <w:rPr>
          <w:b/>
          <w:sz w:val="28"/>
        </w:rPr>
        <w:t>1.</w:t>
      </w:r>
      <w:r w:rsidR="00290603" w:rsidRPr="00290603">
        <w:rPr>
          <w:b/>
          <w:sz w:val="28"/>
        </w:rPr>
        <w:t>Introduction:</w:t>
      </w:r>
    </w:p>
    <w:p w14:paraId="352B7022" w14:textId="77777777" w:rsidR="00AC5D55" w:rsidRDefault="00AC5D55" w:rsidP="00AC5D55">
      <w:pPr>
        <w:pStyle w:val="NormalWeb"/>
        <w:rPr>
          <w:sz w:val="22"/>
        </w:rPr>
      </w:pPr>
      <w:r>
        <w:rPr>
          <w:sz w:val="22"/>
        </w:rPr>
        <w:t>The purpose of this</w:t>
      </w:r>
      <w:r w:rsidRPr="0038465D">
        <w:rPr>
          <w:sz w:val="22"/>
        </w:rPr>
        <w:t xml:space="preserve"> SWOT analysis </w:t>
      </w:r>
      <w:r>
        <w:rPr>
          <w:sz w:val="22"/>
        </w:rPr>
        <w:t>is to reflect on my Harvard Referencing skill I have acquired throughout the PARD module and assess the role of these skills in my academic progress.</w:t>
      </w:r>
      <w:r w:rsidRPr="0038465D">
        <w:rPr>
          <w:sz w:val="22"/>
        </w:rPr>
        <w:t xml:space="preserve"> </w:t>
      </w:r>
      <w:r>
        <w:rPr>
          <w:sz w:val="22"/>
        </w:rPr>
        <w:t xml:space="preserve">This </w:t>
      </w:r>
      <w:r w:rsidRPr="0038465D">
        <w:rPr>
          <w:sz w:val="22"/>
        </w:rPr>
        <w:t xml:space="preserve">method </w:t>
      </w:r>
      <w:r>
        <w:rPr>
          <w:sz w:val="22"/>
        </w:rPr>
        <w:t>allows me to evaluate my</w:t>
      </w:r>
      <w:r w:rsidRPr="0038465D">
        <w:rPr>
          <w:sz w:val="22"/>
        </w:rPr>
        <w:t xml:space="preserve"> personal strengths, weaknesses, opportunities, and threats in relation to learning. This module reflects my engagement with lectures </w:t>
      </w:r>
      <w:r>
        <w:rPr>
          <w:sz w:val="22"/>
        </w:rPr>
        <w:t>in class activities</w:t>
      </w:r>
      <w:r w:rsidRPr="0038465D">
        <w:rPr>
          <w:sz w:val="22"/>
        </w:rPr>
        <w:t xml:space="preserve">. </w:t>
      </w:r>
      <w:r>
        <w:rPr>
          <w:sz w:val="22"/>
        </w:rPr>
        <w:t>Consequently</w:t>
      </w:r>
      <w:r w:rsidRPr="0038465D">
        <w:rPr>
          <w:sz w:val="22"/>
        </w:rPr>
        <w:t xml:space="preserve">, reflection will </w:t>
      </w:r>
      <w:r>
        <w:rPr>
          <w:sz w:val="22"/>
        </w:rPr>
        <w:t>play a crucial role</w:t>
      </w:r>
      <w:r w:rsidRPr="0038465D">
        <w:rPr>
          <w:sz w:val="22"/>
        </w:rPr>
        <w:t xml:space="preserve"> in </w:t>
      </w:r>
      <w:r>
        <w:rPr>
          <w:sz w:val="22"/>
        </w:rPr>
        <w:t xml:space="preserve">identifying what works well for me and what area require improvement, as </w:t>
      </w:r>
      <w:r w:rsidRPr="0038465D">
        <w:rPr>
          <w:sz w:val="22"/>
        </w:rPr>
        <w:t xml:space="preserve">explained by Kolb (1984). It </w:t>
      </w:r>
      <w:r>
        <w:rPr>
          <w:sz w:val="22"/>
        </w:rPr>
        <w:t>promotes</w:t>
      </w:r>
      <w:r w:rsidRPr="0038465D">
        <w:rPr>
          <w:sz w:val="22"/>
        </w:rPr>
        <w:t xml:space="preserve"> self-awareness and </w:t>
      </w:r>
      <w:r>
        <w:rPr>
          <w:sz w:val="22"/>
        </w:rPr>
        <w:t xml:space="preserve">supports effective </w:t>
      </w:r>
      <w:r w:rsidRPr="0038465D">
        <w:rPr>
          <w:sz w:val="22"/>
        </w:rPr>
        <w:t xml:space="preserve">planning, both of which are </w:t>
      </w:r>
      <w:r>
        <w:rPr>
          <w:sz w:val="22"/>
        </w:rPr>
        <w:t>essential</w:t>
      </w:r>
      <w:r w:rsidRPr="0038465D">
        <w:rPr>
          <w:sz w:val="22"/>
        </w:rPr>
        <w:t xml:space="preserve"> for academic success, </w:t>
      </w:r>
      <w:r>
        <w:rPr>
          <w:sz w:val="22"/>
        </w:rPr>
        <w:t>as noted</w:t>
      </w:r>
      <w:r w:rsidRPr="0038465D">
        <w:rPr>
          <w:sz w:val="22"/>
        </w:rPr>
        <w:t xml:space="preserve"> </w:t>
      </w:r>
      <w:r>
        <w:rPr>
          <w:sz w:val="22"/>
        </w:rPr>
        <w:t>by</w:t>
      </w:r>
      <w:r w:rsidRPr="0038465D">
        <w:rPr>
          <w:sz w:val="22"/>
        </w:rPr>
        <w:t xml:space="preserve"> Burns &amp; Sinfield (2022).</w:t>
      </w:r>
    </w:p>
    <w:p w14:paraId="5E79959A" w14:textId="32552B13" w:rsidR="00AC5D55" w:rsidRPr="0038465D" w:rsidRDefault="00AC5D55" w:rsidP="00AC5D55">
      <w:pPr>
        <w:pStyle w:val="NormalWeb"/>
        <w:rPr>
          <w:sz w:val="22"/>
        </w:rPr>
      </w:pPr>
      <w:r w:rsidRPr="0038465D">
        <w:rPr>
          <w:sz w:val="22"/>
        </w:rPr>
        <w:t xml:space="preserve">This analysis </w:t>
      </w:r>
      <w:r>
        <w:rPr>
          <w:sz w:val="22"/>
        </w:rPr>
        <w:t>emphasizes</w:t>
      </w:r>
      <w:r w:rsidRPr="0038465D">
        <w:rPr>
          <w:sz w:val="22"/>
        </w:rPr>
        <w:t xml:space="preserve"> </w:t>
      </w:r>
      <w:r>
        <w:rPr>
          <w:sz w:val="22"/>
        </w:rPr>
        <w:t>how</w:t>
      </w:r>
      <w:r w:rsidRPr="0038465D">
        <w:rPr>
          <w:sz w:val="22"/>
        </w:rPr>
        <w:t xml:space="preserve"> attending lectures, asking questions, watching recorded sessions, and participating </w:t>
      </w:r>
      <w:r>
        <w:rPr>
          <w:sz w:val="22"/>
        </w:rPr>
        <w:t>in class quizzes</w:t>
      </w:r>
      <w:r w:rsidRPr="0038465D">
        <w:rPr>
          <w:sz w:val="22"/>
        </w:rPr>
        <w:t xml:space="preserve"> </w:t>
      </w:r>
      <w:r>
        <w:rPr>
          <w:sz w:val="22"/>
        </w:rPr>
        <w:t>have positively influenced my learning</w:t>
      </w:r>
      <w:r w:rsidRPr="0038465D">
        <w:rPr>
          <w:sz w:val="22"/>
        </w:rPr>
        <w:t>.</w:t>
      </w:r>
      <w:r>
        <w:rPr>
          <w:sz w:val="22"/>
        </w:rPr>
        <w:t xml:space="preserve"> However, I have faced challenges such as </w:t>
      </w:r>
      <w:proofErr w:type="gramStart"/>
      <w:r>
        <w:rPr>
          <w:sz w:val="22"/>
        </w:rPr>
        <w:t>distractions,</w:t>
      </w:r>
      <w:proofErr w:type="gramEnd"/>
      <w:r>
        <w:rPr>
          <w:sz w:val="22"/>
        </w:rPr>
        <w:t xml:space="preserve"> missed </w:t>
      </w:r>
      <w:r w:rsidR="0093075F">
        <w:rPr>
          <w:sz w:val="22"/>
        </w:rPr>
        <w:t>classes</w:t>
      </w:r>
      <w:r>
        <w:rPr>
          <w:sz w:val="22"/>
        </w:rPr>
        <w:t>. Furthermore, the external threats of my family responsibilities, work commitment. Acknowledging these factors has provided opportunities for growth and improvement in my academic journey.</w:t>
      </w:r>
    </w:p>
    <w:p w14:paraId="61C81442" w14:textId="50C9AB73" w:rsidR="00A30608" w:rsidRPr="00A30608" w:rsidRDefault="00A30608" w:rsidP="00A30608">
      <w:pPr>
        <w:pStyle w:val="NormalWeb"/>
        <w:rPr>
          <w:b/>
          <w:sz w:val="28"/>
        </w:rPr>
      </w:pPr>
    </w:p>
    <w:p w14:paraId="24C422B0" w14:textId="77777777" w:rsidR="00290603" w:rsidRDefault="00290603" w:rsidP="00290603">
      <w:pPr>
        <w:pStyle w:val="NormalWeb"/>
      </w:pPr>
    </w:p>
    <w:p w14:paraId="13738312" w14:textId="77777777" w:rsidR="00290603" w:rsidRPr="00290603" w:rsidRDefault="00290603" w:rsidP="00290603">
      <w:pPr>
        <w:pStyle w:val="NormalWeb"/>
        <w:rPr>
          <w:b/>
          <w:sz w:val="28"/>
        </w:rPr>
      </w:pPr>
      <w:r w:rsidRPr="00290603">
        <w:rPr>
          <w:b/>
          <w:sz w:val="28"/>
        </w:rPr>
        <w:t>2. Strength:</w:t>
      </w:r>
    </w:p>
    <w:p w14:paraId="03715A8C" w14:textId="77777777" w:rsidR="00AB5452" w:rsidRPr="0038465D" w:rsidRDefault="00AB5452" w:rsidP="00AB5452">
      <w:pPr>
        <w:pStyle w:val="NormalWeb"/>
        <w:rPr>
          <w:sz w:val="22"/>
        </w:rPr>
      </w:pPr>
    </w:p>
    <w:p w14:paraId="2EAB6DAC" w14:textId="77777777" w:rsidR="00AB5452" w:rsidRDefault="00AB5452" w:rsidP="00AB5452">
      <w:r>
        <w:t xml:space="preserve">One strength that I have in developing the skill mentioned is in continuously attending lectures. Being present during the sessions provided an opportunity to engage with the tutor directly, thereby gaining insights not only from the content but also from the explanation, demonstrations, and expectations set forth. As Gravett and </w:t>
      </w:r>
      <w:proofErr w:type="spellStart"/>
      <w:r>
        <w:t>Kinchin</w:t>
      </w:r>
      <w:proofErr w:type="spellEnd"/>
      <w:r>
        <w:t xml:space="preserve"> (2021) point out, active participation within teaching sessions is a core component of achieving academic development. Consequently, attending the lectures regularly meant that any questions I had could be raised there and then, and any grey areas of uncertainty would be explained and advice given instantly to reinforce my learning. This instant access with the tutor furthermore gave the opportunity to relate the theoretical input to practical examples, which gave meaning, made it memorable, and far easier to remember over time. Regular attendance at sessions also helped to keep up to date with the course progression and understand what the focus was likely to be on assessment.</w:t>
      </w:r>
    </w:p>
    <w:p w14:paraId="019B3DE6" w14:textId="77777777" w:rsidR="00AB5452" w:rsidRDefault="00AB5452" w:rsidP="00AB5452">
      <w:r>
        <w:lastRenderedPageBreak/>
        <w:t>Another major strength is the positive impact that attending lectures has had on my assessment performance. Structured explanations in sessions helped me make sense of concepts and improve my ability to recall and apply knowledge during assessments. I also made extensive use of recorded lecture material, which proved an invaluable opportunity to revisit and consolidate what was covered during live sessions. I can therefore easily rewind, replay, and review at ease, addressing any gaps in understanding, reinforcing learning, and enhancing preparedness for practical application. Finally, reflecting on my own work has been an essential aspect of developing my skills, as it allowed me to identify both areas for improvement and my personal strengths. Maawa and Cruz (2019) highlight that self-evaluation and reflection are important components of developing academic skills and enhancing performance. performance, and I used the suggestions to fine-tune my work and improve my understanding. Therefore, the combination of attending classes, engaging with the class through questions, using recording material, and applying commitment to learning effectively. The approaches described above demonstrate how a structured approach in engagement with the learning process leads to continuous improvement, heightened self-confidence, and tangible academic progress.</w:t>
      </w:r>
    </w:p>
    <w:p w14:paraId="446DB945" w14:textId="77777777" w:rsidR="00290603" w:rsidRDefault="00290603" w:rsidP="00290603"/>
    <w:p w14:paraId="406969E0" w14:textId="77777777" w:rsidR="00290603" w:rsidRDefault="00290603" w:rsidP="00290603">
      <w:pPr>
        <w:rPr>
          <w:b/>
          <w:sz w:val="28"/>
        </w:rPr>
      </w:pPr>
      <w:r w:rsidRPr="00290603">
        <w:rPr>
          <w:b/>
          <w:sz w:val="28"/>
        </w:rPr>
        <w:t>3. Weaknesses:</w:t>
      </w:r>
    </w:p>
    <w:p w14:paraId="1BF3E8C2" w14:textId="77777777" w:rsidR="00D34409" w:rsidRPr="00290603" w:rsidRDefault="00D34409" w:rsidP="00D34409">
      <w:r w:rsidRPr="00290603">
        <w:t>Despite these strengths in my academic performance, I am also aware of various weaknesses that affect my learning. A significant weakness involves easy distraction during lessons. An inability to focus affects my understanding and retention of important information negatively. According to Dawson and Guare (2018), attention skills are essential for the learning process since a lapse in concentration leads to one not being able to engage with the material being presented fully. This means that when I am distracted, I will likely miss a fundamental explanation, example, or instruction, which leads to knowledge gaps. Over time, such gaps may build up, making subsequent comprehension of new ideas difficult, successful application of knowledge, and doing well in tests. Identifying this weakness enables me to reflect on improving my concentration through notetaking</w:t>
      </w:r>
      <w:r>
        <w:t>.</w:t>
      </w:r>
    </w:p>
    <w:p w14:paraId="773513B8" w14:textId="77777777" w:rsidR="00D34409" w:rsidRPr="00290603" w:rsidRDefault="00D34409" w:rsidP="00D34409">
      <w:r w:rsidRPr="00290603">
        <w:t>Another major weakness is lost components of learning sessions through occasional lateness, lack of concentration, or reduced participation. Lower attendance and participation limit my chances of asking questions, seeking clarification of doubts, and benefiting from advice provided by the tutor. Weber et al. (2019) identify a distinct relationship between lower attendance and lower academic performance, underlining the need for regular participation. While I am punctual and physically present in lessons, I do not always remain mentally engaged during sessions. According to Anderson (2025), lower levels of engagement have negative impacts on comprehension, especially when difficult concepts are introduced sequentially and build on previously learned knowledge.</w:t>
      </w:r>
    </w:p>
    <w:p w14:paraId="4A42715B" w14:textId="77777777" w:rsidR="00D34409" w:rsidRPr="00290603" w:rsidRDefault="00D34409" w:rsidP="00D34409">
      <w:r w:rsidRPr="00290603">
        <w:t>Lastly, I sometimes cannot understand new subject matter immediately when it is taught in class. Information is mainly imparted speedily, and unless questions are asked immediately, confusion piles up. Low self-efficacy can make me less willing to ask for help during lessons, thus making it harder. This makes the learning process very slow and reduces confidence in keeping pace with instruction.</w:t>
      </w:r>
    </w:p>
    <w:p w14:paraId="72037F1B" w14:textId="77777777" w:rsidR="00D34409" w:rsidRDefault="00D34409" w:rsidP="00D34409">
      <w:r>
        <w:t>In summary, the main weaknesses include difficulty maintaining concentration, struggling to hear parts of the teaching session, and challenges in understanding new information. Recognizing these issues is important, as it paves the way for developing strategies to improve focus, engagement, and confidence. By addressing these areas, I can enhance my participation in academic progress.</w:t>
      </w:r>
    </w:p>
    <w:p w14:paraId="0EA186D5" w14:textId="77777777" w:rsidR="00290603" w:rsidRPr="00290603" w:rsidRDefault="00290603" w:rsidP="00290603"/>
    <w:p w14:paraId="65BE4429" w14:textId="77777777" w:rsidR="00290603" w:rsidRDefault="00290603" w:rsidP="00290603">
      <w:pPr>
        <w:rPr>
          <w:b/>
          <w:sz w:val="28"/>
        </w:rPr>
      </w:pPr>
      <w:r w:rsidRPr="00290603">
        <w:rPr>
          <w:b/>
          <w:sz w:val="28"/>
        </w:rPr>
        <w:t>4. Opportunities:</w:t>
      </w:r>
    </w:p>
    <w:p w14:paraId="350735A7" w14:textId="77777777" w:rsidR="00B43B21" w:rsidRPr="00290603" w:rsidRDefault="00B43B21" w:rsidP="00B43B21">
      <w:r w:rsidRPr="00290603">
        <w:t>Improvement in my chosen skill can be supported through several opportunities that exist within my learning environment. A key source is Moodle, where lecture slides, handouts, and even a range of digital materials support independent study. This offers opportunities for repeated engagement with course content, namely the facilitation to go over material at a slower pace that may be quite complex or challenging. Zhang et al. (2017) commented that this digital learning material is useful for revisiting those areas of difficulty because it provides an opportunity to reprocess information multiple times, with stronger retention and deeper understanding. Locating these materials out of class time allows for flexibility and fosters self-directed learning, essential for consolidating academic skills.</w:t>
      </w:r>
    </w:p>
    <w:p w14:paraId="70A22866" w14:textId="77777777" w:rsidR="00B43B21" w:rsidRPr="00290603" w:rsidRDefault="00B43B21" w:rsidP="00B43B21">
      <w:r w:rsidRPr="00290603">
        <w:t xml:space="preserve">Other areas of improvement are skill practice between modules. Repetition by applying the skill in different situations helps solidify learning. Burns and Sinfield (2022) highlight that practices carried out repetitively help to formulate strong academic habits and embed knowledge more permanently. Indeed, through active skill </w:t>
      </w:r>
      <w:r>
        <w:t xml:space="preserve">can </w:t>
      </w:r>
      <w:r w:rsidRPr="00290603">
        <w:t>transfer between modules, I reinforce understanding, patterns, and strengthening between theoretical knowledge and practical application. This approach itself encourages reflection on the learning process to refine the strategy and thus improve such outcomes over time.</w:t>
      </w:r>
    </w:p>
    <w:p w14:paraId="17F4BE01" w14:textId="77777777" w:rsidR="00B43B21" w:rsidRPr="00290603" w:rsidRDefault="00B43B21" w:rsidP="00B43B21">
      <w:r w:rsidRPr="00290603">
        <w:t xml:space="preserve">Another avenue for developing such skills is peer support. Cooperative learning allows for discussion, the sharing of ideas, and solving problems together. Indeed, </w:t>
      </w:r>
      <w:proofErr w:type="spellStart"/>
      <w:r w:rsidRPr="00290603">
        <w:t>Rafiola</w:t>
      </w:r>
      <w:proofErr w:type="spellEnd"/>
      <w:r w:rsidRPr="00290603">
        <w:t xml:space="preserve"> and Ramli (2018) confirm that peer collaboration enhances not only confidence but also academic performance. Peers can offer different perspectives, clear misunderstandings, and give useful feedback to reinforce my development in general.</w:t>
      </w:r>
    </w:p>
    <w:p w14:paraId="2329E409" w14:textId="77777777" w:rsidR="00B43B21" w:rsidRPr="00290603" w:rsidRDefault="00B43B21" w:rsidP="00B43B21">
      <w:r>
        <w:t>During lectures</w:t>
      </w:r>
      <w:r w:rsidRPr="00290603">
        <w:t xml:space="preserve"> there are examples of structured practice environments which also use step-by-step explanations and guided practice. These environments are tailored to support skill mastery through hands-on learning. Such environments reduce cognitive load by breaking complex tasks into manageable steps, thereby improving efficiency and understanding.</w:t>
      </w:r>
    </w:p>
    <w:p w14:paraId="191E058A" w14:textId="4617E3D6" w:rsidR="00B43B21" w:rsidRDefault="00B43B21" w:rsidP="00B43B21">
      <w:r w:rsidRPr="00290603">
        <w:t xml:space="preserve">In essence, </w:t>
      </w:r>
      <w:r>
        <w:t xml:space="preserve">my </w:t>
      </w:r>
      <w:r w:rsidRPr="00290603">
        <w:t>academic growth results from capitalizing on the many opportunities available through Moodle resources, cross-module practice, peer support</w:t>
      </w:r>
      <w:r>
        <w:t>.</w:t>
      </w:r>
      <w:r w:rsidRPr="00290603">
        <w:t xml:space="preserve"> Strategically utilizing such resources enables me to reinforce learning, b</w:t>
      </w:r>
      <w:r>
        <w:t>oost</w:t>
      </w:r>
      <w:r w:rsidRPr="00290603">
        <w:t xml:space="preserve"> my confidence, and further develop mastery, overall facilitating sustained improvement in my chosen skill</w:t>
      </w:r>
      <w:r>
        <w:t xml:space="preserve"> enhances my understanding of the Harvard referencing style.</w:t>
      </w:r>
    </w:p>
    <w:p w14:paraId="663A67B7" w14:textId="77777777" w:rsidR="007344BE" w:rsidRDefault="007344BE" w:rsidP="00290603"/>
    <w:p w14:paraId="69A9B54A" w14:textId="77777777" w:rsidR="007344BE" w:rsidRDefault="007344BE" w:rsidP="00290603">
      <w:pPr>
        <w:rPr>
          <w:b/>
          <w:sz w:val="28"/>
        </w:rPr>
      </w:pPr>
      <w:r w:rsidRPr="007344BE">
        <w:rPr>
          <w:b/>
          <w:sz w:val="28"/>
        </w:rPr>
        <w:t>5. Threats:</w:t>
      </w:r>
    </w:p>
    <w:p w14:paraId="14EA873E" w14:textId="6E3C94E8" w:rsidR="00B4293C" w:rsidRPr="007344BE" w:rsidRDefault="00B4293C" w:rsidP="00B4293C">
      <w:bookmarkStart w:id="0" w:name="_Hlk216328106"/>
      <w:r w:rsidRPr="007344BE">
        <w:t>Several factors both external and internal can place threats on my academic development. One significant threat has to do with pressures from the family or home disturbances that might affect my concentration during study</w:t>
      </w:r>
      <w:r>
        <w:t xml:space="preserve"> period</w:t>
      </w:r>
      <w:r w:rsidRPr="007344BE">
        <w:t xml:space="preserve">. Ecological stressors, such as </w:t>
      </w:r>
      <w:r w:rsidR="00AF269A" w:rsidRPr="007344BE">
        <w:t>noisy homes</w:t>
      </w:r>
      <w:r>
        <w:t xml:space="preserve"> or chaotic</w:t>
      </w:r>
      <w:r w:rsidRPr="007344BE">
        <w:t xml:space="preserve"> environment, reduce focus and limit the ability to process information effectively. Weber et al. (2019) note that environmental stressors affect a student's concentrating ability significantly and, through this</w:t>
      </w:r>
      <w:r>
        <w:t xml:space="preserve"> can affect academic performance</w:t>
      </w:r>
      <w:r w:rsidRPr="007344BE">
        <w:t xml:space="preserve">. These also reduce the number of hours that I can put into studying, which may go into caring for others or other part-time jobs. In most cases, dealing with several activities raises cognitive load associated </w:t>
      </w:r>
      <w:r>
        <w:t xml:space="preserve">with </w:t>
      </w:r>
      <w:r w:rsidRPr="007344BE">
        <w:t>reduced efficiency, and personal fatigue. Koudela-</w:t>
      </w:r>
      <w:proofErr w:type="spellStart"/>
      <w:r w:rsidRPr="007344BE">
        <w:t>Hamila</w:t>
      </w:r>
      <w:proofErr w:type="spellEnd"/>
      <w:r w:rsidRPr="007344BE">
        <w:t xml:space="preserve"> et al. (2022) </w:t>
      </w:r>
      <w:r w:rsidRPr="007344BE">
        <w:lastRenderedPageBreak/>
        <w:t>outlines that work overload is closely associated with a decrease in academic thoroughness and consistency, highlighting ho</w:t>
      </w:r>
      <w:r>
        <w:t>w workload impacts performance.</w:t>
      </w:r>
    </w:p>
    <w:p w14:paraId="045310CC" w14:textId="77777777" w:rsidR="00B4293C" w:rsidRPr="007344BE" w:rsidRDefault="00B4293C" w:rsidP="00B4293C">
      <w:r w:rsidRPr="007344BE">
        <w:t>Health issues are another critical threat to</w:t>
      </w:r>
      <w:r>
        <w:t xml:space="preserve"> my</w:t>
      </w:r>
      <w:r w:rsidRPr="007344BE">
        <w:t xml:space="preserve"> academic development. Illness or chronic health problems can disrupt not only attendance but also the ability to concentrate; hence, it reduces the chances of keeping up with lectures and independent study</w:t>
      </w:r>
      <w:r>
        <w:t>,</w:t>
      </w:r>
      <w:r w:rsidRPr="007344BE">
        <w:t xml:space="preserve"> </w:t>
      </w:r>
      <w:r>
        <w:t>which could result</w:t>
      </w:r>
      <w:r w:rsidRPr="007344BE">
        <w:t xml:space="preserve"> in learning gaps, especially with other stressors present. Similarly, access to</w:t>
      </w:r>
      <w:r>
        <w:t xml:space="preserve"> </w:t>
      </w:r>
      <w:r w:rsidRPr="007344BE">
        <w:t>online learning resources may be compromised because of technological problems. Poor internet access and faulty devices issues reduce the reliability of digital study tools and the opport</w:t>
      </w:r>
      <w:r>
        <w:t>unity for independent revision.</w:t>
      </w:r>
    </w:p>
    <w:p w14:paraId="01B8093A" w14:textId="77777777" w:rsidR="00B4293C" w:rsidRPr="007344BE" w:rsidRDefault="00B4293C" w:rsidP="00B4293C">
      <w:r w:rsidRPr="007344BE">
        <w:t xml:space="preserve">Other threats include stress and mental fatigue can adversely impact </w:t>
      </w:r>
      <w:r>
        <w:t xml:space="preserve">my </w:t>
      </w:r>
      <w:r w:rsidRPr="007344BE">
        <w:t xml:space="preserve">academic performance. Long-term stress affects cognitive processes of memory, attention, and problem-solving abilities. Low self-efficacy under stress reduces the confidence and motivation to perform challenging tasks, according to </w:t>
      </w:r>
      <w:proofErr w:type="spellStart"/>
      <w:r w:rsidRPr="007344BE">
        <w:t>Gielnik</w:t>
      </w:r>
      <w:proofErr w:type="spellEnd"/>
      <w:r w:rsidRPr="007344BE">
        <w:t xml:space="preserve">, </w:t>
      </w:r>
      <w:proofErr w:type="spellStart"/>
      <w:r w:rsidRPr="007344BE">
        <w:t>Bledow</w:t>
      </w:r>
      <w:proofErr w:type="spellEnd"/>
      <w:r w:rsidRPr="007344BE">
        <w:t xml:space="preserve">, &amp; Stark (2020). They may begin to hesitate to participate in class, ask questions, or complete tasks efficiently. Second, identifying these threats is important because it allows me to take a proactive stance in creating measures that will limit these threats. This may involve developing structured study schedules, prioritizing health and wellbeing, ensuring secure access to digital resources, and seeking help if stress becomes too great. Being aware of these potential barriers provides a better way of planning, </w:t>
      </w:r>
      <w:r>
        <w:t>which ultimately</w:t>
      </w:r>
      <w:r w:rsidRPr="007344BE">
        <w:t xml:space="preserve"> supports </w:t>
      </w:r>
      <w:r>
        <w:t xml:space="preserve">my </w:t>
      </w:r>
      <w:r w:rsidRPr="007344BE">
        <w:t>academic development</w:t>
      </w:r>
      <w:r>
        <w:t xml:space="preserve"> progress</w:t>
      </w:r>
      <w:r w:rsidRPr="007344BE">
        <w:t>.</w:t>
      </w:r>
      <w:r>
        <w:t xml:space="preserve"> </w:t>
      </w:r>
    </w:p>
    <w:bookmarkEnd w:id="0"/>
    <w:p w14:paraId="0CC2A734" w14:textId="77777777" w:rsidR="00290603" w:rsidRDefault="00290603" w:rsidP="00290603">
      <w:pPr>
        <w:rPr>
          <w:sz w:val="18"/>
        </w:rPr>
      </w:pPr>
    </w:p>
    <w:p w14:paraId="22952FF6" w14:textId="77777777" w:rsidR="007344BE" w:rsidRDefault="007344BE" w:rsidP="00290603">
      <w:pPr>
        <w:rPr>
          <w:b/>
          <w:sz w:val="28"/>
        </w:rPr>
      </w:pPr>
      <w:r w:rsidRPr="007344BE">
        <w:rPr>
          <w:b/>
          <w:sz w:val="28"/>
        </w:rPr>
        <w:t>6. Conclusion</w:t>
      </w:r>
      <w:r>
        <w:rPr>
          <w:b/>
          <w:sz w:val="28"/>
        </w:rPr>
        <w:t>:</w:t>
      </w:r>
    </w:p>
    <w:p w14:paraId="37D2D40F" w14:textId="77777777" w:rsidR="007344BE" w:rsidRDefault="007344BE" w:rsidP="00290603"/>
    <w:p w14:paraId="2E1E0C48" w14:textId="77777777" w:rsidR="007344BE" w:rsidRDefault="007344BE" w:rsidP="00290603"/>
    <w:p w14:paraId="2858DBBA" w14:textId="77777777" w:rsidR="00322B9E" w:rsidRDefault="00322B9E" w:rsidP="00322B9E">
      <w:r w:rsidRPr="007344BE">
        <w:t>This SWOT analysis</w:t>
      </w:r>
      <w:r>
        <w:t xml:space="preserve"> </w:t>
      </w:r>
      <w:r w:rsidRPr="007344BE">
        <w:t xml:space="preserve">has </w:t>
      </w:r>
      <w:r>
        <w:t xml:space="preserve">helped </w:t>
      </w:r>
      <w:r w:rsidRPr="007344BE">
        <w:t>me</w:t>
      </w:r>
      <w:r>
        <w:t xml:space="preserve"> identify</w:t>
      </w:r>
      <w:r w:rsidRPr="007344BE">
        <w:t xml:space="preserve"> factors </w:t>
      </w:r>
      <w:r>
        <w:t>affecting</w:t>
      </w:r>
      <w:r w:rsidRPr="007344BE">
        <w:t xml:space="preserve"> my academic development. Strengths include attending all lectures,</w:t>
      </w:r>
      <w:r>
        <w:t xml:space="preserve"> active </w:t>
      </w:r>
      <w:r w:rsidRPr="007344BE">
        <w:t>participation,</w:t>
      </w:r>
      <w:r>
        <w:t xml:space="preserve"> utilizing</w:t>
      </w:r>
      <w:r w:rsidRPr="007344BE">
        <w:t xml:space="preserve"> record</w:t>
      </w:r>
      <w:r>
        <w:t xml:space="preserve">ed </w:t>
      </w:r>
      <w:r w:rsidRPr="007344BE">
        <w:t>sessions</w:t>
      </w:r>
      <w:r>
        <w:t>, all of which supports my learning. However, I have also recognized my</w:t>
      </w:r>
      <w:r w:rsidRPr="007344BE">
        <w:t xml:space="preserve"> weaknesses</w:t>
      </w:r>
      <w:r>
        <w:t>, such as</w:t>
      </w:r>
      <w:r w:rsidRPr="007344BE">
        <w:t xml:space="preserve"> poor concentration, missed teaching, and inability to grasp new concepts assist me in striving toward areas of improvement. Opportunities such as Moodle resources, peer support, and cross-module practice are avenues through which one can learn to improve skills. Threats include family pressures, workload, health </w:t>
      </w:r>
      <w:r>
        <w:t>challenges</w:t>
      </w:r>
      <w:r w:rsidRPr="007344BE">
        <w:t>, which one needs to manage proactively. Overall, this reflection supports continuous growth and informed strategies for academic success.</w:t>
      </w:r>
    </w:p>
    <w:p w14:paraId="51C9EEE9" w14:textId="77777777" w:rsidR="002846D0" w:rsidRDefault="002846D0" w:rsidP="00290603"/>
    <w:p w14:paraId="4ADF48CB" w14:textId="77777777" w:rsidR="002846D0" w:rsidRDefault="002846D0" w:rsidP="00290603"/>
    <w:p w14:paraId="72F88004" w14:textId="77777777" w:rsidR="002846D0" w:rsidRDefault="002846D0" w:rsidP="00290603"/>
    <w:p w14:paraId="4254055A" w14:textId="77777777" w:rsidR="002846D0" w:rsidRDefault="002846D0" w:rsidP="00290603"/>
    <w:p w14:paraId="2C5E16C0" w14:textId="77777777" w:rsidR="002846D0" w:rsidRDefault="002846D0" w:rsidP="00290603"/>
    <w:p w14:paraId="309BA169" w14:textId="77777777" w:rsidR="002846D0" w:rsidRDefault="002846D0" w:rsidP="00290603"/>
    <w:p w14:paraId="5D8C14EE" w14:textId="77777777" w:rsidR="002846D0" w:rsidRDefault="002846D0" w:rsidP="00290603"/>
    <w:p w14:paraId="620BDBDB" w14:textId="77777777" w:rsidR="002846D0" w:rsidRDefault="002846D0" w:rsidP="00290603"/>
    <w:p w14:paraId="7BFE41E3" w14:textId="77777777" w:rsidR="002846D0" w:rsidRDefault="002846D0" w:rsidP="00290603"/>
    <w:p w14:paraId="64329FCB" w14:textId="77777777" w:rsidR="002846D0" w:rsidRDefault="002846D0" w:rsidP="00290603"/>
    <w:p w14:paraId="0529122E" w14:textId="77777777" w:rsidR="002846D0" w:rsidRDefault="002846D0" w:rsidP="00290603">
      <w:pPr>
        <w:rPr>
          <w:b/>
          <w:sz w:val="28"/>
        </w:rPr>
      </w:pPr>
      <w:r w:rsidRPr="002846D0">
        <w:rPr>
          <w:b/>
          <w:sz w:val="28"/>
        </w:rPr>
        <w:t>References</w:t>
      </w:r>
    </w:p>
    <w:p w14:paraId="13AB239D" w14:textId="77777777" w:rsidR="002846D0" w:rsidRPr="002846D0" w:rsidRDefault="002846D0" w:rsidP="002846D0">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2846D0">
        <w:rPr>
          <w:rFonts w:ascii="Times New Roman" w:eastAsia="Times New Roman" w:hAnsi="Times New Roman" w:cs="Times New Roman"/>
          <w:sz w:val="24"/>
          <w:szCs w:val="24"/>
        </w:rPr>
        <w:t xml:space="preserve">Anderson, K., 2025. </w:t>
      </w:r>
      <w:r w:rsidRPr="002846D0">
        <w:rPr>
          <w:rFonts w:ascii="Times New Roman" w:eastAsia="Times New Roman" w:hAnsi="Times New Roman" w:cs="Times New Roman"/>
          <w:i/>
          <w:iCs/>
          <w:sz w:val="24"/>
          <w:szCs w:val="24"/>
        </w:rPr>
        <w:t>Language Barriers and Academic Writing Challenges</w:t>
      </w:r>
      <w:r w:rsidRPr="002846D0">
        <w:rPr>
          <w:rFonts w:ascii="Times New Roman" w:eastAsia="Times New Roman" w:hAnsi="Times New Roman" w:cs="Times New Roman"/>
          <w:sz w:val="24"/>
          <w:szCs w:val="24"/>
        </w:rPr>
        <w:t>. Arab Universities Press.</w:t>
      </w:r>
    </w:p>
    <w:p w14:paraId="2781FAA7" w14:textId="77777777" w:rsidR="002846D0" w:rsidRPr="002846D0" w:rsidRDefault="002846D0" w:rsidP="002846D0">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2846D0">
        <w:rPr>
          <w:rFonts w:ascii="Times New Roman" w:eastAsia="Times New Roman" w:hAnsi="Times New Roman" w:cs="Times New Roman"/>
          <w:sz w:val="24"/>
          <w:szCs w:val="24"/>
        </w:rPr>
        <w:t xml:space="preserve">Bandura, A., 2023. </w:t>
      </w:r>
      <w:r w:rsidRPr="002846D0">
        <w:rPr>
          <w:rFonts w:ascii="Times New Roman" w:eastAsia="Times New Roman" w:hAnsi="Times New Roman" w:cs="Times New Roman"/>
          <w:i/>
          <w:iCs/>
          <w:sz w:val="24"/>
          <w:szCs w:val="24"/>
        </w:rPr>
        <w:t xml:space="preserve">Cultivating self-efficacy for personal and </w:t>
      </w:r>
      <w:proofErr w:type="spellStart"/>
      <w:r w:rsidRPr="002846D0">
        <w:rPr>
          <w:rFonts w:ascii="Times New Roman" w:eastAsia="Times New Roman" w:hAnsi="Times New Roman" w:cs="Times New Roman"/>
          <w:i/>
          <w:iCs/>
          <w:sz w:val="24"/>
          <w:szCs w:val="24"/>
        </w:rPr>
        <w:t>organisational</w:t>
      </w:r>
      <w:proofErr w:type="spellEnd"/>
      <w:r w:rsidRPr="002846D0">
        <w:rPr>
          <w:rFonts w:ascii="Times New Roman" w:eastAsia="Times New Roman" w:hAnsi="Times New Roman" w:cs="Times New Roman"/>
          <w:i/>
          <w:iCs/>
          <w:sz w:val="24"/>
          <w:szCs w:val="24"/>
        </w:rPr>
        <w:t xml:space="preserve"> effectiveness</w:t>
      </w:r>
      <w:r w:rsidRPr="002846D0">
        <w:rPr>
          <w:rFonts w:ascii="Times New Roman" w:eastAsia="Times New Roman" w:hAnsi="Times New Roman" w:cs="Times New Roman"/>
          <w:sz w:val="24"/>
          <w:szCs w:val="24"/>
        </w:rPr>
        <w:t xml:space="preserve">. Principles of </w:t>
      </w:r>
      <w:proofErr w:type="spellStart"/>
      <w:r w:rsidRPr="002846D0">
        <w:rPr>
          <w:rFonts w:ascii="Times New Roman" w:eastAsia="Times New Roman" w:hAnsi="Times New Roman" w:cs="Times New Roman"/>
          <w:sz w:val="24"/>
          <w:szCs w:val="24"/>
        </w:rPr>
        <w:t>Organisational</w:t>
      </w:r>
      <w:proofErr w:type="spellEnd"/>
      <w:r w:rsidRPr="002846D0">
        <w:rPr>
          <w:rFonts w:ascii="Times New Roman" w:eastAsia="Times New Roman" w:hAnsi="Times New Roman" w:cs="Times New Roman"/>
          <w:sz w:val="24"/>
          <w:szCs w:val="24"/>
        </w:rPr>
        <w:t xml:space="preserve"> </w:t>
      </w:r>
      <w:proofErr w:type="spellStart"/>
      <w:r w:rsidRPr="002846D0">
        <w:rPr>
          <w:rFonts w:ascii="Times New Roman" w:eastAsia="Times New Roman" w:hAnsi="Times New Roman" w:cs="Times New Roman"/>
          <w:sz w:val="24"/>
          <w:szCs w:val="24"/>
        </w:rPr>
        <w:t>Behaviour</w:t>
      </w:r>
      <w:proofErr w:type="spellEnd"/>
      <w:r w:rsidRPr="002846D0">
        <w:rPr>
          <w:rFonts w:ascii="Times New Roman" w:eastAsia="Times New Roman" w:hAnsi="Times New Roman" w:cs="Times New Roman"/>
          <w:sz w:val="24"/>
          <w:szCs w:val="24"/>
        </w:rPr>
        <w:t>, pp.113–135.</w:t>
      </w:r>
    </w:p>
    <w:p w14:paraId="4079B07C" w14:textId="77777777" w:rsidR="002846D0" w:rsidRPr="002846D0" w:rsidRDefault="002846D0" w:rsidP="002846D0">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2846D0">
        <w:rPr>
          <w:rFonts w:ascii="Times New Roman" w:eastAsia="Times New Roman" w:hAnsi="Times New Roman" w:cs="Times New Roman"/>
          <w:sz w:val="24"/>
          <w:szCs w:val="24"/>
        </w:rPr>
        <w:t xml:space="preserve">Burns, T. and Sinfield, S., 2022. </w:t>
      </w:r>
      <w:r w:rsidRPr="002846D0">
        <w:rPr>
          <w:rFonts w:ascii="Times New Roman" w:eastAsia="Times New Roman" w:hAnsi="Times New Roman" w:cs="Times New Roman"/>
          <w:i/>
          <w:iCs/>
          <w:sz w:val="24"/>
          <w:szCs w:val="24"/>
        </w:rPr>
        <w:t>Essential Study Skills: A Complete Guide to Success at University</w:t>
      </w:r>
      <w:r w:rsidRPr="002846D0">
        <w:rPr>
          <w:rFonts w:ascii="Times New Roman" w:eastAsia="Times New Roman" w:hAnsi="Times New Roman" w:cs="Times New Roman"/>
          <w:sz w:val="24"/>
          <w:szCs w:val="24"/>
        </w:rPr>
        <w:t>. London: Sage.</w:t>
      </w:r>
    </w:p>
    <w:p w14:paraId="17745A65" w14:textId="77777777" w:rsidR="002846D0" w:rsidRPr="002846D0" w:rsidRDefault="002846D0" w:rsidP="002846D0">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2846D0">
        <w:rPr>
          <w:rFonts w:ascii="Times New Roman" w:eastAsia="Times New Roman" w:hAnsi="Times New Roman" w:cs="Times New Roman"/>
          <w:sz w:val="24"/>
          <w:szCs w:val="24"/>
        </w:rPr>
        <w:t xml:space="preserve">Dawson, P. and Guare, R., 2018. </w:t>
      </w:r>
      <w:r w:rsidRPr="002846D0">
        <w:rPr>
          <w:rFonts w:ascii="Times New Roman" w:eastAsia="Times New Roman" w:hAnsi="Times New Roman" w:cs="Times New Roman"/>
          <w:i/>
          <w:iCs/>
          <w:sz w:val="24"/>
          <w:szCs w:val="24"/>
        </w:rPr>
        <w:t>Executive Skills in Children and Adolescents</w:t>
      </w:r>
      <w:r w:rsidRPr="002846D0">
        <w:rPr>
          <w:rFonts w:ascii="Times New Roman" w:eastAsia="Times New Roman" w:hAnsi="Times New Roman" w:cs="Times New Roman"/>
          <w:sz w:val="24"/>
          <w:szCs w:val="24"/>
        </w:rPr>
        <w:t>. Guilford Press.</w:t>
      </w:r>
    </w:p>
    <w:p w14:paraId="65BC83E5" w14:textId="77777777" w:rsidR="002846D0" w:rsidRPr="002846D0" w:rsidRDefault="002846D0" w:rsidP="002846D0">
      <w:pPr>
        <w:numPr>
          <w:ilvl w:val="0"/>
          <w:numId w:val="1"/>
        </w:numPr>
        <w:spacing w:before="100" w:beforeAutospacing="1" w:after="100" w:afterAutospacing="1" w:line="240" w:lineRule="auto"/>
        <w:rPr>
          <w:rFonts w:ascii="Times New Roman" w:eastAsia="Times New Roman" w:hAnsi="Times New Roman" w:cs="Times New Roman"/>
          <w:sz w:val="24"/>
          <w:szCs w:val="24"/>
        </w:rPr>
      </w:pPr>
      <w:proofErr w:type="spellStart"/>
      <w:r w:rsidRPr="002846D0">
        <w:rPr>
          <w:rFonts w:ascii="Times New Roman" w:eastAsia="Times New Roman" w:hAnsi="Times New Roman" w:cs="Times New Roman"/>
          <w:sz w:val="24"/>
          <w:szCs w:val="24"/>
        </w:rPr>
        <w:t>Gielnik</w:t>
      </w:r>
      <w:proofErr w:type="spellEnd"/>
      <w:r w:rsidRPr="002846D0">
        <w:rPr>
          <w:rFonts w:ascii="Times New Roman" w:eastAsia="Times New Roman" w:hAnsi="Times New Roman" w:cs="Times New Roman"/>
          <w:sz w:val="24"/>
          <w:szCs w:val="24"/>
        </w:rPr>
        <w:t xml:space="preserve">, M.M., </w:t>
      </w:r>
      <w:proofErr w:type="spellStart"/>
      <w:r w:rsidRPr="002846D0">
        <w:rPr>
          <w:rFonts w:ascii="Times New Roman" w:eastAsia="Times New Roman" w:hAnsi="Times New Roman" w:cs="Times New Roman"/>
          <w:sz w:val="24"/>
          <w:szCs w:val="24"/>
        </w:rPr>
        <w:t>Bledow</w:t>
      </w:r>
      <w:proofErr w:type="spellEnd"/>
      <w:r w:rsidRPr="002846D0">
        <w:rPr>
          <w:rFonts w:ascii="Times New Roman" w:eastAsia="Times New Roman" w:hAnsi="Times New Roman" w:cs="Times New Roman"/>
          <w:sz w:val="24"/>
          <w:szCs w:val="24"/>
        </w:rPr>
        <w:t xml:space="preserve">, R. and Stark, M.S., 2020. A dynamic account of self-efficacy in challenging tasks. </w:t>
      </w:r>
      <w:r w:rsidRPr="002846D0">
        <w:rPr>
          <w:rFonts w:ascii="Times New Roman" w:eastAsia="Times New Roman" w:hAnsi="Times New Roman" w:cs="Times New Roman"/>
          <w:i/>
          <w:iCs/>
          <w:sz w:val="24"/>
          <w:szCs w:val="24"/>
        </w:rPr>
        <w:t>Journal of Applied Psychology</w:t>
      </w:r>
      <w:r w:rsidRPr="002846D0">
        <w:rPr>
          <w:rFonts w:ascii="Times New Roman" w:eastAsia="Times New Roman" w:hAnsi="Times New Roman" w:cs="Times New Roman"/>
          <w:sz w:val="24"/>
          <w:szCs w:val="24"/>
        </w:rPr>
        <w:t>, 105(5), pp.487–499.</w:t>
      </w:r>
    </w:p>
    <w:p w14:paraId="0C1CD2AB" w14:textId="77777777" w:rsidR="002846D0" w:rsidRPr="002846D0" w:rsidRDefault="002846D0" w:rsidP="002846D0">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2846D0">
        <w:rPr>
          <w:rFonts w:ascii="Times New Roman" w:eastAsia="Times New Roman" w:hAnsi="Times New Roman" w:cs="Times New Roman"/>
          <w:sz w:val="24"/>
          <w:szCs w:val="24"/>
        </w:rPr>
        <w:t xml:space="preserve">Gravett, K. and </w:t>
      </w:r>
      <w:proofErr w:type="spellStart"/>
      <w:r w:rsidRPr="002846D0">
        <w:rPr>
          <w:rFonts w:ascii="Times New Roman" w:eastAsia="Times New Roman" w:hAnsi="Times New Roman" w:cs="Times New Roman"/>
          <w:sz w:val="24"/>
          <w:szCs w:val="24"/>
        </w:rPr>
        <w:t>Kinchin</w:t>
      </w:r>
      <w:proofErr w:type="spellEnd"/>
      <w:r w:rsidRPr="002846D0">
        <w:rPr>
          <w:rFonts w:ascii="Times New Roman" w:eastAsia="Times New Roman" w:hAnsi="Times New Roman" w:cs="Times New Roman"/>
          <w:sz w:val="24"/>
          <w:szCs w:val="24"/>
        </w:rPr>
        <w:t xml:space="preserve">, I.M., 2021. The role of academic engagement in identity development. </w:t>
      </w:r>
      <w:r w:rsidRPr="002846D0">
        <w:rPr>
          <w:rFonts w:ascii="Times New Roman" w:eastAsia="Times New Roman" w:hAnsi="Times New Roman" w:cs="Times New Roman"/>
          <w:i/>
          <w:iCs/>
          <w:sz w:val="24"/>
          <w:szCs w:val="24"/>
        </w:rPr>
        <w:t>Journal of Further and Higher Education</w:t>
      </w:r>
      <w:r w:rsidRPr="002846D0">
        <w:rPr>
          <w:rFonts w:ascii="Times New Roman" w:eastAsia="Times New Roman" w:hAnsi="Times New Roman" w:cs="Times New Roman"/>
          <w:sz w:val="24"/>
          <w:szCs w:val="24"/>
        </w:rPr>
        <w:t>, 45(3), pp.377–388.</w:t>
      </w:r>
    </w:p>
    <w:p w14:paraId="48CAA1DE" w14:textId="77777777" w:rsidR="002846D0" w:rsidRPr="002846D0" w:rsidRDefault="002846D0" w:rsidP="002846D0">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2846D0">
        <w:rPr>
          <w:rFonts w:ascii="Times New Roman" w:eastAsia="Times New Roman" w:hAnsi="Times New Roman" w:cs="Times New Roman"/>
          <w:sz w:val="24"/>
          <w:szCs w:val="24"/>
        </w:rPr>
        <w:t xml:space="preserve">Hosseini, M., Eve, M.P., Gordijn, B. and Neylon, C., 2020. Inaccurate digital access and its academic consequences. </w:t>
      </w:r>
      <w:r w:rsidRPr="002846D0">
        <w:rPr>
          <w:rFonts w:ascii="Times New Roman" w:eastAsia="Times New Roman" w:hAnsi="Times New Roman" w:cs="Times New Roman"/>
          <w:i/>
          <w:iCs/>
          <w:sz w:val="24"/>
          <w:szCs w:val="24"/>
        </w:rPr>
        <w:t>Research Integrity and Peer Review</w:t>
      </w:r>
      <w:r w:rsidRPr="002846D0">
        <w:rPr>
          <w:rFonts w:ascii="Times New Roman" w:eastAsia="Times New Roman" w:hAnsi="Times New Roman" w:cs="Times New Roman"/>
          <w:sz w:val="24"/>
          <w:szCs w:val="24"/>
        </w:rPr>
        <w:t>, 5(1), p.13.</w:t>
      </w:r>
    </w:p>
    <w:p w14:paraId="20B0A0E2" w14:textId="77777777" w:rsidR="002846D0" w:rsidRPr="002846D0" w:rsidRDefault="002846D0" w:rsidP="002846D0">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2846D0">
        <w:rPr>
          <w:rFonts w:ascii="Times New Roman" w:eastAsia="Times New Roman" w:hAnsi="Times New Roman" w:cs="Times New Roman"/>
          <w:sz w:val="24"/>
          <w:szCs w:val="24"/>
        </w:rPr>
        <w:t xml:space="preserve">Kolb, D.A., 1984. </w:t>
      </w:r>
      <w:r w:rsidRPr="002846D0">
        <w:rPr>
          <w:rFonts w:ascii="Times New Roman" w:eastAsia="Times New Roman" w:hAnsi="Times New Roman" w:cs="Times New Roman"/>
          <w:i/>
          <w:iCs/>
          <w:sz w:val="24"/>
          <w:szCs w:val="24"/>
        </w:rPr>
        <w:t>Experiential Learning</w:t>
      </w:r>
      <w:r w:rsidRPr="002846D0">
        <w:rPr>
          <w:rFonts w:ascii="Times New Roman" w:eastAsia="Times New Roman" w:hAnsi="Times New Roman" w:cs="Times New Roman"/>
          <w:sz w:val="24"/>
          <w:szCs w:val="24"/>
        </w:rPr>
        <w:t>. Englewood Cliffs: Prentice-Hall.</w:t>
      </w:r>
    </w:p>
    <w:p w14:paraId="3318D2C6" w14:textId="77777777" w:rsidR="002846D0" w:rsidRPr="002846D0" w:rsidRDefault="002846D0" w:rsidP="002846D0">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2846D0">
        <w:rPr>
          <w:rFonts w:ascii="Times New Roman" w:eastAsia="Times New Roman" w:hAnsi="Times New Roman" w:cs="Times New Roman"/>
          <w:sz w:val="24"/>
          <w:szCs w:val="24"/>
        </w:rPr>
        <w:t>Koudela-</w:t>
      </w:r>
      <w:proofErr w:type="spellStart"/>
      <w:r w:rsidRPr="002846D0">
        <w:rPr>
          <w:rFonts w:ascii="Times New Roman" w:eastAsia="Times New Roman" w:hAnsi="Times New Roman" w:cs="Times New Roman"/>
          <w:sz w:val="24"/>
          <w:szCs w:val="24"/>
        </w:rPr>
        <w:t>Hamila</w:t>
      </w:r>
      <w:proofErr w:type="spellEnd"/>
      <w:r w:rsidRPr="002846D0">
        <w:rPr>
          <w:rFonts w:ascii="Times New Roman" w:eastAsia="Times New Roman" w:hAnsi="Times New Roman" w:cs="Times New Roman"/>
          <w:sz w:val="24"/>
          <w:szCs w:val="24"/>
        </w:rPr>
        <w:t xml:space="preserve">, S. et al., 2022. Academic workload and stress factors. </w:t>
      </w:r>
      <w:r w:rsidRPr="002846D0">
        <w:rPr>
          <w:rFonts w:ascii="Times New Roman" w:eastAsia="Times New Roman" w:hAnsi="Times New Roman" w:cs="Times New Roman"/>
          <w:i/>
          <w:iCs/>
          <w:sz w:val="24"/>
          <w:szCs w:val="24"/>
        </w:rPr>
        <w:t>Journal of Psychophysiology</w:t>
      </w:r>
      <w:r w:rsidRPr="002846D0">
        <w:rPr>
          <w:rFonts w:ascii="Times New Roman" w:eastAsia="Times New Roman" w:hAnsi="Times New Roman" w:cs="Times New Roman"/>
          <w:sz w:val="24"/>
          <w:szCs w:val="24"/>
        </w:rPr>
        <w:t>, 36(3), pp.155–165.</w:t>
      </w:r>
    </w:p>
    <w:p w14:paraId="5A5AB325" w14:textId="77777777" w:rsidR="002846D0" w:rsidRPr="002846D0" w:rsidRDefault="002846D0" w:rsidP="002846D0">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2846D0">
        <w:rPr>
          <w:rFonts w:ascii="Times New Roman" w:eastAsia="Times New Roman" w:hAnsi="Times New Roman" w:cs="Times New Roman"/>
          <w:sz w:val="24"/>
          <w:szCs w:val="24"/>
        </w:rPr>
        <w:t xml:space="preserve">Lai, A.F., Chen, C.H. and Lee, G.Y., 2019. Revisiting lecture content and cognitive load. </w:t>
      </w:r>
      <w:r w:rsidRPr="002846D0">
        <w:rPr>
          <w:rFonts w:ascii="Times New Roman" w:eastAsia="Times New Roman" w:hAnsi="Times New Roman" w:cs="Times New Roman"/>
          <w:i/>
          <w:iCs/>
          <w:sz w:val="24"/>
          <w:szCs w:val="24"/>
        </w:rPr>
        <w:t>British Journal of Educational Technology</w:t>
      </w:r>
      <w:r w:rsidRPr="002846D0">
        <w:rPr>
          <w:rFonts w:ascii="Times New Roman" w:eastAsia="Times New Roman" w:hAnsi="Times New Roman" w:cs="Times New Roman"/>
          <w:sz w:val="24"/>
          <w:szCs w:val="24"/>
        </w:rPr>
        <w:t>, 50(1), pp.232–247.</w:t>
      </w:r>
    </w:p>
    <w:p w14:paraId="64977BA4" w14:textId="77777777" w:rsidR="002846D0" w:rsidRPr="002846D0" w:rsidRDefault="002846D0" w:rsidP="002846D0">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2846D0">
        <w:rPr>
          <w:rFonts w:ascii="Times New Roman" w:eastAsia="Times New Roman" w:hAnsi="Times New Roman" w:cs="Times New Roman"/>
          <w:sz w:val="24"/>
          <w:szCs w:val="24"/>
        </w:rPr>
        <w:t xml:space="preserve">Maawa, P.K.L. and Cruz, R.O.D., 2019. Corrective feedback strategies and student improvement. </w:t>
      </w:r>
      <w:r w:rsidRPr="002846D0">
        <w:rPr>
          <w:rFonts w:ascii="Times New Roman" w:eastAsia="Times New Roman" w:hAnsi="Times New Roman" w:cs="Times New Roman"/>
          <w:i/>
          <w:iCs/>
          <w:sz w:val="24"/>
          <w:szCs w:val="24"/>
        </w:rPr>
        <w:t>International Journal of Language Education</w:t>
      </w:r>
      <w:r w:rsidRPr="002846D0">
        <w:rPr>
          <w:rFonts w:ascii="Times New Roman" w:eastAsia="Times New Roman" w:hAnsi="Times New Roman" w:cs="Times New Roman"/>
          <w:sz w:val="24"/>
          <w:szCs w:val="24"/>
        </w:rPr>
        <w:t>, 3(1), pp.1–11.</w:t>
      </w:r>
    </w:p>
    <w:p w14:paraId="226F1D52" w14:textId="77777777" w:rsidR="002846D0" w:rsidRPr="002846D0" w:rsidRDefault="002846D0" w:rsidP="002846D0">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2846D0">
        <w:rPr>
          <w:rFonts w:ascii="Times New Roman" w:eastAsia="Times New Roman" w:hAnsi="Times New Roman" w:cs="Times New Roman"/>
          <w:sz w:val="24"/>
          <w:szCs w:val="24"/>
        </w:rPr>
        <w:t xml:space="preserve">Marsh, J. and Campion, J., 2018. Academic engagement and referencing skills. </w:t>
      </w:r>
      <w:r w:rsidRPr="002846D0">
        <w:rPr>
          <w:rFonts w:ascii="Times New Roman" w:eastAsia="Times New Roman" w:hAnsi="Times New Roman" w:cs="Times New Roman"/>
          <w:i/>
          <w:iCs/>
          <w:sz w:val="24"/>
          <w:szCs w:val="24"/>
        </w:rPr>
        <w:t>Journal of Academic Language and Learning</w:t>
      </w:r>
      <w:r w:rsidRPr="002846D0">
        <w:rPr>
          <w:rFonts w:ascii="Times New Roman" w:eastAsia="Times New Roman" w:hAnsi="Times New Roman" w:cs="Times New Roman"/>
          <w:sz w:val="24"/>
          <w:szCs w:val="24"/>
        </w:rPr>
        <w:t>, 12(1), pp.A213–A226.</w:t>
      </w:r>
    </w:p>
    <w:p w14:paraId="1BC484FE" w14:textId="77777777" w:rsidR="002846D0" w:rsidRPr="002846D0" w:rsidRDefault="002846D0" w:rsidP="002846D0">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2846D0">
        <w:rPr>
          <w:rFonts w:ascii="Times New Roman" w:eastAsia="Times New Roman" w:hAnsi="Times New Roman" w:cs="Times New Roman"/>
          <w:sz w:val="24"/>
          <w:szCs w:val="24"/>
        </w:rPr>
        <w:t xml:space="preserve">Morgan, S., Davies, A. and Ryan, L., 2025. Structured practice in academic development. </w:t>
      </w:r>
      <w:r w:rsidRPr="002846D0">
        <w:rPr>
          <w:rFonts w:ascii="Times New Roman" w:eastAsia="Times New Roman" w:hAnsi="Times New Roman" w:cs="Times New Roman"/>
          <w:i/>
          <w:iCs/>
          <w:sz w:val="24"/>
          <w:szCs w:val="24"/>
        </w:rPr>
        <w:t>Nurse Education Today</w:t>
      </w:r>
      <w:r w:rsidRPr="002846D0">
        <w:rPr>
          <w:rFonts w:ascii="Times New Roman" w:eastAsia="Times New Roman" w:hAnsi="Times New Roman" w:cs="Times New Roman"/>
          <w:sz w:val="24"/>
          <w:szCs w:val="24"/>
        </w:rPr>
        <w:t>, 125, p.106817.</w:t>
      </w:r>
    </w:p>
    <w:p w14:paraId="5D2ED292" w14:textId="77777777" w:rsidR="002846D0" w:rsidRPr="002846D0" w:rsidRDefault="002846D0" w:rsidP="002846D0">
      <w:pPr>
        <w:numPr>
          <w:ilvl w:val="0"/>
          <w:numId w:val="1"/>
        </w:numPr>
        <w:spacing w:before="100" w:beforeAutospacing="1" w:after="100" w:afterAutospacing="1" w:line="240" w:lineRule="auto"/>
        <w:rPr>
          <w:rFonts w:ascii="Times New Roman" w:eastAsia="Times New Roman" w:hAnsi="Times New Roman" w:cs="Times New Roman"/>
          <w:sz w:val="24"/>
          <w:szCs w:val="24"/>
        </w:rPr>
      </w:pPr>
      <w:proofErr w:type="spellStart"/>
      <w:r w:rsidRPr="002846D0">
        <w:rPr>
          <w:rFonts w:ascii="Times New Roman" w:eastAsia="Times New Roman" w:hAnsi="Times New Roman" w:cs="Times New Roman"/>
          <w:sz w:val="24"/>
          <w:szCs w:val="24"/>
        </w:rPr>
        <w:t>Rafiola</w:t>
      </w:r>
      <w:proofErr w:type="spellEnd"/>
      <w:r w:rsidRPr="002846D0">
        <w:rPr>
          <w:rFonts w:ascii="Times New Roman" w:eastAsia="Times New Roman" w:hAnsi="Times New Roman" w:cs="Times New Roman"/>
          <w:sz w:val="24"/>
          <w:szCs w:val="24"/>
        </w:rPr>
        <w:t xml:space="preserve">, R.H. and Ramli, M., 2018. Peer-supported academic self-efficacy. </w:t>
      </w:r>
      <w:proofErr w:type="spellStart"/>
      <w:r w:rsidRPr="002846D0">
        <w:rPr>
          <w:rFonts w:ascii="Times New Roman" w:eastAsia="Times New Roman" w:hAnsi="Times New Roman" w:cs="Times New Roman"/>
          <w:i/>
          <w:iCs/>
          <w:sz w:val="24"/>
          <w:szCs w:val="24"/>
        </w:rPr>
        <w:t>Guidena</w:t>
      </w:r>
      <w:proofErr w:type="spellEnd"/>
      <w:r w:rsidRPr="002846D0">
        <w:rPr>
          <w:rFonts w:ascii="Times New Roman" w:eastAsia="Times New Roman" w:hAnsi="Times New Roman" w:cs="Times New Roman"/>
          <w:i/>
          <w:iCs/>
          <w:sz w:val="24"/>
          <w:szCs w:val="24"/>
        </w:rPr>
        <w:t xml:space="preserve"> Journal</w:t>
      </w:r>
      <w:r w:rsidRPr="002846D0">
        <w:rPr>
          <w:rFonts w:ascii="Times New Roman" w:eastAsia="Times New Roman" w:hAnsi="Times New Roman" w:cs="Times New Roman"/>
          <w:sz w:val="24"/>
          <w:szCs w:val="24"/>
        </w:rPr>
        <w:t>, 8(1), pp.1–9.</w:t>
      </w:r>
    </w:p>
    <w:p w14:paraId="6851241F" w14:textId="77777777" w:rsidR="002846D0" w:rsidRPr="002846D0" w:rsidRDefault="002846D0" w:rsidP="002846D0">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2846D0">
        <w:rPr>
          <w:rFonts w:ascii="Times New Roman" w:eastAsia="Times New Roman" w:hAnsi="Times New Roman" w:cs="Times New Roman"/>
          <w:sz w:val="24"/>
          <w:szCs w:val="24"/>
        </w:rPr>
        <w:t xml:space="preserve">Weber, J. et al., 2019. Stressors affecting student academic work. </w:t>
      </w:r>
      <w:r w:rsidRPr="002846D0">
        <w:rPr>
          <w:rFonts w:ascii="Times New Roman" w:eastAsia="Times New Roman" w:hAnsi="Times New Roman" w:cs="Times New Roman"/>
          <w:i/>
          <w:iCs/>
          <w:sz w:val="24"/>
          <w:szCs w:val="24"/>
        </w:rPr>
        <w:t>BMC Medical Education</w:t>
      </w:r>
      <w:r w:rsidRPr="002846D0">
        <w:rPr>
          <w:rFonts w:ascii="Times New Roman" w:eastAsia="Times New Roman" w:hAnsi="Times New Roman" w:cs="Times New Roman"/>
          <w:sz w:val="24"/>
          <w:szCs w:val="24"/>
        </w:rPr>
        <w:t>, 19(312), pp.1–10.</w:t>
      </w:r>
    </w:p>
    <w:p w14:paraId="0BE3A77C" w14:textId="77777777" w:rsidR="002846D0" w:rsidRPr="002846D0" w:rsidRDefault="002846D0" w:rsidP="002846D0">
      <w:pPr>
        <w:numPr>
          <w:ilvl w:val="0"/>
          <w:numId w:val="1"/>
        </w:numPr>
        <w:spacing w:before="100" w:beforeAutospacing="1" w:after="100" w:afterAutospacing="1" w:line="240" w:lineRule="auto"/>
        <w:rPr>
          <w:rFonts w:ascii="Times New Roman" w:eastAsia="Times New Roman" w:hAnsi="Times New Roman" w:cs="Times New Roman"/>
          <w:sz w:val="24"/>
          <w:szCs w:val="24"/>
        </w:rPr>
      </w:pPr>
      <w:proofErr w:type="spellStart"/>
      <w:r w:rsidRPr="002846D0">
        <w:rPr>
          <w:rFonts w:ascii="Times New Roman" w:eastAsia="Times New Roman" w:hAnsi="Times New Roman" w:cs="Times New Roman"/>
          <w:sz w:val="24"/>
          <w:szCs w:val="24"/>
        </w:rPr>
        <w:t>Zausa</w:t>
      </w:r>
      <w:proofErr w:type="spellEnd"/>
      <w:r w:rsidRPr="002846D0">
        <w:rPr>
          <w:rFonts w:ascii="Times New Roman" w:eastAsia="Times New Roman" w:hAnsi="Times New Roman" w:cs="Times New Roman"/>
          <w:sz w:val="24"/>
          <w:szCs w:val="24"/>
        </w:rPr>
        <w:t xml:space="preserve">, F. et al., 2018. Digital </w:t>
      </w:r>
      <w:proofErr w:type="spellStart"/>
      <w:r w:rsidRPr="002846D0">
        <w:rPr>
          <w:rFonts w:ascii="Times New Roman" w:eastAsia="Times New Roman" w:hAnsi="Times New Roman" w:cs="Times New Roman"/>
          <w:sz w:val="24"/>
          <w:szCs w:val="24"/>
        </w:rPr>
        <w:t>organisational</w:t>
      </w:r>
      <w:proofErr w:type="spellEnd"/>
      <w:r w:rsidRPr="002846D0">
        <w:rPr>
          <w:rFonts w:ascii="Times New Roman" w:eastAsia="Times New Roman" w:hAnsi="Times New Roman" w:cs="Times New Roman"/>
          <w:sz w:val="24"/>
          <w:szCs w:val="24"/>
        </w:rPr>
        <w:t xml:space="preserve"> tools for performance improvement. </w:t>
      </w:r>
      <w:r w:rsidRPr="002846D0">
        <w:rPr>
          <w:rFonts w:ascii="Times New Roman" w:eastAsia="Times New Roman" w:hAnsi="Times New Roman" w:cs="Times New Roman"/>
          <w:i/>
          <w:iCs/>
          <w:sz w:val="24"/>
          <w:szCs w:val="24"/>
        </w:rPr>
        <w:t>International Petroleum Exhibition and Conference</w:t>
      </w:r>
      <w:r w:rsidRPr="002846D0">
        <w:rPr>
          <w:rFonts w:ascii="Times New Roman" w:eastAsia="Times New Roman" w:hAnsi="Times New Roman" w:cs="Times New Roman"/>
          <w:sz w:val="24"/>
          <w:szCs w:val="24"/>
        </w:rPr>
        <w:t>, pp.1–10.</w:t>
      </w:r>
    </w:p>
    <w:p w14:paraId="379CFAF1" w14:textId="77777777" w:rsidR="002846D0" w:rsidRPr="002846D0" w:rsidRDefault="002846D0" w:rsidP="002846D0">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2846D0">
        <w:rPr>
          <w:rFonts w:ascii="Times New Roman" w:eastAsia="Times New Roman" w:hAnsi="Times New Roman" w:cs="Times New Roman"/>
          <w:sz w:val="24"/>
          <w:szCs w:val="24"/>
        </w:rPr>
        <w:t xml:space="preserve">Zhang, M. et al., 2017. Managing digital workload effectively. </w:t>
      </w:r>
      <w:r w:rsidRPr="002846D0">
        <w:rPr>
          <w:rFonts w:ascii="Times New Roman" w:eastAsia="Times New Roman" w:hAnsi="Times New Roman" w:cs="Times New Roman"/>
          <w:i/>
          <w:iCs/>
          <w:sz w:val="24"/>
          <w:szCs w:val="24"/>
        </w:rPr>
        <w:t>IEEE Transactions on Knowledge and Data Engineering</w:t>
      </w:r>
      <w:r w:rsidRPr="002846D0">
        <w:rPr>
          <w:rFonts w:ascii="Times New Roman" w:eastAsia="Times New Roman" w:hAnsi="Times New Roman" w:cs="Times New Roman"/>
          <w:sz w:val="24"/>
          <w:szCs w:val="24"/>
        </w:rPr>
        <w:t>, 30(7), pp.1386–1402.</w:t>
      </w:r>
    </w:p>
    <w:p w14:paraId="1C53C08D" w14:textId="77777777" w:rsidR="002846D0" w:rsidRPr="002846D0" w:rsidRDefault="002846D0" w:rsidP="002846D0">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2846D0">
        <w:rPr>
          <w:rFonts w:ascii="Times New Roman" w:eastAsia="Times New Roman" w:hAnsi="Times New Roman" w:cs="Times New Roman"/>
          <w:sz w:val="24"/>
          <w:szCs w:val="24"/>
        </w:rPr>
        <w:t xml:space="preserve">Biggs, J., 2019. </w:t>
      </w:r>
      <w:r w:rsidRPr="002846D0">
        <w:rPr>
          <w:rFonts w:ascii="Times New Roman" w:eastAsia="Times New Roman" w:hAnsi="Times New Roman" w:cs="Times New Roman"/>
          <w:i/>
          <w:iCs/>
          <w:sz w:val="24"/>
          <w:szCs w:val="24"/>
        </w:rPr>
        <w:t>Teaching for Quality Learning at University</w:t>
      </w:r>
      <w:r w:rsidRPr="002846D0">
        <w:rPr>
          <w:rFonts w:ascii="Times New Roman" w:eastAsia="Times New Roman" w:hAnsi="Times New Roman" w:cs="Times New Roman"/>
          <w:sz w:val="24"/>
          <w:szCs w:val="24"/>
        </w:rPr>
        <w:t>. 5th ed. Maidenhead: McGraw-Hill Education.</w:t>
      </w:r>
    </w:p>
    <w:p w14:paraId="540EA242" w14:textId="77777777" w:rsidR="002846D0" w:rsidRPr="002846D0" w:rsidRDefault="002846D0" w:rsidP="002846D0">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2846D0">
        <w:rPr>
          <w:rFonts w:ascii="Times New Roman" w:eastAsia="Times New Roman" w:hAnsi="Times New Roman" w:cs="Times New Roman"/>
          <w:sz w:val="24"/>
          <w:szCs w:val="24"/>
        </w:rPr>
        <w:t xml:space="preserve">Entwistle, N., 2020. </w:t>
      </w:r>
      <w:r w:rsidRPr="002846D0">
        <w:rPr>
          <w:rFonts w:ascii="Times New Roman" w:eastAsia="Times New Roman" w:hAnsi="Times New Roman" w:cs="Times New Roman"/>
          <w:i/>
          <w:iCs/>
          <w:sz w:val="24"/>
          <w:szCs w:val="24"/>
        </w:rPr>
        <w:t>Student Learning and Academic Success: Approaches to Learning</w:t>
      </w:r>
      <w:r w:rsidRPr="002846D0">
        <w:rPr>
          <w:rFonts w:ascii="Times New Roman" w:eastAsia="Times New Roman" w:hAnsi="Times New Roman" w:cs="Times New Roman"/>
          <w:sz w:val="24"/>
          <w:szCs w:val="24"/>
        </w:rPr>
        <w:t>. London: Routledge.</w:t>
      </w:r>
    </w:p>
    <w:p w14:paraId="5073B14A" w14:textId="77777777" w:rsidR="002846D0" w:rsidRPr="002846D0" w:rsidRDefault="002846D0" w:rsidP="002846D0">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2846D0">
        <w:rPr>
          <w:rFonts w:ascii="Times New Roman" w:eastAsia="Times New Roman" w:hAnsi="Times New Roman" w:cs="Times New Roman"/>
          <w:sz w:val="24"/>
          <w:szCs w:val="24"/>
        </w:rPr>
        <w:t xml:space="preserve">Topping, K.J., 2017. Peer assessment and collaborative learning. </w:t>
      </w:r>
      <w:r w:rsidRPr="002846D0">
        <w:rPr>
          <w:rFonts w:ascii="Times New Roman" w:eastAsia="Times New Roman" w:hAnsi="Times New Roman" w:cs="Times New Roman"/>
          <w:i/>
          <w:iCs/>
          <w:sz w:val="24"/>
          <w:szCs w:val="24"/>
        </w:rPr>
        <w:t>Assessment &amp; Evaluation in Higher Education</w:t>
      </w:r>
      <w:r w:rsidRPr="002846D0">
        <w:rPr>
          <w:rFonts w:ascii="Times New Roman" w:eastAsia="Times New Roman" w:hAnsi="Times New Roman" w:cs="Times New Roman"/>
          <w:sz w:val="24"/>
          <w:szCs w:val="24"/>
        </w:rPr>
        <w:t>, 42(7), pp.1024–1037.</w:t>
      </w:r>
    </w:p>
    <w:p w14:paraId="016552A2" w14:textId="77777777" w:rsidR="002846D0" w:rsidRPr="002846D0" w:rsidRDefault="002846D0" w:rsidP="00290603">
      <w:pPr>
        <w:rPr>
          <w:b/>
          <w:sz w:val="28"/>
        </w:rPr>
      </w:pPr>
    </w:p>
    <w:sectPr w:rsidR="002846D0" w:rsidRPr="002846D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F82BB9" w14:textId="77777777" w:rsidR="00FF504E" w:rsidRDefault="00FF504E" w:rsidP="00A30608">
      <w:pPr>
        <w:spacing w:after="0" w:line="240" w:lineRule="auto"/>
      </w:pPr>
      <w:r>
        <w:separator/>
      </w:r>
    </w:p>
  </w:endnote>
  <w:endnote w:type="continuationSeparator" w:id="0">
    <w:p w14:paraId="02E419D3" w14:textId="77777777" w:rsidR="00FF504E" w:rsidRDefault="00FF504E" w:rsidP="00A30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F8E86F" w14:textId="77777777" w:rsidR="00FF504E" w:rsidRDefault="00FF504E" w:rsidP="00A30608">
      <w:pPr>
        <w:spacing w:after="0" w:line="240" w:lineRule="auto"/>
      </w:pPr>
      <w:r>
        <w:separator/>
      </w:r>
    </w:p>
  </w:footnote>
  <w:footnote w:type="continuationSeparator" w:id="0">
    <w:p w14:paraId="4ADF0856" w14:textId="77777777" w:rsidR="00FF504E" w:rsidRDefault="00FF504E" w:rsidP="00A30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F22FBF"/>
    <w:multiLevelType w:val="multilevel"/>
    <w:tmpl w:val="C18465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66073F9"/>
    <w:multiLevelType w:val="hybridMultilevel"/>
    <w:tmpl w:val="C972B3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65603722">
    <w:abstractNumId w:val="0"/>
  </w:num>
  <w:num w:numId="2" w16cid:durableId="2197507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0603"/>
    <w:rsid w:val="000421AA"/>
    <w:rsid w:val="00071EE1"/>
    <w:rsid w:val="000E44C7"/>
    <w:rsid w:val="00186C50"/>
    <w:rsid w:val="001F6723"/>
    <w:rsid w:val="002506ED"/>
    <w:rsid w:val="002846D0"/>
    <w:rsid w:val="00290603"/>
    <w:rsid w:val="00322B9E"/>
    <w:rsid w:val="003608D7"/>
    <w:rsid w:val="0038465D"/>
    <w:rsid w:val="004638C3"/>
    <w:rsid w:val="004A0573"/>
    <w:rsid w:val="004D7302"/>
    <w:rsid w:val="00644F45"/>
    <w:rsid w:val="007344BE"/>
    <w:rsid w:val="0093075F"/>
    <w:rsid w:val="00986DEA"/>
    <w:rsid w:val="00A17827"/>
    <w:rsid w:val="00A30608"/>
    <w:rsid w:val="00AB5452"/>
    <w:rsid w:val="00AC5D55"/>
    <w:rsid w:val="00AF269A"/>
    <w:rsid w:val="00B4293C"/>
    <w:rsid w:val="00B43B21"/>
    <w:rsid w:val="00D34409"/>
    <w:rsid w:val="00E20EFA"/>
    <w:rsid w:val="00F2638F"/>
    <w:rsid w:val="00FA1274"/>
    <w:rsid w:val="00FF50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515D5"/>
  <w15:chartTrackingRefBased/>
  <w15:docId w15:val="{B94681C7-3E2D-4757-8CE3-E6C3051B17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060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90603"/>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846D0"/>
    <w:rPr>
      <w:i/>
      <w:iCs/>
    </w:rPr>
  </w:style>
  <w:style w:type="paragraph" w:styleId="Header">
    <w:name w:val="header"/>
    <w:basedOn w:val="Normal"/>
    <w:link w:val="HeaderChar"/>
    <w:uiPriority w:val="99"/>
    <w:unhideWhenUsed/>
    <w:rsid w:val="00A30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0608"/>
  </w:style>
  <w:style w:type="paragraph" w:styleId="Footer">
    <w:name w:val="footer"/>
    <w:basedOn w:val="Normal"/>
    <w:link w:val="FooterChar"/>
    <w:uiPriority w:val="99"/>
    <w:unhideWhenUsed/>
    <w:rsid w:val="00A30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06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0128358">
      <w:bodyDiv w:val="1"/>
      <w:marLeft w:val="0"/>
      <w:marRight w:val="0"/>
      <w:marTop w:val="0"/>
      <w:marBottom w:val="0"/>
      <w:divBdr>
        <w:top w:val="none" w:sz="0" w:space="0" w:color="auto"/>
        <w:left w:val="none" w:sz="0" w:space="0" w:color="auto"/>
        <w:bottom w:val="none" w:sz="0" w:space="0" w:color="auto"/>
        <w:right w:val="none" w:sz="0" w:space="0" w:color="auto"/>
      </w:divBdr>
    </w:div>
    <w:div w:id="2125344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8EB34B-F81B-43C6-8091-2BA00594EF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6</Pages>
  <Words>2175</Words>
  <Characters>12401</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Ebrima Njie</cp:lastModifiedBy>
  <cp:revision>2</cp:revision>
  <dcterms:created xsi:type="dcterms:W3CDTF">2025-12-12T18:17:00Z</dcterms:created>
  <dcterms:modified xsi:type="dcterms:W3CDTF">2025-12-12T18:17:00Z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5a876bb3-bdd5-4e8c-8aa9-d5cf5d248196</vt:lpwstr>
  </property>
</Properties>
</file>