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49344" w14:textId="77777777" w:rsidR="005127ED" w:rsidRPr="002B320B" w:rsidRDefault="005127ED" w:rsidP="002B320B">
      <w:pPr>
        <w:pStyle w:val="Title"/>
        <w:jc w:val="center"/>
        <w:rPr>
          <w:sz w:val="28"/>
          <w:szCs w:val="28"/>
          <w:lang w:val="en-GB"/>
        </w:rPr>
      </w:pPr>
      <w:r w:rsidRPr="002B320B">
        <w:rPr>
          <w:noProof/>
          <w:sz w:val="28"/>
          <w:szCs w:val="28"/>
          <w:lang w:val="en-GB"/>
        </w:rPr>
        <w:drawing>
          <wp:inline distT="114300" distB="114300" distL="114300" distR="114300" wp14:anchorId="6B61A456" wp14:editId="1BEA69A9">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52526122" w14:textId="77777777" w:rsidR="005127ED" w:rsidRPr="002B320B" w:rsidRDefault="005127ED" w:rsidP="002B320B">
      <w:pPr>
        <w:pStyle w:val="Title"/>
        <w:jc w:val="center"/>
        <w:rPr>
          <w:sz w:val="28"/>
          <w:szCs w:val="28"/>
          <w:lang w:val="en-GB"/>
        </w:rPr>
      </w:pPr>
      <w:r w:rsidRPr="002B320B">
        <w:rPr>
          <w:sz w:val="28"/>
          <w:szCs w:val="28"/>
          <w:lang w:val="en-GB"/>
        </w:rPr>
        <w:t>MSc Public Health and Social Care in Practice</w:t>
      </w:r>
    </w:p>
    <w:p w14:paraId="3D652F7E" w14:textId="77777777" w:rsidR="005127ED" w:rsidRPr="002B320B" w:rsidRDefault="005127ED" w:rsidP="002B320B">
      <w:pPr>
        <w:pStyle w:val="Title"/>
        <w:jc w:val="center"/>
        <w:rPr>
          <w:sz w:val="28"/>
          <w:szCs w:val="28"/>
          <w:lang w:val="en-GB"/>
        </w:rPr>
      </w:pPr>
      <w:r w:rsidRPr="002B320B">
        <w:rPr>
          <w:sz w:val="28"/>
          <w:szCs w:val="28"/>
          <w:lang w:val="en-GB"/>
        </w:rPr>
        <w:t>Quality Assurance and Service Improvements (LCHS7006)</w:t>
      </w:r>
    </w:p>
    <w:p w14:paraId="6DDBBBF4" w14:textId="77777777" w:rsidR="005127ED" w:rsidRPr="002B320B" w:rsidRDefault="005127ED" w:rsidP="002B320B">
      <w:pPr>
        <w:pStyle w:val="Title"/>
        <w:jc w:val="center"/>
        <w:rPr>
          <w:sz w:val="28"/>
          <w:szCs w:val="28"/>
          <w:lang w:val="en-GB"/>
        </w:rPr>
      </w:pPr>
      <w:r w:rsidRPr="002B320B">
        <w:rPr>
          <w:sz w:val="28"/>
          <w:szCs w:val="28"/>
          <w:lang w:val="en-GB"/>
        </w:rPr>
        <w:t>Assessment COMPONENT 2 SERVICE IMPROVEMENT REPORT</w:t>
      </w:r>
    </w:p>
    <w:p w14:paraId="21C66EE9" w14:textId="7D2D239B" w:rsidR="005127ED" w:rsidRPr="002B320B" w:rsidRDefault="005127ED" w:rsidP="002B320B">
      <w:pPr>
        <w:pStyle w:val="Title"/>
        <w:jc w:val="center"/>
        <w:rPr>
          <w:sz w:val="28"/>
          <w:szCs w:val="28"/>
          <w:lang w:val="en-GB"/>
        </w:rPr>
      </w:pPr>
      <w:r w:rsidRPr="002B320B">
        <w:rPr>
          <w:sz w:val="28"/>
          <w:szCs w:val="28"/>
          <w:lang w:val="en-GB"/>
        </w:rPr>
        <w:t>Student Name-</w:t>
      </w:r>
      <w:r w:rsidR="00272B48">
        <w:rPr>
          <w:sz w:val="28"/>
          <w:szCs w:val="28"/>
          <w:lang w:val="en-GB"/>
        </w:rPr>
        <w:t xml:space="preserve"> </w:t>
      </w:r>
      <w:proofErr w:type="spellStart"/>
      <w:r w:rsidR="00272B48">
        <w:rPr>
          <w:sz w:val="28"/>
          <w:szCs w:val="28"/>
          <w:lang w:val="en-GB"/>
        </w:rPr>
        <w:t>Krish</w:t>
      </w:r>
      <w:proofErr w:type="spellEnd"/>
      <w:r w:rsidR="00272B48">
        <w:rPr>
          <w:sz w:val="28"/>
          <w:szCs w:val="28"/>
          <w:lang w:val="en-GB"/>
        </w:rPr>
        <w:t xml:space="preserve"> Patel</w:t>
      </w:r>
    </w:p>
    <w:p w14:paraId="5499B071" w14:textId="08FF1228" w:rsidR="005127ED" w:rsidRPr="002B320B" w:rsidRDefault="005127ED" w:rsidP="002B320B">
      <w:pPr>
        <w:pStyle w:val="Title"/>
        <w:jc w:val="center"/>
        <w:rPr>
          <w:sz w:val="28"/>
          <w:szCs w:val="28"/>
          <w:lang w:val="en-GB"/>
        </w:rPr>
      </w:pPr>
      <w:r w:rsidRPr="002B320B">
        <w:rPr>
          <w:sz w:val="28"/>
          <w:szCs w:val="28"/>
          <w:lang w:val="en-GB"/>
        </w:rPr>
        <w:t>Student ID-</w:t>
      </w:r>
      <w:r w:rsidR="00272B48">
        <w:rPr>
          <w:sz w:val="28"/>
          <w:szCs w:val="28"/>
          <w:lang w:val="en-GB"/>
        </w:rPr>
        <w:t xml:space="preserve"> 2426744</w:t>
      </w:r>
    </w:p>
    <w:p w14:paraId="2712CA0D" w14:textId="77145C91" w:rsidR="005127ED" w:rsidRPr="002B320B" w:rsidRDefault="005127ED" w:rsidP="002B320B">
      <w:pPr>
        <w:pStyle w:val="Title"/>
        <w:jc w:val="center"/>
        <w:rPr>
          <w:sz w:val="28"/>
          <w:szCs w:val="28"/>
          <w:lang w:val="en-GB"/>
        </w:rPr>
      </w:pPr>
      <w:r w:rsidRPr="002B320B">
        <w:rPr>
          <w:sz w:val="28"/>
          <w:szCs w:val="28"/>
          <w:lang w:val="en-GB"/>
        </w:rPr>
        <w:t>Lecturer Name-</w:t>
      </w:r>
      <w:r w:rsidR="001A25EF">
        <w:rPr>
          <w:sz w:val="28"/>
          <w:szCs w:val="28"/>
          <w:lang w:val="en-GB"/>
        </w:rPr>
        <w:t xml:space="preserve"> Dr Fahad Khan </w:t>
      </w:r>
    </w:p>
    <w:p w14:paraId="6120C4DA" w14:textId="6AFCF42A" w:rsidR="005127ED" w:rsidRPr="002B320B" w:rsidRDefault="005127ED" w:rsidP="00D37D53">
      <w:pPr>
        <w:pStyle w:val="Title"/>
        <w:jc w:val="center"/>
        <w:rPr>
          <w:sz w:val="28"/>
          <w:szCs w:val="28"/>
          <w:lang w:val="en-GB"/>
        </w:rPr>
      </w:pPr>
      <w:r w:rsidRPr="002B320B">
        <w:rPr>
          <w:sz w:val="28"/>
          <w:szCs w:val="28"/>
          <w:lang w:val="en-GB"/>
        </w:rPr>
        <w:t>Word Count – 3300</w:t>
      </w:r>
    </w:p>
    <w:p w14:paraId="412CB67D" w14:textId="77777777" w:rsidR="005127ED" w:rsidRPr="00130A34" w:rsidRDefault="005127ED" w:rsidP="00130A34">
      <w:pPr>
        <w:spacing w:before="240" w:after="240" w:line="360" w:lineRule="auto"/>
        <w:jc w:val="both"/>
        <w:rPr>
          <w:rFonts w:eastAsia="Times New Roman"/>
          <w:b/>
          <w:bCs/>
          <w:lang w:val="en-GB"/>
        </w:rPr>
      </w:pPr>
      <w:r w:rsidRPr="00130A34">
        <w:rPr>
          <w:rFonts w:eastAsia="Times New Roman"/>
          <w:b/>
          <w:bCs/>
          <w:lang w:val="en-GB"/>
        </w:rPr>
        <w:br w:type="page"/>
      </w:r>
    </w:p>
    <w:sdt>
      <w:sdtPr>
        <w:rPr>
          <w:rFonts w:ascii="Arial" w:eastAsia="Arial" w:hAnsi="Arial" w:cs="Arial"/>
          <w:color w:val="auto"/>
          <w:sz w:val="22"/>
          <w:szCs w:val="22"/>
          <w:lang w:val="en-GB" w:eastAsia="en-IN"/>
        </w:rPr>
        <w:id w:val="322166089"/>
        <w:docPartObj>
          <w:docPartGallery w:val="Table of Contents"/>
          <w:docPartUnique/>
        </w:docPartObj>
      </w:sdtPr>
      <w:sdtEndPr>
        <w:rPr>
          <w:b/>
          <w:bCs/>
          <w:noProof/>
        </w:rPr>
      </w:sdtEndPr>
      <w:sdtContent>
        <w:p w14:paraId="5014128C" w14:textId="2E5B8F6C" w:rsidR="00794EC0" w:rsidRPr="0010130D" w:rsidRDefault="00794EC0" w:rsidP="00130A34">
          <w:pPr>
            <w:pStyle w:val="TOCHeading"/>
            <w:spacing w:after="240" w:line="360" w:lineRule="auto"/>
            <w:jc w:val="both"/>
            <w:rPr>
              <w:rFonts w:ascii="Arial" w:hAnsi="Arial" w:cs="Arial"/>
              <w:b/>
              <w:bCs/>
              <w:color w:val="000000" w:themeColor="text1"/>
              <w:sz w:val="22"/>
              <w:szCs w:val="22"/>
              <w:lang w:val="en-GB"/>
            </w:rPr>
          </w:pPr>
          <w:r w:rsidRPr="0010130D">
            <w:rPr>
              <w:rFonts w:ascii="Arial" w:hAnsi="Arial" w:cs="Arial"/>
              <w:b/>
              <w:bCs/>
              <w:color w:val="000000" w:themeColor="text1"/>
              <w:sz w:val="22"/>
              <w:szCs w:val="22"/>
              <w:lang w:val="en-GB"/>
            </w:rPr>
            <w:t>Table of Contents</w:t>
          </w:r>
        </w:p>
        <w:p w14:paraId="707EAF55" w14:textId="222359F4" w:rsidR="00BB3215" w:rsidRPr="0010130D" w:rsidRDefault="00794EC0">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r w:rsidRPr="0010130D">
            <w:rPr>
              <w:color w:val="000000" w:themeColor="text1"/>
              <w:lang w:val="en-GB"/>
            </w:rPr>
            <w:fldChar w:fldCharType="begin"/>
          </w:r>
          <w:r w:rsidRPr="0010130D">
            <w:rPr>
              <w:color w:val="000000" w:themeColor="text1"/>
              <w:lang w:val="en-GB"/>
            </w:rPr>
            <w:instrText xml:space="preserve"> TOC \o "1-3" \h \z \u </w:instrText>
          </w:r>
          <w:r w:rsidRPr="0010130D">
            <w:rPr>
              <w:color w:val="000000" w:themeColor="text1"/>
              <w:lang w:val="en-GB"/>
            </w:rPr>
            <w:fldChar w:fldCharType="separate"/>
          </w:r>
          <w:hyperlink w:anchor="_Toc226026738" w:history="1">
            <w:r w:rsidR="00BB3215" w:rsidRPr="0010130D">
              <w:rPr>
                <w:rStyle w:val="Hyperlink"/>
                <w:noProof/>
                <w:color w:val="000000" w:themeColor="text1"/>
                <w:lang w:val="en-GB"/>
              </w:rPr>
              <w:t>1. Introduction</w:t>
            </w:r>
            <w:r w:rsidR="00BB3215" w:rsidRPr="0010130D">
              <w:rPr>
                <w:noProof/>
                <w:webHidden/>
                <w:color w:val="000000" w:themeColor="text1"/>
              </w:rPr>
              <w:tab/>
            </w:r>
            <w:r w:rsidR="00BB3215" w:rsidRPr="0010130D">
              <w:rPr>
                <w:noProof/>
                <w:webHidden/>
                <w:color w:val="000000" w:themeColor="text1"/>
              </w:rPr>
              <w:fldChar w:fldCharType="begin"/>
            </w:r>
            <w:r w:rsidR="00BB3215" w:rsidRPr="0010130D">
              <w:rPr>
                <w:noProof/>
                <w:webHidden/>
                <w:color w:val="000000" w:themeColor="text1"/>
              </w:rPr>
              <w:instrText xml:space="preserve"> PAGEREF _Toc226026738 \h </w:instrText>
            </w:r>
            <w:r w:rsidR="00BB3215" w:rsidRPr="0010130D">
              <w:rPr>
                <w:noProof/>
                <w:webHidden/>
                <w:color w:val="000000" w:themeColor="text1"/>
              </w:rPr>
            </w:r>
            <w:r w:rsidR="00BB3215" w:rsidRPr="0010130D">
              <w:rPr>
                <w:noProof/>
                <w:webHidden/>
                <w:color w:val="000000" w:themeColor="text1"/>
              </w:rPr>
              <w:fldChar w:fldCharType="separate"/>
            </w:r>
            <w:r w:rsidR="00BB3215" w:rsidRPr="0010130D">
              <w:rPr>
                <w:noProof/>
                <w:webHidden/>
                <w:color w:val="000000" w:themeColor="text1"/>
              </w:rPr>
              <w:t>3</w:t>
            </w:r>
            <w:r w:rsidR="00BB3215" w:rsidRPr="0010130D">
              <w:rPr>
                <w:noProof/>
                <w:webHidden/>
                <w:color w:val="000000" w:themeColor="text1"/>
              </w:rPr>
              <w:fldChar w:fldCharType="end"/>
            </w:r>
          </w:hyperlink>
        </w:p>
        <w:p w14:paraId="47193422" w14:textId="19E3C14E" w:rsidR="00BB3215" w:rsidRPr="0010130D" w:rsidRDefault="00BB3215">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39" w:history="1">
            <w:r w:rsidRPr="0010130D">
              <w:rPr>
                <w:rStyle w:val="Hyperlink"/>
                <w:noProof/>
                <w:color w:val="000000" w:themeColor="text1"/>
                <w:lang w:val="en-GB"/>
              </w:rPr>
              <w:t>2. Main Body</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_Toc226026739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4</w:t>
            </w:r>
            <w:r w:rsidRPr="0010130D">
              <w:rPr>
                <w:noProof/>
                <w:webHidden/>
                <w:color w:val="000000" w:themeColor="text1"/>
              </w:rPr>
              <w:fldChar w:fldCharType="end"/>
            </w:r>
          </w:hyperlink>
        </w:p>
        <w:p w14:paraId="2CF1D7B1" w14:textId="0C95FFE1"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0" w:history="1">
            <w:r w:rsidRPr="0010130D">
              <w:rPr>
                <w:rStyle w:val="Hyperlink"/>
                <w:noProof/>
                <w:color w:val="000000" w:themeColor="text1"/>
                <w:lang w:val="en-GB"/>
              </w:rPr>
              <w:t>2.1 Donabedian Model</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_Toc226026740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4</w:t>
            </w:r>
            <w:r w:rsidRPr="0010130D">
              <w:rPr>
                <w:noProof/>
                <w:webHidden/>
                <w:color w:val="000000" w:themeColor="text1"/>
              </w:rPr>
              <w:fldChar w:fldCharType="end"/>
            </w:r>
          </w:hyperlink>
        </w:p>
        <w:p w14:paraId="54EC64E3" w14:textId="42545DB1"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1" w:history="1">
            <w:r w:rsidRPr="0010130D">
              <w:rPr>
                <w:rStyle w:val="Hyperlink"/>
                <w:noProof/>
                <w:color w:val="000000" w:themeColor="text1"/>
                <w:lang w:val="en-GB"/>
              </w:rPr>
              <w:t>2.2 Fishbone Diagram</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_Toc226026741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5</w:t>
            </w:r>
            <w:r w:rsidRPr="0010130D">
              <w:rPr>
                <w:noProof/>
                <w:webHidden/>
                <w:color w:val="000000" w:themeColor="text1"/>
              </w:rPr>
              <w:fldChar w:fldCharType="end"/>
            </w:r>
          </w:hyperlink>
        </w:p>
        <w:p w14:paraId="0BE72C2A" w14:textId="0F5B2934"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2" w:history="1">
            <w:r w:rsidRPr="0010130D">
              <w:rPr>
                <w:rStyle w:val="Hyperlink"/>
                <w:noProof/>
                <w:color w:val="000000" w:themeColor="text1"/>
                <w:lang w:val="en-GB"/>
              </w:rPr>
              <w:t>2.3 SWOT Analysis</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_Toc226026742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7</w:t>
            </w:r>
            <w:r w:rsidRPr="0010130D">
              <w:rPr>
                <w:noProof/>
                <w:webHidden/>
                <w:color w:val="000000" w:themeColor="text1"/>
              </w:rPr>
              <w:fldChar w:fldCharType="end"/>
            </w:r>
          </w:hyperlink>
        </w:p>
        <w:p w14:paraId="3E95F69D" w14:textId="70049437"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3" w:history="1">
            <w:r w:rsidRPr="0010130D">
              <w:rPr>
                <w:rStyle w:val="Hyperlink"/>
                <w:noProof/>
                <w:color w:val="000000" w:themeColor="text1"/>
                <w:lang w:val="en-GB"/>
              </w:rPr>
              <w:t>2.4 PDSA Model</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_Toc226026743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10</w:t>
            </w:r>
            <w:r w:rsidRPr="0010130D">
              <w:rPr>
                <w:noProof/>
                <w:webHidden/>
                <w:color w:val="000000" w:themeColor="text1"/>
              </w:rPr>
              <w:fldChar w:fldCharType="end"/>
            </w:r>
          </w:hyperlink>
        </w:p>
        <w:p w14:paraId="1A22B716" w14:textId="55244D23"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4" w:history="1">
            <w:r w:rsidRPr="0010130D">
              <w:rPr>
                <w:rStyle w:val="Hyperlink"/>
                <w:noProof/>
                <w:color w:val="000000" w:themeColor="text1"/>
                <w:lang w:val="en-GB"/>
              </w:rPr>
              <w:t>2.5 Kotter’s change model</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_Toc226026744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12</w:t>
            </w:r>
            <w:r w:rsidRPr="0010130D">
              <w:rPr>
                <w:noProof/>
                <w:webHidden/>
                <w:color w:val="000000" w:themeColor="text1"/>
              </w:rPr>
              <w:fldChar w:fldCharType="end"/>
            </w:r>
          </w:hyperlink>
        </w:p>
        <w:p w14:paraId="40D6767F" w14:textId="3B47B31E" w:rsidR="00BB3215" w:rsidRPr="0010130D" w:rsidRDefault="00BB3215">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5" w:history="1">
            <w:r w:rsidRPr="0010130D">
              <w:rPr>
                <w:rStyle w:val="Hyperlink"/>
                <w:noProof/>
                <w:color w:val="000000" w:themeColor="text1"/>
                <w:lang w:val="en-GB"/>
              </w:rPr>
              <w:t>3. Recommendations</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_Toc226026745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13</w:t>
            </w:r>
            <w:r w:rsidRPr="0010130D">
              <w:rPr>
                <w:noProof/>
                <w:webHidden/>
                <w:color w:val="000000" w:themeColor="text1"/>
              </w:rPr>
              <w:fldChar w:fldCharType="end"/>
            </w:r>
          </w:hyperlink>
        </w:p>
        <w:p w14:paraId="7E8CC61E" w14:textId="0B82A121" w:rsidR="00BB3215" w:rsidRPr="0010130D" w:rsidRDefault="00BB3215">
          <w:pPr>
            <w:pStyle w:val="TOC2"/>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6" w:history="1">
            <w:r w:rsidRPr="0010130D">
              <w:rPr>
                <w:rStyle w:val="Hyperlink"/>
                <w:noProof/>
                <w:color w:val="000000" w:themeColor="text1"/>
                <w:lang w:val="en-GB"/>
              </w:rPr>
              <w:t>3.1 Benchmark Table</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_Toc226026746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13</w:t>
            </w:r>
            <w:r w:rsidRPr="0010130D">
              <w:rPr>
                <w:noProof/>
                <w:webHidden/>
                <w:color w:val="000000" w:themeColor="text1"/>
              </w:rPr>
              <w:fldChar w:fldCharType="end"/>
            </w:r>
          </w:hyperlink>
        </w:p>
        <w:p w14:paraId="799960E2" w14:textId="277BCC07" w:rsidR="00BB3215" w:rsidRPr="0010130D" w:rsidRDefault="00BB3215">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7" w:history="1">
            <w:r w:rsidRPr="0010130D">
              <w:rPr>
                <w:rStyle w:val="Hyperlink"/>
                <w:noProof/>
                <w:color w:val="000000" w:themeColor="text1"/>
                <w:lang w:val="en-GB"/>
              </w:rPr>
              <w:t>4. Conclusion</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_Toc226026747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16</w:t>
            </w:r>
            <w:r w:rsidRPr="0010130D">
              <w:rPr>
                <w:noProof/>
                <w:webHidden/>
                <w:color w:val="000000" w:themeColor="text1"/>
              </w:rPr>
              <w:fldChar w:fldCharType="end"/>
            </w:r>
          </w:hyperlink>
        </w:p>
        <w:p w14:paraId="0C26C533" w14:textId="14A8EE7D" w:rsidR="00BB3215" w:rsidRPr="0010130D" w:rsidRDefault="00BB3215">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6026748" w:history="1">
            <w:r w:rsidRPr="0010130D">
              <w:rPr>
                <w:rStyle w:val="Hyperlink"/>
                <w:noProof/>
                <w:color w:val="000000" w:themeColor="text1"/>
                <w:lang w:val="en-GB"/>
              </w:rPr>
              <w:t>References</w:t>
            </w:r>
            <w:r w:rsidRPr="0010130D">
              <w:rPr>
                <w:noProof/>
                <w:webHidden/>
                <w:color w:val="000000" w:themeColor="text1"/>
              </w:rPr>
              <w:tab/>
            </w:r>
            <w:r w:rsidRPr="0010130D">
              <w:rPr>
                <w:noProof/>
                <w:webHidden/>
                <w:color w:val="000000" w:themeColor="text1"/>
              </w:rPr>
              <w:fldChar w:fldCharType="begin"/>
            </w:r>
            <w:r w:rsidRPr="0010130D">
              <w:rPr>
                <w:noProof/>
                <w:webHidden/>
                <w:color w:val="000000" w:themeColor="text1"/>
              </w:rPr>
              <w:instrText xml:space="preserve"> PAGEREF _Toc226026748 \h </w:instrText>
            </w:r>
            <w:r w:rsidRPr="0010130D">
              <w:rPr>
                <w:noProof/>
                <w:webHidden/>
                <w:color w:val="000000" w:themeColor="text1"/>
              </w:rPr>
            </w:r>
            <w:r w:rsidRPr="0010130D">
              <w:rPr>
                <w:noProof/>
                <w:webHidden/>
                <w:color w:val="000000" w:themeColor="text1"/>
              </w:rPr>
              <w:fldChar w:fldCharType="separate"/>
            </w:r>
            <w:r w:rsidRPr="0010130D">
              <w:rPr>
                <w:noProof/>
                <w:webHidden/>
                <w:color w:val="000000" w:themeColor="text1"/>
              </w:rPr>
              <w:t>17</w:t>
            </w:r>
            <w:r w:rsidRPr="0010130D">
              <w:rPr>
                <w:noProof/>
                <w:webHidden/>
                <w:color w:val="000000" w:themeColor="text1"/>
              </w:rPr>
              <w:fldChar w:fldCharType="end"/>
            </w:r>
          </w:hyperlink>
        </w:p>
        <w:p w14:paraId="2D1861D9" w14:textId="4667FC2F" w:rsidR="00794EC0" w:rsidRPr="00130A34" w:rsidRDefault="00794EC0" w:rsidP="00130A34">
          <w:pPr>
            <w:spacing w:before="240" w:after="240" w:line="360" w:lineRule="auto"/>
            <w:jc w:val="both"/>
            <w:rPr>
              <w:lang w:val="en-GB"/>
            </w:rPr>
          </w:pPr>
          <w:r w:rsidRPr="0010130D">
            <w:rPr>
              <w:b/>
              <w:bCs/>
              <w:noProof/>
              <w:color w:val="000000" w:themeColor="text1"/>
              <w:lang w:val="en-GB"/>
            </w:rPr>
            <w:fldChar w:fldCharType="end"/>
          </w:r>
        </w:p>
      </w:sdtContent>
    </w:sdt>
    <w:p w14:paraId="1FA926B6" w14:textId="106863A0" w:rsidR="00E246E7" w:rsidRPr="00130A34" w:rsidRDefault="000F75ED" w:rsidP="00130A34">
      <w:pPr>
        <w:spacing w:before="240" w:after="240" w:line="360" w:lineRule="auto"/>
        <w:jc w:val="both"/>
        <w:rPr>
          <w:rFonts w:eastAsia="Times New Roman"/>
          <w:b/>
          <w:bCs/>
          <w:lang w:val="en-GB"/>
        </w:rPr>
      </w:pPr>
      <w:r w:rsidRPr="00130A34">
        <w:rPr>
          <w:b/>
          <w:bCs/>
          <w:lang w:val="en-GB"/>
        </w:rPr>
        <w:br w:type="page"/>
      </w:r>
    </w:p>
    <w:p w14:paraId="373EE3EB" w14:textId="77777777" w:rsidR="00E246E7" w:rsidRPr="00130A34" w:rsidRDefault="00EB628F" w:rsidP="00130A34">
      <w:pPr>
        <w:pStyle w:val="Heading1"/>
        <w:spacing w:before="240" w:after="240"/>
        <w:rPr>
          <w:rFonts w:ascii="Arial" w:hAnsi="Arial" w:cs="Arial"/>
          <w:sz w:val="22"/>
          <w:szCs w:val="22"/>
          <w:lang w:val="en-GB"/>
        </w:rPr>
      </w:pPr>
      <w:bookmarkStart w:id="0" w:name="_Toc226026738"/>
      <w:r w:rsidRPr="00130A34">
        <w:rPr>
          <w:rFonts w:ascii="Arial" w:hAnsi="Arial" w:cs="Arial"/>
          <w:sz w:val="22"/>
          <w:szCs w:val="22"/>
          <w:lang w:val="en-GB"/>
        </w:rPr>
        <w:t>1. Introduction</w:t>
      </w:r>
      <w:bookmarkEnd w:id="0"/>
      <w:r w:rsidRPr="00130A34">
        <w:rPr>
          <w:rFonts w:ascii="Arial" w:hAnsi="Arial" w:cs="Arial"/>
          <w:sz w:val="22"/>
          <w:szCs w:val="22"/>
          <w:lang w:val="en-GB"/>
        </w:rPr>
        <w:t xml:space="preserve"> </w:t>
      </w:r>
    </w:p>
    <w:p w14:paraId="653D4692" w14:textId="77777777" w:rsidR="007C36EC"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QA and Service improvements are crucial elements of a good health and social care system. They help to ensure that health and social care services are provided safely, efficiently, and with consideration of the patient’s needs, as well as continuing to be further improved (Russ </w:t>
      </w:r>
      <w:r w:rsidRPr="00130A34">
        <w:rPr>
          <w:rFonts w:eastAsia="Times New Roman"/>
          <w:i/>
          <w:iCs/>
          <w:lang w:val="en-GB"/>
        </w:rPr>
        <w:t>et al.</w:t>
      </w:r>
      <w:r w:rsidRPr="00130A34">
        <w:rPr>
          <w:rFonts w:eastAsia="Times New Roman"/>
          <w:lang w:val="en-GB"/>
        </w:rPr>
        <w:t xml:space="preserve"> 2023). Over the last several years, there has been considerable focus on the system-level failures of health care organisations to operate adequately, with the breakdown of governance structures, leadership and safety cultures (</w:t>
      </w:r>
      <w:proofErr w:type="spellStart"/>
      <w:r w:rsidRPr="00130A34">
        <w:rPr>
          <w:rFonts w:eastAsia="Times New Roman"/>
          <w:lang w:val="en-GB"/>
        </w:rPr>
        <w:t>Sturmberg</w:t>
      </w:r>
      <w:proofErr w:type="spellEnd"/>
      <w:r w:rsidRPr="00130A34">
        <w:rPr>
          <w:rFonts w:eastAsia="Times New Roman"/>
          <w:lang w:val="en-GB"/>
        </w:rPr>
        <w:t xml:space="preserve"> </w:t>
      </w:r>
      <w:r w:rsidRPr="00130A34">
        <w:rPr>
          <w:rFonts w:eastAsia="Times New Roman"/>
          <w:i/>
          <w:iCs/>
          <w:lang w:val="en-GB"/>
        </w:rPr>
        <w:t>et al</w:t>
      </w:r>
      <w:r w:rsidRPr="00130A34">
        <w:rPr>
          <w:rFonts w:eastAsia="Times New Roman"/>
          <w:lang w:val="en-GB"/>
        </w:rPr>
        <w:t xml:space="preserve">. 2024). This issue has resulted in serious harm to patients. One such failure was identified in the Ockenden Report regarding Maternity Services at the Shrewsbury &amp; Telford Hospital NHS Trust in the UK (BBC, 2022). </w:t>
      </w:r>
      <w:r w:rsidR="00A27366" w:rsidRPr="00130A34">
        <w:rPr>
          <w:rFonts w:eastAsia="Times New Roman"/>
          <w:lang w:val="en-GB"/>
        </w:rPr>
        <w:t xml:space="preserve">During the decades of lacking healthcare, there have been avoidable maternal fatalities, preterm births, as well as infant injuries. All these problems did not occur only once. They occurred due to issues in long working systems of the system like ineffective clinical governance, poor risk management, poor leadership and poor culture that upheld the reputation of the organisation rather than patient safety. </w:t>
      </w:r>
    </w:p>
    <w:p w14:paraId="16F4DA94" w14:textId="77777777" w:rsidR="007C36EC" w:rsidRPr="00130A34" w:rsidRDefault="00A27366" w:rsidP="00130A34">
      <w:pPr>
        <w:spacing w:before="240" w:after="240" w:line="360" w:lineRule="auto"/>
        <w:jc w:val="both"/>
        <w:rPr>
          <w:rFonts w:eastAsia="Times New Roman"/>
          <w:lang w:val="en-GB"/>
        </w:rPr>
      </w:pPr>
      <w:r w:rsidRPr="00130A34">
        <w:rPr>
          <w:rFonts w:eastAsia="Times New Roman"/>
          <w:lang w:val="en-GB"/>
        </w:rPr>
        <w:t xml:space="preserve">This was a colossal failure to the quality assurance programs since the organisation kept ignoring the danger factors. The failures identified in this case have far-reaching repercussions in terms of the general population health since the maternity services are being used as one of the main indicators of the entire health care system. It also reflects the health of the entire population e.g. when the birth population is healthy it is also a healthy community. The Trust has been persisting with unsafe practice, which shows that structural and organisational weaknesses have an adverse impact on clinical practice, leading to adverse or harmful patient outcomes (Rack, 2025). Other theoretical frameworks of system failures support this idea by presenting the Swiss Cheese Model, a systems model in which adverse events are triggered by several overlaps of system failures, as opposed to single error. This report aims at critically evaluating the quality issues in the case study. </w:t>
      </w:r>
    </w:p>
    <w:p w14:paraId="774C4E37" w14:textId="7AC948A5" w:rsidR="00E246E7" w:rsidRPr="00130A34" w:rsidRDefault="00A27366" w:rsidP="00130A34">
      <w:pPr>
        <w:spacing w:before="240" w:after="240" w:line="360" w:lineRule="auto"/>
        <w:jc w:val="both"/>
        <w:rPr>
          <w:rFonts w:eastAsia="Times New Roman"/>
          <w:lang w:val="en-GB"/>
        </w:rPr>
      </w:pPr>
      <w:r w:rsidRPr="00130A34">
        <w:rPr>
          <w:rFonts w:eastAsia="Times New Roman"/>
          <w:lang w:val="en-GB"/>
        </w:rPr>
        <w:t>The analysis will be evaluated against well-established theoretical frameworks and quality improvement models that will be used in the report. To be more specific, the analysis of the relationships between the structure, care delivery processes, and patient outcomes will be performed with the help of the Donabedian model. Moreover, it will be considered with the help of the Fishbone diagram, which will result in the root cause analysis as well as the strategic evaluation that will be conducted with the help of a SWOT analysis</w:t>
      </w:r>
      <w:r w:rsidR="00EB628F" w:rsidRPr="00130A34">
        <w:rPr>
          <w:rFonts w:eastAsia="Times New Roman"/>
          <w:lang w:val="en-GB"/>
        </w:rPr>
        <w:t xml:space="preserve">. Finally, service improvement methods will be analysed through examination of both PDSA and Kotter’s Change Model, and the report will provide suggestions for sustainable quality improvement based on the results of evidence-based research. </w:t>
      </w:r>
    </w:p>
    <w:p w14:paraId="45618246" w14:textId="77777777" w:rsidR="00E246E7" w:rsidRPr="00130A34" w:rsidRDefault="00EB628F" w:rsidP="00130A34">
      <w:pPr>
        <w:pStyle w:val="Heading1"/>
        <w:spacing w:before="240" w:after="240"/>
        <w:rPr>
          <w:rFonts w:ascii="Arial" w:hAnsi="Arial" w:cs="Arial"/>
          <w:sz w:val="22"/>
          <w:szCs w:val="22"/>
          <w:lang w:val="en-GB"/>
        </w:rPr>
      </w:pPr>
      <w:bookmarkStart w:id="1" w:name="_Toc226026739"/>
      <w:r w:rsidRPr="00130A34">
        <w:rPr>
          <w:rFonts w:ascii="Arial" w:hAnsi="Arial" w:cs="Arial"/>
          <w:sz w:val="22"/>
          <w:szCs w:val="22"/>
          <w:lang w:val="en-GB"/>
        </w:rPr>
        <w:t>2. Main Body</w:t>
      </w:r>
      <w:bookmarkEnd w:id="1"/>
      <w:r w:rsidRPr="00130A34">
        <w:rPr>
          <w:rFonts w:ascii="Arial" w:hAnsi="Arial" w:cs="Arial"/>
          <w:sz w:val="22"/>
          <w:szCs w:val="22"/>
          <w:lang w:val="en-GB"/>
        </w:rPr>
        <w:t xml:space="preserve"> </w:t>
      </w:r>
    </w:p>
    <w:p w14:paraId="48CF9FA8" w14:textId="77777777" w:rsidR="00E246E7" w:rsidRPr="00130A34" w:rsidRDefault="00EB628F" w:rsidP="00130A34">
      <w:pPr>
        <w:pStyle w:val="Heading2"/>
        <w:spacing w:before="240" w:after="240"/>
        <w:rPr>
          <w:rFonts w:ascii="Arial" w:hAnsi="Arial" w:cs="Arial"/>
          <w:sz w:val="22"/>
          <w:szCs w:val="22"/>
          <w:lang w:val="en-GB"/>
        </w:rPr>
      </w:pPr>
      <w:bookmarkStart w:id="2" w:name="_Toc226026740"/>
      <w:r w:rsidRPr="00130A34">
        <w:rPr>
          <w:rFonts w:ascii="Arial" w:hAnsi="Arial" w:cs="Arial"/>
          <w:sz w:val="22"/>
          <w:szCs w:val="22"/>
          <w:lang w:val="en-GB"/>
        </w:rPr>
        <w:t>2.1 Donabedian Model</w:t>
      </w:r>
      <w:bookmarkEnd w:id="2"/>
      <w:r w:rsidRPr="00130A34">
        <w:rPr>
          <w:rFonts w:ascii="Arial" w:hAnsi="Arial" w:cs="Arial"/>
          <w:sz w:val="22"/>
          <w:szCs w:val="22"/>
          <w:lang w:val="en-GB"/>
        </w:rPr>
        <w:t xml:space="preserve"> </w:t>
      </w:r>
    </w:p>
    <w:p w14:paraId="602CBCE8"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The Donabedian model significantly gives a strategic approach for implementing a better healthcare quality through the three related elements (Yang </w:t>
      </w:r>
      <w:r w:rsidRPr="00130A34">
        <w:rPr>
          <w:rFonts w:eastAsia="Times New Roman"/>
          <w:i/>
          <w:iCs/>
          <w:lang w:val="en-GB"/>
        </w:rPr>
        <w:t>et al.</w:t>
      </w:r>
      <w:r w:rsidRPr="00130A34">
        <w:rPr>
          <w:rFonts w:eastAsia="Times New Roman"/>
          <w:lang w:val="en-GB"/>
        </w:rPr>
        <w:t xml:space="preserve"> 2025). These elements mainly include structure, process, and outcomes. This framework is significantly effective for analysing the systematic issues, and it also shows how the organisational situation influences the care delivery and overall patient outcome. </w:t>
      </w:r>
    </w:p>
    <w:p w14:paraId="2F57F80F" w14:textId="77777777" w:rsidR="00E246E7" w:rsidRPr="00130A34" w:rsidRDefault="00EB628F" w:rsidP="00D70A2D">
      <w:pPr>
        <w:spacing w:before="240" w:after="240" w:line="360" w:lineRule="auto"/>
        <w:jc w:val="center"/>
        <w:rPr>
          <w:rFonts w:eastAsia="Times New Roman"/>
          <w:lang w:val="en-GB"/>
        </w:rPr>
      </w:pPr>
      <w:r w:rsidRPr="00130A34">
        <w:rPr>
          <w:rFonts w:eastAsia="Times New Roman"/>
          <w:noProof/>
          <w:lang w:val="en-GB"/>
        </w:rPr>
        <w:drawing>
          <wp:inline distT="114300" distB="114300" distL="114300" distR="114300" wp14:anchorId="77E6B0B3" wp14:editId="6815B272">
            <wp:extent cx="3838575" cy="11906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38575" cy="1190625"/>
                    </a:xfrm>
                    <a:prstGeom prst="rect">
                      <a:avLst/>
                    </a:prstGeom>
                    <a:ln/>
                  </pic:spPr>
                </pic:pic>
              </a:graphicData>
            </a:graphic>
          </wp:inline>
        </w:drawing>
      </w:r>
    </w:p>
    <w:p w14:paraId="5CD420E1" w14:textId="0CE319ED" w:rsidR="00E246E7" w:rsidRPr="00130A34" w:rsidRDefault="00EB628F" w:rsidP="00D70A2D">
      <w:pPr>
        <w:spacing w:before="240" w:after="240" w:line="360" w:lineRule="auto"/>
        <w:jc w:val="center"/>
        <w:rPr>
          <w:rFonts w:eastAsia="Times New Roman"/>
          <w:b/>
          <w:bCs/>
          <w:lang w:val="en-GB"/>
        </w:rPr>
      </w:pPr>
      <w:r w:rsidRPr="00130A34">
        <w:rPr>
          <w:rFonts w:eastAsia="Times New Roman"/>
          <w:b/>
          <w:bCs/>
          <w:lang w:val="en-GB"/>
        </w:rPr>
        <w:t>Figure 1: Donabedian model</w:t>
      </w:r>
    </w:p>
    <w:p w14:paraId="50FE31E0" w14:textId="77777777" w:rsidR="00E246E7" w:rsidRPr="00130A34" w:rsidRDefault="00EB628F" w:rsidP="00D70A2D">
      <w:pPr>
        <w:spacing w:before="240" w:after="240" w:line="360" w:lineRule="auto"/>
        <w:jc w:val="center"/>
        <w:rPr>
          <w:rFonts w:eastAsia="Times New Roman"/>
          <w:lang w:val="en-GB"/>
        </w:rPr>
      </w:pPr>
      <w:r w:rsidRPr="00130A34">
        <w:rPr>
          <w:rFonts w:eastAsia="Times New Roman"/>
          <w:lang w:val="en-GB"/>
        </w:rPr>
        <w:t xml:space="preserve">(Source: Yang </w:t>
      </w:r>
      <w:r w:rsidRPr="00130A34">
        <w:rPr>
          <w:rFonts w:eastAsia="Times New Roman"/>
          <w:i/>
          <w:iCs/>
          <w:lang w:val="en-GB"/>
        </w:rPr>
        <w:t>et al.</w:t>
      </w:r>
      <w:r w:rsidRPr="00130A34">
        <w:rPr>
          <w:rFonts w:eastAsia="Times New Roman"/>
          <w:lang w:val="en-GB"/>
        </w:rPr>
        <w:t xml:space="preserve"> 2025)</w:t>
      </w:r>
    </w:p>
    <w:p w14:paraId="42CC4BEC"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Structure </w:t>
      </w:r>
    </w:p>
    <w:p w14:paraId="328965A4"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In regard to the case, there have been identified serious systemic issues within the maternity services in Shrewsbury and Telford. This issues significantly involves meaningful and sustained staffing shortages‚ a poor skill-mix within the maternity service‚ a lack of leadership and board-level accountability‚ and poor clinical governance systems and processes</w:t>
      </w:r>
      <w:r w:rsidRPr="00130A34">
        <w:rPr>
          <w:rFonts w:ascii="MS Gothic" w:eastAsia="MS Gothic" w:hAnsi="MS Gothic" w:cs="MS Gothic" w:hint="eastAsia"/>
          <w:lang w:val="en-GB"/>
        </w:rPr>
        <w:t>․</w:t>
      </w:r>
      <w:r w:rsidRPr="00130A34">
        <w:rPr>
          <w:rFonts w:eastAsia="Times New Roman"/>
          <w:lang w:val="en-GB"/>
        </w:rPr>
        <w:t xml:space="preserve"> Together‚ these severely reduced the trust's capacity to provide safe and effective care</w:t>
      </w:r>
      <w:r w:rsidRPr="00130A34">
        <w:rPr>
          <w:rFonts w:ascii="MS Gothic" w:eastAsia="MS Gothic" w:hAnsi="MS Gothic" w:cs="MS Gothic" w:hint="eastAsia"/>
          <w:lang w:val="en-GB"/>
        </w:rPr>
        <w:t>․</w:t>
      </w:r>
      <w:r w:rsidRPr="00130A34">
        <w:rPr>
          <w:rFonts w:eastAsia="Times New Roman"/>
          <w:lang w:val="en-GB"/>
        </w:rPr>
        <w:t xml:space="preserve"> Furthermore, with a lack of effective regulation and failure to implement national maternity safety standards‚ the Trust therefore lacked due accountability and oversight (Ockenden‚ 2022; NHS England‚ 2023)</w:t>
      </w:r>
      <w:r w:rsidRPr="00130A34">
        <w:rPr>
          <w:rFonts w:ascii="MS Gothic" w:eastAsia="MS Gothic" w:hAnsi="MS Gothic" w:cs="MS Gothic" w:hint="eastAsia"/>
          <w:lang w:val="en-GB"/>
        </w:rPr>
        <w:t>․</w:t>
      </w:r>
    </w:p>
    <w:p w14:paraId="5C0D144D"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Process</w:t>
      </w:r>
    </w:p>
    <w:p w14:paraId="7CD0B200" w14:textId="60B3D864"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design of these structures impacted clinical practice, leading to the unsafe service and ineffective</w:t>
      </w:r>
      <w:r w:rsidRPr="00130A34">
        <w:rPr>
          <w:rFonts w:ascii="MS Gothic" w:eastAsia="MS Gothic" w:hAnsi="MS Gothic" w:cs="MS Gothic" w:hint="eastAsia"/>
          <w:lang w:val="en-GB"/>
        </w:rPr>
        <w:t>․</w:t>
      </w:r>
      <w:r w:rsidRPr="00130A34">
        <w:rPr>
          <w:rFonts w:eastAsia="Times New Roman"/>
          <w:lang w:val="en-GB"/>
        </w:rPr>
        <w:t xml:space="preserve"> There was also a significant aspect of not escalating risk with failure to identify and respond to early warning signs</w:t>
      </w:r>
      <w:r w:rsidRPr="00130A34">
        <w:rPr>
          <w:rFonts w:ascii="MS Gothic" w:eastAsia="MS Gothic" w:hAnsi="MS Gothic" w:cs="MS Gothic" w:hint="eastAsia"/>
          <w:lang w:val="en-GB"/>
        </w:rPr>
        <w:t>․</w:t>
      </w:r>
      <w:r w:rsidRPr="00130A34">
        <w:rPr>
          <w:rFonts w:eastAsia="Times New Roman"/>
          <w:lang w:val="en-GB"/>
        </w:rPr>
        <w:t xml:space="preserve"> Therefore, there was an overall failure to listen to patients' concerns‚ combined with a culture of defensiveness within the organisation (Monde, </w:t>
      </w:r>
      <w:r w:rsidR="000F75ED" w:rsidRPr="00130A34">
        <w:rPr>
          <w:rFonts w:eastAsia="Times New Roman"/>
          <w:lang w:val="en-GB"/>
        </w:rPr>
        <w:t xml:space="preserve">2025) </w:t>
      </w:r>
      <w:r w:rsidR="000F75ED" w:rsidRPr="00130A34">
        <w:rPr>
          <w:rFonts w:ascii="MS Gothic" w:eastAsia="MS Gothic" w:hAnsi="MS Gothic" w:cs="MS Gothic" w:hint="eastAsia"/>
          <w:lang w:val="en-GB"/>
        </w:rPr>
        <w:t>․</w:t>
      </w:r>
    </w:p>
    <w:p w14:paraId="6D4996A5"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Outcome </w:t>
      </w:r>
    </w:p>
    <w:p w14:paraId="3B252078"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consequences of this included avoidable maternal deaths‚ stillbirths, and neonatal brain injuries‚ and families experiencing meaningful psychological harm</w:t>
      </w:r>
      <w:r w:rsidRPr="00130A34">
        <w:rPr>
          <w:rFonts w:ascii="MS Gothic" w:eastAsia="MS Gothic" w:hAnsi="MS Gothic" w:cs="MS Gothic" w:hint="eastAsia"/>
          <w:lang w:val="en-GB"/>
        </w:rPr>
        <w:t>․</w:t>
      </w:r>
      <w:r w:rsidRPr="00130A34">
        <w:rPr>
          <w:rFonts w:eastAsia="Times New Roman"/>
          <w:lang w:val="en-GB"/>
        </w:rPr>
        <w:t xml:space="preserve"> These incidents demonstrated the connection between organisational shortcomings and defective care processes‚ which result in a negative impact on patient safety and subpar care outcomes</w:t>
      </w:r>
      <w:r w:rsidRPr="00130A34">
        <w:rPr>
          <w:rFonts w:ascii="MS Gothic" w:eastAsia="MS Gothic" w:hAnsi="MS Gothic" w:cs="MS Gothic" w:hint="eastAsia"/>
          <w:lang w:val="en-GB"/>
        </w:rPr>
        <w:t>․</w:t>
      </w:r>
    </w:p>
    <w:p w14:paraId="1A5B5E0F"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Critical Evaluation</w:t>
      </w:r>
    </w:p>
    <w:p w14:paraId="3E341D59"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primary strength of the Donabedian Model is that it is a systems-level approach‚ taking into account the flaws in the system as a whole and its function</w:t>
      </w:r>
      <w:r w:rsidRPr="00130A34">
        <w:rPr>
          <w:rFonts w:ascii="MS Gothic" w:eastAsia="MS Gothic" w:hAnsi="MS Gothic" w:cs="MS Gothic" w:hint="eastAsia"/>
          <w:lang w:val="en-GB"/>
        </w:rPr>
        <w:t>․</w:t>
      </w:r>
      <w:r w:rsidRPr="00130A34">
        <w:rPr>
          <w:rFonts w:eastAsia="Times New Roman"/>
          <w:lang w:val="en-GB"/>
        </w:rPr>
        <w:t xml:space="preserve"> From a systems perspective‚ it does not take into account the culture of the system‚ on which unsafe acts were normalized</w:t>
      </w:r>
      <w:r w:rsidRPr="00130A34">
        <w:rPr>
          <w:rFonts w:ascii="MS Gothic" w:eastAsia="MS Gothic" w:hAnsi="MS Gothic" w:cs="MS Gothic" w:hint="eastAsia"/>
          <w:lang w:val="en-GB"/>
        </w:rPr>
        <w:t>․</w:t>
      </w:r>
      <w:r w:rsidRPr="00130A34">
        <w:rPr>
          <w:rFonts w:eastAsia="Times New Roman"/>
          <w:lang w:val="en-GB"/>
        </w:rPr>
        <w:t xml:space="preserve"> The model has been described as useful for identifying systemic flaws</w:t>
      </w:r>
      <w:r w:rsidRPr="00130A34">
        <w:rPr>
          <w:rFonts w:ascii="MS Gothic" w:eastAsia="MS Gothic" w:hAnsi="MS Gothic" w:cs="MS Gothic" w:hint="eastAsia"/>
          <w:lang w:val="en-GB"/>
        </w:rPr>
        <w:t>․</w:t>
      </w:r>
    </w:p>
    <w:p w14:paraId="7056A623" w14:textId="77777777" w:rsidR="00E246E7" w:rsidRPr="00130A34" w:rsidRDefault="00EB628F" w:rsidP="00130A34">
      <w:pPr>
        <w:pStyle w:val="Heading2"/>
        <w:spacing w:before="240" w:after="240"/>
        <w:rPr>
          <w:rFonts w:ascii="Arial" w:hAnsi="Arial" w:cs="Arial"/>
          <w:sz w:val="22"/>
          <w:szCs w:val="22"/>
          <w:lang w:val="en-GB"/>
        </w:rPr>
      </w:pPr>
      <w:bookmarkStart w:id="3" w:name="_Toc226026741"/>
      <w:r w:rsidRPr="00130A34">
        <w:rPr>
          <w:rFonts w:ascii="Arial" w:hAnsi="Arial" w:cs="Arial"/>
          <w:sz w:val="22"/>
          <w:szCs w:val="22"/>
          <w:lang w:val="en-GB"/>
        </w:rPr>
        <w:t>2.2 Fishbone Diagram</w:t>
      </w:r>
      <w:bookmarkEnd w:id="3"/>
    </w:p>
    <w:p w14:paraId="1014F20E" w14:textId="60691AFE" w:rsidR="00355B8C" w:rsidRPr="00D70A2D" w:rsidRDefault="00EB628F" w:rsidP="00130A34">
      <w:pPr>
        <w:spacing w:before="240" w:after="240" w:line="360" w:lineRule="auto"/>
        <w:jc w:val="both"/>
        <w:rPr>
          <w:rFonts w:eastAsia="Times New Roman"/>
          <w:color w:val="000000" w:themeColor="text1"/>
          <w:lang w:val="en-GB"/>
        </w:rPr>
      </w:pPr>
      <w:r w:rsidRPr="00130A34">
        <w:rPr>
          <w:rFonts w:eastAsia="Times New Roman"/>
          <w:lang w:val="en-GB"/>
        </w:rPr>
        <w:t xml:space="preserve">A fishbone diagram is mainly referred to as a cause-and-effect diagram or an Ishikawa diagram, which </w:t>
      </w:r>
      <w:r w:rsidRPr="00D70A2D">
        <w:rPr>
          <w:rFonts w:eastAsia="Times New Roman"/>
          <w:color w:val="000000" w:themeColor="text1"/>
          <w:lang w:val="en-GB"/>
        </w:rPr>
        <w:t xml:space="preserve">is a quality tool for assisting in identifying the root cause of a specific problem (Kumah </w:t>
      </w:r>
      <w:r w:rsidRPr="00D70A2D">
        <w:rPr>
          <w:rFonts w:eastAsia="Times New Roman"/>
          <w:i/>
          <w:iCs/>
          <w:color w:val="000000" w:themeColor="text1"/>
          <w:lang w:val="en-GB"/>
        </w:rPr>
        <w:t>et al.</w:t>
      </w:r>
      <w:r w:rsidRPr="00D70A2D">
        <w:rPr>
          <w:rFonts w:eastAsia="Times New Roman"/>
          <w:color w:val="000000" w:themeColor="text1"/>
          <w:lang w:val="en-GB"/>
        </w:rPr>
        <w:t xml:space="preserve"> 2024). </w:t>
      </w:r>
      <w:r w:rsidR="00171B7D" w:rsidRPr="00D70A2D">
        <w:rPr>
          <w:rFonts w:eastAsia="Times New Roman"/>
          <w:color w:val="000000" w:themeColor="text1"/>
          <w:lang w:val="en-GB"/>
        </w:rPr>
        <w:t>The use of the fishbone diagram is a tool of organised root cause analysis, as the factors involved are organized into categories namely people, process, environment, management and policy. This multidimensional approach is consistent with the existence of complex healthcare failures in which the organisational culture, staffing, and governance interact to achieve unsafe outcomes. This is why such approach as the fishbone method is suitable because it aids in facilitating complete identification of systemic reasons, which is crucial prior to organizational framework of effective quality improvement interventions.</w:t>
      </w:r>
    </w:p>
    <w:p w14:paraId="47307F81" w14:textId="4F266C48" w:rsidR="00E246E7" w:rsidRPr="00D70A2D" w:rsidRDefault="00EB628F" w:rsidP="00130A34">
      <w:pPr>
        <w:spacing w:before="240" w:after="240" w:line="360" w:lineRule="auto"/>
        <w:jc w:val="both"/>
        <w:rPr>
          <w:rFonts w:eastAsia="Times New Roman"/>
          <w:color w:val="000000" w:themeColor="text1"/>
          <w:lang w:val="en-GB"/>
        </w:rPr>
      </w:pPr>
      <w:r w:rsidRPr="00D70A2D">
        <w:rPr>
          <w:rFonts w:eastAsia="Times New Roman"/>
          <w:color w:val="000000" w:themeColor="text1"/>
          <w:lang w:val="en-GB"/>
        </w:rPr>
        <w:t xml:space="preserve">In the case of the Shrewsbury and Telford maternity scandal, this specific approach is helpful in systematically assessing the underlying issue of </w:t>
      </w:r>
      <w:r w:rsidR="000F75ED" w:rsidRPr="00D70A2D">
        <w:rPr>
          <w:rFonts w:eastAsia="Times New Roman"/>
          <w:color w:val="000000" w:themeColor="text1"/>
          <w:lang w:val="en-GB"/>
        </w:rPr>
        <w:t>poor-quality</w:t>
      </w:r>
      <w:r w:rsidRPr="00D70A2D">
        <w:rPr>
          <w:rFonts w:eastAsia="Times New Roman"/>
          <w:color w:val="000000" w:themeColor="text1"/>
          <w:lang w:val="en-GB"/>
        </w:rPr>
        <w:t xml:space="preserve"> care and patient harm throughout the different key categories. </w:t>
      </w:r>
    </w:p>
    <w:p w14:paraId="2A985C32" w14:textId="77777777" w:rsidR="00E246E7" w:rsidRPr="00130A34" w:rsidRDefault="00EB628F" w:rsidP="00D70A2D">
      <w:pPr>
        <w:spacing w:before="240" w:after="240" w:line="360" w:lineRule="auto"/>
        <w:jc w:val="center"/>
        <w:rPr>
          <w:rFonts w:eastAsia="Times New Roman"/>
          <w:lang w:val="en-GB"/>
        </w:rPr>
      </w:pPr>
      <w:r w:rsidRPr="00130A34">
        <w:rPr>
          <w:rFonts w:eastAsia="Times New Roman"/>
          <w:noProof/>
          <w:lang w:val="en-GB"/>
        </w:rPr>
        <w:drawing>
          <wp:inline distT="114300" distB="114300" distL="114300" distR="114300" wp14:anchorId="236B9D27" wp14:editId="72789D8F">
            <wp:extent cx="3967163" cy="334946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967163" cy="3349468"/>
                    </a:xfrm>
                    <a:prstGeom prst="rect">
                      <a:avLst/>
                    </a:prstGeom>
                    <a:ln/>
                  </pic:spPr>
                </pic:pic>
              </a:graphicData>
            </a:graphic>
          </wp:inline>
        </w:drawing>
      </w:r>
    </w:p>
    <w:p w14:paraId="3215A5F5" w14:textId="77777777" w:rsidR="00E246E7" w:rsidRPr="00130A34" w:rsidRDefault="00EB628F" w:rsidP="00D70A2D">
      <w:pPr>
        <w:spacing w:before="240" w:after="240" w:line="360" w:lineRule="auto"/>
        <w:jc w:val="center"/>
        <w:rPr>
          <w:rFonts w:eastAsia="Times New Roman"/>
          <w:b/>
          <w:bCs/>
          <w:lang w:val="en-GB"/>
        </w:rPr>
      </w:pPr>
      <w:r w:rsidRPr="00130A34">
        <w:rPr>
          <w:rFonts w:eastAsia="Times New Roman"/>
          <w:b/>
          <w:bCs/>
          <w:lang w:val="en-GB"/>
        </w:rPr>
        <w:t>Figure 2: Fishbone or cause and effect diagram</w:t>
      </w:r>
    </w:p>
    <w:p w14:paraId="038C7FE6" w14:textId="77777777" w:rsidR="00E246E7" w:rsidRPr="00130A34" w:rsidRDefault="00EB628F" w:rsidP="00D70A2D">
      <w:pPr>
        <w:spacing w:before="240" w:after="240" w:line="360" w:lineRule="auto"/>
        <w:jc w:val="center"/>
        <w:rPr>
          <w:rFonts w:eastAsia="Times New Roman"/>
          <w:lang w:val="en-GB"/>
        </w:rPr>
      </w:pPr>
      <w:r w:rsidRPr="00130A34">
        <w:rPr>
          <w:rFonts w:eastAsia="Times New Roman"/>
          <w:lang w:val="en-GB"/>
        </w:rPr>
        <w:t xml:space="preserve">(Source: Kumah </w:t>
      </w:r>
      <w:r w:rsidRPr="00130A34">
        <w:rPr>
          <w:rFonts w:eastAsia="Times New Roman"/>
          <w:i/>
          <w:iCs/>
          <w:lang w:val="en-GB"/>
        </w:rPr>
        <w:t>et al.</w:t>
      </w:r>
      <w:r w:rsidRPr="00130A34">
        <w:rPr>
          <w:rFonts w:eastAsia="Times New Roman"/>
          <w:lang w:val="en-GB"/>
        </w:rPr>
        <w:t xml:space="preserve"> 2024)</w:t>
      </w:r>
    </w:p>
    <w:p w14:paraId="40043650"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People</w:t>
      </w:r>
    </w:p>
    <w:p w14:paraId="7CA45F8B"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Human factors contributed the major role in the failure associated with the delivery of maternity services. There were no appropriate skills with a limitedly trained staff that involved different levels of complexity in their caseloads and inconsistent continuous professional development across the organisation. Therefore, there were limitations on the ability of HCWs to identify clinical risks and react to them (Ockenden, 2022).</w:t>
      </w:r>
    </w:p>
    <w:p w14:paraId="48F25873"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Process</w:t>
      </w:r>
    </w:p>
    <w:p w14:paraId="1437FE7C"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breakdown of risk assessments and escalation processes is evidence of the occurrence of process-related failures. In several cases, warning signs of potential complications were either disregarded or not responded to quickly enough. After applying the 5 Whys technique, it becomes apparent that the root of these process failures can be attributed to two main causes, which are an absence of accountability and a lack of appropriate clinical protocols. As a result, this established the conditions for unsafe practice (Francis, 2013).</w:t>
      </w:r>
    </w:p>
    <w:p w14:paraId="432A9232"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Environment </w:t>
      </w:r>
    </w:p>
    <w:p w14:paraId="53375604"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The workplace was full of stress from being short-staffed all the time, while the load of work was ever-increasing. Due to this, the staff was overburdened and didn't have enough time and energy to give safe care to patients. Hence, the chances of committing errors increased. </w:t>
      </w:r>
    </w:p>
    <w:p w14:paraId="0CEBA6BB"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Management </w:t>
      </w:r>
    </w:p>
    <w:p w14:paraId="47680E27"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Ineffective leadership was also one of the key elements contributing to the entire system failure (Russell, 2022). Higher managerial officials failed to consider the warning signals of system failure, whereas the rest of the organisation developed a defensive culture that shunned reporting of incidents</w:t>
      </w:r>
    </w:p>
    <w:p w14:paraId="7DF3CD2C"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Policy</w:t>
      </w:r>
    </w:p>
    <w:p w14:paraId="0D131D7A"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While there were federal regulations on maternal safety, they were not applied effectively at the local level. This led to a gap in what is expected of the policy and what is actually being done in practice due to the weak enforcement of the policy and the lack of mechanisms for monitoring.</w:t>
      </w:r>
    </w:p>
    <w:p w14:paraId="315E9AFA"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Critical Evaluation</w:t>
      </w:r>
    </w:p>
    <w:p w14:paraId="156C3181"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The Fishbone Diagram has two major strengths. First, the identification of a large variety of causative factors and providing comprehensive insight into complex healthcare problems. A big disadvantage of the Fishbone Diagram is that it does not allow one to determine which of the identified causes are the most important. </w:t>
      </w:r>
    </w:p>
    <w:p w14:paraId="72B3DCAE" w14:textId="77777777" w:rsidR="00E246E7" w:rsidRPr="00130A34" w:rsidRDefault="00EB628F" w:rsidP="00130A34">
      <w:pPr>
        <w:pStyle w:val="Heading2"/>
        <w:spacing w:before="240" w:after="240"/>
        <w:rPr>
          <w:rFonts w:ascii="Arial" w:hAnsi="Arial" w:cs="Arial"/>
          <w:sz w:val="22"/>
          <w:szCs w:val="22"/>
          <w:lang w:val="en-GB"/>
        </w:rPr>
      </w:pPr>
      <w:bookmarkStart w:id="4" w:name="_Toc226026742"/>
      <w:r w:rsidRPr="00130A34">
        <w:rPr>
          <w:rFonts w:ascii="Arial" w:hAnsi="Arial" w:cs="Arial"/>
          <w:sz w:val="22"/>
          <w:szCs w:val="22"/>
          <w:lang w:val="en-GB"/>
        </w:rPr>
        <w:t>2.3 SWOT Analysis</w:t>
      </w:r>
      <w:bookmarkEnd w:id="4"/>
      <w:r w:rsidRPr="00130A34">
        <w:rPr>
          <w:rFonts w:ascii="Arial" w:hAnsi="Arial" w:cs="Arial"/>
          <w:sz w:val="22"/>
          <w:szCs w:val="22"/>
          <w:lang w:val="en-GB"/>
        </w:rPr>
        <w:t xml:space="preserve"> </w:t>
      </w:r>
    </w:p>
    <w:p w14:paraId="7925EF9A"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The SWOT analysis is a strategic planning tool for critically evaluating an organisation's competitive position through analysing its internal strengths and weaknesses and external opportunities and threats (Zhang </w:t>
      </w:r>
      <w:r w:rsidRPr="00130A34">
        <w:rPr>
          <w:rFonts w:eastAsia="Times New Roman"/>
          <w:i/>
          <w:iCs/>
          <w:lang w:val="en-GB"/>
        </w:rPr>
        <w:t>et al</w:t>
      </w:r>
      <w:r w:rsidRPr="00130A34">
        <w:rPr>
          <w:rFonts w:eastAsia="Times New Roman"/>
          <w:lang w:val="en-GB"/>
        </w:rPr>
        <w:t xml:space="preserve">. 2024). </w:t>
      </w:r>
    </w:p>
    <w:p w14:paraId="3F65D278" w14:textId="77777777" w:rsidR="00E246E7" w:rsidRPr="00130A34" w:rsidRDefault="00EB628F" w:rsidP="00326FAD">
      <w:pPr>
        <w:spacing w:before="240" w:after="240" w:line="360" w:lineRule="auto"/>
        <w:jc w:val="center"/>
        <w:rPr>
          <w:rFonts w:eastAsia="Times New Roman"/>
          <w:lang w:val="en-GB"/>
        </w:rPr>
      </w:pPr>
      <w:r w:rsidRPr="00130A34">
        <w:rPr>
          <w:rFonts w:eastAsia="Times New Roman"/>
          <w:noProof/>
          <w:lang w:val="en-GB"/>
        </w:rPr>
        <w:drawing>
          <wp:inline distT="114300" distB="114300" distL="114300" distR="114300" wp14:anchorId="1841603A" wp14:editId="1F154C7E">
            <wp:extent cx="2995613" cy="274534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995613" cy="2745346"/>
                    </a:xfrm>
                    <a:prstGeom prst="rect">
                      <a:avLst/>
                    </a:prstGeom>
                    <a:ln/>
                  </pic:spPr>
                </pic:pic>
              </a:graphicData>
            </a:graphic>
          </wp:inline>
        </w:drawing>
      </w:r>
    </w:p>
    <w:p w14:paraId="4048123F" w14:textId="0722F25C" w:rsidR="00E246E7" w:rsidRPr="00130A34" w:rsidRDefault="00EB628F" w:rsidP="00326FAD">
      <w:pPr>
        <w:spacing w:before="240" w:after="240" w:line="360" w:lineRule="auto"/>
        <w:jc w:val="center"/>
        <w:rPr>
          <w:rFonts w:eastAsia="Times New Roman"/>
          <w:b/>
          <w:bCs/>
          <w:lang w:val="en-GB"/>
        </w:rPr>
      </w:pPr>
      <w:r w:rsidRPr="00130A34">
        <w:rPr>
          <w:rFonts w:eastAsia="Times New Roman"/>
          <w:b/>
          <w:bCs/>
          <w:lang w:val="en-GB"/>
        </w:rPr>
        <w:t xml:space="preserve">Figure 3: SWOT analysis </w:t>
      </w:r>
    </w:p>
    <w:p w14:paraId="27F0CDC2" w14:textId="77777777" w:rsidR="00E246E7" w:rsidRPr="00130A34" w:rsidRDefault="00EB628F" w:rsidP="00326FAD">
      <w:pPr>
        <w:spacing w:before="240" w:after="240" w:line="360" w:lineRule="auto"/>
        <w:jc w:val="center"/>
        <w:rPr>
          <w:rFonts w:eastAsia="Times New Roman"/>
          <w:lang w:val="en-GB"/>
        </w:rPr>
      </w:pPr>
      <w:r w:rsidRPr="00130A34">
        <w:rPr>
          <w:rFonts w:eastAsia="Times New Roman"/>
          <w:lang w:val="en-GB"/>
        </w:rPr>
        <w:t xml:space="preserve">(Source: Zhang </w:t>
      </w:r>
      <w:r w:rsidRPr="00130A34">
        <w:rPr>
          <w:rFonts w:eastAsia="Times New Roman"/>
          <w:i/>
          <w:iCs/>
          <w:lang w:val="en-GB"/>
        </w:rPr>
        <w:t>et al</w:t>
      </w:r>
      <w:r w:rsidRPr="00130A34">
        <w:rPr>
          <w:rFonts w:eastAsia="Times New Roman"/>
          <w:lang w:val="en-GB"/>
        </w:rPr>
        <w:t>. 2024)</w:t>
      </w:r>
    </w:p>
    <w:tbl>
      <w:tblPr>
        <w:tblStyle w:val="TableGrid"/>
        <w:tblW w:w="0" w:type="auto"/>
        <w:tblLook w:val="04A0" w:firstRow="1" w:lastRow="0" w:firstColumn="1" w:lastColumn="0" w:noHBand="0" w:noVBand="1"/>
      </w:tblPr>
      <w:tblGrid>
        <w:gridCol w:w="4783"/>
        <w:gridCol w:w="4567"/>
      </w:tblGrid>
      <w:tr w:rsidR="005F164C" w:rsidRPr="00130A34" w14:paraId="3423EC30" w14:textId="77777777" w:rsidTr="00331F25">
        <w:tc>
          <w:tcPr>
            <w:tcW w:w="0" w:type="auto"/>
            <w:hideMark/>
          </w:tcPr>
          <w:p w14:paraId="35BABF93" w14:textId="77777777" w:rsidR="005F164C" w:rsidRPr="00326FAD" w:rsidRDefault="005F164C" w:rsidP="00331F25">
            <w:pPr>
              <w:spacing w:before="240" w:after="240" w:line="360" w:lineRule="auto"/>
              <w:jc w:val="both"/>
              <w:rPr>
                <w:rFonts w:eastAsia="Times New Roman"/>
                <w:b/>
                <w:bCs/>
                <w:color w:val="000000" w:themeColor="text1"/>
                <w:lang w:val="en-GB"/>
              </w:rPr>
            </w:pPr>
            <w:r w:rsidRPr="00326FAD">
              <w:rPr>
                <w:rFonts w:eastAsia="Times New Roman"/>
                <w:b/>
                <w:bCs/>
                <w:color w:val="000000" w:themeColor="text1"/>
                <w:lang w:val="en-GB"/>
              </w:rPr>
              <w:t>Strengths</w:t>
            </w:r>
          </w:p>
        </w:tc>
        <w:tc>
          <w:tcPr>
            <w:tcW w:w="0" w:type="auto"/>
            <w:hideMark/>
          </w:tcPr>
          <w:p w14:paraId="58544690" w14:textId="77777777" w:rsidR="005F164C" w:rsidRPr="00326FAD" w:rsidRDefault="005F164C" w:rsidP="00331F25">
            <w:pPr>
              <w:spacing w:before="240" w:after="240" w:line="360" w:lineRule="auto"/>
              <w:jc w:val="both"/>
              <w:rPr>
                <w:rFonts w:eastAsia="Times New Roman"/>
                <w:b/>
                <w:bCs/>
                <w:color w:val="000000" w:themeColor="text1"/>
                <w:lang w:val="en-GB"/>
              </w:rPr>
            </w:pPr>
            <w:r w:rsidRPr="00326FAD">
              <w:rPr>
                <w:rFonts w:eastAsia="Times New Roman"/>
                <w:b/>
                <w:bCs/>
                <w:color w:val="000000" w:themeColor="text1"/>
                <w:lang w:val="en-GB"/>
              </w:rPr>
              <w:t>Weaknesses</w:t>
            </w:r>
          </w:p>
        </w:tc>
      </w:tr>
      <w:tr w:rsidR="005F164C" w:rsidRPr="00130A34" w14:paraId="68CF0BC0" w14:textId="77777777" w:rsidTr="00331F25">
        <w:tc>
          <w:tcPr>
            <w:tcW w:w="0" w:type="auto"/>
            <w:hideMark/>
          </w:tcPr>
          <w:p w14:paraId="6128BA2A"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Integration within the NHS system provides access to national clinical guidelines, regulatory oversight and maternity safety programmes.</w:t>
            </w:r>
          </w:p>
        </w:tc>
        <w:tc>
          <w:tcPr>
            <w:tcW w:w="0" w:type="auto"/>
            <w:hideMark/>
          </w:tcPr>
          <w:p w14:paraId="727AB718"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Poor leadership, weak clinical governance and a defensive organisational culture normalised unsafe maternity practices.</w:t>
            </w:r>
          </w:p>
        </w:tc>
      </w:tr>
      <w:tr w:rsidR="005F164C" w:rsidRPr="00130A34" w14:paraId="1A5BACE4" w14:textId="77777777" w:rsidTr="00331F25">
        <w:tc>
          <w:tcPr>
            <w:tcW w:w="0" w:type="auto"/>
            <w:hideMark/>
          </w:tcPr>
          <w:p w14:paraId="6A02C4A6"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Availability of skilled healthcare professionals and existing infrastructure that could support improvement if managed effectively.</w:t>
            </w:r>
          </w:p>
        </w:tc>
        <w:tc>
          <w:tcPr>
            <w:tcW w:w="0" w:type="auto"/>
            <w:hideMark/>
          </w:tcPr>
          <w:p w14:paraId="073F16D5"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Chronic staff shortages, inadequate skill mix and ineffective incident reporting systems reduced care quality and patient safety.</w:t>
            </w:r>
          </w:p>
        </w:tc>
      </w:tr>
      <w:tr w:rsidR="005F164C" w:rsidRPr="00130A34" w14:paraId="3ACE6F45" w14:textId="77777777" w:rsidTr="00331F25">
        <w:tc>
          <w:tcPr>
            <w:tcW w:w="0" w:type="auto"/>
            <w:hideMark/>
          </w:tcPr>
          <w:p w14:paraId="4A04738E" w14:textId="77777777" w:rsidR="005F164C" w:rsidRPr="00326FAD" w:rsidRDefault="005F164C" w:rsidP="00331F25">
            <w:pPr>
              <w:spacing w:before="240" w:after="240" w:line="360" w:lineRule="auto"/>
              <w:jc w:val="both"/>
              <w:rPr>
                <w:rFonts w:eastAsia="Times New Roman"/>
                <w:b/>
                <w:bCs/>
                <w:color w:val="000000" w:themeColor="text1"/>
                <w:lang w:val="en-GB"/>
              </w:rPr>
            </w:pPr>
            <w:r w:rsidRPr="00326FAD">
              <w:rPr>
                <w:rFonts w:eastAsia="Times New Roman"/>
                <w:b/>
                <w:bCs/>
                <w:color w:val="000000" w:themeColor="text1"/>
                <w:lang w:val="en-GB"/>
              </w:rPr>
              <w:t>Opportunities</w:t>
            </w:r>
          </w:p>
        </w:tc>
        <w:tc>
          <w:tcPr>
            <w:tcW w:w="0" w:type="auto"/>
            <w:hideMark/>
          </w:tcPr>
          <w:p w14:paraId="27D1E86D" w14:textId="77777777" w:rsidR="005F164C" w:rsidRPr="00326FAD" w:rsidRDefault="005F164C" w:rsidP="00331F25">
            <w:pPr>
              <w:spacing w:before="240" w:after="240" w:line="360" w:lineRule="auto"/>
              <w:jc w:val="both"/>
              <w:rPr>
                <w:rFonts w:eastAsia="Times New Roman"/>
                <w:b/>
                <w:bCs/>
                <w:color w:val="000000" w:themeColor="text1"/>
                <w:lang w:val="en-GB"/>
              </w:rPr>
            </w:pPr>
            <w:r w:rsidRPr="00326FAD">
              <w:rPr>
                <w:rFonts w:eastAsia="Times New Roman"/>
                <w:b/>
                <w:bCs/>
                <w:color w:val="000000" w:themeColor="text1"/>
                <w:lang w:val="en-GB"/>
              </w:rPr>
              <w:t>Threats</w:t>
            </w:r>
          </w:p>
        </w:tc>
      </w:tr>
      <w:tr w:rsidR="005F164C" w:rsidRPr="00130A34" w14:paraId="1356EAB0" w14:textId="77777777" w:rsidTr="00331F25">
        <w:tc>
          <w:tcPr>
            <w:tcW w:w="0" w:type="auto"/>
            <w:hideMark/>
          </w:tcPr>
          <w:p w14:paraId="1C8F8375"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National maternity reform initiatives and patient safety programmes provide a framework for service redesign and workforce training.</w:t>
            </w:r>
          </w:p>
        </w:tc>
        <w:tc>
          <w:tcPr>
            <w:tcW w:w="0" w:type="auto"/>
            <w:hideMark/>
          </w:tcPr>
          <w:p w14:paraId="48B2EDBB"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Litigation, reputational damage and loss of public trust threaten organisational sustainability and service utilisation.</w:t>
            </w:r>
          </w:p>
        </w:tc>
      </w:tr>
      <w:tr w:rsidR="005F164C" w:rsidRPr="00130A34" w14:paraId="1061E15A" w14:textId="77777777" w:rsidTr="00331F25">
        <w:tc>
          <w:tcPr>
            <w:tcW w:w="0" w:type="auto"/>
            <w:hideMark/>
          </w:tcPr>
          <w:p w14:paraId="08762DEB"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Increased public and regulatory scrutiny create pressure and motivation for systemic quality improvement.</w:t>
            </w:r>
          </w:p>
        </w:tc>
        <w:tc>
          <w:tcPr>
            <w:tcW w:w="0" w:type="auto"/>
            <w:hideMark/>
          </w:tcPr>
          <w:p w14:paraId="38CC4AE4" w14:textId="77777777" w:rsidR="005F164C" w:rsidRPr="00326FAD" w:rsidRDefault="005F164C" w:rsidP="00331F25">
            <w:pPr>
              <w:spacing w:before="240" w:after="240" w:line="360" w:lineRule="auto"/>
              <w:jc w:val="both"/>
              <w:rPr>
                <w:rFonts w:eastAsia="Times New Roman"/>
                <w:color w:val="000000" w:themeColor="text1"/>
                <w:lang w:val="en-GB"/>
              </w:rPr>
            </w:pPr>
            <w:r w:rsidRPr="00326FAD">
              <w:rPr>
                <w:rFonts w:eastAsia="Times New Roman"/>
                <w:color w:val="000000" w:themeColor="text1"/>
                <w:lang w:val="en-GB"/>
              </w:rPr>
              <w:t>Financial constraints and workforce burnout may hinder the implementation of long-term quality improvement strategies.</w:t>
            </w:r>
          </w:p>
        </w:tc>
      </w:tr>
    </w:tbl>
    <w:p w14:paraId="160EE8FA" w14:textId="77777777" w:rsidR="005F164C" w:rsidRPr="00130A34" w:rsidRDefault="005F164C" w:rsidP="005F164C">
      <w:pPr>
        <w:spacing w:before="240" w:after="240" w:line="360" w:lineRule="auto"/>
        <w:jc w:val="center"/>
        <w:rPr>
          <w:rFonts w:eastAsia="Times New Roman"/>
          <w:b/>
          <w:bCs/>
          <w:lang w:val="en-GB"/>
        </w:rPr>
      </w:pPr>
      <w:r w:rsidRPr="00130A34">
        <w:rPr>
          <w:rFonts w:eastAsia="Times New Roman"/>
          <w:b/>
          <w:bCs/>
          <w:lang w:val="en-GB"/>
        </w:rPr>
        <w:t>Table 1: SWOT analysis</w:t>
      </w:r>
    </w:p>
    <w:p w14:paraId="40EBEB9D" w14:textId="675DF7DD" w:rsidR="005F164C" w:rsidRPr="0045389F" w:rsidRDefault="005F164C" w:rsidP="0045389F">
      <w:pPr>
        <w:spacing w:before="240" w:after="240" w:line="360" w:lineRule="auto"/>
        <w:jc w:val="center"/>
        <w:rPr>
          <w:rFonts w:eastAsia="Times New Roman"/>
          <w:lang w:val="en-GB"/>
        </w:rPr>
      </w:pPr>
      <w:r w:rsidRPr="00130A34">
        <w:rPr>
          <w:rFonts w:eastAsia="Times New Roman"/>
          <w:lang w:val="en-GB"/>
        </w:rPr>
        <w:t>(Source: Self-developed)</w:t>
      </w:r>
    </w:p>
    <w:p w14:paraId="5C126145" w14:textId="0E0DC284"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Strengths </w:t>
      </w:r>
    </w:p>
    <w:p w14:paraId="482A6D15"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Despite the failure rates that were seen, the organisation worked within the wider framework of the National Health Service (NHS), which offers established clinical guidelines, regulatory oversight and national maternity safety strategies. These structures ensure that they have a solid basis for providing quality care, and they form a foundation for them to improve if they are implemented effectively (NHS England, 2023).</w:t>
      </w:r>
    </w:p>
    <w:p w14:paraId="1EA79061"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Weaknesses</w:t>
      </w:r>
    </w:p>
    <w:p w14:paraId="1D5A933C"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There were evident dislocated and critical internal weaknesses, particularly in the areas of leadership, clinical governance and organisational culture. Poor leadership and lack of accountability were part of the normalisation of unsafe practices, and a defensive culture discouraged staff from speaking up about concerns. These weaknesses affected the safety of patients and hindered effective learning from incidents (Ockenden, 2022).</w:t>
      </w:r>
    </w:p>
    <w:p w14:paraId="36CF2EE7"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Opportunities</w:t>
      </w:r>
    </w:p>
    <w:p w14:paraId="4547200C"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case lists several areas of improvement, more so national maternity reform and patient safety measures. Increased attention to transparency, staff training and standardised care pathways is part of the framework for rebuilding trust and enhancing the quality of service. In addition, the lessons learnt from this case can be used to inform wider system-level changes across maternity services (Francis, 2013).</w:t>
      </w:r>
    </w:p>
    <w:p w14:paraId="4AAD7501" w14:textId="77777777" w:rsidR="00C03AC0" w:rsidRDefault="00C03AC0">
      <w:pPr>
        <w:rPr>
          <w:rFonts w:eastAsia="Times New Roman"/>
          <w:i/>
          <w:iCs/>
          <w:lang w:val="en-GB"/>
        </w:rPr>
      </w:pPr>
      <w:r>
        <w:rPr>
          <w:rFonts w:eastAsia="Times New Roman"/>
          <w:i/>
          <w:iCs/>
          <w:lang w:val="en-GB"/>
        </w:rPr>
        <w:br w:type="page"/>
      </w:r>
    </w:p>
    <w:p w14:paraId="54A534D0" w14:textId="2A77A2CE"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Threats</w:t>
      </w:r>
    </w:p>
    <w:p w14:paraId="60E80233"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External threats are increased litigation, financial pressures and reputational damage caused by the failures. Loss of public trust and confidence in maternity services may also result in reduced service utilisation and a longer-term impact on the health outcomes in the community.</w:t>
      </w:r>
    </w:p>
    <w:p w14:paraId="3FA95B49"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Critical Evaluation</w:t>
      </w:r>
    </w:p>
    <w:p w14:paraId="5F1FC38E"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A specific strength of SWOT analysis is that it is capable of generating a clear strategic view of organisational performance through the integration of internal and external factors (Madureira </w:t>
      </w:r>
      <w:r w:rsidRPr="00130A34">
        <w:rPr>
          <w:rFonts w:eastAsia="Times New Roman"/>
          <w:i/>
          <w:iCs/>
          <w:lang w:val="en-GB"/>
        </w:rPr>
        <w:t>et al</w:t>
      </w:r>
      <w:r w:rsidRPr="00130A34">
        <w:rPr>
          <w:rFonts w:eastAsia="Times New Roman"/>
          <w:lang w:val="en-GB"/>
        </w:rPr>
        <w:t>. 2024). However, its enormous drawback consists in being broad and descriptive, without in-depth analysis of the causes or prioritisation of the problems.</w:t>
      </w:r>
    </w:p>
    <w:p w14:paraId="609DF5BA" w14:textId="77777777" w:rsidR="00E246E7" w:rsidRPr="00130A34" w:rsidRDefault="00EB628F" w:rsidP="00130A34">
      <w:pPr>
        <w:pStyle w:val="Heading2"/>
        <w:spacing w:before="240" w:after="240"/>
        <w:rPr>
          <w:rFonts w:ascii="Arial" w:hAnsi="Arial" w:cs="Arial"/>
          <w:sz w:val="22"/>
          <w:szCs w:val="22"/>
          <w:lang w:val="en-GB"/>
        </w:rPr>
      </w:pPr>
      <w:bookmarkStart w:id="5" w:name="_Toc226026743"/>
      <w:r w:rsidRPr="00130A34">
        <w:rPr>
          <w:rFonts w:ascii="Arial" w:hAnsi="Arial" w:cs="Arial"/>
          <w:sz w:val="22"/>
          <w:szCs w:val="22"/>
          <w:lang w:val="en-GB"/>
        </w:rPr>
        <w:t>2.4 PDSA Model</w:t>
      </w:r>
      <w:bookmarkEnd w:id="5"/>
      <w:r w:rsidRPr="00130A34">
        <w:rPr>
          <w:rFonts w:ascii="Arial" w:hAnsi="Arial" w:cs="Arial"/>
          <w:sz w:val="22"/>
          <w:szCs w:val="22"/>
          <w:lang w:val="en-GB"/>
        </w:rPr>
        <w:t xml:space="preserve"> </w:t>
      </w:r>
    </w:p>
    <w:p w14:paraId="26E8C3ED" w14:textId="006C6133" w:rsidR="00E246E7" w:rsidRPr="00634BA6" w:rsidRDefault="00EB628F" w:rsidP="00130A34">
      <w:pPr>
        <w:spacing w:before="240" w:after="240" w:line="360" w:lineRule="auto"/>
        <w:jc w:val="both"/>
        <w:rPr>
          <w:rFonts w:eastAsia="Times New Roman"/>
          <w:color w:val="000000" w:themeColor="text1"/>
          <w:lang w:val="en-GB"/>
        </w:rPr>
      </w:pPr>
      <w:r w:rsidRPr="00130A34">
        <w:rPr>
          <w:rFonts w:eastAsia="Times New Roman"/>
          <w:lang w:val="en-GB"/>
        </w:rPr>
        <w:t xml:space="preserve">The Plan-Do-Study-Act cycle is an extensively used quality improvement model that facilitates the </w:t>
      </w:r>
      <w:r w:rsidRPr="00634BA6">
        <w:rPr>
          <w:rFonts w:eastAsia="Times New Roman"/>
          <w:color w:val="000000" w:themeColor="text1"/>
          <w:lang w:val="en-GB"/>
        </w:rPr>
        <w:t>process of change in healthcare facilities (</w:t>
      </w:r>
      <w:proofErr w:type="spellStart"/>
      <w:r w:rsidRPr="00634BA6">
        <w:rPr>
          <w:rFonts w:eastAsia="Times New Roman"/>
          <w:color w:val="000000" w:themeColor="text1"/>
          <w:lang w:val="en-GB"/>
        </w:rPr>
        <w:t>Manandi</w:t>
      </w:r>
      <w:proofErr w:type="spellEnd"/>
      <w:r w:rsidRPr="00634BA6">
        <w:rPr>
          <w:rFonts w:eastAsia="Times New Roman"/>
          <w:color w:val="000000" w:themeColor="text1"/>
          <w:lang w:val="en-GB"/>
        </w:rPr>
        <w:t xml:space="preserve"> </w:t>
      </w:r>
      <w:r w:rsidRPr="00634BA6">
        <w:rPr>
          <w:rFonts w:eastAsia="Times New Roman"/>
          <w:i/>
          <w:iCs/>
          <w:color w:val="000000" w:themeColor="text1"/>
          <w:lang w:val="en-GB"/>
        </w:rPr>
        <w:t>et al</w:t>
      </w:r>
      <w:r w:rsidRPr="00634BA6">
        <w:rPr>
          <w:rFonts w:eastAsia="Times New Roman"/>
          <w:color w:val="000000" w:themeColor="text1"/>
          <w:lang w:val="en-GB"/>
        </w:rPr>
        <w:t xml:space="preserve">. 2023). </w:t>
      </w:r>
      <w:r w:rsidR="000D451B" w:rsidRPr="00634BA6">
        <w:rPr>
          <w:rFonts w:eastAsia="Times New Roman"/>
          <w:color w:val="000000" w:themeColor="text1"/>
          <w:lang w:val="en-GB"/>
        </w:rPr>
        <w:t>Instead of the conventional PDCA model, PDSA cycle was selected due to the necessity of constant learning instead of significant checking of compliance in healthcare improvement. Whereas PDCA is oriented to control and standardisation, PDSA is oriented to the investigation of real-world results and the consequent alteration of interventions grounded on the findings. It is especially applicable in maternity services, where patient safety interventions should always go through small cycles before they are broadly implemented to reduce the risk and provide serviceable change.</w:t>
      </w:r>
    </w:p>
    <w:p w14:paraId="4AB12F64" w14:textId="77777777" w:rsidR="00E246E7" w:rsidRPr="00634BA6" w:rsidRDefault="00EB628F" w:rsidP="00634BA6">
      <w:pPr>
        <w:spacing w:before="240" w:after="240" w:line="360" w:lineRule="auto"/>
        <w:jc w:val="center"/>
        <w:rPr>
          <w:rFonts w:eastAsia="Times New Roman"/>
          <w:color w:val="000000" w:themeColor="text1"/>
          <w:lang w:val="en-GB"/>
        </w:rPr>
      </w:pPr>
      <w:r w:rsidRPr="00634BA6">
        <w:rPr>
          <w:rFonts w:eastAsia="Times New Roman"/>
          <w:noProof/>
          <w:color w:val="000000" w:themeColor="text1"/>
          <w:lang w:val="en-GB"/>
        </w:rPr>
        <w:drawing>
          <wp:inline distT="114300" distB="114300" distL="114300" distR="114300" wp14:anchorId="0F2432D3" wp14:editId="7ABE9334">
            <wp:extent cx="2643059" cy="263213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643059" cy="2632137"/>
                    </a:xfrm>
                    <a:prstGeom prst="rect">
                      <a:avLst/>
                    </a:prstGeom>
                    <a:ln/>
                  </pic:spPr>
                </pic:pic>
              </a:graphicData>
            </a:graphic>
          </wp:inline>
        </w:drawing>
      </w:r>
    </w:p>
    <w:p w14:paraId="0A73F66F" w14:textId="77777777" w:rsidR="00E246E7" w:rsidRPr="00130A34" w:rsidRDefault="00EB628F" w:rsidP="00634BA6">
      <w:pPr>
        <w:spacing w:before="240" w:after="240" w:line="360" w:lineRule="auto"/>
        <w:jc w:val="center"/>
        <w:rPr>
          <w:rFonts w:eastAsia="Times New Roman"/>
          <w:b/>
          <w:bCs/>
          <w:lang w:val="en-GB"/>
        </w:rPr>
      </w:pPr>
      <w:r w:rsidRPr="00130A34">
        <w:rPr>
          <w:rFonts w:eastAsia="Times New Roman"/>
          <w:b/>
          <w:bCs/>
          <w:lang w:val="en-GB"/>
        </w:rPr>
        <w:t>Figure 4: The Plan-Do-Study-Act cycle</w:t>
      </w:r>
    </w:p>
    <w:p w14:paraId="1DC1B168" w14:textId="77777777" w:rsidR="00E246E7" w:rsidRPr="00130A34" w:rsidRDefault="00EB628F" w:rsidP="00634BA6">
      <w:pPr>
        <w:spacing w:before="240" w:after="240" w:line="360" w:lineRule="auto"/>
        <w:jc w:val="center"/>
        <w:rPr>
          <w:rFonts w:eastAsia="Times New Roman"/>
          <w:lang w:val="en-GB"/>
        </w:rPr>
      </w:pPr>
      <w:r w:rsidRPr="00130A34">
        <w:rPr>
          <w:rFonts w:eastAsia="Times New Roman"/>
          <w:lang w:val="en-GB"/>
        </w:rPr>
        <w:t xml:space="preserve">(Source: </w:t>
      </w:r>
      <w:proofErr w:type="spellStart"/>
      <w:r w:rsidRPr="00130A34">
        <w:rPr>
          <w:rFonts w:eastAsia="Times New Roman"/>
          <w:lang w:val="en-GB"/>
        </w:rPr>
        <w:t>Manandi</w:t>
      </w:r>
      <w:proofErr w:type="spellEnd"/>
      <w:r w:rsidRPr="00130A34">
        <w:rPr>
          <w:rFonts w:eastAsia="Times New Roman"/>
          <w:lang w:val="en-GB"/>
        </w:rPr>
        <w:t xml:space="preserve"> </w:t>
      </w:r>
      <w:r w:rsidRPr="00130A34">
        <w:rPr>
          <w:rFonts w:eastAsia="Times New Roman"/>
          <w:i/>
          <w:iCs/>
          <w:lang w:val="en-GB"/>
        </w:rPr>
        <w:t>et al.</w:t>
      </w:r>
      <w:r w:rsidRPr="00130A34">
        <w:rPr>
          <w:rFonts w:eastAsia="Times New Roman"/>
          <w:lang w:val="en-GB"/>
        </w:rPr>
        <w:t xml:space="preserve"> 2023)</w:t>
      </w:r>
    </w:p>
    <w:p w14:paraId="12CED555"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Plan</w:t>
      </w:r>
    </w:p>
    <w:p w14:paraId="23DAE01E"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The initial process would be to identify a problem that has patient safety concerns and devise a solution that is applicable to the problem. The main issues in this case were that clinical risks were not reported early enough. Therefore, the escalation protocol might be developed in a systematic manner, including the identification of issues, the assignment of roles to employees and the uniformity of communication channels (Marino</w:t>
      </w:r>
      <w:r w:rsidRPr="00130A34">
        <w:rPr>
          <w:rFonts w:eastAsia="Times New Roman"/>
          <w:i/>
          <w:iCs/>
          <w:lang w:val="en-GB"/>
        </w:rPr>
        <w:t xml:space="preserve"> et al</w:t>
      </w:r>
      <w:r w:rsidRPr="00130A34">
        <w:rPr>
          <w:rFonts w:eastAsia="Times New Roman"/>
          <w:lang w:val="en-GB"/>
        </w:rPr>
        <w:t>. 2023).</w:t>
      </w:r>
    </w:p>
    <w:p w14:paraId="1ED4A841"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Do</w:t>
      </w:r>
    </w:p>
    <w:p w14:paraId="5F4798C8"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The proposed intervention is put to the test during the implementation phase. As an example, the escalation protocol may be piloted in a single maternity ward only. Staff training and practice would aid the healthcare professionals in applying the new process appropriately, as it would ensure the medical professionals would be knowledgeable about when and how to voice concerns (Boutros </w:t>
      </w:r>
      <w:r w:rsidRPr="00130A34">
        <w:rPr>
          <w:rFonts w:eastAsia="Times New Roman"/>
          <w:i/>
          <w:iCs/>
          <w:lang w:val="en-GB"/>
        </w:rPr>
        <w:t>et al</w:t>
      </w:r>
      <w:r w:rsidRPr="00130A34">
        <w:rPr>
          <w:rFonts w:eastAsia="Times New Roman"/>
          <w:lang w:val="en-GB"/>
        </w:rPr>
        <w:t>. 2023).</w:t>
      </w:r>
    </w:p>
    <w:p w14:paraId="58BD2252"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Study</w:t>
      </w:r>
    </w:p>
    <w:p w14:paraId="6ADA92AE"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 xml:space="preserve">This is a step of looking at the data to determine whether the intervention was successful or not. You may examine such aspects as the speed of your reaction on issues, the number of cases that have been deteriorated, and patient outcomes. Feedback, both the staff and patients, should also be received to understand whether the changes have helped improve communication and safety (Shiri </w:t>
      </w:r>
      <w:r w:rsidRPr="00130A34">
        <w:rPr>
          <w:rFonts w:eastAsia="Times New Roman"/>
          <w:i/>
          <w:iCs/>
          <w:lang w:val="en-GB"/>
        </w:rPr>
        <w:t>et al</w:t>
      </w:r>
      <w:r w:rsidRPr="00130A34">
        <w:rPr>
          <w:rFonts w:eastAsia="Times New Roman"/>
          <w:lang w:val="en-GB"/>
        </w:rPr>
        <w:t>. 2023).</w:t>
      </w:r>
    </w:p>
    <w:p w14:paraId="5E3A16D1" w14:textId="77777777"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Act</w:t>
      </w:r>
    </w:p>
    <w:p w14:paraId="758A48A2"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Depending on the outcomes, the intervention gets refined and implemented on either the entire organisation or undergoes further testing. Provided the successful implementation of the escalation protocol, it might further be applied in other maternity services, which will serve to maintain the quality improvement.</w:t>
      </w:r>
    </w:p>
    <w:p w14:paraId="64DFB243" w14:textId="77777777" w:rsidR="005449F3" w:rsidRDefault="005449F3">
      <w:pPr>
        <w:rPr>
          <w:rFonts w:eastAsia="Times New Roman"/>
          <w:i/>
          <w:iCs/>
          <w:lang w:val="en-GB"/>
        </w:rPr>
      </w:pPr>
      <w:r>
        <w:rPr>
          <w:rFonts w:eastAsia="Times New Roman"/>
          <w:i/>
          <w:iCs/>
          <w:lang w:val="en-GB"/>
        </w:rPr>
        <w:br w:type="page"/>
      </w:r>
    </w:p>
    <w:p w14:paraId="55116097" w14:textId="30EF3C0E" w:rsidR="00E246E7" w:rsidRPr="00130A34" w:rsidRDefault="00EB628F" w:rsidP="00130A34">
      <w:pPr>
        <w:spacing w:before="240" w:after="240" w:line="360" w:lineRule="auto"/>
        <w:jc w:val="both"/>
        <w:rPr>
          <w:rFonts w:eastAsia="Times New Roman"/>
          <w:i/>
          <w:iCs/>
          <w:lang w:val="en-GB"/>
        </w:rPr>
      </w:pPr>
      <w:r w:rsidRPr="00130A34">
        <w:rPr>
          <w:rFonts w:eastAsia="Times New Roman"/>
          <w:i/>
          <w:iCs/>
          <w:lang w:val="en-GB"/>
        </w:rPr>
        <w:t xml:space="preserve">Critical Evaluation </w:t>
      </w:r>
    </w:p>
    <w:p w14:paraId="16B376DF"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One of the best things about the PDSA model is that it focuses on continuous improvement through repeated testing. This lets organisations make changes based on what happens in the real world. But a big problem is that it needs strong leadership, commitment from the organisation, and a supportive culture to work well, which were all things that were missing in this case.</w:t>
      </w:r>
    </w:p>
    <w:p w14:paraId="7DE3FFB5" w14:textId="77777777" w:rsidR="00E246E7" w:rsidRPr="00130A34" w:rsidRDefault="00EB628F" w:rsidP="00130A34">
      <w:pPr>
        <w:pStyle w:val="Heading2"/>
        <w:spacing w:before="240" w:after="240"/>
        <w:rPr>
          <w:rFonts w:ascii="Arial" w:hAnsi="Arial" w:cs="Arial"/>
          <w:sz w:val="22"/>
          <w:szCs w:val="22"/>
          <w:lang w:val="en-GB"/>
        </w:rPr>
      </w:pPr>
      <w:bookmarkStart w:id="6" w:name="_Toc226026744"/>
      <w:r w:rsidRPr="00130A34">
        <w:rPr>
          <w:rFonts w:ascii="Arial" w:hAnsi="Arial" w:cs="Arial"/>
          <w:sz w:val="22"/>
          <w:szCs w:val="22"/>
          <w:lang w:val="en-GB"/>
        </w:rPr>
        <w:t>2.5 Kotter’s change model</w:t>
      </w:r>
      <w:bookmarkEnd w:id="6"/>
      <w:r w:rsidRPr="00130A34">
        <w:rPr>
          <w:rFonts w:ascii="Arial" w:hAnsi="Arial" w:cs="Arial"/>
          <w:sz w:val="22"/>
          <w:szCs w:val="22"/>
          <w:lang w:val="en-GB"/>
        </w:rPr>
        <w:t xml:space="preserve"> </w:t>
      </w:r>
    </w:p>
    <w:p w14:paraId="2ED5B386" w14:textId="140F8543" w:rsidR="00E246E7" w:rsidRPr="0055608D" w:rsidRDefault="00EB628F" w:rsidP="00130A34">
      <w:pPr>
        <w:spacing w:before="240" w:after="240" w:line="360" w:lineRule="auto"/>
        <w:jc w:val="both"/>
        <w:rPr>
          <w:rFonts w:eastAsia="Times New Roman"/>
          <w:color w:val="000000" w:themeColor="text1"/>
          <w:lang w:val="en-GB"/>
        </w:rPr>
      </w:pPr>
      <w:r w:rsidRPr="00130A34">
        <w:rPr>
          <w:rFonts w:eastAsia="Times New Roman"/>
          <w:lang w:val="en-GB"/>
        </w:rPr>
        <w:t xml:space="preserve">Kotter's 8-Step Change Model gives a structured way to make changes in an organisation by </w:t>
      </w:r>
      <w:r w:rsidRPr="0055608D">
        <w:rPr>
          <w:rFonts w:eastAsia="Times New Roman"/>
          <w:color w:val="000000" w:themeColor="text1"/>
          <w:lang w:val="en-GB"/>
        </w:rPr>
        <w:t xml:space="preserve">following a series of steps, such as making people feel like they need to change, building a guiding coalition, sharing the vision, and making change a part of the organisation's culture. </w:t>
      </w:r>
      <w:r w:rsidR="007D3C7C" w:rsidRPr="0055608D">
        <w:rPr>
          <w:rFonts w:eastAsia="Times New Roman"/>
          <w:color w:val="000000" w:themeColor="text1"/>
          <w:lang w:val="en-GB"/>
        </w:rPr>
        <w:t xml:space="preserve">Using the model of </w:t>
      </w:r>
      <w:proofErr w:type="spellStart"/>
      <w:r w:rsidR="007D3C7C" w:rsidRPr="0055608D">
        <w:rPr>
          <w:rFonts w:eastAsia="Times New Roman"/>
          <w:color w:val="000000" w:themeColor="text1"/>
          <w:lang w:val="en-GB"/>
        </w:rPr>
        <w:t>Kotters</w:t>
      </w:r>
      <w:proofErr w:type="spellEnd"/>
      <w:r w:rsidR="007D3C7C" w:rsidRPr="0055608D">
        <w:rPr>
          <w:rFonts w:eastAsia="Times New Roman"/>
          <w:color w:val="000000" w:themeColor="text1"/>
          <w:lang w:val="en-GB"/>
        </w:rPr>
        <w:t xml:space="preserve"> 8 steps proved right since the failures reported in the maternity services were not necessarily the fault of personal professional development but rather the organisational culture, leadership and change resistance. Cohort-based techniques are better applied to training or education interventions where Kotter gives an organised plan of how to transform a large organisation including generating a sense of urgency, form leadership alliances, and entrench the change into institutional culture. </w:t>
      </w:r>
      <w:r w:rsidR="00187F27" w:rsidRPr="0055608D">
        <w:rPr>
          <w:rFonts w:eastAsia="Times New Roman"/>
          <w:color w:val="000000" w:themeColor="text1"/>
          <w:lang w:val="en-GB"/>
        </w:rPr>
        <w:t>Therefore, t</w:t>
      </w:r>
      <w:r w:rsidRPr="0055608D">
        <w:rPr>
          <w:rFonts w:eastAsia="Times New Roman"/>
          <w:color w:val="000000" w:themeColor="text1"/>
          <w:lang w:val="en-GB"/>
        </w:rPr>
        <w:t>his model is especially useful for figuring out why the Shrewsbury and Telford maternity services didn't get better over time.</w:t>
      </w:r>
    </w:p>
    <w:p w14:paraId="5754DD64" w14:textId="77777777" w:rsidR="00E246E7" w:rsidRPr="00130A34" w:rsidRDefault="00EB628F" w:rsidP="00130A34">
      <w:pPr>
        <w:spacing w:before="240" w:after="240" w:line="360" w:lineRule="auto"/>
        <w:jc w:val="both"/>
        <w:rPr>
          <w:rFonts w:eastAsia="Times New Roman"/>
          <w:lang w:val="en-GB"/>
        </w:rPr>
      </w:pPr>
      <w:r w:rsidRPr="0055608D">
        <w:rPr>
          <w:rFonts w:eastAsia="Times New Roman"/>
          <w:color w:val="000000" w:themeColor="text1"/>
          <w:lang w:val="en-GB"/>
        </w:rPr>
        <w:t>A major problem in this case was that there was no sense of urgency in dealing with concerns about patient safety. Even though there were many incidents and warning signs, the leaders didn't see how serious the situation was, which delayed the actions that needed to be taken (Ockenden, 2022). In addition, there was a weak leadership coalition, and senior management didn't work together well to make changes or challenge unsafe practices. Lack of effective c</w:t>
      </w:r>
      <w:r w:rsidRPr="00130A34">
        <w:rPr>
          <w:rFonts w:eastAsia="Times New Roman"/>
          <w:lang w:val="en-GB"/>
        </w:rPr>
        <w:t xml:space="preserve">ommunication also contributed to the situation as the issues raised by the staff and patients were frequently disregarded or even rejected, and it became more difficult to make the organisation transparent and learn (Francis, 2013). The failure to develop a culture </w:t>
      </w:r>
      <w:proofErr w:type="spellStart"/>
      <w:r w:rsidRPr="00130A34">
        <w:rPr>
          <w:rFonts w:eastAsia="Times New Roman"/>
          <w:lang w:val="en-GB"/>
        </w:rPr>
        <w:t>centered</w:t>
      </w:r>
      <w:proofErr w:type="spellEnd"/>
      <w:r w:rsidRPr="00130A34">
        <w:rPr>
          <w:rFonts w:eastAsia="Times New Roman"/>
          <w:lang w:val="en-GB"/>
        </w:rPr>
        <w:t xml:space="preserve"> on safety was also experienced, and this resulted in unsafe practices becoming normalized with time. New behaviours and values could not be supported without meaningful change being supported (NHS England, 2023).</w:t>
      </w:r>
    </w:p>
    <w:p w14:paraId="6DBE2AA1"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i/>
          <w:iCs/>
          <w:lang w:val="en-GB"/>
        </w:rPr>
        <w:t xml:space="preserve">Critical evaluation </w:t>
      </w:r>
    </w:p>
    <w:p w14:paraId="33765282" w14:textId="77777777" w:rsidR="00E246E7" w:rsidRPr="00130A34" w:rsidRDefault="00EB628F" w:rsidP="00130A34">
      <w:pPr>
        <w:spacing w:before="240" w:after="240" w:line="360" w:lineRule="auto"/>
        <w:jc w:val="both"/>
        <w:rPr>
          <w:rFonts w:eastAsia="Times New Roman"/>
          <w:lang w:val="en-GB"/>
        </w:rPr>
      </w:pPr>
      <w:r w:rsidRPr="00130A34">
        <w:rPr>
          <w:rFonts w:eastAsia="Times New Roman"/>
          <w:lang w:val="en-GB"/>
        </w:rPr>
        <w:t>One of the best things about Kotter's model is that it has a clear and structured way to manage change, with clear steps for putting it into action. A major drawback, though, is that it can take a long time and may not be easy to use in an emergency, when quick action is needed to keep patients safe.</w:t>
      </w:r>
    </w:p>
    <w:p w14:paraId="56079306" w14:textId="77777777" w:rsidR="004118E3" w:rsidRPr="00130A34" w:rsidRDefault="004118E3" w:rsidP="00130A34">
      <w:pPr>
        <w:pStyle w:val="Heading1"/>
        <w:spacing w:before="240" w:after="240"/>
        <w:rPr>
          <w:rFonts w:ascii="Arial" w:hAnsi="Arial" w:cs="Arial"/>
          <w:sz w:val="22"/>
          <w:szCs w:val="22"/>
          <w:lang w:val="en-GB"/>
        </w:rPr>
      </w:pPr>
      <w:bookmarkStart w:id="7" w:name="_Toc226026745"/>
      <w:r w:rsidRPr="00130A34">
        <w:rPr>
          <w:rFonts w:ascii="Arial" w:hAnsi="Arial" w:cs="Arial"/>
          <w:sz w:val="22"/>
          <w:szCs w:val="22"/>
          <w:lang w:val="en-GB"/>
        </w:rPr>
        <w:t>3. Recommendations</w:t>
      </w:r>
      <w:bookmarkEnd w:id="7"/>
      <w:r w:rsidRPr="00130A34">
        <w:rPr>
          <w:rFonts w:ascii="Arial" w:hAnsi="Arial" w:cs="Arial"/>
          <w:sz w:val="22"/>
          <w:szCs w:val="22"/>
          <w:lang w:val="en-GB"/>
        </w:rPr>
        <w:t> </w:t>
      </w:r>
    </w:p>
    <w:p w14:paraId="4CA37E5B" w14:textId="0538105B" w:rsidR="004118E3" w:rsidRPr="00130A34" w:rsidRDefault="004118E3" w:rsidP="00F64CFF">
      <w:pPr>
        <w:pStyle w:val="Heading2"/>
        <w:spacing w:before="240" w:after="240"/>
        <w:rPr>
          <w:rFonts w:ascii="Arial" w:hAnsi="Arial" w:cs="Arial"/>
          <w:sz w:val="22"/>
          <w:szCs w:val="22"/>
          <w:lang w:val="en-GB"/>
        </w:rPr>
      </w:pPr>
      <w:bookmarkStart w:id="8" w:name="_Toc226026746"/>
      <w:r w:rsidRPr="00130A34">
        <w:rPr>
          <w:rFonts w:ascii="Arial" w:hAnsi="Arial" w:cs="Arial"/>
          <w:sz w:val="22"/>
          <w:szCs w:val="22"/>
          <w:lang w:val="en-GB"/>
        </w:rPr>
        <w:t>3.1 Benchmark Table</w:t>
      </w:r>
      <w:bookmarkEnd w:id="8"/>
    </w:p>
    <w:tbl>
      <w:tblPr>
        <w:tblW w:w="9026" w:type="dxa"/>
        <w:jc w:val="center"/>
        <w:tblCellMar>
          <w:top w:w="15" w:type="dxa"/>
          <w:left w:w="15" w:type="dxa"/>
          <w:bottom w:w="15" w:type="dxa"/>
          <w:right w:w="15" w:type="dxa"/>
        </w:tblCellMar>
        <w:tblLook w:val="04A0" w:firstRow="1" w:lastRow="0" w:firstColumn="1" w:lastColumn="0" w:noHBand="0" w:noVBand="1"/>
      </w:tblPr>
      <w:tblGrid>
        <w:gridCol w:w="1838"/>
        <w:gridCol w:w="2540"/>
        <w:gridCol w:w="2294"/>
        <w:gridCol w:w="2354"/>
      </w:tblGrid>
      <w:tr w:rsidR="004118E3" w:rsidRPr="00130A34" w14:paraId="2C47A318" w14:textId="77777777" w:rsidTr="004118E3">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3733416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b/>
                <w:bCs/>
                <w:lang w:val="en-GB"/>
              </w:rPr>
              <w:t>Benchmark Indicator </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4460C5D0"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b/>
                <w:bCs/>
                <w:lang w:val="en-GB"/>
              </w:rPr>
              <w:t>National Standard (UK)</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4F919BA5"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b/>
                <w:bCs/>
                <w:lang w:val="en-GB"/>
              </w:rPr>
              <w:t>Hospital Performance (Before Improvement)</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200CF60A"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b/>
                <w:bCs/>
                <w:lang w:val="en-GB"/>
              </w:rPr>
              <w:t>Hospital Performance (After Improvement)</w:t>
            </w:r>
          </w:p>
        </w:tc>
      </w:tr>
      <w:tr w:rsidR="004118E3" w:rsidRPr="00130A34" w14:paraId="0714957A" w14:textId="77777777" w:rsidTr="004118E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891CE"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Patient safety outcomes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E6D9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The maternity safety programmes of the NHS aim to minimise the number of avoidable deaths and harm. This can be  done through the early detection of the risks and standardisation of the care pathways (Wood </w:t>
            </w:r>
            <w:r w:rsidRPr="00130A34">
              <w:rPr>
                <w:rFonts w:eastAsia="Times New Roman"/>
                <w:i/>
                <w:iCs/>
                <w:lang w:val="en-GB"/>
              </w:rPr>
              <w:t>et al.,</w:t>
            </w:r>
            <w:r w:rsidRPr="00130A34">
              <w:rPr>
                <w:rFonts w:eastAsia="Times New Roman"/>
                <w:lang w:val="en-GB"/>
              </w:rPr>
              <w:t xml:space="preserve">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021D0"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Higher rates of avoidable deaths including 200 neonates and multiple concerning events due to delaying of escalation and unsafe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DF31E"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escalation protocols have improved and the number of adverse outcomes has reduced. The hospital has also implemented early intervention strategies. </w:t>
            </w:r>
          </w:p>
        </w:tc>
      </w:tr>
      <w:tr w:rsidR="004118E3" w:rsidRPr="00130A34" w14:paraId="6181B4AA" w14:textId="77777777" w:rsidTr="004118E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7190D"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Workforce Capacity and Skill Mix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8D63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As per the NICE guidelines, safe staffing levels and appropriate skill mix are required to ensure the continuous mentoring of patients and safe care delivery.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501683" w14:textId="64BD8CC2"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long-term problems of understaffing and inadequate skill mix minimised the ability to identify the risks and respond accordingly (Griffiths</w:t>
            </w:r>
            <w:r w:rsidRPr="00130A34">
              <w:rPr>
                <w:rFonts w:eastAsia="Times New Roman"/>
                <w:i/>
                <w:iCs/>
                <w:lang w:val="en-GB"/>
              </w:rPr>
              <w:t xml:space="preserve"> et al., </w:t>
            </w:r>
            <w:r w:rsidRPr="00130A34">
              <w:rPr>
                <w:rFonts w:eastAsia="Times New Roman"/>
                <w:lang w:val="en-GB"/>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C818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improvement in the staffing levels and enhanced skill distribution and training leads to more responsible and safer care within the hospital settings. </w:t>
            </w:r>
          </w:p>
        </w:tc>
      </w:tr>
      <w:tr w:rsidR="004118E3" w:rsidRPr="00130A34" w14:paraId="4B8B54AB" w14:textId="77777777" w:rsidTr="004118E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CC66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Incident Reporting &amp; Learning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560A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The national healthcare standards require the thorough investigation of the serious incidents and organisational learning that take place within the hospital environment (Mahat </w:t>
            </w:r>
            <w:r w:rsidRPr="00130A34">
              <w:rPr>
                <w:rFonts w:eastAsia="Times New Roman"/>
                <w:i/>
                <w:iCs/>
                <w:lang w:val="en-GB"/>
              </w:rPr>
              <w:t xml:space="preserve">et al., </w:t>
            </w:r>
            <w:r w:rsidRPr="00130A34">
              <w:rPr>
                <w:rFonts w:eastAsia="Times New Roman"/>
                <w:lang w:val="en-GB"/>
              </w:rPr>
              <w:t>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98F5B"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Previously many incidents were not properly investigated which restricted learning and caused repetition of errors.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D61BD"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implementation of the structured RCA and reporting systems enhances the learning cultures and prevents occurrence of errors. </w:t>
            </w:r>
          </w:p>
        </w:tc>
      </w:tr>
      <w:tr w:rsidR="004118E3" w:rsidRPr="00130A34" w14:paraId="44D9F884" w14:textId="77777777" w:rsidTr="004118E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C0920" w14:textId="3413E8DA"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Communication and Patient Centred Care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6E4C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national policies emphasise on the conduct of respectful, compassionate and patient centred maternity care in the hospitals in the United Kingdom (</w:t>
            </w:r>
            <w:proofErr w:type="spellStart"/>
            <w:r w:rsidRPr="00130A34">
              <w:rPr>
                <w:rFonts w:eastAsia="Times New Roman"/>
                <w:lang w:val="en-GB"/>
              </w:rPr>
              <w:t>Sharkiya</w:t>
            </w:r>
            <w:proofErr w:type="spellEnd"/>
            <w:r w:rsidRPr="00130A34">
              <w:rPr>
                <w:rFonts w:eastAsia="Times New Roman"/>
                <w:lang w:val="en-GB"/>
              </w:rPr>
              <w:t>,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332BC" w14:textId="34E8FF75"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There was a lack of </w:t>
            </w:r>
            <w:r w:rsidR="0054306D" w:rsidRPr="00130A34">
              <w:rPr>
                <w:rFonts w:eastAsia="Times New Roman"/>
                <w:lang w:val="en-GB"/>
              </w:rPr>
              <w:t>communication,</w:t>
            </w:r>
            <w:r w:rsidRPr="00130A34">
              <w:rPr>
                <w:rFonts w:eastAsia="Times New Roman"/>
                <w:lang w:val="en-GB"/>
              </w:rPr>
              <w:t xml:space="preserve"> and the families were ignored in case of decision making regarding maternity care.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E0F9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The improved communication strategies and the involvement of the patients and family members enhance trust and satisfaction in the services of the hospital (Ahmed </w:t>
            </w:r>
            <w:r w:rsidRPr="00130A34">
              <w:rPr>
                <w:rFonts w:eastAsia="Times New Roman"/>
                <w:i/>
                <w:iCs/>
                <w:lang w:val="en-GB"/>
              </w:rPr>
              <w:t xml:space="preserve">et al., </w:t>
            </w:r>
            <w:r w:rsidRPr="00130A34">
              <w:rPr>
                <w:rFonts w:eastAsia="Times New Roman"/>
                <w:lang w:val="en-GB"/>
              </w:rPr>
              <w:t>2022). </w:t>
            </w:r>
          </w:p>
        </w:tc>
      </w:tr>
    </w:tbl>
    <w:p w14:paraId="791FAACE" w14:textId="77777777" w:rsidR="004118E3" w:rsidRPr="00130A34" w:rsidRDefault="004118E3" w:rsidP="00130A34">
      <w:pPr>
        <w:spacing w:before="240" w:after="240" w:line="360" w:lineRule="auto"/>
        <w:jc w:val="both"/>
        <w:rPr>
          <w:rFonts w:eastAsia="Times New Roman"/>
          <w:lang w:val="en-GB"/>
        </w:rPr>
      </w:pPr>
    </w:p>
    <w:p w14:paraId="4EE88C48"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b/>
          <w:bCs/>
          <w:lang w:val="en-GB"/>
        </w:rPr>
        <w:t>Recommendations</w:t>
      </w:r>
    </w:p>
    <w:p w14:paraId="4A5A9247" w14:textId="77777777" w:rsidR="004118E3" w:rsidRPr="00130A34" w:rsidRDefault="004118E3" w:rsidP="00D15307">
      <w:pPr>
        <w:spacing w:before="240" w:after="240" w:line="360" w:lineRule="auto"/>
        <w:jc w:val="both"/>
        <w:rPr>
          <w:rFonts w:eastAsia="Times New Roman"/>
          <w:b/>
          <w:bCs/>
          <w:lang w:val="en-GB"/>
        </w:rPr>
      </w:pPr>
      <w:r w:rsidRPr="00130A34">
        <w:rPr>
          <w:rFonts w:eastAsia="Times New Roman"/>
          <w:b/>
          <w:bCs/>
          <w:lang w:val="en-GB"/>
        </w:rPr>
        <w:t>Strengthening of the leadership accountability and governance systems</w:t>
      </w:r>
    </w:p>
    <w:p w14:paraId="0FAA8BC2" w14:textId="3D4ED9B4"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It is recommended that uniform leadership structures need to be reformed to ensure accountability and transparency in the decision-making processes. The Ockenden case described that the weak governance of the hospital led to the continuation of unsafe practices without getting checked (Jones </w:t>
      </w:r>
      <w:r w:rsidRPr="00130A34">
        <w:rPr>
          <w:rFonts w:eastAsia="Times New Roman"/>
          <w:i/>
          <w:iCs/>
          <w:lang w:val="en-GB"/>
        </w:rPr>
        <w:t xml:space="preserve">et al., </w:t>
      </w:r>
      <w:r w:rsidRPr="00130A34">
        <w:rPr>
          <w:rFonts w:eastAsia="Times New Roman"/>
          <w:lang w:val="en-GB"/>
        </w:rPr>
        <w:t>2022). Therefore, organisations should implement structured governance frameworks, including regular safety audits, board-level oversight, and clear reporting hierarchies.</w:t>
      </w:r>
    </w:p>
    <w:p w14:paraId="1CC03C6A" w14:textId="77777777" w:rsidR="004118E3" w:rsidRPr="00130A34" w:rsidRDefault="004118E3" w:rsidP="00D15307">
      <w:pPr>
        <w:spacing w:before="240" w:after="240" w:line="360" w:lineRule="auto"/>
        <w:jc w:val="both"/>
        <w:rPr>
          <w:rFonts w:eastAsia="Times New Roman"/>
          <w:b/>
          <w:bCs/>
          <w:lang w:val="en-GB"/>
        </w:rPr>
      </w:pPr>
      <w:r w:rsidRPr="00130A34">
        <w:rPr>
          <w:rFonts w:eastAsia="Times New Roman"/>
          <w:b/>
          <w:bCs/>
          <w:lang w:val="en-GB"/>
        </w:rPr>
        <w:t>Improvement of workforce capacity, training and skill mix </w:t>
      </w:r>
    </w:p>
    <w:p w14:paraId="15DA650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shortage of workforce and inadequate skills mix are key factors which majorly contributed to poor care delivery. Hence it is recommended to address this problem through proper strategic workforce planning aligned with the national healthcare standards of the United Kingdom (Ferreira and Collins, 2023). Multidisciplinary team training will also improve coordination and communication between the hospital authorities and the patient parties. Hence investment in the development of the workforce will enhance care quality in the long run. </w:t>
      </w:r>
    </w:p>
    <w:p w14:paraId="7663ACEA" w14:textId="77777777" w:rsidR="004118E3" w:rsidRPr="00130A34" w:rsidRDefault="004118E3" w:rsidP="00B05410">
      <w:pPr>
        <w:spacing w:before="240" w:after="240" w:line="360" w:lineRule="auto"/>
        <w:jc w:val="both"/>
        <w:rPr>
          <w:rFonts w:eastAsia="Times New Roman"/>
          <w:b/>
          <w:bCs/>
          <w:lang w:val="en-GB"/>
        </w:rPr>
      </w:pPr>
      <w:r w:rsidRPr="00130A34">
        <w:rPr>
          <w:rFonts w:eastAsia="Times New Roman"/>
          <w:b/>
          <w:bCs/>
          <w:lang w:val="en-GB"/>
        </w:rPr>
        <w:t>Enhancement of incident reporting, Root Cause Analysis (RCA) and organisational learning </w:t>
      </w:r>
    </w:p>
    <w:p w14:paraId="68ED7D40"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Preventing failures depends on the system for reporting incidents, and every adverse event should have a transparent root cause analysis. This analysis should focus on the organisational and cultural aspects, and not on blaming individuals. The findings should be used to provide staff and training feedback. In addition to other improvements, organisations should implement digital reporting systems for more and improved transparent and data-driven organisational decisions (Willis</w:t>
      </w:r>
      <w:r w:rsidRPr="00130A34">
        <w:rPr>
          <w:rFonts w:eastAsia="Times New Roman"/>
          <w:i/>
          <w:iCs/>
          <w:lang w:val="en-GB"/>
        </w:rPr>
        <w:t xml:space="preserve"> et al., </w:t>
      </w:r>
      <w:r w:rsidRPr="00130A34">
        <w:rPr>
          <w:rFonts w:eastAsia="Times New Roman"/>
          <w:lang w:val="en-GB"/>
        </w:rPr>
        <w:t>2023). This approach to data reporting and analysis will incorporate the continuous learning aspect into the organisational practice.</w:t>
      </w:r>
    </w:p>
    <w:p w14:paraId="79EADDFB" w14:textId="77777777" w:rsidR="004118E3" w:rsidRPr="00130A34" w:rsidRDefault="004118E3" w:rsidP="00F544D4">
      <w:pPr>
        <w:spacing w:before="240" w:after="240" w:line="360" w:lineRule="auto"/>
        <w:jc w:val="both"/>
        <w:rPr>
          <w:rFonts w:eastAsia="Times New Roman"/>
          <w:b/>
          <w:bCs/>
          <w:lang w:val="en-GB"/>
        </w:rPr>
      </w:pPr>
      <w:r w:rsidRPr="00130A34">
        <w:rPr>
          <w:rFonts w:eastAsia="Times New Roman"/>
          <w:b/>
          <w:bCs/>
          <w:lang w:val="en-GB"/>
        </w:rPr>
        <w:t>Implementation of PDA cycles for continuous improvement of service quality </w:t>
      </w:r>
    </w:p>
    <w:p w14:paraId="4252EF4D" w14:textId="60D8B00A"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The PDSA approach provides a structured approach for improvement and development for every service. The guidelines provide a structured approach, and for instance, the planning phase of the clinical escalation protocol should cover the preliminary evaluation of the performance indicators. The refinement of the indicators should be done before the implementation (</w:t>
      </w:r>
      <w:proofErr w:type="spellStart"/>
      <w:r w:rsidRPr="00130A34">
        <w:rPr>
          <w:rFonts w:eastAsia="Times New Roman"/>
          <w:lang w:val="en-GB"/>
        </w:rPr>
        <w:t>Lighterness</w:t>
      </w:r>
      <w:proofErr w:type="spellEnd"/>
      <w:r w:rsidRPr="00130A34">
        <w:rPr>
          <w:rFonts w:eastAsia="Times New Roman"/>
          <w:lang w:val="en-GB"/>
        </w:rPr>
        <w:t xml:space="preserve"> </w:t>
      </w:r>
      <w:r w:rsidRPr="00130A34">
        <w:rPr>
          <w:rFonts w:eastAsia="Times New Roman"/>
          <w:i/>
          <w:iCs/>
          <w:lang w:val="en-GB"/>
        </w:rPr>
        <w:t xml:space="preserve">et al., </w:t>
      </w:r>
      <w:r w:rsidRPr="00130A34">
        <w:rPr>
          <w:rFonts w:eastAsia="Times New Roman"/>
          <w:lang w:val="en-GB"/>
        </w:rPr>
        <w:t xml:space="preserve">2024). Organisational improvement is the focus of the </w:t>
      </w:r>
      <w:r w:rsidR="000023B5" w:rsidRPr="00130A34">
        <w:rPr>
          <w:rFonts w:eastAsia="Times New Roman"/>
          <w:lang w:val="en-GB"/>
        </w:rPr>
        <w:t>approach,</w:t>
      </w:r>
      <w:r w:rsidRPr="00130A34">
        <w:rPr>
          <w:rFonts w:eastAsia="Times New Roman"/>
          <w:lang w:val="en-GB"/>
        </w:rPr>
        <w:t xml:space="preserve"> and it depends on the adaptability and evidence of real improvements. The failure of the whole approach depends on the lack of evidence, planning, and transactional leadership.</w:t>
      </w:r>
    </w:p>
    <w:p w14:paraId="67073E8D" w14:textId="77777777" w:rsidR="000023B5" w:rsidRDefault="000023B5">
      <w:pPr>
        <w:rPr>
          <w:rFonts w:eastAsia="Times New Roman"/>
          <w:b/>
          <w:bCs/>
          <w:lang w:val="en-GB"/>
        </w:rPr>
      </w:pPr>
      <w:r>
        <w:rPr>
          <w:rFonts w:eastAsia="Times New Roman"/>
          <w:b/>
          <w:bCs/>
          <w:lang w:val="en-GB"/>
        </w:rPr>
        <w:br w:type="page"/>
      </w:r>
    </w:p>
    <w:p w14:paraId="02B34667" w14:textId="0DF0B974" w:rsidR="004118E3" w:rsidRPr="00130A34" w:rsidRDefault="004118E3" w:rsidP="00707CD8">
      <w:pPr>
        <w:spacing w:before="240" w:after="240" w:line="360" w:lineRule="auto"/>
        <w:jc w:val="both"/>
        <w:rPr>
          <w:rFonts w:eastAsia="Times New Roman"/>
          <w:b/>
          <w:bCs/>
          <w:lang w:val="en-GB"/>
        </w:rPr>
      </w:pPr>
      <w:r w:rsidRPr="00130A34">
        <w:rPr>
          <w:rFonts w:eastAsia="Times New Roman"/>
          <w:b/>
          <w:bCs/>
          <w:lang w:val="en-GB"/>
        </w:rPr>
        <w:t>Promotion of patient-centred care and alignment of National policies with healthcare practices</w:t>
      </w:r>
    </w:p>
    <w:p w14:paraId="32A0805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Trust in maternity services can only be regained when patient experiences are prioritized. It is critical that organizations engage with women and families to develop collaborative decision-making frameworks and use patient feedback when designing and improving services. The engagement of patients can be further enhanced through staff training on communication and the establishment of advocacy programs. It is also important to address the disconnect between national policy and localized implementation (Entwistle </w:t>
      </w:r>
      <w:r w:rsidRPr="00130A34">
        <w:rPr>
          <w:rFonts w:eastAsia="Times New Roman"/>
          <w:i/>
          <w:iCs/>
          <w:lang w:val="en-GB"/>
        </w:rPr>
        <w:t xml:space="preserve">et al., </w:t>
      </w:r>
      <w:r w:rsidRPr="00130A34">
        <w:rPr>
          <w:rFonts w:eastAsia="Times New Roman"/>
          <w:lang w:val="en-GB"/>
        </w:rPr>
        <w:t>2022). There needs to be more regulatory oversight, accountability, and control on the practical application of evidence-based guidelines.</w:t>
      </w:r>
    </w:p>
    <w:p w14:paraId="52682F72" w14:textId="77777777" w:rsidR="004118E3" w:rsidRPr="00130A34" w:rsidRDefault="004118E3" w:rsidP="00130A34">
      <w:pPr>
        <w:pStyle w:val="Heading1"/>
        <w:spacing w:before="240" w:after="240"/>
        <w:rPr>
          <w:rFonts w:ascii="Arial" w:hAnsi="Arial" w:cs="Arial"/>
          <w:sz w:val="22"/>
          <w:szCs w:val="22"/>
          <w:lang w:val="en-GB"/>
        </w:rPr>
      </w:pPr>
      <w:bookmarkStart w:id="9" w:name="_Toc226026747"/>
      <w:r w:rsidRPr="00130A34">
        <w:rPr>
          <w:rFonts w:ascii="Arial" w:hAnsi="Arial" w:cs="Arial"/>
          <w:sz w:val="22"/>
          <w:szCs w:val="22"/>
          <w:lang w:val="en-GB"/>
        </w:rPr>
        <w:t>4. Conclusion</w:t>
      </w:r>
      <w:bookmarkEnd w:id="9"/>
    </w:p>
    <w:p w14:paraId="01F10ED8"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This report examines the systemic issues in the maternity services at the Shrewsbury and Telford NHS Trust and shows the adverse patient outcomes from the structural, procedural, and cultural weaknesses. The analysis identified governance, workforce capacity, and learning from incidents from the gaps in the Donabedian Model, Fishbone and SWOT analyses. The benchmarks analysis identified the organisational performance and structural gaps in the national standards. The findings emphasise that sustainable improvement requires a systems-based approach supported by strong leadership, effective policy implementation, and continuous quality improvement tools such as PDSA. Ultimately, improving safety culture and accountability is essential to deliver high-quality, patient-centred care. </w:t>
      </w:r>
    </w:p>
    <w:p w14:paraId="09A844A0" w14:textId="77777777" w:rsidR="004118E3" w:rsidRPr="00130A34" w:rsidRDefault="004118E3" w:rsidP="00130A34">
      <w:pPr>
        <w:spacing w:before="240" w:after="240" w:line="360" w:lineRule="auto"/>
        <w:jc w:val="both"/>
        <w:rPr>
          <w:rFonts w:eastAsia="Times New Roman"/>
          <w:lang w:val="en-GB"/>
        </w:rPr>
      </w:pPr>
    </w:p>
    <w:p w14:paraId="5D480DFB" w14:textId="77777777" w:rsidR="00E246E7" w:rsidRPr="00130A34" w:rsidRDefault="00EB628F" w:rsidP="00130A34">
      <w:pPr>
        <w:spacing w:before="240" w:after="240" w:line="360" w:lineRule="auto"/>
        <w:jc w:val="both"/>
        <w:rPr>
          <w:rFonts w:eastAsia="Times New Roman"/>
          <w:lang w:val="en-GB"/>
        </w:rPr>
      </w:pPr>
      <w:r w:rsidRPr="00130A34">
        <w:rPr>
          <w:lang w:val="en-GB"/>
        </w:rPr>
        <w:br w:type="page"/>
      </w:r>
    </w:p>
    <w:p w14:paraId="304D3E56" w14:textId="77777777" w:rsidR="00E246E7" w:rsidRPr="00130A34" w:rsidRDefault="00EB628F" w:rsidP="00130A34">
      <w:pPr>
        <w:pStyle w:val="Heading1"/>
        <w:spacing w:before="240" w:after="240"/>
        <w:rPr>
          <w:rFonts w:ascii="Arial" w:hAnsi="Arial" w:cs="Arial"/>
          <w:sz w:val="22"/>
          <w:szCs w:val="22"/>
          <w:lang w:val="en-GB"/>
        </w:rPr>
      </w:pPr>
      <w:bookmarkStart w:id="10" w:name="_Toc226026748"/>
      <w:r w:rsidRPr="00130A34">
        <w:rPr>
          <w:rFonts w:ascii="Arial" w:hAnsi="Arial" w:cs="Arial"/>
          <w:sz w:val="22"/>
          <w:szCs w:val="22"/>
          <w:lang w:val="en-GB"/>
        </w:rPr>
        <w:t>References</w:t>
      </w:r>
      <w:bookmarkEnd w:id="10"/>
    </w:p>
    <w:p w14:paraId="0AC9C25F" w14:textId="1823F400"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Ahmed, A., van den </w:t>
      </w:r>
      <w:proofErr w:type="spellStart"/>
      <w:r w:rsidRPr="00130A34">
        <w:rPr>
          <w:rFonts w:eastAsia="Times New Roman"/>
          <w:lang w:val="en-GB"/>
        </w:rPr>
        <w:t>Muijsenbergh</w:t>
      </w:r>
      <w:proofErr w:type="spellEnd"/>
      <w:r w:rsidRPr="00130A34">
        <w:rPr>
          <w:rFonts w:eastAsia="Times New Roman"/>
          <w:lang w:val="en-GB"/>
        </w:rPr>
        <w:t xml:space="preserve">, M.E. and </w:t>
      </w:r>
      <w:proofErr w:type="spellStart"/>
      <w:r w:rsidRPr="00130A34">
        <w:rPr>
          <w:rFonts w:eastAsia="Times New Roman"/>
          <w:lang w:val="en-GB"/>
        </w:rPr>
        <w:t>Vrijhoef</w:t>
      </w:r>
      <w:proofErr w:type="spellEnd"/>
      <w:r w:rsidRPr="00130A34">
        <w:rPr>
          <w:rFonts w:eastAsia="Times New Roman"/>
          <w:lang w:val="en-GB"/>
        </w:rPr>
        <w:t>, H.J., 2022. Person</w:t>
      </w:r>
      <w:r w:rsidRPr="00130A34">
        <w:rPr>
          <w:rFonts w:ascii="Cambria Math" w:eastAsia="Times New Roman" w:hAnsi="Cambria Math" w:cs="Cambria Math"/>
          <w:lang w:val="en-GB"/>
        </w:rPr>
        <w:t>‐</w:t>
      </w:r>
      <w:r w:rsidRPr="00130A34">
        <w:rPr>
          <w:rFonts w:eastAsia="Times New Roman"/>
          <w:lang w:val="en-GB"/>
        </w:rPr>
        <w:t xml:space="preserve">centred care in primary care: what works for whom, how and in what circumstances?. Health &amp; social care in the community, 30(6), pp.e3328-e3341. </w:t>
      </w:r>
      <w:hyperlink r:id="rId13" w:history="1">
        <w:r w:rsidRPr="00130A34">
          <w:rPr>
            <w:rStyle w:val="Hyperlink"/>
            <w:rFonts w:eastAsia="Times New Roman"/>
            <w:lang w:val="en-GB"/>
          </w:rPr>
          <w:t>https://doi.org/10.1111/hsc.13913</w:t>
        </w:r>
      </w:hyperlink>
      <w:r w:rsidRPr="00130A34">
        <w:rPr>
          <w:rFonts w:eastAsia="Times New Roman"/>
          <w:lang w:val="en-GB"/>
        </w:rPr>
        <w:t> </w:t>
      </w:r>
    </w:p>
    <w:p w14:paraId="793265A3" w14:textId="068FA443"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BBC</w:t>
      </w:r>
      <w:r w:rsidR="0057114C">
        <w:rPr>
          <w:rFonts w:eastAsia="Times New Roman"/>
          <w:lang w:val="en-GB"/>
        </w:rPr>
        <w:t xml:space="preserve">., </w:t>
      </w:r>
      <w:r w:rsidRPr="00130A34">
        <w:rPr>
          <w:rFonts w:eastAsia="Times New Roman"/>
          <w:lang w:val="en-GB"/>
        </w:rPr>
        <w:t>2022. Shrewsbury maternity scandal: Repeated failures led to deaths. www.bbc.com. [online] 30 Mar. Available at: https://www.bbc.com/news/uk-england-shropshire-60925959.</w:t>
      </w:r>
    </w:p>
    <w:p w14:paraId="1D72281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Boutros, P., Kassem, N., Nieder, J., Jaramillo, C., von Petersdorff, J., Walsh, F.J., </w:t>
      </w:r>
      <w:proofErr w:type="spellStart"/>
      <w:r w:rsidRPr="00130A34">
        <w:rPr>
          <w:rFonts w:eastAsia="Times New Roman"/>
          <w:lang w:val="en-GB"/>
        </w:rPr>
        <w:t>Bärnighausen</w:t>
      </w:r>
      <w:proofErr w:type="spellEnd"/>
      <w:r w:rsidRPr="00130A34">
        <w:rPr>
          <w:rFonts w:eastAsia="Times New Roman"/>
          <w:lang w:val="en-GB"/>
        </w:rPr>
        <w:t xml:space="preserve">, T. and </w:t>
      </w:r>
      <w:proofErr w:type="spellStart"/>
      <w:r w:rsidRPr="00130A34">
        <w:rPr>
          <w:rFonts w:eastAsia="Times New Roman"/>
          <w:lang w:val="en-GB"/>
        </w:rPr>
        <w:t>Barteit</w:t>
      </w:r>
      <w:proofErr w:type="spellEnd"/>
      <w:r w:rsidRPr="00130A34">
        <w:rPr>
          <w:rFonts w:eastAsia="Times New Roman"/>
          <w:lang w:val="en-GB"/>
        </w:rPr>
        <w:t xml:space="preserve">, S., 2023, November. Education and training adaptations for health workers during the COVID-19 pandemic: a scoping review of lessons learned and innovations. In Healthcare (Vol. 11, No. 21, p. 2902). </w:t>
      </w:r>
      <w:proofErr w:type="spellStart"/>
      <w:r w:rsidRPr="00130A34">
        <w:rPr>
          <w:rFonts w:eastAsia="Times New Roman"/>
          <w:lang w:val="en-GB"/>
        </w:rPr>
        <w:t>MDPI.</w:t>
      </w:r>
      <w:hyperlink r:id="rId14" w:history="1">
        <w:r w:rsidRPr="00130A34">
          <w:rPr>
            <w:rStyle w:val="Hyperlink"/>
            <w:rFonts w:eastAsia="Times New Roman"/>
            <w:lang w:val="en-GB"/>
          </w:rPr>
          <w:t>https</w:t>
        </w:r>
        <w:proofErr w:type="spellEnd"/>
        <w:r w:rsidRPr="00130A34">
          <w:rPr>
            <w:rStyle w:val="Hyperlink"/>
            <w:rFonts w:eastAsia="Times New Roman"/>
            <w:lang w:val="en-GB"/>
          </w:rPr>
          <w:t>://doi.org/10.3390/healthcare11212902</w:t>
        </w:r>
      </w:hyperlink>
    </w:p>
    <w:p w14:paraId="3F788FDC"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Entwistle, V.A., Cribb, A., Mitchell, P. and Walter, S., 2022. Unifying and universalizing personalised care? An analysis of a national curriculum with implications for policy and education relating to person-centred care. Patient Education and </w:t>
      </w:r>
      <w:proofErr w:type="spellStart"/>
      <w:r w:rsidRPr="00130A34">
        <w:rPr>
          <w:rFonts w:eastAsia="Times New Roman"/>
          <w:lang w:val="en-GB"/>
        </w:rPr>
        <w:t>Counseling</w:t>
      </w:r>
      <w:proofErr w:type="spellEnd"/>
      <w:r w:rsidRPr="00130A34">
        <w:rPr>
          <w:rFonts w:eastAsia="Times New Roman"/>
          <w:lang w:val="en-GB"/>
        </w:rPr>
        <w:t xml:space="preserve">, 105(12), pp.3422-3428. </w:t>
      </w:r>
      <w:hyperlink r:id="rId15" w:history="1">
        <w:r w:rsidRPr="00130A34">
          <w:rPr>
            <w:rStyle w:val="Hyperlink"/>
            <w:rFonts w:eastAsia="Times New Roman"/>
            <w:lang w:val="en-GB"/>
          </w:rPr>
          <w:t>https://doi.org/10.1016/j.pec.2022.07.003</w:t>
        </w:r>
      </w:hyperlink>
      <w:r w:rsidRPr="00130A34">
        <w:rPr>
          <w:rFonts w:eastAsia="Times New Roman"/>
          <w:lang w:val="en-GB"/>
        </w:rPr>
        <w:t> </w:t>
      </w:r>
    </w:p>
    <w:p w14:paraId="0F33C9C9"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Ferreira, T. and Collins, A.M., 2023. The NHS Long Term Workforce Plan: an ambitious leap or a misstep?. Journal of the Royal Society of Medicine, 116(11), pp.368-370. </w:t>
      </w:r>
      <w:hyperlink r:id="rId16" w:history="1">
        <w:r w:rsidRPr="00130A34">
          <w:rPr>
            <w:rStyle w:val="Hyperlink"/>
            <w:rFonts w:eastAsia="Times New Roman"/>
            <w:lang w:val="en-GB"/>
          </w:rPr>
          <w:t>https://doi.org/10.1177/01410768231198373</w:t>
        </w:r>
      </w:hyperlink>
      <w:r w:rsidRPr="00130A34">
        <w:rPr>
          <w:rFonts w:eastAsia="Times New Roman"/>
          <w:lang w:val="en-GB"/>
        </w:rPr>
        <w:t> </w:t>
      </w:r>
    </w:p>
    <w:p w14:paraId="50D0D5D9"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Francis, Robert. “Report of the Mid Staffordshire NHS Foundation Trust Public Inquiry.” GOV.UK, 2013, www.gov.uk/government/publications/report-of-the-mid-staffordshire-nhs-foundation-trust-public-inquiry. [Accessed on: 06-02-2026]</w:t>
      </w:r>
    </w:p>
    <w:p w14:paraId="76A8B7A7"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Griffiths, P., Saville, C., Ball, J., </w:t>
      </w:r>
      <w:proofErr w:type="spellStart"/>
      <w:r w:rsidRPr="00130A34">
        <w:rPr>
          <w:rFonts w:eastAsia="Times New Roman"/>
          <w:lang w:val="en-GB"/>
        </w:rPr>
        <w:t>Dall'Ora</w:t>
      </w:r>
      <w:proofErr w:type="spellEnd"/>
      <w:r w:rsidRPr="00130A34">
        <w:rPr>
          <w:rFonts w:eastAsia="Times New Roman"/>
          <w:lang w:val="en-GB"/>
        </w:rPr>
        <w:t xml:space="preserve">, C., Meredith, P., Turner, L. and Jones, J., 2023. Costs and cost-effectiveness of improved nurse staffing levels and skill mix in acute hospitals: A systematic review. International journal of nursing studies, 147, p.104601. </w:t>
      </w:r>
      <w:hyperlink r:id="rId17" w:history="1">
        <w:r w:rsidRPr="00130A34">
          <w:rPr>
            <w:rStyle w:val="Hyperlink"/>
            <w:rFonts w:eastAsia="Times New Roman"/>
            <w:lang w:val="en-GB"/>
          </w:rPr>
          <w:t>https://doi.org/10.1016/j.ijnurstu.2023.104601</w:t>
        </w:r>
      </w:hyperlink>
      <w:r w:rsidRPr="00130A34">
        <w:rPr>
          <w:rFonts w:eastAsia="Times New Roman"/>
          <w:lang w:val="en-GB"/>
        </w:rPr>
        <w:t> </w:t>
      </w:r>
    </w:p>
    <w:p w14:paraId="419A68F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Jones, B., Horton, T. and Home, J., 2022. Strengthening NHS management and leadership. The Health Foundation. Retrieved February, 24, p.2023. </w:t>
      </w:r>
      <w:hyperlink r:id="rId18" w:history="1">
        <w:r w:rsidRPr="00130A34">
          <w:rPr>
            <w:rStyle w:val="Hyperlink"/>
            <w:rFonts w:eastAsia="Times New Roman"/>
            <w:lang w:val="en-GB"/>
          </w:rPr>
          <w:t>https://www.health.org.uk/sites/default/files/pdf/2022-02/Strengthening%20NHS%20management%20and%20leadership.pdf</w:t>
        </w:r>
      </w:hyperlink>
      <w:r w:rsidRPr="00130A34">
        <w:rPr>
          <w:rFonts w:eastAsia="Times New Roman"/>
          <w:lang w:val="en-GB"/>
        </w:rPr>
        <w:t> </w:t>
      </w:r>
    </w:p>
    <w:p w14:paraId="5BBAC4B1"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Kumah, A., Nwogu, C.N., Issah, A.R., Obot, E., </w:t>
      </w:r>
      <w:proofErr w:type="spellStart"/>
      <w:r w:rsidRPr="00130A34">
        <w:rPr>
          <w:rFonts w:eastAsia="Times New Roman"/>
          <w:lang w:val="en-GB"/>
        </w:rPr>
        <w:t>Kanamitie</w:t>
      </w:r>
      <w:proofErr w:type="spellEnd"/>
      <w:r w:rsidRPr="00130A34">
        <w:rPr>
          <w:rFonts w:eastAsia="Times New Roman"/>
          <w:lang w:val="en-GB"/>
        </w:rPr>
        <w:t xml:space="preserve">, D.T., </w:t>
      </w:r>
      <w:proofErr w:type="spellStart"/>
      <w:r w:rsidRPr="00130A34">
        <w:rPr>
          <w:rFonts w:eastAsia="Times New Roman"/>
          <w:lang w:val="en-GB"/>
        </w:rPr>
        <w:t>Sifa</w:t>
      </w:r>
      <w:proofErr w:type="spellEnd"/>
      <w:r w:rsidRPr="00130A34">
        <w:rPr>
          <w:rFonts w:eastAsia="Times New Roman"/>
          <w:lang w:val="en-GB"/>
        </w:rPr>
        <w:t>, J.S. and Aidoo, L.A., 2024. Cause-and-effect (fishbone) diagram: a tool for generating and organizing quality improvement ideas. Global Journal on Quality and Safety in Healthcare, 7(2), pp.85-87.</w:t>
      </w:r>
      <w:hyperlink r:id="rId19" w:history="1">
        <w:r w:rsidRPr="00130A34">
          <w:rPr>
            <w:rStyle w:val="Hyperlink"/>
            <w:rFonts w:eastAsia="Times New Roman"/>
            <w:lang w:val="en-GB"/>
          </w:rPr>
          <w:t>https://doi.org/10.36401/JQSH-23-42</w:t>
        </w:r>
      </w:hyperlink>
    </w:p>
    <w:p w14:paraId="2718B423" w14:textId="77777777" w:rsidR="004118E3" w:rsidRPr="00130A34" w:rsidRDefault="004118E3" w:rsidP="00130A34">
      <w:pPr>
        <w:spacing w:before="240" w:after="240" w:line="360" w:lineRule="auto"/>
        <w:jc w:val="both"/>
        <w:rPr>
          <w:rFonts w:eastAsia="Times New Roman"/>
          <w:lang w:val="en-GB"/>
        </w:rPr>
      </w:pPr>
      <w:proofErr w:type="spellStart"/>
      <w:r w:rsidRPr="00130A34">
        <w:rPr>
          <w:rFonts w:eastAsia="Times New Roman"/>
          <w:lang w:val="en-GB"/>
        </w:rPr>
        <w:t>Lighterness</w:t>
      </w:r>
      <w:proofErr w:type="spellEnd"/>
      <w:r w:rsidRPr="00130A34">
        <w:rPr>
          <w:rFonts w:eastAsia="Times New Roman"/>
          <w:lang w:val="en-GB"/>
        </w:rPr>
        <w:t xml:space="preserve">, A., Adcock, M., Scanlon, L.A. and Price, G., 2024. Data quality–driven improvement in health care: systematic literature review. Journal of medical Internet research, 26, p.e57615. </w:t>
      </w:r>
      <w:hyperlink r:id="rId20" w:history="1">
        <w:r w:rsidRPr="00130A34">
          <w:rPr>
            <w:rStyle w:val="Hyperlink"/>
            <w:rFonts w:eastAsia="Times New Roman"/>
            <w:lang w:val="en-GB"/>
          </w:rPr>
          <w:t>https://www.jmir.org/2024/1/e57615/</w:t>
        </w:r>
      </w:hyperlink>
      <w:r w:rsidRPr="00130A34">
        <w:rPr>
          <w:rFonts w:eastAsia="Times New Roman"/>
          <w:lang w:val="en-GB"/>
        </w:rPr>
        <w:t> </w:t>
      </w:r>
    </w:p>
    <w:p w14:paraId="79C3638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Madureira, T., Nunes, F., Mata, F. and Vaz-Velho, M., 2024. A SWOT analysis of organizations in the agri-food chain sector from the Northern region of Portugal using the PESTEL and MEETHS frameworks. Agriculture, 14(9), p.1554.</w:t>
      </w:r>
      <w:hyperlink r:id="rId21" w:history="1">
        <w:r w:rsidRPr="00130A34">
          <w:rPr>
            <w:rStyle w:val="Hyperlink"/>
            <w:rFonts w:eastAsia="Times New Roman"/>
            <w:lang w:val="en-GB"/>
          </w:rPr>
          <w:t>https://doi.org/10.3390/agriculture14091554</w:t>
        </w:r>
      </w:hyperlink>
    </w:p>
    <w:p w14:paraId="57CE1074"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Mahat, S., Rafferty, A.M., Vehviläinen-Julkunen, K. and </w:t>
      </w:r>
      <w:proofErr w:type="spellStart"/>
      <w:r w:rsidRPr="00130A34">
        <w:rPr>
          <w:rFonts w:eastAsia="Times New Roman"/>
          <w:lang w:val="en-GB"/>
        </w:rPr>
        <w:t>Härkänen</w:t>
      </w:r>
      <w:proofErr w:type="spellEnd"/>
      <w:r w:rsidRPr="00130A34">
        <w:rPr>
          <w:rFonts w:eastAsia="Times New Roman"/>
          <w:lang w:val="en-GB"/>
        </w:rPr>
        <w:t xml:space="preserve">, M., 2022. Negative emotions experienced by healthcare staff following medication administration errors: a descriptive study using text-mining and content analysis of incident data. BMC health services research, 22(1), p.1474. </w:t>
      </w:r>
      <w:hyperlink r:id="rId22" w:history="1">
        <w:r w:rsidRPr="00130A34">
          <w:rPr>
            <w:rStyle w:val="Hyperlink"/>
            <w:rFonts w:eastAsia="Times New Roman"/>
            <w:lang w:val="en-GB"/>
          </w:rPr>
          <w:t>https://doi.org/10.1186/s12913-022-08818-1</w:t>
        </w:r>
      </w:hyperlink>
      <w:r w:rsidRPr="00130A34">
        <w:rPr>
          <w:rFonts w:eastAsia="Times New Roman"/>
          <w:lang w:val="en-GB"/>
        </w:rPr>
        <w:t> </w:t>
      </w:r>
    </w:p>
    <w:p w14:paraId="175A06E3" w14:textId="77777777" w:rsidR="004118E3" w:rsidRPr="00130A34" w:rsidRDefault="004118E3" w:rsidP="00130A34">
      <w:pPr>
        <w:spacing w:before="240" w:after="240" w:line="360" w:lineRule="auto"/>
        <w:jc w:val="both"/>
        <w:rPr>
          <w:rFonts w:eastAsia="Times New Roman"/>
          <w:lang w:val="en-GB"/>
        </w:rPr>
      </w:pPr>
      <w:proofErr w:type="spellStart"/>
      <w:r w:rsidRPr="00130A34">
        <w:rPr>
          <w:rFonts w:eastAsia="Times New Roman"/>
          <w:lang w:val="en-GB"/>
        </w:rPr>
        <w:t>Manandi</w:t>
      </w:r>
      <w:proofErr w:type="spellEnd"/>
      <w:r w:rsidRPr="00130A34">
        <w:rPr>
          <w:rFonts w:eastAsia="Times New Roman"/>
          <w:lang w:val="en-GB"/>
        </w:rPr>
        <w:t>, D., Tu, Q., Hafiz, N., Raeside, R., Redfern, J. and Hyun, K., 2023. The evaluation of the Plan–Do–Study–Act cycles for a healthcare quality improvement intervention in primary care. Australian journal of primary health, 30(1), p.PY23123.</w:t>
      </w:r>
      <w:hyperlink r:id="rId23" w:history="1">
        <w:r w:rsidRPr="00130A34">
          <w:rPr>
            <w:rStyle w:val="Hyperlink"/>
            <w:rFonts w:eastAsia="Times New Roman"/>
            <w:lang w:val="en-GB"/>
          </w:rPr>
          <w:t>https://doi.org/10.1071/PY23123</w:t>
        </w:r>
      </w:hyperlink>
    </w:p>
    <w:p w14:paraId="73C6F6A6"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Marino, L.V., </w:t>
      </w:r>
      <w:proofErr w:type="spellStart"/>
      <w:r w:rsidRPr="00130A34">
        <w:rPr>
          <w:rFonts w:eastAsia="Times New Roman"/>
          <w:lang w:val="en-GB"/>
        </w:rPr>
        <w:t>Collaḉo</w:t>
      </w:r>
      <w:proofErr w:type="spellEnd"/>
      <w:r w:rsidRPr="00130A34">
        <w:rPr>
          <w:rFonts w:eastAsia="Times New Roman"/>
          <w:lang w:val="en-GB"/>
        </w:rPr>
        <w:t xml:space="preserve">, N., Coyne, S., </w:t>
      </w:r>
      <w:proofErr w:type="spellStart"/>
      <w:r w:rsidRPr="00130A34">
        <w:rPr>
          <w:rFonts w:eastAsia="Times New Roman"/>
          <w:lang w:val="en-GB"/>
        </w:rPr>
        <w:t>Leppan</w:t>
      </w:r>
      <w:proofErr w:type="spellEnd"/>
      <w:r w:rsidRPr="00130A34">
        <w:rPr>
          <w:rFonts w:eastAsia="Times New Roman"/>
          <w:lang w:val="en-GB"/>
        </w:rPr>
        <w:t xml:space="preserve">, M., Ridgeway, S., Bharucha, T., Cochrane, C., </w:t>
      </w:r>
      <w:proofErr w:type="spellStart"/>
      <w:r w:rsidRPr="00130A34">
        <w:rPr>
          <w:rFonts w:eastAsia="Times New Roman"/>
          <w:lang w:val="en-GB"/>
        </w:rPr>
        <w:t>Fandinga</w:t>
      </w:r>
      <w:proofErr w:type="spellEnd"/>
      <w:r w:rsidRPr="00130A34">
        <w:rPr>
          <w:rFonts w:eastAsia="Times New Roman"/>
          <w:lang w:val="en-GB"/>
        </w:rPr>
        <w:t>, C., Palframan, K., Rees, L. and Osman, A., 2023, October. The development of a communication tool to aid parent-</w:t>
      </w:r>
      <w:proofErr w:type="spellStart"/>
      <w:r w:rsidRPr="00130A34">
        <w:rPr>
          <w:rFonts w:eastAsia="Times New Roman"/>
          <w:lang w:val="en-GB"/>
        </w:rPr>
        <w:t>centered</w:t>
      </w:r>
      <w:proofErr w:type="spellEnd"/>
      <w:r w:rsidRPr="00130A34">
        <w:rPr>
          <w:rFonts w:eastAsia="Times New Roman"/>
          <w:lang w:val="en-GB"/>
        </w:rPr>
        <w:t xml:space="preserve"> communication between parents and healthcare professionals: A quality improvement project. In Healthcare (Vol. 11, No. 20, p. 2706). </w:t>
      </w:r>
      <w:proofErr w:type="spellStart"/>
      <w:r w:rsidRPr="00130A34">
        <w:rPr>
          <w:rFonts w:eastAsia="Times New Roman"/>
          <w:lang w:val="en-GB"/>
        </w:rPr>
        <w:t>MDPI.</w:t>
      </w:r>
      <w:hyperlink r:id="rId24" w:history="1">
        <w:r w:rsidRPr="00130A34">
          <w:rPr>
            <w:rStyle w:val="Hyperlink"/>
            <w:rFonts w:eastAsia="Times New Roman"/>
            <w:lang w:val="en-GB"/>
          </w:rPr>
          <w:t>https</w:t>
        </w:r>
        <w:proofErr w:type="spellEnd"/>
        <w:r w:rsidRPr="00130A34">
          <w:rPr>
            <w:rStyle w:val="Hyperlink"/>
            <w:rFonts w:eastAsia="Times New Roman"/>
            <w:lang w:val="en-GB"/>
          </w:rPr>
          <w:t>://doi.org/10.3390/healthcare11202706</w:t>
        </w:r>
      </w:hyperlink>
    </w:p>
    <w:p w14:paraId="32F12362" w14:textId="138B3D6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Monde, L.</w:t>
      </w:r>
      <w:r w:rsidR="00B32F2D">
        <w:rPr>
          <w:rFonts w:eastAsia="Times New Roman"/>
          <w:lang w:val="en-GB"/>
        </w:rPr>
        <w:t xml:space="preserve">, </w:t>
      </w:r>
      <w:r w:rsidRPr="00130A34">
        <w:rPr>
          <w:rFonts w:eastAsia="Times New Roman"/>
          <w:lang w:val="en-GB"/>
        </w:rPr>
        <w:t xml:space="preserve">2025. UK probes maternity services after scandals. [online] Le Monde.fr. Available at: </w:t>
      </w:r>
      <w:hyperlink r:id="rId25" w:history="1">
        <w:r w:rsidR="0036275F" w:rsidRPr="00A225DC">
          <w:rPr>
            <w:rStyle w:val="Hyperlink"/>
            <w:rFonts w:eastAsia="Times New Roman"/>
            <w:lang w:val="en-GB"/>
          </w:rPr>
          <w:t>https://www.lemonde.fr/en/international/article/2025/06/23/uk-probes-maternity-services-after-scandals_6742629_4.html</w:t>
        </w:r>
      </w:hyperlink>
      <w:r w:rsidR="0036275F">
        <w:rPr>
          <w:rFonts w:eastAsia="Times New Roman"/>
          <w:lang w:val="en-GB"/>
        </w:rPr>
        <w:t xml:space="preserve"> </w:t>
      </w:r>
      <w:r w:rsidRPr="00130A34">
        <w:rPr>
          <w:rFonts w:eastAsia="Times New Roman"/>
          <w:lang w:val="en-GB"/>
        </w:rPr>
        <w:t>[Accessed 17 Mar. 2026].</w:t>
      </w:r>
    </w:p>
    <w:p w14:paraId="67E741CA" w14:textId="4556A543"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NHS England.</w:t>
      </w:r>
      <w:r w:rsidR="001B5739">
        <w:rPr>
          <w:rFonts w:eastAsia="Times New Roman"/>
          <w:lang w:val="en-GB"/>
        </w:rPr>
        <w:t>, 2023</w:t>
      </w:r>
      <w:r w:rsidRPr="00130A34">
        <w:rPr>
          <w:rFonts w:eastAsia="Times New Roman"/>
          <w:lang w:val="en-GB"/>
        </w:rPr>
        <w:t xml:space="preserve">“Three Year Delivery Plan for Maternity and Neonatal Services.” NHS England, 30 Mar. 2023, </w:t>
      </w:r>
      <w:hyperlink r:id="rId26" w:history="1">
        <w:r w:rsidR="009A2DFE" w:rsidRPr="00A225DC">
          <w:rPr>
            <w:rStyle w:val="Hyperlink"/>
            <w:rFonts w:eastAsia="Times New Roman"/>
            <w:lang w:val="en-GB"/>
          </w:rPr>
          <w:t>www.england.nhs.uk/publication/three-year-delivery-plan-for-maternity-and-neonatal-services/</w:t>
        </w:r>
      </w:hyperlink>
      <w:r w:rsidRPr="00130A34">
        <w:rPr>
          <w:rFonts w:eastAsia="Times New Roman"/>
          <w:lang w:val="en-GB"/>
        </w:rPr>
        <w:t xml:space="preserve"> [Accessed on: 06-02-2026]</w:t>
      </w:r>
    </w:p>
    <w:p w14:paraId="2DD3BE65"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Ockenden, Donna. “Final Report of the Ockenden Review.” GOV.UK, 30 Mar. 2022, www.gov.uk/government/publications/final-report-of-the-ockenden-review. [Accessed on: 06-02-2026]</w:t>
      </w:r>
    </w:p>
    <w:p w14:paraId="2F3C04A1" w14:textId="3CAF502C"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Rack, S.</w:t>
      </w:r>
      <w:r w:rsidR="00860959">
        <w:rPr>
          <w:rFonts w:eastAsia="Times New Roman"/>
          <w:lang w:val="en-GB"/>
        </w:rPr>
        <w:t xml:space="preserve">, </w:t>
      </w:r>
      <w:r w:rsidRPr="00130A34">
        <w:rPr>
          <w:rFonts w:eastAsia="Times New Roman"/>
          <w:lang w:val="en-GB"/>
        </w:rPr>
        <w:t>2025. Shropshire trust left out of maternity review due to police probe. [online] 10 Dec. Available at: https://www.bbc.com/news/articles/c0l9719x55no.</w:t>
      </w:r>
    </w:p>
    <w:p w14:paraId="2C8A6975"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Russ, S.J., Green, J., de Winter, L., Herrington, E., Hughes-Hallett, A., Taylor, J.M. and </w:t>
      </w:r>
      <w:proofErr w:type="spellStart"/>
      <w:r w:rsidRPr="00130A34">
        <w:rPr>
          <w:rFonts w:eastAsia="Times New Roman"/>
          <w:lang w:val="en-GB"/>
        </w:rPr>
        <w:t>Sevdalis</w:t>
      </w:r>
      <w:proofErr w:type="spellEnd"/>
      <w:r w:rsidRPr="00130A34">
        <w:rPr>
          <w:rFonts w:eastAsia="Times New Roman"/>
          <w:lang w:val="en-GB"/>
        </w:rPr>
        <w:t>, N., 2023. An introduction to quality improvement. Journal of Clinical Urology, p.20514158221075405.</w:t>
      </w:r>
      <w:hyperlink r:id="rId27" w:history="1">
        <w:r w:rsidRPr="00130A34">
          <w:rPr>
            <w:rStyle w:val="Hyperlink"/>
            <w:rFonts w:eastAsia="Times New Roman"/>
            <w:lang w:val="en-GB"/>
          </w:rPr>
          <w:t>https://doi.org/10.1177/20514158221075405</w:t>
        </w:r>
      </w:hyperlink>
    </w:p>
    <w:p w14:paraId="54FC8698" w14:textId="31CD120A"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Russell, P.</w:t>
      </w:r>
      <w:r w:rsidR="00F12C97">
        <w:rPr>
          <w:rFonts w:eastAsia="Times New Roman"/>
          <w:lang w:val="en-GB"/>
        </w:rPr>
        <w:t xml:space="preserve">, </w:t>
      </w:r>
      <w:r w:rsidRPr="00130A34">
        <w:rPr>
          <w:rFonts w:eastAsia="Times New Roman"/>
          <w:lang w:val="en-GB"/>
        </w:rPr>
        <w:t>2022. ‘Repeated Failures’ Led to Maternity Deaths at Shrewsbury and Telford NHS Trust. [online] Medscape. Available at: https://www.medscape.com/viewarticle/repeated-failures-led-maternity-deaths-shrewsbury-and-2022a1000tkj.</w:t>
      </w:r>
    </w:p>
    <w:p w14:paraId="76C44DEE" w14:textId="77777777" w:rsidR="004118E3" w:rsidRPr="00130A34" w:rsidRDefault="004118E3" w:rsidP="00130A34">
      <w:pPr>
        <w:spacing w:before="240" w:after="240" w:line="360" w:lineRule="auto"/>
        <w:jc w:val="both"/>
        <w:rPr>
          <w:rFonts w:eastAsia="Times New Roman"/>
          <w:lang w:val="en-GB"/>
        </w:rPr>
      </w:pPr>
      <w:proofErr w:type="spellStart"/>
      <w:r w:rsidRPr="00130A34">
        <w:rPr>
          <w:rFonts w:eastAsia="Times New Roman"/>
          <w:lang w:val="en-GB"/>
        </w:rPr>
        <w:t>Sharkiya</w:t>
      </w:r>
      <w:proofErr w:type="spellEnd"/>
      <w:r w:rsidRPr="00130A34">
        <w:rPr>
          <w:rFonts w:eastAsia="Times New Roman"/>
          <w:lang w:val="en-GB"/>
        </w:rPr>
        <w:t xml:space="preserve">, S.H., 2023. Quality communication can improve patient-centred health outcomes among older patients: a rapid review. BMC health services research, 23(1), p.886. </w:t>
      </w:r>
      <w:hyperlink r:id="rId28" w:history="1">
        <w:r w:rsidRPr="00130A34">
          <w:rPr>
            <w:rStyle w:val="Hyperlink"/>
            <w:rFonts w:eastAsia="Times New Roman"/>
            <w:lang w:val="en-GB"/>
          </w:rPr>
          <w:t>https://doi.org/10.1186/s12913-023-09869-8</w:t>
        </w:r>
      </w:hyperlink>
      <w:r w:rsidRPr="00130A34">
        <w:rPr>
          <w:rFonts w:eastAsia="Times New Roman"/>
          <w:lang w:val="en-GB"/>
        </w:rPr>
        <w:t> </w:t>
      </w:r>
    </w:p>
    <w:p w14:paraId="63EEA60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Shiri, R., </w:t>
      </w:r>
      <w:proofErr w:type="spellStart"/>
      <w:r w:rsidRPr="00130A34">
        <w:rPr>
          <w:rFonts w:eastAsia="Times New Roman"/>
          <w:lang w:val="en-GB"/>
        </w:rPr>
        <w:t>Nikunlaakso</w:t>
      </w:r>
      <w:proofErr w:type="spellEnd"/>
      <w:r w:rsidRPr="00130A34">
        <w:rPr>
          <w:rFonts w:eastAsia="Times New Roman"/>
          <w:lang w:val="en-GB"/>
        </w:rPr>
        <w:t xml:space="preserve">, R. and Laitinen, J., 2023, June. Effectiveness of workplace interventions to improve health and well-being of health and social service workers: a narrative review of randomised controlled trials. In Healthcare (Vol. 11, No. 12, p. 1792). </w:t>
      </w:r>
      <w:proofErr w:type="spellStart"/>
      <w:r w:rsidRPr="00130A34">
        <w:rPr>
          <w:rFonts w:eastAsia="Times New Roman"/>
          <w:lang w:val="en-GB"/>
        </w:rPr>
        <w:t>MDPI.</w:t>
      </w:r>
      <w:hyperlink r:id="rId29" w:history="1">
        <w:r w:rsidRPr="00130A34">
          <w:rPr>
            <w:rStyle w:val="Hyperlink"/>
            <w:rFonts w:eastAsia="Times New Roman"/>
            <w:lang w:val="en-GB"/>
          </w:rPr>
          <w:t>https</w:t>
        </w:r>
        <w:proofErr w:type="spellEnd"/>
        <w:r w:rsidRPr="00130A34">
          <w:rPr>
            <w:rStyle w:val="Hyperlink"/>
            <w:rFonts w:eastAsia="Times New Roman"/>
            <w:lang w:val="en-GB"/>
          </w:rPr>
          <w:t>://doi.org/10.3390/healthcare11121792</w:t>
        </w:r>
      </w:hyperlink>
    </w:p>
    <w:p w14:paraId="55657E5D" w14:textId="77777777" w:rsidR="004118E3" w:rsidRPr="00130A34" w:rsidRDefault="004118E3" w:rsidP="00130A34">
      <w:pPr>
        <w:spacing w:before="240" w:after="240" w:line="360" w:lineRule="auto"/>
        <w:jc w:val="both"/>
        <w:rPr>
          <w:rFonts w:eastAsia="Times New Roman"/>
          <w:lang w:val="en-GB"/>
        </w:rPr>
      </w:pPr>
      <w:proofErr w:type="spellStart"/>
      <w:r w:rsidRPr="00130A34">
        <w:rPr>
          <w:rFonts w:eastAsia="Times New Roman"/>
          <w:lang w:val="en-GB"/>
        </w:rPr>
        <w:t>Sturmberg</w:t>
      </w:r>
      <w:proofErr w:type="spellEnd"/>
      <w:r w:rsidRPr="00130A34">
        <w:rPr>
          <w:rFonts w:eastAsia="Times New Roman"/>
          <w:lang w:val="en-GB"/>
        </w:rPr>
        <w:t xml:space="preserve">, J.P., </w:t>
      </w:r>
      <w:proofErr w:type="spellStart"/>
      <w:r w:rsidRPr="00130A34">
        <w:rPr>
          <w:rFonts w:eastAsia="Times New Roman"/>
          <w:lang w:val="en-GB"/>
        </w:rPr>
        <w:t>Gainsford</w:t>
      </w:r>
      <w:proofErr w:type="spellEnd"/>
      <w:r w:rsidRPr="00130A34">
        <w:rPr>
          <w:rFonts w:eastAsia="Times New Roman"/>
          <w:lang w:val="en-GB"/>
        </w:rPr>
        <w:t xml:space="preserve">, L., Goodwin, N. and Pond, D., 2024. Systemic failures in nursing home care—A scoping study. Journal of Evaluation in Clinical Practice, 30(3), pp.484-496.DOI: </w:t>
      </w:r>
      <w:hyperlink r:id="rId30" w:history="1">
        <w:r w:rsidRPr="00130A34">
          <w:rPr>
            <w:rStyle w:val="Hyperlink"/>
            <w:rFonts w:eastAsia="Times New Roman"/>
            <w:lang w:val="en-GB"/>
          </w:rPr>
          <w:t>10.1111/jep.13961</w:t>
        </w:r>
      </w:hyperlink>
    </w:p>
    <w:p w14:paraId="31ADABB9"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 xml:space="preserve">Willis, R., Jones, T., Hoiles, J., Hibbert, P.D. and Schultz, T.J., 2023. What are the experiences of team members involved in root cause analysis? A qualitative study. BMC Health Services Research, 23(1), p.1152. </w:t>
      </w:r>
      <w:hyperlink r:id="rId31" w:history="1">
        <w:r w:rsidRPr="00130A34">
          <w:rPr>
            <w:rStyle w:val="Hyperlink"/>
            <w:rFonts w:eastAsia="Times New Roman"/>
            <w:lang w:val="en-GB"/>
          </w:rPr>
          <w:t>https://doi.org/10.1186/s12913-023-10164-9</w:t>
        </w:r>
      </w:hyperlink>
      <w:r w:rsidRPr="00130A34">
        <w:rPr>
          <w:rFonts w:eastAsia="Times New Roman"/>
          <w:lang w:val="en-GB"/>
        </w:rPr>
        <w:t> </w:t>
      </w:r>
    </w:p>
    <w:p w14:paraId="6EA1AE4C"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Wood, D.P., Robinson, C.A., Nathan, R. and McPhillips, R., 2022. A study of the implementation of patient safety policies in the NHS in England since 2000: what can we learn?. Journal of health organization and management, 36(5), pp.650-665.</w:t>
      </w:r>
      <w:hyperlink r:id="rId32" w:history="1">
        <w:r w:rsidRPr="00130A34">
          <w:rPr>
            <w:rStyle w:val="Hyperlink"/>
            <w:rFonts w:eastAsia="Times New Roman"/>
            <w:lang w:val="en-GB"/>
          </w:rPr>
          <w:t>https://doi.org/10.1108/JHOM-02-2021-0073</w:t>
        </w:r>
      </w:hyperlink>
      <w:r w:rsidRPr="00130A34">
        <w:rPr>
          <w:rFonts w:eastAsia="Times New Roman"/>
          <w:lang w:val="en-GB"/>
        </w:rPr>
        <w:t> </w:t>
      </w:r>
    </w:p>
    <w:p w14:paraId="4BA88E7F"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Yang, J., Liu, F., Yang, C., Wei, J., Ma, Y., Xu, L., Xie, J. and Wang, J., 2025. Application of Donabedian Three</w:t>
      </w:r>
      <w:r w:rsidRPr="00130A34">
        <w:rPr>
          <w:rFonts w:ascii="Cambria Math" w:eastAsia="Times New Roman" w:hAnsi="Cambria Math" w:cs="Cambria Math"/>
          <w:lang w:val="en-GB"/>
        </w:rPr>
        <w:t>‐</w:t>
      </w:r>
      <w:r w:rsidRPr="00130A34">
        <w:rPr>
          <w:rFonts w:eastAsia="Times New Roman"/>
          <w:lang w:val="en-GB"/>
        </w:rPr>
        <w:t>Dimensional Model in Outpatient Care Quality: A Scoping Review. Journal of nursing management, 2025(1), p.6893336.</w:t>
      </w:r>
      <w:hyperlink r:id="rId33" w:history="1">
        <w:r w:rsidRPr="00130A34">
          <w:rPr>
            <w:rStyle w:val="Hyperlink"/>
            <w:rFonts w:eastAsia="Times New Roman"/>
            <w:lang w:val="en-GB"/>
          </w:rPr>
          <w:t>https://doi.org/10.1155/jonm/6893336</w:t>
        </w:r>
      </w:hyperlink>
    </w:p>
    <w:p w14:paraId="1C6F85C4" w14:textId="77777777" w:rsidR="004118E3" w:rsidRPr="00130A34" w:rsidRDefault="004118E3" w:rsidP="00130A34">
      <w:pPr>
        <w:spacing w:before="240" w:after="240" w:line="360" w:lineRule="auto"/>
        <w:jc w:val="both"/>
        <w:rPr>
          <w:rFonts w:eastAsia="Times New Roman"/>
          <w:lang w:val="en-GB"/>
        </w:rPr>
      </w:pPr>
      <w:r w:rsidRPr="00130A34">
        <w:rPr>
          <w:rFonts w:eastAsia="Times New Roman"/>
          <w:lang w:val="en-GB"/>
        </w:rPr>
        <w:t>Zhang, H., Li, S. and Ma, X., 2024. Transforming healthcare with nanomedicine: a SWOT analysis of drug delivery innovation. Drug Design, Development and Therapy, pp.3499-3521.</w:t>
      </w:r>
      <w:hyperlink r:id="rId34" w:history="1">
        <w:r w:rsidRPr="00130A34">
          <w:rPr>
            <w:rStyle w:val="Hyperlink"/>
            <w:rFonts w:eastAsia="Times New Roman"/>
            <w:lang w:val="en-GB"/>
          </w:rPr>
          <w:t>https://doi.org/10.2147/DDDT.S470210</w:t>
        </w:r>
      </w:hyperlink>
    </w:p>
    <w:sectPr w:rsidR="004118E3" w:rsidRPr="00130A34" w:rsidSect="0001164C">
      <w:footerReference w:type="default" r:id="rId35"/>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0F313" w14:textId="77777777" w:rsidR="007A5E16" w:rsidRDefault="007A5E16" w:rsidP="002E20F9">
      <w:pPr>
        <w:spacing w:line="240" w:lineRule="auto"/>
      </w:pPr>
      <w:r>
        <w:separator/>
      </w:r>
    </w:p>
  </w:endnote>
  <w:endnote w:type="continuationSeparator" w:id="0">
    <w:p w14:paraId="1617741E" w14:textId="77777777" w:rsidR="007A5E16" w:rsidRDefault="007A5E16" w:rsidP="002E20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75AA71D-629F-46D3-9AFC-1B440602B8A5}"/>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B9574196-1BED-48D6-BA7F-8365617C5D86}"/>
  </w:font>
  <w:font w:name="MS Gothic">
    <w:panose1 w:val="020B0609070205080204"/>
    <w:charset w:val="80"/>
    <w:family w:val="modern"/>
    <w:pitch w:val="fixed"/>
    <w:sig w:usb0="E00002FF" w:usb1="6AC7FDFB" w:usb2="08000012" w:usb3="00000000" w:csb0="0002009F" w:csb1="00000000"/>
    <w:embedRegular r:id="rId4" w:subsetted="1" w:fontKey="{0EBCDCB2-BB45-4B16-990B-1468AC30CCFF}"/>
  </w:font>
  <w:font w:name="Cambria Math">
    <w:panose1 w:val="02040503050406030204"/>
    <w:charset w:val="00"/>
    <w:family w:val="roman"/>
    <w:pitch w:val="variable"/>
    <w:sig w:usb0="E00006FF" w:usb1="420024FF" w:usb2="02000000" w:usb3="00000000" w:csb0="0000019F" w:csb1="00000000"/>
    <w:embedRegular r:id="rId5" w:fontKey="{4629AADD-4475-4BE7-B0CE-69032546A39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4724792"/>
      <w:docPartObj>
        <w:docPartGallery w:val="Page Numbers (Bottom of Page)"/>
        <w:docPartUnique/>
      </w:docPartObj>
    </w:sdtPr>
    <w:sdtEndPr>
      <w:rPr>
        <w:rFonts w:ascii="Times New Roman" w:hAnsi="Times New Roman" w:cs="Times New Roman"/>
        <w:noProof/>
        <w:sz w:val="20"/>
        <w:szCs w:val="20"/>
      </w:rPr>
    </w:sdtEndPr>
    <w:sdtContent>
      <w:p w14:paraId="6C1770AE" w14:textId="7CB3FF3D" w:rsidR="002E20F9" w:rsidRPr="002E20F9" w:rsidRDefault="002E20F9">
        <w:pPr>
          <w:pStyle w:val="Footer"/>
          <w:jc w:val="right"/>
          <w:rPr>
            <w:rFonts w:ascii="Times New Roman" w:hAnsi="Times New Roman" w:cs="Times New Roman"/>
            <w:sz w:val="20"/>
            <w:szCs w:val="20"/>
          </w:rPr>
        </w:pPr>
        <w:r w:rsidRPr="002E20F9">
          <w:rPr>
            <w:rFonts w:ascii="Times New Roman" w:hAnsi="Times New Roman" w:cs="Times New Roman"/>
            <w:sz w:val="20"/>
            <w:szCs w:val="20"/>
          </w:rPr>
          <w:fldChar w:fldCharType="begin"/>
        </w:r>
        <w:r w:rsidRPr="002E20F9">
          <w:rPr>
            <w:rFonts w:ascii="Times New Roman" w:hAnsi="Times New Roman" w:cs="Times New Roman"/>
            <w:sz w:val="20"/>
            <w:szCs w:val="20"/>
          </w:rPr>
          <w:instrText xml:space="preserve"> PAGE   \* MERGEFORMAT </w:instrText>
        </w:r>
        <w:r w:rsidRPr="002E20F9">
          <w:rPr>
            <w:rFonts w:ascii="Times New Roman" w:hAnsi="Times New Roman" w:cs="Times New Roman"/>
            <w:sz w:val="20"/>
            <w:szCs w:val="20"/>
          </w:rPr>
          <w:fldChar w:fldCharType="separate"/>
        </w:r>
        <w:r w:rsidRPr="002E20F9">
          <w:rPr>
            <w:rFonts w:ascii="Times New Roman" w:hAnsi="Times New Roman" w:cs="Times New Roman"/>
            <w:noProof/>
            <w:sz w:val="20"/>
            <w:szCs w:val="20"/>
          </w:rPr>
          <w:t>2</w:t>
        </w:r>
        <w:r w:rsidRPr="002E20F9">
          <w:rPr>
            <w:rFonts w:ascii="Times New Roman" w:hAnsi="Times New Roman" w:cs="Times New Roman"/>
            <w:noProof/>
            <w:sz w:val="20"/>
            <w:szCs w:val="20"/>
          </w:rPr>
          <w:fldChar w:fldCharType="end"/>
        </w:r>
      </w:p>
    </w:sdtContent>
  </w:sdt>
  <w:p w14:paraId="323F1F48" w14:textId="77777777" w:rsidR="002E20F9" w:rsidRDefault="002E2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63827" w14:textId="77777777" w:rsidR="007A5E16" w:rsidRDefault="007A5E16" w:rsidP="002E20F9">
      <w:pPr>
        <w:spacing w:line="240" w:lineRule="auto"/>
      </w:pPr>
      <w:r>
        <w:separator/>
      </w:r>
    </w:p>
  </w:footnote>
  <w:footnote w:type="continuationSeparator" w:id="0">
    <w:p w14:paraId="59953157" w14:textId="77777777" w:rsidR="007A5E16" w:rsidRDefault="007A5E16" w:rsidP="002E20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B18F6"/>
    <w:multiLevelType w:val="multilevel"/>
    <w:tmpl w:val="A9ACB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61B96"/>
    <w:multiLevelType w:val="multilevel"/>
    <w:tmpl w:val="E962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206C49"/>
    <w:multiLevelType w:val="multilevel"/>
    <w:tmpl w:val="E3D61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138F2"/>
    <w:multiLevelType w:val="multilevel"/>
    <w:tmpl w:val="B6CA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741220"/>
    <w:multiLevelType w:val="hybridMultilevel"/>
    <w:tmpl w:val="0B4A6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201AE"/>
    <w:multiLevelType w:val="multilevel"/>
    <w:tmpl w:val="2A320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385235">
    <w:abstractNumId w:val="1"/>
  </w:num>
  <w:num w:numId="2" w16cid:durableId="327099809">
    <w:abstractNumId w:val="5"/>
  </w:num>
  <w:num w:numId="3" w16cid:durableId="959720836">
    <w:abstractNumId w:val="2"/>
  </w:num>
  <w:num w:numId="4" w16cid:durableId="110978791">
    <w:abstractNumId w:val="3"/>
  </w:num>
  <w:num w:numId="5" w16cid:durableId="942954695">
    <w:abstractNumId w:val="0"/>
  </w:num>
  <w:num w:numId="6" w16cid:durableId="12320423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6E7"/>
    <w:rsid w:val="000023B5"/>
    <w:rsid w:val="0001164C"/>
    <w:rsid w:val="000D451B"/>
    <w:rsid w:val="000F75ED"/>
    <w:rsid w:val="0010130D"/>
    <w:rsid w:val="00130A34"/>
    <w:rsid w:val="001375AB"/>
    <w:rsid w:val="00171B7D"/>
    <w:rsid w:val="00176744"/>
    <w:rsid w:val="00176ECA"/>
    <w:rsid w:val="00187F27"/>
    <w:rsid w:val="001A25EF"/>
    <w:rsid w:val="001A664D"/>
    <w:rsid w:val="001B5739"/>
    <w:rsid w:val="001D72FB"/>
    <w:rsid w:val="002718E4"/>
    <w:rsid w:val="00272B48"/>
    <w:rsid w:val="002B320B"/>
    <w:rsid w:val="002E20F9"/>
    <w:rsid w:val="00326FAD"/>
    <w:rsid w:val="003340D4"/>
    <w:rsid w:val="00355B8C"/>
    <w:rsid w:val="0036275F"/>
    <w:rsid w:val="003C2F76"/>
    <w:rsid w:val="004118E3"/>
    <w:rsid w:val="00437645"/>
    <w:rsid w:val="0045389F"/>
    <w:rsid w:val="005127ED"/>
    <w:rsid w:val="0054306D"/>
    <w:rsid w:val="005449F3"/>
    <w:rsid w:val="0055608D"/>
    <w:rsid w:val="0057114C"/>
    <w:rsid w:val="005F164C"/>
    <w:rsid w:val="006203A8"/>
    <w:rsid w:val="00634BA6"/>
    <w:rsid w:val="006930FB"/>
    <w:rsid w:val="006D7961"/>
    <w:rsid w:val="00707CD8"/>
    <w:rsid w:val="00794EC0"/>
    <w:rsid w:val="007A5E16"/>
    <w:rsid w:val="007C36EC"/>
    <w:rsid w:val="007C4127"/>
    <w:rsid w:val="007D3C7C"/>
    <w:rsid w:val="00860959"/>
    <w:rsid w:val="009960DF"/>
    <w:rsid w:val="009A2DFE"/>
    <w:rsid w:val="00A108B1"/>
    <w:rsid w:val="00A27366"/>
    <w:rsid w:val="00A67242"/>
    <w:rsid w:val="00B05410"/>
    <w:rsid w:val="00B32F2D"/>
    <w:rsid w:val="00BB3215"/>
    <w:rsid w:val="00C03AC0"/>
    <w:rsid w:val="00C17272"/>
    <w:rsid w:val="00C9047C"/>
    <w:rsid w:val="00C910DF"/>
    <w:rsid w:val="00D15307"/>
    <w:rsid w:val="00D37D53"/>
    <w:rsid w:val="00D70A2D"/>
    <w:rsid w:val="00E246E7"/>
    <w:rsid w:val="00EB628F"/>
    <w:rsid w:val="00F12C97"/>
    <w:rsid w:val="00F3441C"/>
    <w:rsid w:val="00F544D4"/>
    <w:rsid w:val="00F64CF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7BB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F75ED"/>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0F75ED"/>
    <w:pPr>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F75ED"/>
    <w:rPr>
      <w:color w:val="0000FF" w:themeColor="hyperlink"/>
      <w:u w:val="single"/>
    </w:rPr>
  </w:style>
  <w:style w:type="character" w:styleId="UnresolvedMention">
    <w:name w:val="Unresolved Mention"/>
    <w:basedOn w:val="DefaultParagraphFont"/>
    <w:uiPriority w:val="99"/>
    <w:semiHidden/>
    <w:unhideWhenUsed/>
    <w:rsid w:val="000F75ED"/>
    <w:rPr>
      <w:color w:val="605E5C"/>
      <w:shd w:val="clear" w:color="auto" w:fill="E1DFDD"/>
    </w:rPr>
  </w:style>
  <w:style w:type="paragraph" w:styleId="TOCHeading">
    <w:name w:val="TOC Heading"/>
    <w:basedOn w:val="Heading1"/>
    <w:next w:val="Normal"/>
    <w:uiPriority w:val="39"/>
    <w:unhideWhenUsed/>
    <w:qFormat/>
    <w:rsid w:val="00794EC0"/>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94EC0"/>
    <w:pPr>
      <w:spacing w:after="100"/>
    </w:pPr>
  </w:style>
  <w:style w:type="paragraph" w:styleId="TOC2">
    <w:name w:val="toc 2"/>
    <w:basedOn w:val="Normal"/>
    <w:next w:val="Normal"/>
    <w:autoRedefine/>
    <w:uiPriority w:val="39"/>
    <w:unhideWhenUsed/>
    <w:rsid w:val="00794EC0"/>
    <w:pPr>
      <w:spacing w:after="100"/>
      <w:ind w:left="220"/>
    </w:pPr>
  </w:style>
  <w:style w:type="paragraph" w:styleId="Header">
    <w:name w:val="header"/>
    <w:basedOn w:val="Normal"/>
    <w:link w:val="HeaderChar"/>
    <w:uiPriority w:val="99"/>
    <w:unhideWhenUsed/>
    <w:rsid w:val="002E20F9"/>
    <w:pPr>
      <w:tabs>
        <w:tab w:val="center" w:pos="4513"/>
        <w:tab w:val="right" w:pos="9026"/>
      </w:tabs>
      <w:spacing w:line="240" w:lineRule="auto"/>
    </w:pPr>
  </w:style>
  <w:style w:type="character" w:customStyle="1" w:styleId="HeaderChar">
    <w:name w:val="Header Char"/>
    <w:basedOn w:val="DefaultParagraphFont"/>
    <w:link w:val="Header"/>
    <w:uiPriority w:val="99"/>
    <w:rsid w:val="002E20F9"/>
  </w:style>
  <w:style w:type="paragraph" w:styleId="Footer">
    <w:name w:val="footer"/>
    <w:basedOn w:val="Normal"/>
    <w:link w:val="FooterChar"/>
    <w:uiPriority w:val="99"/>
    <w:unhideWhenUsed/>
    <w:rsid w:val="002E20F9"/>
    <w:pPr>
      <w:tabs>
        <w:tab w:val="center" w:pos="4513"/>
        <w:tab w:val="right" w:pos="9026"/>
      </w:tabs>
      <w:spacing w:line="240" w:lineRule="auto"/>
    </w:pPr>
  </w:style>
  <w:style w:type="character" w:customStyle="1" w:styleId="FooterChar">
    <w:name w:val="Footer Char"/>
    <w:basedOn w:val="DefaultParagraphFont"/>
    <w:link w:val="Footer"/>
    <w:uiPriority w:val="99"/>
    <w:rsid w:val="002E20F9"/>
  </w:style>
  <w:style w:type="paragraph" w:styleId="ListParagraph">
    <w:name w:val="List Paragraph"/>
    <w:basedOn w:val="Normal"/>
    <w:uiPriority w:val="34"/>
    <w:qFormat/>
    <w:rsid w:val="004118E3"/>
    <w:pPr>
      <w:ind w:left="720"/>
      <w:contextualSpacing/>
    </w:pPr>
  </w:style>
  <w:style w:type="table" w:styleId="TableGrid">
    <w:name w:val="Table Grid"/>
    <w:basedOn w:val="TableNormal"/>
    <w:uiPriority w:val="39"/>
    <w:rsid w:val="00A6724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672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11/hsc.13913" TargetMode="External" /><Relationship Id="rId18" Type="http://schemas.openxmlformats.org/officeDocument/2006/relationships/hyperlink" Target="https://www.health.org.uk/sites/default/files/pdf/2022-02/Strengthening%20NHS%20management%20and%20leadership.pdf" TargetMode="External" /><Relationship Id="rId26" Type="http://schemas.openxmlformats.org/officeDocument/2006/relationships/hyperlink" Target="http://www.england.nhs.uk/publication/three-year-delivery-plan-for-maternity-and-neonatal-services/" TargetMode="External" /><Relationship Id="rId3" Type="http://schemas.openxmlformats.org/officeDocument/2006/relationships/styles" Target="styles.xml" /><Relationship Id="rId21" Type="http://schemas.openxmlformats.org/officeDocument/2006/relationships/hyperlink" Target="https://doi.org/10.3390/agriculture14091554" TargetMode="External" /><Relationship Id="rId34" Type="http://schemas.openxmlformats.org/officeDocument/2006/relationships/hyperlink" Target="https://doi.org/10.2147/DDDT.S470210"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016/j.ijnurstu.2023.104601" TargetMode="External" /><Relationship Id="rId25" Type="http://schemas.openxmlformats.org/officeDocument/2006/relationships/hyperlink" Target="https://www.lemonde.fr/en/international/article/2025/06/23/uk-probes-maternity-services-after-scandals_6742629_4.html" TargetMode="External" /><Relationship Id="rId33" Type="http://schemas.openxmlformats.org/officeDocument/2006/relationships/hyperlink" Target="https://doi.org/10.1155/jonm/6893336" TargetMode="External" /><Relationship Id="rId2" Type="http://schemas.openxmlformats.org/officeDocument/2006/relationships/numbering" Target="numbering.xml" /><Relationship Id="rId16" Type="http://schemas.openxmlformats.org/officeDocument/2006/relationships/hyperlink" Target="https://doi.org/10.1177/01410768231198373" TargetMode="External" /><Relationship Id="rId20" Type="http://schemas.openxmlformats.org/officeDocument/2006/relationships/hyperlink" Target="https://www.jmir.org/2024/1/e57615/" TargetMode="External" /><Relationship Id="rId29" Type="http://schemas.openxmlformats.org/officeDocument/2006/relationships/hyperlink" Target="https://doi.org/10.3390/healthcare1112179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3390/healthcare11202706" TargetMode="External" /><Relationship Id="rId32" Type="http://schemas.openxmlformats.org/officeDocument/2006/relationships/hyperlink" Target="https://doi.org/10.1108/JHOM-02-2021-0073"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16/j.pec.2022.07.003" TargetMode="External" /><Relationship Id="rId23" Type="http://schemas.openxmlformats.org/officeDocument/2006/relationships/hyperlink" Target="https://doi.org/10.1071/PY23123" TargetMode="External" /><Relationship Id="rId28" Type="http://schemas.openxmlformats.org/officeDocument/2006/relationships/hyperlink" Target="https://doi.org/10.1186/s12913-023-09869-8"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doi.org/10.36401/JQSH-23-42" TargetMode="External" /><Relationship Id="rId31" Type="http://schemas.openxmlformats.org/officeDocument/2006/relationships/hyperlink" Target="https://doi.org/10.1186/s12913-023-10164-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3390/healthcare11212902" TargetMode="External" /><Relationship Id="rId22" Type="http://schemas.openxmlformats.org/officeDocument/2006/relationships/hyperlink" Target="https://doi.org/10.1186/s12913-022-08818-1" TargetMode="External" /><Relationship Id="rId27" Type="http://schemas.openxmlformats.org/officeDocument/2006/relationships/hyperlink" Target="https://doi.org/10.1177/20514158221075405" TargetMode="External" /><Relationship Id="rId30" Type="http://schemas.openxmlformats.org/officeDocument/2006/relationships/hyperlink" Target="https://pubmed.ncbi.nlm.nih.gov/38258966/" TargetMode="External"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9FABE-8A10-43DE-8D72-94E77F0ACE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4930</Words>
  <Characters>28105</Characters>
  <Application>Microsoft Office Word</Application>
  <DocSecurity>0</DocSecurity>
  <Lines>234</Lines>
  <Paragraphs>65</Paragraphs>
  <ScaleCrop>false</ScaleCrop>
  <Company/>
  <LinksUpToDate>false</LinksUpToDate>
  <CharactersWithSpaces>32970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2026-04-02T07:28:00Z</dcterms:created>
  <dcterms:modified xsi:type="dcterms:W3CDTF">2026-04-02T07:28:00Z</dcterms:modified>
</cp:coreProperties>
</file>