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C2DA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89688FC" w:rsidR="00CD33A8" w:rsidRPr="003C7B6D" w:rsidRDefault="00CD33A8" w:rsidP="00CD33A8">
      <w:pPr>
        <w:tabs>
          <w:tab w:val="left" w:pos="6540"/>
        </w:tabs>
        <w:spacing w:line="360" w:lineRule="auto"/>
        <w:rPr>
          <w:rFonts w:ascii="Arial" w:hAnsi="Arial" w:cs="Arial"/>
          <w:sz w:val="28"/>
          <w:szCs w:val="28"/>
        </w:rPr>
      </w:pPr>
      <w:r w:rsidRPr="003C7B6D">
        <w:rPr>
          <w:rFonts w:ascii="Arial" w:hAnsi="Arial" w:cs="Arial"/>
          <w:b/>
          <w:bCs/>
          <w:sz w:val="28"/>
          <w:szCs w:val="28"/>
        </w:rPr>
        <w:t>Module name</w:t>
      </w:r>
      <w:r w:rsidRPr="003C7B6D">
        <w:rPr>
          <w:rFonts w:ascii="Arial" w:hAnsi="Arial" w:cs="Arial"/>
          <w:sz w:val="28"/>
          <w:szCs w:val="28"/>
        </w:rPr>
        <w:t xml:space="preserve">: </w:t>
      </w:r>
      <w:r w:rsidR="003C7B6D">
        <w:rPr>
          <w:rFonts w:ascii="Arial" w:hAnsi="Arial" w:cs="Arial"/>
          <w:sz w:val="28"/>
          <w:szCs w:val="28"/>
        </w:rPr>
        <w:t>Introduction to Health and Social Care</w:t>
      </w:r>
    </w:p>
    <w:p w14:paraId="537571AF" w14:textId="4FD756D8"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C7B6D">
        <w:rPr>
          <w:rFonts w:ascii="Arial" w:hAnsi="Arial" w:cs="Arial"/>
          <w:sz w:val="28"/>
          <w:szCs w:val="28"/>
        </w:rPr>
        <w:t xml:space="preserve"> LCHS4003</w:t>
      </w:r>
    </w:p>
    <w:p w14:paraId="0A48766D" w14:textId="7044E9FC" w:rsidR="00074402" w:rsidRPr="003C7B6D" w:rsidRDefault="00074402" w:rsidP="00CD33A8">
      <w:pPr>
        <w:tabs>
          <w:tab w:val="left" w:pos="6540"/>
        </w:tabs>
        <w:spacing w:line="360" w:lineRule="auto"/>
        <w:rPr>
          <w:rFonts w:ascii="Arial" w:hAnsi="Arial" w:cs="Arial"/>
          <w:sz w:val="28"/>
          <w:szCs w:val="28"/>
        </w:rPr>
      </w:pPr>
      <w:r w:rsidRPr="003C7B6D">
        <w:rPr>
          <w:rFonts w:ascii="Arial" w:hAnsi="Arial" w:cs="Arial"/>
          <w:b/>
          <w:bCs/>
          <w:sz w:val="28"/>
          <w:szCs w:val="28"/>
        </w:rPr>
        <w:t>Student name</w:t>
      </w:r>
      <w:r w:rsidRPr="003C7B6D">
        <w:rPr>
          <w:rFonts w:ascii="Arial" w:hAnsi="Arial" w:cs="Arial"/>
          <w:sz w:val="28"/>
          <w:szCs w:val="28"/>
        </w:rPr>
        <w:t>:</w:t>
      </w:r>
      <w:r w:rsidR="003C7B6D">
        <w:rPr>
          <w:rFonts w:ascii="Arial" w:hAnsi="Arial" w:cs="Arial"/>
          <w:sz w:val="28"/>
          <w:szCs w:val="28"/>
        </w:rPr>
        <w:t xml:space="preserve"> Sharon McGrane</w:t>
      </w:r>
    </w:p>
    <w:p w14:paraId="39AA4413" w14:textId="5717AAB0" w:rsidR="00074402" w:rsidRPr="003C7B6D" w:rsidRDefault="00074402" w:rsidP="00CD33A8">
      <w:pPr>
        <w:tabs>
          <w:tab w:val="left" w:pos="6540"/>
        </w:tabs>
        <w:spacing w:line="360" w:lineRule="auto"/>
        <w:rPr>
          <w:rFonts w:ascii="Arial" w:hAnsi="Arial" w:cs="Arial"/>
          <w:sz w:val="28"/>
          <w:szCs w:val="28"/>
        </w:rPr>
      </w:pPr>
      <w:r w:rsidRPr="003C7B6D">
        <w:rPr>
          <w:rFonts w:ascii="Arial" w:hAnsi="Arial" w:cs="Arial"/>
          <w:b/>
          <w:bCs/>
          <w:sz w:val="28"/>
          <w:szCs w:val="28"/>
        </w:rPr>
        <w:t>Student ID</w:t>
      </w:r>
      <w:r w:rsidRPr="003C7B6D">
        <w:rPr>
          <w:rFonts w:ascii="Arial" w:hAnsi="Arial" w:cs="Arial"/>
          <w:sz w:val="28"/>
          <w:szCs w:val="28"/>
        </w:rPr>
        <w:t>:</w:t>
      </w:r>
      <w:r w:rsidR="003C7B6D">
        <w:rPr>
          <w:rFonts w:ascii="Arial" w:hAnsi="Arial" w:cs="Arial"/>
          <w:sz w:val="28"/>
          <w:szCs w:val="28"/>
        </w:rPr>
        <w:t xml:space="preserve"> 2533624</w:t>
      </w:r>
    </w:p>
    <w:p w14:paraId="1A0B2D2B" w14:textId="1CDE7A76"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3C7B6D">
        <w:rPr>
          <w:rFonts w:ascii="Arial" w:hAnsi="Arial" w:cs="Arial"/>
          <w:sz w:val="28"/>
          <w:szCs w:val="28"/>
        </w:rPr>
        <w:t xml:space="preserve"> Sam Parker</w:t>
      </w:r>
    </w:p>
    <w:p w14:paraId="69A8B78B" w14:textId="24A0EE49" w:rsidR="003C7B6D" w:rsidRPr="003C7B6D" w:rsidRDefault="003C7B6D" w:rsidP="00CD33A8">
      <w:pPr>
        <w:tabs>
          <w:tab w:val="left" w:pos="6540"/>
        </w:tabs>
        <w:spacing w:line="360" w:lineRule="auto"/>
        <w:rPr>
          <w:rFonts w:ascii="Arial" w:hAnsi="Arial" w:cs="Arial"/>
          <w:b/>
          <w:bCs/>
          <w:sz w:val="28"/>
          <w:szCs w:val="28"/>
        </w:rPr>
      </w:pPr>
      <w:r w:rsidRPr="003C7B6D">
        <w:rPr>
          <w:rFonts w:ascii="Arial" w:hAnsi="Arial" w:cs="Arial"/>
          <w:b/>
          <w:bCs/>
          <w:sz w:val="28"/>
          <w:szCs w:val="28"/>
        </w:rPr>
        <w:t>Word Count:</w:t>
      </w:r>
      <w:r w:rsidR="00514C7A">
        <w:rPr>
          <w:rFonts w:ascii="Arial" w:hAnsi="Arial" w:cs="Arial"/>
          <w:b/>
          <w:bCs/>
          <w:sz w:val="28"/>
          <w:szCs w:val="28"/>
        </w:rPr>
        <w:t xml:space="preserve"> </w:t>
      </w:r>
      <w:r w:rsidR="00514C7A" w:rsidRPr="00407BEC">
        <w:rPr>
          <w:rFonts w:ascii="Arial" w:hAnsi="Arial" w:cs="Arial"/>
          <w:sz w:val="28"/>
          <w:szCs w:val="28"/>
        </w:rPr>
        <w:t>14</w:t>
      </w:r>
      <w:r w:rsidR="002200DD">
        <w:rPr>
          <w:rFonts w:ascii="Arial" w:hAnsi="Arial" w:cs="Arial"/>
          <w:sz w:val="28"/>
          <w:szCs w:val="28"/>
        </w:rPr>
        <w:t>64</w:t>
      </w:r>
    </w:p>
    <w:p w14:paraId="1D0B1138" w14:textId="45B58F27" w:rsidR="003C7B6D" w:rsidRPr="003C7B6D" w:rsidRDefault="003C7B6D" w:rsidP="00CD33A8">
      <w:pPr>
        <w:tabs>
          <w:tab w:val="left" w:pos="6540"/>
        </w:tabs>
        <w:spacing w:line="360" w:lineRule="auto"/>
        <w:rPr>
          <w:rFonts w:ascii="Arial" w:hAnsi="Arial" w:cs="Arial"/>
          <w:b/>
          <w:bCs/>
          <w:sz w:val="28"/>
          <w:szCs w:val="28"/>
        </w:rPr>
      </w:pPr>
      <w:r w:rsidRPr="003C7B6D">
        <w:rPr>
          <w:rFonts w:ascii="Arial" w:hAnsi="Arial" w:cs="Arial"/>
          <w:b/>
          <w:bCs/>
          <w:sz w:val="28"/>
          <w:szCs w:val="28"/>
        </w:rPr>
        <w:t>Submitted on:</w:t>
      </w:r>
      <w:r w:rsidR="00407BEC">
        <w:rPr>
          <w:rFonts w:ascii="Arial" w:hAnsi="Arial" w:cs="Arial"/>
          <w:b/>
          <w:bCs/>
          <w:sz w:val="28"/>
          <w:szCs w:val="28"/>
        </w:rPr>
        <w:t xml:space="preserve"> </w:t>
      </w:r>
      <w:r w:rsidR="00407BEC" w:rsidRPr="00407BEC">
        <w:rPr>
          <w:rFonts w:ascii="Arial" w:hAnsi="Arial" w:cs="Arial"/>
          <w:sz w:val="28"/>
          <w:szCs w:val="28"/>
        </w:rPr>
        <w:t>11</w:t>
      </w:r>
      <w:r w:rsidR="00407BEC" w:rsidRPr="00407BEC">
        <w:rPr>
          <w:rFonts w:ascii="Arial" w:hAnsi="Arial" w:cs="Arial"/>
          <w:sz w:val="28"/>
          <w:szCs w:val="28"/>
          <w:vertAlign w:val="superscript"/>
        </w:rPr>
        <w:t>th</w:t>
      </w:r>
      <w:r w:rsidR="00407BEC" w:rsidRPr="00407BEC">
        <w:rPr>
          <w:rFonts w:ascii="Arial" w:hAnsi="Arial" w:cs="Arial"/>
          <w:sz w:val="28"/>
          <w:szCs w:val="28"/>
        </w:rPr>
        <w:t xml:space="preserve"> August 2026</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2058626892"/>
        <w:docPartObj>
          <w:docPartGallery w:val="Table of Contents"/>
          <w:docPartUnique/>
        </w:docPartObj>
      </w:sdtPr>
      <w:sdtEndPr>
        <w:rPr>
          <w:rFonts w:ascii="Times New Roman" w:eastAsiaTheme="minorHAnsi" w:hAnsi="Times New Roman" w:cstheme="minorBidi"/>
          <w:b/>
          <w:bCs/>
          <w:noProof/>
          <w:color w:val="auto"/>
          <w:sz w:val="24"/>
          <w:szCs w:val="22"/>
          <w:lang w:val="en-GB" w:eastAsia="en-US"/>
        </w:rPr>
      </w:sdtEndPr>
      <w:sdtContent>
        <w:p w14:paraId="1EDED9BA" w14:textId="77777777" w:rsidR="001D6193" w:rsidRDefault="001D6193" w:rsidP="00BB6560">
          <w:pPr>
            <w:pStyle w:val="TOCHeading"/>
          </w:pPr>
        </w:p>
        <w:p w14:paraId="3DBF3050" w14:textId="07E60873" w:rsidR="003C7B6D" w:rsidRDefault="003C7B6D" w:rsidP="00BB6560">
          <w:pPr>
            <w:pStyle w:val="TOCHeading"/>
            <w:rPr>
              <w:rStyle w:val="Heading1Char"/>
              <w:color w:val="auto"/>
            </w:rPr>
          </w:pPr>
          <w:r w:rsidRPr="001D6193">
            <w:rPr>
              <w:rStyle w:val="Heading1Char"/>
              <w:color w:val="auto"/>
            </w:rPr>
            <w:t>Contents</w:t>
          </w:r>
        </w:p>
        <w:p w14:paraId="22C8ED73" w14:textId="77777777" w:rsidR="002D59BE" w:rsidRPr="002D59BE" w:rsidRDefault="002D59BE" w:rsidP="002D59BE">
          <w:pPr>
            <w:rPr>
              <w:lang w:val="en-US"/>
            </w:rPr>
          </w:pPr>
        </w:p>
        <w:p w14:paraId="5F4F2DD8" w14:textId="6E8B0727" w:rsidR="007A3264" w:rsidRPr="00886977" w:rsidRDefault="003C7B6D" w:rsidP="00286C64">
          <w:pPr>
            <w:pStyle w:val="TOC1"/>
            <w:tabs>
              <w:tab w:val="right" w:leader="dot" w:pos="9016"/>
            </w:tabs>
            <w:spacing w:line="360" w:lineRule="auto"/>
            <w:rPr>
              <w:rFonts w:ascii="Arial" w:eastAsiaTheme="minorEastAsia" w:hAnsi="Arial" w:cs="Arial"/>
              <w:noProof/>
              <w:kern w:val="2"/>
              <w:sz w:val="22"/>
              <w:lang w:eastAsia="en-GB"/>
              <w14:ligatures w14:val="standardContextual"/>
            </w:rPr>
          </w:pPr>
          <w:r>
            <w:fldChar w:fldCharType="begin"/>
          </w:r>
          <w:r>
            <w:instrText xml:space="preserve"> TOC \o "1-3" \h \z \u </w:instrText>
          </w:r>
          <w:r>
            <w:fldChar w:fldCharType="separate"/>
          </w:r>
          <w:hyperlink w:anchor="_Toc237376778" w:history="1">
            <w:r w:rsidR="007A3264" w:rsidRPr="00886977">
              <w:rPr>
                <w:rStyle w:val="Hyperlink"/>
                <w:rFonts w:ascii="Arial" w:hAnsi="Arial" w:cs="Arial"/>
                <w:noProof/>
                <w:sz w:val="22"/>
              </w:rPr>
              <w:t>Introduction</w:t>
            </w:r>
            <w:r w:rsidR="007A3264" w:rsidRPr="00886977">
              <w:rPr>
                <w:rFonts w:ascii="Arial" w:hAnsi="Arial" w:cs="Arial"/>
                <w:noProof/>
                <w:webHidden/>
                <w:sz w:val="22"/>
              </w:rPr>
              <w:tab/>
            </w:r>
            <w:r w:rsidR="007A3264" w:rsidRPr="00886977">
              <w:rPr>
                <w:rFonts w:ascii="Arial" w:hAnsi="Arial" w:cs="Arial"/>
                <w:noProof/>
                <w:webHidden/>
                <w:sz w:val="22"/>
              </w:rPr>
              <w:fldChar w:fldCharType="begin"/>
            </w:r>
            <w:r w:rsidR="007A3264" w:rsidRPr="00886977">
              <w:rPr>
                <w:rFonts w:ascii="Arial" w:hAnsi="Arial" w:cs="Arial"/>
                <w:noProof/>
                <w:webHidden/>
                <w:sz w:val="22"/>
              </w:rPr>
              <w:instrText xml:space="preserve"> PAGEREF _Toc237376778 \h </w:instrText>
            </w:r>
            <w:r w:rsidR="007A3264" w:rsidRPr="00886977">
              <w:rPr>
                <w:rFonts w:ascii="Arial" w:hAnsi="Arial" w:cs="Arial"/>
                <w:noProof/>
                <w:webHidden/>
                <w:sz w:val="22"/>
              </w:rPr>
            </w:r>
            <w:r w:rsidR="007A3264" w:rsidRPr="00886977">
              <w:rPr>
                <w:rFonts w:ascii="Arial" w:hAnsi="Arial" w:cs="Arial"/>
                <w:noProof/>
                <w:webHidden/>
                <w:sz w:val="22"/>
              </w:rPr>
              <w:fldChar w:fldCharType="separate"/>
            </w:r>
            <w:r w:rsidR="007A3264" w:rsidRPr="00886977">
              <w:rPr>
                <w:rFonts w:ascii="Arial" w:hAnsi="Arial" w:cs="Arial"/>
                <w:noProof/>
                <w:webHidden/>
                <w:sz w:val="22"/>
              </w:rPr>
              <w:t>3</w:t>
            </w:r>
            <w:r w:rsidR="007A3264" w:rsidRPr="00886977">
              <w:rPr>
                <w:rFonts w:ascii="Arial" w:hAnsi="Arial" w:cs="Arial"/>
                <w:noProof/>
                <w:webHidden/>
                <w:sz w:val="22"/>
              </w:rPr>
              <w:fldChar w:fldCharType="end"/>
            </w:r>
          </w:hyperlink>
        </w:p>
        <w:p w14:paraId="7B9E9A4C" w14:textId="65514584" w:rsidR="007A3264" w:rsidRPr="00886977" w:rsidRDefault="007A3264" w:rsidP="00286C64">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7376779" w:history="1">
            <w:r w:rsidRPr="00886977">
              <w:rPr>
                <w:rStyle w:val="Hyperlink"/>
                <w:rFonts w:ascii="Arial" w:eastAsia="Times New Roman" w:hAnsi="Arial" w:cs="Arial"/>
                <w:noProof/>
                <w:kern w:val="36"/>
                <w:sz w:val="22"/>
                <w:lang w:eastAsia="en-GB"/>
              </w:rPr>
              <w:t>Importance of effective communication</w:t>
            </w:r>
            <w:r w:rsidRPr="00886977">
              <w:rPr>
                <w:rFonts w:ascii="Arial" w:hAnsi="Arial" w:cs="Arial"/>
                <w:noProof/>
                <w:webHidden/>
                <w:sz w:val="22"/>
              </w:rPr>
              <w:tab/>
            </w:r>
            <w:r w:rsidRPr="00886977">
              <w:rPr>
                <w:rFonts w:ascii="Arial" w:hAnsi="Arial" w:cs="Arial"/>
                <w:noProof/>
                <w:webHidden/>
                <w:sz w:val="22"/>
              </w:rPr>
              <w:fldChar w:fldCharType="begin"/>
            </w:r>
            <w:r w:rsidRPr="00886977">
              <w:rPr>
                <w:rFonts w:ascii="Arial" w:hAnsi="Arial" w:cs="Arial"/>
                <w:noProof/>
                <w:webHidden/>
                <w:sz w:val="22"/>
              </w:rPr>
              <w:instrText xml:space="preserve"> PAGEREF _Toc237376779 \h </w:instrText>
            </w:r>
            <w:r w:rsidRPr="00886977">
              <w:rPr>
                <w:rFonts w:ascii="Arial" w:hAnsi="Arial" w:cs="Arial"/>
                <w:noProof/>
                <w:webHidden/>
                <w:sz w:val="22"/>
              </w:rPr>
            </w:r>
            <w:r w:rsidRPr="00886977">
              <w:rPr>
                <w:rFonts w:ascii="Arial" w:hAnsi="Arial" w:cs="Arial"/>
                <w:noProof/>
                <w:webHidden/>
                <w:sz w:val="22"/>
              </w:rPr>
              <w:fldChar w:fldCharType="separate"/>
            </w:r>
            <w:r w:rsidRPr="00886977">
              <w:rPr>
                <w:rFonts w:ascii="Arial" w:hAnsi="Arial" w:cs="Arial"/>
                <w:noProof/>
                <w:webHidden/>
                <w:sz w:val="22"/>
              </w:rPr>
              <w:t>3</w:t>
            </w:r>
            <w:r w:rsidRPr="00886977">
              <w:rPr>
                <w:rFonts w:ascii="Arial" w:hAnsi="Arial" w:cs="Arial"/>
                <w:noProof/>
                <w:webHidden/>
                <w:sz w:val="22"/>
              </w:rPr>
              <w:fldChar w:fldCharType="end"/>
            </w:r>
          </w:hyperlink>
        </w:p>
        <w:p w14:paraId="0E9245DB" w14:textId="57E22DF1" w:rsidR="007A3264" w:rsidRPr="00886977" w:rsidRDefault="007A3264" w:rsidP="00286C64">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7376780" w:history="1">
            <w:r w:rsidRPr="00886977">
              <w:rPr>
                <w:rStyle w:val="Hyperlink"/>
                <w:rFonts w:ascii="Arial" w:hAnsi="Arial" w:cs="Arial"/>
                <w:bCs/>
                <w:noProof/>
                <w:kern w:val="36"/>
                <w:sz w:val="22"/>
                <w:lang w:eastAsia="en-GB"/>
              </w:rPr>
              <w:t>Importance of good administrative skills</w:t>
            </w:r>
            <w:r w:rsidRPr="00886977">
              <w:rPr>
                <w:rFonts w:ascii="Arial" w:hAnsi="Arial" w:cs="Arial"/>
                <w:noProof/>
                <w:webHidden/>
                <w:sz w:val="22"/>
              </w:rPr>
              <w:tab/>
            </w:r>
            <w:r w:rsidRPr="00886977">
              <w:rPr>
                <w:rFonts w:ascii="Arial" w:hAnsi="Arial" w:cs="Arial"/>
                <w:noProof/>
                <w:webHidden/>
                <w:sz w:val="22"/>
              </w:rPr>
              <w:fldChar w:fldCharType="begin"/>
            </w:r>
            <w:r w:rsidRPr="00886977">
              <w:rPr>
                <w:rFonts w:ascii="Arial" w:hAnsi="Arial" w:cs="Arial"/>
                <w:noProof/>
                <w:webHidden/>
                <w:sz w:val="22"/>
              </w:rPr>
              <w:instrText xml:space="preserve"> PAGEREF _Toc237376780 \h </w:instrText>
            </w:r>
            <w:r w:rsidRPr="00886977">
              <w:rPr>
                <w:rFonts w:ascii="Arial" w:hAnsi="Arial" w:cs="Arial"/>
                <w:noProof/>
                <w:webHidden/>
                <w:sz w:val="22"/>
              </w:rPr>
            </w:r>
            <w:r w:rsidRPr="00886977">
              <w:rPr>
                <w:rFonts w:ascii="Arial" w:hAnsi="Arial" w:cs="Arial"/>
                <w:noProof/>
                <w:webHidden/>
                <w:sz w:val="22"/>
              </w:rPr>
              <w:fldChar w:fldCharType="separate"/>
            </w:r>
            <w:r w:rsidRPr="00886977">
              <w:rPr>
                <w:rFonts w:ascii="Arial" w:hAnsi="Arial" w:cs="Arial"/>
                <w:noProof/>
                <w:webHidden/>
                <w:sz w:val="22"/>
              </w:rPr>
              <w:t>4</w:t>
            </w:r>
            <w:r w:rsidRPr="00886977">
              <w:rPr>
                <w:rFonts w:ascii="Arial" w:hAnsi="Arial" w:cs="Arial"/>
                <w:noProof/>
                <w:webHidden/>
                <w:sz w:val="22"/>
              </w:rPr>
              <w:fldChar w:fldCharType="end"/>
            </w:r>
          </w:hyperlink>
        </w:p>
        <w:p w14:paraId="1C8E99EF" w14:textId="4E60E961" w:rsidR="007A3264" w:rsidRPr="00886977" w:rsidRDefault="007A3264" w:rsidP="00286C64">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7376781" w:history="1">
            <w:r w:rsidRPr="00886977">
              <w:rPr>
                <w:rStyle w:val="Hyperlink"/>
                <w:rFonts w:ascii="Arial" w:hAnsi="Arial" w:cs="Arial"/>
                <w:noProof/>
                <w:sz w:val="22"/>
              </w:rPr>
              <w:t>Conclusion</w:t>
            </w:r>
            <w:r w:rsidRPr="00886977">
              <w:rPr>
                <w:rFonts w:ascii="Arial" w:hAnsi="Arial" w:cs="Arial"/>
                <w:noProof/>
                <w:webHidden/>
                <w:sz w:val="22"/>
              </w:rPr>
              <w:tab/>
            </w:r>
            <w:r w:rsidRPr="00886977">
              <w:rPr>
                <w:rFonts w:ascii="Arial" w:hAnsi="Arial" w:cs="Arial"/>
                <w:noProof/>
                <w:webHidden/>
                <w:sz w:val="22"/>
              </w:rPr>
              <w:fldChar w:fldCharType="begin"/>
            </w:r>
            <w:r w:rsidRPr="00886977">
              <w:rPr>
                <w:rFonts w:ascii="Arial" w:hAnsi="Arial" w:cs="Arial"/>
                <w:noProof/>
                <w:webHidden/>
                <w:sz w:val="22"/>
              </w:rPr>
              <w:instrText xml:space="preserve"> PAGEREF _Toc237376781 \h </w:instrText>
            </w:r>
            <w:r w:rsidRPr="00886977">
              <w:rPr>
                <w:rFonts w:ascii="Arial" w:hAnsi="Arial" w:cs="Arial"/>
                <w:noProof/>
                <w:webHidden/>
                <w:sz w:val="22"/>
              </w:rPr>
            </w:r>
            <w:r w:rsidRPr="00886977">
              <w:rPr>
                <w:rFonts w:ascii="Arial" w:hAnsi="Arial" w:cs="Arial"/>
                <w:noProof/>
                <w:webHidden/>
                <w:sz w:val="22"/>
              </w:rPr>
              <w:fldChar w:fldCharType="separate"/>
            </w:r>
            <w:r w:rsidRPr="00886977">
              <w:rPr>
                <w:rFonts w:ascii="Arial" w:hAnsi="Arial" w:cs="Arial"/>
                <w:noProof/>
                <w:webHidden/>
                <w:sz w:val="22"/>
              </w:rPr>
              <w:t>5</w:t>
            </w:r>
            <w:r w:rsidRPr="00886977">
              <w:rPr>
                <w:rFonts w:ascii="Arial" w:hAnsi="Arial" w:cs="Arial"/>
                <w:noProof/>
                <w:webHidden/>
                <w:sz w:val="22"/>
              </w:rPr>
              <w:fldChar w:fldCharType="end"/>
            </w:r>
          </w:hyperlink>
        </w:p>
        <w:p w14:paraId="25B42238" w14:textId="745A5BB5" w:rsidR="007A3264" w:rsidRPr="00886977" w:rsidRDefault="007A3264" w:rsidP="00286C64">
          <w:pPr>
            <w:pStyle w:val="TOC1"/>
            <w:tabs>
              <w:tab w:val="right" w:leader="dot" w:pos="9016"/>
            </w:tabs>
            <w:spacing w:line="360" w:lineRule="auto"/>
            <w:rPr>
              <w:rFonts w:ascii="Arial" w:eastAsiaTheme="minorEastAsia" w:hAnsi="Arial" w:cs="Arial"/>
              <w:noProof/>
              <w:kern w:val="2"/>
              <w:sz w:val="22"/>
              <w:lang w:eastAsia="en-GB"/>
              <w14:ligatures w14:val="standardContextual"/>
            </w:rPr>
          </w:pPr>
          <w:hyperlink w:anchor="_Toc237376782" w:history="1">
            <w:r w:rsidRPr="00886977">
              <w:rPr>
                <w:rStyle w:val="Hyperlink"/>
                <w:rFonts w:ascii="Arial" w:hAnsi="Arial" w:cs="Arial"/>
                <w:noProof/>
                <w:sz w:val="22"/>
              </w:rPr>
              <w:t>References</w:t>
            </w:r>
            <w:r w:rsidRPr="00886977">
              <w:rPr>
                <w:rFonts w:ascii="Arial" w:hAnsi="Arial" w:cs="Arial"/>
                <w:noProof/>
                <w:webHidden/>
                <w:sz w:val="22"/>
              </w:rPr>
              <w:tab/>
            </w:r>
            <w:r w:rsidRPr="00886977">
              <w:rPr>
                <w:rFonts w:ascii="Arial" w:hAnsi="Arial" w:cs="Arial"/>
                <w:noProof/>
                <w:webHidden/>
                <w:sz w:val="22"/>
              </w:rPr>
              <w:fldChar w:fldCharType="begin"/>
            </w:r>
            <w:r w:rsidRPr="00886977">
              <w:rPr>
                <w:rFonts w:ascii="Arial" w:hAnsi="Arial" w:cs="Arial"/>
                <w:noProof/>
                <w:webHidden/>
                <w:sz w:val="22"/>
              </w:rPr>
              <w:instrText xml:space="preserve"> PAGEREF _Toc237376782 \h </w:instrText>
            </w:r>
            <w:r w:rsidRPr="00886977">
              <w:rPr>
                <w:rFonts w:ascii="Arial" w:hAnsi="Arial" w:cs="Arial"/>
                <w:noProof/>
                <w:webHidden/>
                <w:sz w:val="22"/>
              </w:rPr>
            </w:r>
            <w:r w:rsidRPr="00886977">
              <w:rPr>
                <w:rFonts w:ascii="Arial" w:hAnsi="Arial" w:cs="Arial"/>
                <w:noProof/>
                <w:webHidden/>
                <w:sz w:val="22"/>
              </w:rPr>
              <w:fldChar w:fldCharType="separate"/>
            </w:r>
            <w:r w:rsidRPr="00886977">
              <w:rPr>
                <w:rFonts w:ascii="Arial" w:hAnsi="Arial" w:cs="Arial"/>
                <w:noProof/>
                <w:webHidden/>
                <w:sz w:val="22"/>
              </w:rPr>
              <w:t>7</w:t>
            </w:r>
            <w:r w:rsidRPr="00886977">
              <w:rPr>
                <w:rFonts w:ascii="Arial" w:hAnsi="Arial" w:cs="Arial"/>
                <w:noProof/>
                <w:webHidden/>
                <w:sz w:val="22"/>
              </w:rPr>
              <w:fldChar w:fldCharType="end"/>
            </w:r>
          </w:hyperlink>
        </w:p>
        <w:p w14:paraId="6AAD43D4" w14:textId="0A918142" w:rsidR="003C7B6D" w:rsidRDefault="003C7B6D">
          <w:r>
            <w:rPr>
              <w:b/>
              <w:bCs/>
              <w:noProof/>
            </w:rPr>
            <w:fldChar w:fldCharType="end"/>
          </w:r>
        </w:p>
      </w:sdtContent>
    </w:sdt>
    <w:p w14:paraId="588724A7" w14:textId="77777777" w:rsidR="003C7B6D" w:rsidRDefault="003C7B6D" w:rsidP="00CD33A8">
      <w:pPr>
        <w:spacing w:line="360" w:lineRule="auto"/>
        <w:rPr>
          <w:rFonts w:ascii="Arial" w:eastAsiaTheme="majorEastAsia" w:hAnsi="Arial" w:cs="Arial"/>
          <w:b/>
          <w:bCs/>
          <w:sz w:val="32"/>
          <w:szCs w:val="32"/>
          <w:lang w:val="en-US"/>
        </w:rPr>
      </w:pPr>
    </w:p>
    <w:p w14:paraId="3A61D5F1" w14:textId="77777777" w:rsidR="003C7B6D" w:rsidRPr="003C7B6D" w:rsidRDefault="003C7B6D" w:rsidP="00CD33A8">
      <w:pPr>
        <w:spacing w:line="360" w:lineRule="auto"/>
        <w:rPr>
          <w:rFonts w:ascii="Arial" w:hAnsi="Arial" w:cs="Arial"/>
          <w:b/>
          <w:bCs/>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37D7525" w14:textId="77777777" w:rsidR="008A56A0" w:rsidRPr="004A7165" w:rsidRDefault="008A56A0" w:rsidP="00BB6560">
      <w:pPr>
        <w:pStyle w:val="Heading1"/>
      </w:pPr>
      <w:bookmarkStart w:id="0" w:name="_Toc236665016"/>
      <w:bookmarkStart w:id="1" w:name="_Toc236671576"/>
      <w:bookmarkStart w:id="2" w:name="_Toc236687725"/>
      <w:bookmarkStart w:id="3" w:name="_Toc236688265"/>
      <w:bookmarkStart w:id="4" w:name="_Toc237376778"/>
      <w:r w:rsidRPr="004A7165">
        <w:lastRenderedPageBreak/>
        <w:t>Introduction</w:t>
      </w:r>
      <w:bookmarkEnd w:id="0"/>
      <w:bookmarkEnd w:id="1"/>
      <w:bookmarkEnd w:id="4"/>
    </w:p>
    <w:p w14:paraId="6F03D724" w14:textId="77777777" w:rsidR="008A56A0" w:rsidRDefault="008A56A0" w:rsidP="00F72172">
      <w:pPr>
        <w:spacing w:line="360" w:lineRule="auto"/>
        <w:rPr>
          <w:kern w:val="2"/>
          <w:szCs w:val="24"/>
          <w:lang w:eastAsia="en-GB"/>
          <w14:ligatures w14:val="standardContextual"/>
        </w:rPr>
      </w:pPr>
      <w:r>
        <w:rPr>
          <w:rFonts w:ascii="Arial" w:hAnsi="Arial" w:cs="Arial"/>
          <w:sz w:val="22"/>
        </w:rPr>
        <w:t>Mrs Thompson is a 72-year-old woman who lives independently and has type 2 diabetes alongside mobility difficulties. Her situation highlights the interaction between clinical needs, social circumstances and service organisation. Effective diabetes management depends on clear communication, coordinated care and support that enables independence and autonomy (National Institute for Health and Care Excellence, 2022). Diabetes UK (2024) also notes that older people with diabetes who live alone may experience greater risks when care is fragmented or social support is limited. Therefore, Mrs Thompson’s needs should be understood through both the medical and social models of disability. The medical model focuses on diagnosis, treatment and risk management, while the social model draws attention to barriers such as isolation, inaccessible services and poor communication (Oliver, 2013). This report will examine five factors affecting professional communication using Berlo’s (1960) SMCR Model. It will also analyse how administrative competence and collaborative working across health and social care can promote safe, person-centred and dignified support for Mrs Thompson (Glasby, 2012; Department of Health and Social Care, 2021).</w:t>
      </w:r>
    </w:p>
    <w:p w14:paraId="43F1885C" w14:textId="77777777" w:rsidR="008A56A0" w:rsidRPr="002463A7" w:rsidRDefault="008A56A0" w:rsidP="00BB6560">
      <w:pPr>
        <w:pStyle w:val="Heading1"/>
      </w:pPr>
    </w:p>
    <w:p w14:paraId="192E99F4" w14:textId="77777777" w:rsidR="00D075FA" w:rsidRPr="00BB6560" w:rsidRDefault="002463A7" w:rsidP="00BB6560">
      <w:pPr>
        <w:pStyle w:val="Heading1"/>
      </w:pPr>
      <w:bookmarkStart w:id="5" w:name="_Toc237376779"/>
      <w:r w:rsidRPr="00BB6560">
        <w:t>Importance of effective communication</w:t>
      </w:r>
      <w:bookmarkEnd w:id="5"/>
      <w:r w:rsidRPr="00BB6560">
        <w:t xml:space="preserve"> </w:t>
      </w:r>
    </w:p>
    <w:p w14:paraId="2F409D91"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Understanding the source of communication barriers—whether they stem from Mrs Thompson’s clinical impairments or from wider social and environmental obstacles—reflects the distinction between the medical and social models of disability. This distinction is central to analysing her needs and shaping her care. For Mrs Thompson, communication challenges may stem from her health conditions (such as mobility difficulties or sensory loss) and from the context in which she lives (including potential isolation or lack of support networks). Professionals must be alert not only to clinical symptoms, but also to the impact of her social environment on her ability to access care and understand advice.</w:t>
      </w:r>
    </w:p>
    <w:p w14:paraId="5CE99186" w14:textId="77777777" w:rsidR="00ED6940" w:rsidRPr="00ED6940" w:rsidRDefault="00ED6940" w:rsidP="00ED6940">
      <w:pPr>
        <w:spacing w:after="0" w:line="360" w:lineRule="auto"/>
        <w:rPr>
          <w:rFonts w:ascii="Arial" w:eastAsia="Times New Roman" w:hAnsi="Arial" w:cs="Arial"/>
          <w:sz w:val="22"/>
          <w:lang w:eastAsia="en-GB"/>
        </w:rPr>
      </w:pPr>
    </w:p>
    <w:p w14:paraId="0780B752"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 xml:space="preserve">Effective communication forms the bedrock of safe, person-centred care within the NHS, particularly for people like Mrs Thompson who may have multiple needs and risk factors (Haugan and Eriksson, 2021). Haugan and Eriksson (2021) emphasise that successful health promotion depends on building trusting relationships, listening attentively, explaining information in ways the patient understands, and empowering people to make informed decisions about their care. When healthcare professionals communicate poorly, care easily </w:t>
      </w:r>
      <w:r w:rsidRPr="00ED6940">
        <w:rPr>
          <w:rFonts w:ascii="Arial" w:eastAsia="Times New Roman" w:hAnsi="Arial" w:cs="Arial"/>
          <w:sz w:val="22"/>
          <w:lang w:eastAsia="en-GB"/>
        </w:rPr>
        <w:lastRenderedPageBreak/>
        <w:t>becomes fragmented, the risk of errors and safety incidents rises, and patients may disengage from managing their conditions.</w:t>
      </w:r>
    </w:p>
    <w:p w14:paraId="70057F01"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Berlo’s SMCR Model (1960) provides a practical framework for understanding communication. It identifies four core elements: the Source (such as the healthcare professional), the Message (the health information to be conveyed), the Channel (how the information is delivered, e.g., face-to-face, by phone, or in writing), and the Receiver (in this case, Mrs Thompson). Communication succeeds when the source has strong skills, a positive attitude, and a good understanding of the receiver’s cultural and social context. Hargie (2021) identifies five key factors for effective communication: using plain language suited to the patient’s health literacy; demonstrating empathy and respect; listening actively and encouraging feedback; selecting appropriate communication methods; and being aware of the social and environmental barriers the person may face.</w:t>
      </w:r>
    </w:p>
    <w:p w14:paraId="1DE64EBD"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In Mrs Thompson’s situation, professionals must carefully select communication strategies. For example, home visits, telephone consultations, and large-print written materials are likely more effective than online portals or digital reminders, given possible mobility and vision challenges. Professionals should also be aware that barriers such as hearing loss, fatigue, anxiety, or low confidence can influence her capacity to understand and act on health advice. Additionally, NHS pressures—including short appointment times, inconsistent information sharing between services, and high staff workloads—can further complicate communication and continuity of care (Glasby, 2012).</w:t>
      </w:r>
    </w:p>
    <w:p w14:paraId="2767686D"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Beyond individual interactions, effective communication is crucial for successful multidisciplinary collaboration. Mrs Thompson’s GP, physiotherapist, district nurse, and social worker must share information clearly and accurately to ensure her care is coordinated and her needs are fully met. Professionals act as both senders and receivers of information, so they need to develop and maintain communication as an essential clinical competence. Well-organised, transparent information sharing not only improves safety and efficiency, but also increases Mrs Thompson’s trust in her care team and her willingness to remain involved in her own health management.</w:t>
      </w:r>
    </w:p>
    <w:p w14:paraId="451DE72D"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Reducing barriers enhances patient safety, prevents misunderstandings, supports self-management, and improves outcomes. Respectful communication helps patients feel valued and more confident to raise concerns (Haugan and Eriksson, 2021). If staff relate diabetes guidance to Mrs Thompson’s daily life, she can apply advice more easily. This approach fits the social model of health (Maclean, 2015).</w:t>
      </w:r>
    </w:p>
    <w:p w14:paraId="273A916D" w14:textId="77777777" w:rsidR="00ED6940" w:rsidRPr="00ED6940" w:rsidRDefault="00ED6940" w:rsidP="00ED6940">
      <w:pPr>
        <w:spacing w:after="0" w:line="360" w:lineRule="auto"/>
        <w:rPr>
          <w:rFonts w:ascii="Arial" w:eastAsia="Times New Roman" w:hAnsi="Arial" w:cs="Arial"/>
          <w:sz w:val="22"/>
          <w:lang w:eastAsia="en-GB"/>
        </w:rPr>
      </w:pPr>
      <w:r w:rsidRPr="00ED6940">
        <w:rPr>
          <w:rFonts w:ascii="Arial" w:eastAsia="Times New Roman" w:hAnsi="Arial" w:cs="Arial"/>
          <w:sz w:val="22"/>
          <w:lang w:eastAsia="en-GB"/>
        </w:rPr>
        <w:t xml:space="preserve">Professionals also need effective communication for multidisciplinary collaboration within NHS services. For example, Mrs Thompson’s GP must clearly share information about her mobility needs with physiotherapists and social workers to help prevent her condition from worsening. This shows that professionals act as both senders and recipients of information. </w:t>
      </w:r>
      <w:r w:rsidRPr="00ED6940">
        <w:rPr>
          <w:rFonts w:ascii="Arial" w:eastAsia="Times New Roman" w:hAnsi="Arial" w:cs="Arial"/>
          <w:sz w:val="22"/>
          <w:lang w:eastAsia="en-GB"/>
        </w:rPr>
        <w:lastRenderedPageBreak/>
        <w:t>Communication is not just an interpersonal skill; it is an essential clinical competence that shapes the quality of support for vulnerable patients. Teams must share information reliably to ensure Mrs Thompson receives coordinated, continuous care (Glasby, 2012).</w:t>
      </w:r>
    </w:p>
    <w:p w14:paraId="1268A67E" w14:textId="77777777" w:rsidR="002B23CB" w:rsidRDefault="002463A7" w:rsidP="00BB6560">
      <w:pPr>
        <w:pStyle w:val="Heading1"/>
      </w:pPr>
      <w:bookmarkStart w:id="6" w:name="_Toc237376780"/>
      <w:r w:rsidRPr="002E24C4">
        <w:t>Importance of good administrative skills</w:t>
      </w:r>
      <w:bookmarkEnd w:id="6"/>
      <w:r w:rsidR="00743BB0" w:rsidRPr="002E24C4">
        <w:t xml:space="preserve"> </w:t>
      </w:r>
    </w:p>
    <w:p w14:paraId="5FB68031" w14:textId="71EC543D" w:rsidR="00743BB0" w:rsidRPr="002B23CB" w:rsidRDefault="00743BB0" w:rsidP="00520F8A">
      <w:pPr>
        <w:spacing w:before="240" w:after="0" w:line="360" w:lineRule="auto"/>
        <w:jc w:val="both"/>
        <w:rPr>
          <w:rFonts w:ascii="Arial" w:hAnsi="Arial" w:cs="Arial"/>
          <w:sz w:val="32"/>
          <w:szCs w:val="32"/>
        </w:rPr>
      </w:pPr>
      <w:r>
        <w:rPr>
          <w:rFonts w:ascii="Arial" w:hAnsi="Arial" w:cs="Arial"/>
          <w:sz w:val="22"/>
        </w:rPr>
        <w:t>Strong administrative practice involves more than routine paperwork; it is a key component of safe, accountable and coordinated care across the NHS. In health and social care, administration includes accurate record keeping, appointment management, referral tracking, information sharing, confidentiality, and the organisation of practical support. Glasby (2012) explains that health and social care services operate as an interconnected system, which means poor administration in one service can affect the decisions made by another. For Mrs Thompson, who has type 2 diabetes and mobility difficulties, this is especially important because her care may involve several professionals, including a GP, nurse, social worker, physiotherapist and community support services. If these services do not share accurate and timely information, her care may become fragmented, increasing the risk of delay, duplication or unmet need.</w:t>
      </w:r>
    </w:p>
    <w:p w14:paraId="7760B47C" w14:textId="77777777" w:rsidR="00743BB0" w:rsidRDefault="00743BB0" w:rsidP="00520F8A">
      <w:pPr>
        <w:spacing w:line="360" w:lineRule="auto"/>
        <w:jc w:val="both"/>
        <w:rPr>
          <w:kern w:val="2"/>
          <w:szCs w:val="24"/>
          <w:lang w:eastAsia="en-GB"/>
          <w14:ligatures w14:val="standardContextual"/>
        </w:rPr>
      </w:pPr>
      <w:r>
        <w:rPr>
          <w:rFonts w:ascii="Arial" w:hAnsi="Arial" w:cs="Arial"/>
          <w:sz w:val="22"/>
        </w:rPr>
        <w:t>For Mrs Thompson, high-quality administration directly influences safety, independence and wellbeing. Diabetes UK (2024) notes that older people who live alone with diabetes may face increased risks when support is poorly coordinated. Accurate records can help ensure that medication changes, blood glucose concerns, mobility issues and falls risks are clearly documented. This reduces the likelihood of medication errors, missed reviews or delayed follow-up after a fall. Appointment systems are also important, as reminders, accessible appointment times, transport arrangements and home visits may help Mrs Thompson engage with services despite mobility limitations. In this sense, administration should be understood as a preventative part of care rather than a purely clerical task.</w:t>
      </w:r>
    </w:p>
    <w:p w14:paraId="53F8ED56" w14:textId="044F308C" w:rsidR="00743BB0" w:rsidRDefault="002E5CFF" w:rsidP="00520F8A">
      <w:pPr>
        <w:spacing w:line="360" w:lineRule="auto"/>
        <w:jc w:val="both"/>
        <w:rPr>
          <w:kern w:val="2"/>
          <w:szCs w:val="24"/>
          <w:lang w:eastAsia="en-GB"/>
          <w14:ligatures w14:val="standardContextual"/>
        </w:rPr>
      </w:pPr>
      <w:r>
        <w:rPr>
          <w:rFonts w:ascii="Arial" w:hAnsi="Arial" w:cs="Arial"/>
          <w:sz w:val="22"/>
        </w:rPr>
        <w:t>Good administrative</w:t>
      </w:r>
      <w:r w:rsidR="00743BB0">
        <w:rPr>
          <w:rFonts w:ascii="Arial" w:hAnsi="Arial" w:cs="Arial"/>
          <w:sz w:val="22"/>
        </w:rPr>
        <w:t xml:space="preserve"> skills also support person-centred practice because they help professionals respond to Mrs Thompson’s individual circumstances rather than relying on generic procedures. Accurate documentation of her preferences, communication needs, mobility restrictions and home situation would allow staff to plan care that is realistic and accessible. White and Foster (2021) suggest that effective communication and administrative practice are closely linked in person-centred care, as written records often become the main way professionals communicate across services. Poor documentation can also be analysed through Berlo’s (1960) SMCR Model, because inaccurate records may act as a wrongly encoded message that is misunderstood by other professionals. For example, if Mrs </w:t>
      </w:r>
      <w:r w:rsidR="00743BB0">
        <w:rPr>
          <w:rFonts w:ascii="Arial" w:hAnsi="Arial" w:cs="Arial"/>
          <w:sz w:val="22"/>
        </w:rPr>
        <w:lastRenderedPageBreak/>
        <w:t>Thompson’s mobility limitations are recorded vaguely, transport arrangements or home visits may not be arranged, leaving her unable to access care.</w:t>
      </w:r>
    </w:p>
    <w:p w14:paraId="6E503CE6" w14:textId="77777777" w:rsidR="000464BC" w:rsidRDefault="00743BB0" w:rsidP="00520F8A">
      <w:pPr>
        <w:spacing w:line="360" w:lineRule="auto"/>
        <w:jc w:val="both"/>
        <w:rPr>
          <w:rFonts w:ascii="Arial" w:hAnsi="Arial" w:cs="Arial"/>
          <w:sz w:val="22"/>
        </w:rPr>
      </w:pPr>
      <w:r>
        <w:rPr>
          <w:rFonts w:ascii="Arial" w:hAnsi="Arial" w:cs="Arial"/>
          <w:sz w:val="22"/>
        </w:rPr>
        <w:t>Administrative competence must also be balanced with confidentiality and legal accountability. Professionals must protect Mrs Thompson’s personal information and share it only when appropriate under the Data Protection Act 2018 (Great Britain, 2018). However, confidentiality should not prevent necessary information sharing where it supports safe, joined-up care. The Department of Health and Social Care (2021) emphasises that integrated records can improve outcomes by enabling professionals to access relevant information when decisions are made. NHS England (2023) also highlights that efficient systems can reduce duplication and allow staff to spend more time on direct care. Therefore, strong administrative practice helps ensure that Mrs Thompson receives coordinated, timely and dignified support, reducing avoidable risks and enabling her to remain independent at home for as long as possible.</w:t>
      </w:r>
      <w:bookmarkStart w:id="7" w:name="_Toc236687729"/>
      <w:bookmarkStart w:id="8" w:name="_Toc236688269"/>
      <w:bookmarkEnd w:id="2"/>
      <w:bookmarkEnd w:id="3"/>
    </w:p>
    <w:p w14:paraId="32AA925A" w14:textId="77777777" w:rsidR="00366E4E" w:rsidRDefault="00366E4E" w:rsidP="00520F8A">
      <w:pPr>
        <w:spacing w:line="360" w:lineRule="auto"/>
        <w:jc w:val="both"/>
        <w:rPr>
          <w:rFonts w:ascii="Arial" w:hAnsi="Arial" w:cs="Arial"/>
          <w:sz w:val="22"/>
        </w:rPr>
      </w:pPr>
    </w:p>
    <w:p w14:paraId="16FAF0EA" w14:textId="3A0B01B6" w:rsidR="00B87E75" w:rsidRPr="000464BC" w:rsidRDefault="00B87E75" w:rsidP="00BB6560">
      <w:pPr>
        <w:pStyle w:val="Heading1"/>
        <w:rPr>
          <w:kern w:val="2"/>
          <w14:ligatures w14:val="standardContextual"/>
        </w:rPr>
      </w:pPr>
      <w:bookmarkStart w:id="9" w:name="_Toc237376781"/>
      <w:r w:rsidRPr="000464BC">
        <w:t>Conclusion</w:t>
      </w:r>
      <w:bookmarkEnd w:id="7"/>
      <w:bookmarkEnd w:id="8"/>
      <w:bookmarkEnd w:id="9"/>
      <w:r w:rsidR="00CD33A8" w:rsidRPr="000464BC">
        <w:t xml:space="preserve"> </w:t>
      </w:r>
    </w:p>
    <w:p w14:paraId="3442568B" w14:textId="77777777" w:rsidR="00803BF0" w:rsidRDefault="00803BF0" w:rsidP="004A5021">
      <w:pPr>
        <w:spacing w:line="360" w:lineRule="auto"/>
        <w:jc w:val="both"/>
        <w:rPr>
          <w:rFonts w:ascii="Arial" w:hAnsi="Arial" w:cs="Arial"/>
          <w:sz w:val="22"/>
        </w:rPr>
      </w:pPr>
      <w:r>
        <w:rPr>
          <w:rFonts w:ascii="Arial" w:hAnsi="Arial" w:cs="Arial"/>
          <w:sz w:val="22"/>
        </w:rPr>
        <w:t>In conclusion, Mrs Thompson’s case shows that effective health and social care must extend beyond clinical treatment. The medical model is useful because it identifies her type 2 diabetes, reduced mobility and related risks, but the social model provides a broader understanding of how isolation, inaccessible services, poor communication and fragmented support can intensify disability. High-quality care must therefore combine medical management with practical, emotional and social support. Clear communication enables Mrs Thompson to understand information, participate in decisions and manage her condition more confidently. Strong administrative practice helps prevent missed appointments, poor records and unsafe delays, while multidisciplinary collaboration ensures that her diabetes, mobility needs and social circumstances are addressed together. Most importantly, person-centred care recognises Mrs Thompson’s strengths, preferences and rights rather than defining her only by age, illness or impairment. Overall, effective communication, reliable administration and collaborative practice can promote dignity, reduce inequalities and support Mrs Thompson to remain safe, independent and included at home.</w:t>
      </w:r>
    </w:p>
    <w:p w14:paraId="59D9BBC4" w14:textId="77777777" w:rsidR="002463A7" w:rsidRDefault="002463A7" w:rsidP="00520F8A">
      <w:pPr>
        <w:jc w:val="both"/>
      </w:pPr>
    </w:p>
    <w:p w14:paraId="11FCF035" w14:textId="77777777" w:rsidR="002463A7" w:rsidRPr="002463A7" w:rsidRDefault="002463A7" w:rsidP="00520F8A">
      <w:pPr>
        <w:jc w:val="both"/>
      </w:pPr>
    </w:p>
    <w:p w14:paraId="5C280728" w14:textId="77777777" w:rsidR="00214520" w:rsidRDefault="00214520" w:rsidP="00BB6560">
      <w:pPr>
        <w:pStyle w:val="Heading1"/>
      </w:pPr>
      <w:bookmarkStart w:id="10" w:name="_Toc236687730"/>
      <w:bookmarkStart w:id="11" w:name="_Toc236688270"/>
      <w:bookmarkStart w:id="12" w:name="_Toc237376782"/>
    </w:p>
    <w:p w14:paraId="33F8F0BD" w14:textId="22601C3D" w:rsidR="00B87E75" w:rsidRPr="006D2552" w:rsidRDefault="00B87E75" w:rsidP="00BB6560">
      <w:pPr>
        <w:pStyle w:val="Heading1"/>
      </w:pPr>
      <w:r w:rsidRPr="006D2552">
        <w:t>References</w:t>
      </w:r>
      <w:bookmarkEnd w:id="10"/>
      <w:bookmarkEnd w:id="11"/>
      <w:bookmarkEnd w:id="12"/>
    </w:p>
    <w:p w14:paraId="77017212"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Berlo, D.K. (1960) </w:t>
      </w:r>
      <w:r>
        <w:rPr>
          <w:rFonts w:ascii="Arial" w:hAnsi="Arial" w:cs="Arial"/>
          <w:i/>
          <w:iCs/>
          <w:sz w:val="22"/>
        </w:rPr>
        <w:t>The process of communication: an introduction to theory and practice</w:t>
      </w:r>
      <w:r>
        <w:rPr>
          <w:rFonts w:ascii="Arial" w:hAnsi="Arial" w:cs="Arial"/>
          <w:sz w:val="22"/>
        </w:rPr>
        <w:t>. New York: Holt, Rinehart and Winston.</w:t>
      </w:r>
    </w:p>
    <w:p w14:paraId="0D820EF5"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Department of Health and Social Care (2021). Integration and innovation: </w:t>
      </w:r>
      <w:r>
        <w:rPr>
          <w:rFonts w:ascii="Arial" w:hAnsi="Arial" w:cs="Arial"/>
          <w:i/>
          <w:iCs/>
          <w:sz w:val="22"/>
        </w:rPr>
        <w:t>working together to improve health and social care for all</w:t>
      </w:r>
      <w:r>
        <w:rPr>
          <w:rFonts w:ascii="Arial" w:hAnsi="Arial" w:cs="Arial"/>
          <w:sz w:val="22"/>
        </w:rPr>
        <w:t>. Available at: https://www.gov.uk/government/publications/working-together-to-improve-health-and-social-care-for-all (Accessed: 3 August 2026).</w:t>
      </w:r>
    </w:p>
    <w:p w14:paraId="51848E91"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Diabetes UK (2024) </w:t>
      </w:r>
      <w:r>
        <w:rPr>
          <w:rFonts w:ascii="Arial" w:hAnsi="Arial" w:cs="Arial"/>
          <w:i/>
          <w:iCs/>
          <w:sz w:val="22"/>
        </w:rPr>
        <w:t>Older people and diabetes</w:t>
      </w:r>
      <w:r>
        <w:rPr>
          <w:rFonts w:ascii="Arial" w:hAnsi="Arial" w:cs="Arial"/>
          <w:sz w:val="22"/>
        </w:rPr>
        <w:t>. Available at: https://www.diabetes.org.uk/living-with-diabetes/life-with-diabetes/older-people-and-diabetes (Accessed: 28 July 2026).</w:t>
      </w:r>
    </w:p>
    <w:p w14:paraId="655E280A"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Glasby, J. (2012) </w:t>
      </w:r>
      <w:r>
        <w:rPr>
          <w:rFonts w:ascii="Arial" w:hAnsi="Arial" w:cs="Arial"/>
          <w:i/>
          <w:iCs/>
          <w:sz w:val="22"/>
        </w:rPr>
        <w:t>Understanding health and social care</w:t>
      </w:r>
      <w:r>
        <w:rPr>
          <w:rFonts w:ascii="Arial" w:hAnsi="Arial" w:cs="Arial"/>
          <w:sz w:val="22"/>
        </w:rPr>
        <w:t>. 2nd edn. Bristol: Policy Press.</w:t>
      </w:r>
    </w:p>
    <w:p w14:paraId="6832FFE4"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Great Britain (2018) </w:t>
      </w:r>
      <w:r>
        <w:rPr>
          <w:rFonts w:ascii="Arial" w:hAnsi="Arial" w:cs="Arial"/>
          <w:i/>
          <w:iCs/>
          <w:sz w:val="22"/>
        </w:rPr>
        <w:t>Data Protection Act 2018</w:t>
      </w:r>
      <w:r>
        <w:rPr>
          <w:rFonts w:ascii="Arial" w:hAnsi="Arial" w:cs="Arial"/>
          <w:sz w:val="22"/>
        </w:rPr>
        <w:t>. Available at: https://www.legislation.gov.uk/ukpga/2018/12/contents/enacted (Accessed: 25 July 2026).</w:t>
      </w:r>
    </w:p>
    <w:p w14:paraId="078FBC20"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Hargie, O. (2021) </w:t>
      </w:r>
      <w:r>
        <w:rPr>
          <w:rFonts w:ascii="Arial" w:hAnsi="Arial" w:cs="Arial"/>
          <w:i/>
          <w:iCs/>
          <w:sz w:val="22"/>
        </w:rPr>
        <w:t>Skilled interpersonal communication: research, theory and practice</w:t>
      </w:r>
      <w:r>
        <w:rPr>
          <w:rFonts w:ascii="Arial" w:hAnsi="Arial" w:cs="Arial"/>
          <w:sz w:val="22"/>
        </w:rPr>
        <w:t>. 7th edn. London: Routledge.</w:t>
      </w:r>
    </w:p>
    <w:p w14:paraId="3030D97D"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Haugan, G. and Eriksson, M. (2021) </w:t>
      </w:r>
      <w:r>
        <w:rPr>
          <w:rFonts w:ascii="Arial" w:hAnsi="Arial" w:cs="Arial"/>
          <w:i/>
          <w:iCs/>
          <w:sz w:val="22"/>
        </w:rPr>
        <w:t>Health promotion in health care: vital theories and research</w:t>
      </w:r>
      <w:r>
        <w:rPr>
          <w:rFonts w:ascii="Arial" w:hAnsi="Arial" w:cs="Arial"/>
          <w:sz w:val="22"/>
        </w:rPr>
        <w:t>. Cham: Springer.</w:t>
      </w:r>
    </w:p>
    <w:p w14:paraId="5D145D49"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Maclean, S. (2015) </w:t>
      </w:r>
      <w:r>
        <w:rPr>
          <w:rFonts w:ascii="Arial" w:hAnsi="Arial" w:cs="Arial"/>
          <w:i/>
          <w:iCs/>
          <w:sz w:val="22"/>
        </w:rPr>
        <w:t>Theory and practice: a straightforward guide for social work students</w:t>
      </w:r>
      <w:r>
        <w:rPr>
          <w:rFonts w:ascii="Arial" w:hAnsi="Arial" w:cs="Arial"/>
          <w:sz w:val="22"/>
        </w:rPr>
        <w:t>. 3rd edn. Birmingham: Kirwin Maclean Associates.</w:t>
      </w:r>
    </w:p>
    <w:p w14:paraId="714BA14B"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National Institute for Health and Care Excellence (2022) </w:t>
      </w:r>
      <w:r>
        <w:rPr>
          <w:rFonts w:ascii="Arial" w:hAnsi="Arial" w:cs="Arial"/>
          <w:i/>
          <w:iCs/>
          <w:sz w:val="22"/>
        </w:rPr>
        <w:t>Type 2 diabetes in adults: management</w:t>
      </w:r>
      <w:r>
        <w:rPr>
          <w:rFonts w:ascii="Arial" w:hAnsi="Arial" w:cs="Arial"/>
          <w:sz w:val="22"/>
        </w:rPr>
        <w:t>. NICE guideline NG28. Available at: https://www.nice.org.uk/guidance/ng28 (Accessed: 3 August 2026).</w:t>
      </w:r>
    </w:p>
    <w:p w14:paraId="7D77AA09"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NHS England (2023) </w:t>
      </w:r>
      <w:r>
        <w:rPr>
          <w:rFonts w:ascii="Arial" w:hAnsi="Arial" w:cs="Arial"/>
          <w:i/>
          <w:iCs/>
          <w:sz w:val="22"/>
        </w:rPr>
        <w:t>NHS Long Term Workforce Plan</w:t>
      </w:r>
      <w:r>
        <w:rPr>
          <w:rFonts w:ascii="Arial" w:hAnsi="Arial" w:cs="Arial"/>
          <w:sz w:val="22"/>
        </w:rPr>
        <w:t>. Available at: https://www.england.nhs.uk/publication/nhs-long-term-workforce-plan/ (Accessed: 3 August 2026).</w:t>
      </w:r>
    </w:p>
    <w:p w14:paraId="72C31BC5"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Oliver, M. (2013) ‘The social model of disability: thirty years on’, </w:t>
      </w:r>
      <w:r>
        <w:rPr>
          <w:rFonts w:ascii="Arial" w:hAnsi="Arial" w:cs="Arial"/>
          <w:i/>
          <w:iCs/>
          <w:sz w:val="22"/>
        </w:rPr>
        <w:t>Disability &amp; Society</w:t>
      </w:r>
      <w:r>
        <w:rPr>
          <w:rFonts w:ascii="Arial" w:hAnsi="Arial" w:cs="Arial"/>
          <w:sz w:val="22"/>
        </w:rPr>
        <w:t>, 28(7), pp. 1024–1026.</w:t>
      </w:r>
    </w:p>
    <w:p w14:paraId="420D4230" w14:textId="77777777" w:rsidR="003F320D" w:rsidRDefault="003F320D" w:rsidP="00DC57CF">
      <w:pPr>
        <w:spacing w:line="360" w:lineRule="auto"/>
        <w:rPr>
          <w:kern w:val="2"/>
          <w:szCs w:val="24"/>
          <w:lang w:eastAsia="en-GB"/>
          <w14:ligatures w14:val="standardContextual"/>
        </w:rPr>
      </w:pPr>
      <w:r>
        <w:rPr>
          <w:rFonts w:ascii="Arial" w:hAnsi="Arial" w:cs="Arial"/>
          <w:sz w:val="22"/>
        </w:rPr>
        <w:t xml:space="preserve">Social Care Institute for Excellence (2020) </w:t>
      </w:r>
      <w:r>
        <w:rPr>
          <w:rFonts w:ascii="Arial" w:hAnsi="Arial" w:cs="Arial"/>
          <w:i/>
          <w:iCs/>
          <w:sz w:val="22"/>
        </w:rPr>
        <w:t>Co-production: what it is and how to do it</w:t>
      </w:r>
      <w:r>
        <w:rPr>
          <w:rFonts w:ascii="Arial" w:hAnsi="Arial" w:cs="Arial"/>
          <w:sz w:val="22"/>
        </w:rPr>
        <w:t>. Available at: https://www.scie.org.uk/co-production/what-how/ (Accessed: 3 August 2026).</w:t>
      </w:r>
    </w:p>
    <w:p w14:paraId="11B0FB64" w14:textId="77777777" w:rsidR="003F320D" w:rsidRDefault="003F320D" w:rsidP="00DC57CF">
      <w:pPr>
        <w:spacing w:line="360" w:lineRule="auto"/>
        <w:rPr>
          <w:kern w:val="2"/>
          <w:szCs w:val="24"/>
          <w:lang w:eastAsia="en-GB"/>
          <w14:ligatures w14:val="standardContextual"/>
        </w:rPr>
      </w:pPr>
      <w:r>
        <w:rPr>
          <w:rFonts w:ascii="Arial" w:hAnsi="Arial" w:cs="Arial"/>
          <w:sz w:val="22"/>
        </w:rPr>
        <w:lastRenderedPageBreak/>
        <w:t xml:space="preserve">White, S. and Foster, J. (2021) ‘Effective communication and administrative practice in person-centred care’, </w:t>
      </w:r>
      <w:r>
        <w:rPr>
          <w:rFonts w:ascii="Arial" w:hAnsi="Arial" w:cs="Arial"/>
          <w:i/>
          <w:iCs/>
          <w:sz w:val="22"/>
        </w:rPr>
        <w:t>British Journal of Healthcare Management</w:t>
      </w:r>
      <w:r>
        <w:rPr>
          <w:rFonts w:ascii="Arial" w:hAnsi="Arial" w:cs="Arial"/>
          <w:sz w:val="22"/>
        </w:rPr>
        <w:t>, 27(5), pp. 118–125.</w:t>
      </w:r>
    </w:p>
    <w:p w14:paraId="19D1E2B2" w14:textId="77777777" w:rsidR="006D2552" w:rsidRPr="006D2552" w:rsidRDefault="006D2552" w:rsidP="00514C7A"/>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D59FB" w14:textId="77777777" w:rsidR="0073474B" w:rsidRDefault="0073474B" w:rsidP="003E4ECF">
      <w:pPr>
        <w:spacing w:after="0" w:line="240" w:lineRule="auto"/>
      </w:pPr>
      <w:r>
        <w:separator/>
      </w:r>
    </w:p>
  </w:endnote>
  <w:endnote w:type="continuationSeparator" w:id="0">
    <w:p w14:paraId="667F9D17" w14:textId="77777777" w:rsidR="0073474B" w:rsidRDefault="0073474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962DA" w14:textId="77777777" w:rsidR="0073474B" w:rsidRDefault="0073474B" w:rsidP="003E4ECF">
      <w:pPr>
        <w:spacing w:after="0" w:line="240" w:lineRule="auto"/>
      </w:pPr>
      <w:r>
        <w:separator/>
      </w:r>
    </w:p>
  </w:footnote>
  <w:footnote w:type="continuationSeparator" w:id="0">
    <w:p w14:paraId="1054C82E" w14:textId="77777777" w:rsidR="0073474B" w:rsidRDefault="0073474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B32D3C"/>
    <w:multiLevelType w:val="hybridMultilevel"/>
    <w:tmpl w:val="9D543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8171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yMzUwMbcwMTcyMTVS0lEKTi0uzszPAykwrAUAjHpgsSwAAAA="/>
  </w:docVars>
  <w:rsids>
    <w:rsidRoot w:val="00074402"/>
    <w:rsid w:val="00020A80"/>
    <w:rsid w:val="00031D35"/>
    <w:rsid w:val="000464BC"/>
    <w:rsid w:val="000572BF"/>
    <w:rsid w:val="00074402"/>
    <w:rsid w:val="000A3E2E"/>
    <w:rsid w:val="000B01F7"/>
    <w:rsid w:val="000D5DE0"/>
    <w:rsid w:val="00120CED"/>
    <w:rsid w:val="00190D90"/>
    <w:rsid w:val="001C2DAA"/>
    <w:rsid w:val="001D6193"/>
    <w:rsid w:val="001D7C03"/>
    <w:rsid w:val="001F50EA"/>
    <w:rsid w:val="00214520"/>
    <w:rsid w:val="00216C85"/>
    <w:rsid w:val="002200DD"/>
    <w:rsid w:val="002463A7"/>
    <w:rsid w:val="00253C4E"/>
    <w:rsid w:val="0026393A"/>
    <w:rsid w:val="00273EDD"/>
    <w:rsid w:val="00286C64"/>
    <w:rsid w:val="002B23CB"/>
    <w:rsid w:val="002C3965"/>
    <w:rsid w:val="002D59BE"/>
    <w:rsid w:val="002E24C4"/>
    <w:rsid w:val="002E5CFF"/>
    <w:rsid w:val="003072EA"/>
    <w:rsid w:val="00321C4C"/>
    <w:rsid w:val="00366E4E"/>
    <w:rsid w:val="00392BBC"/>
    <w:rsid w:val="0039702F"/>
    <w:rsid w:val="003C7B6D"/>
    <w:rsid w:val="003E4ECF"/>
    <w:rsid w:val="003F320D"/>
    <w:rsid w:val="00407BEC"/>
    <w:rsid w:val="00415716"/>
    <w:rsid w:val="00484D87"/>
    <w:rsid w:val="004A5021"/>
    <w:rsid w:val="004A7165"/>
    <w:rsid w:val="004A736E"/>
    <w:rsid w:val="00514C7A"/>
    <w:rsid w:val="00520F8A"/>
    <w:rsid w:val="00610D2B"/>
    <w:rsid w:val="00641299"/>
    <w:rsid w:val="00665E74"/>
    <w:rsid w:val="006925AA"/>
    <w:rsid w:val="006D0D5C"/>
    <w:rsid w:val="006D2552"/>
    <w:rsid w:val="0070344B"/>
    <w:rsid w:val="00725177"/>
    <w:rsid w:val="0073474B"/>
    <w:rsid w:val="00743BB0"/>
    <w:rsid w:val="007A1B8D"/>
    <w:rsid w:val="007A3264"/>
    <w:rsid w:val="007D43F5"/>
    <w:rsid w:val="007D4A4F"/>
    <w:rsid w:val="00803BF0"/>
    <w:rsid w:val="00814A9E"/>
    <w:rsid w:val="00837594"/>
    <w:rsid w:val="00842F31"/>
    <w:rsid w:val="008856DA"/>
    <w:rsid w:val="00886977"/>
    <w:rsid w:val="008A56A0"/>
    <w:rsid w:val="008E3943"/>
    <w:rsid w:val="0090040D"/>
    <w:rsid w:val="0093199F"/>
    <w:rsid w:val="009536B3"/>
    <w:rsid w:val="00970B63"/>
    <w:rsid w:val="009D052C"/>
    <w:rsid w:val="009D1D1E"/>
    <w:rsid w:val="00A035FD"/>
    <w:rsid w:val="00A139A8"/>
    <w:rsid w:val="00AB50F9"/>
    <w:rsid w:val="00AD23A0"/>
    <w:rsid w:val="00B215F0"/>
    <w:rsid w:val="00B87912"/>
    <w:rsid w:val="00B87E75"/>
    <w:rsid w:val="00BB6560"/>
    <w:rsid w:val="00BD18E7"/>
    <w:rsid w:val="00C83328"/>
    <w:rsid w:val="00CD33A8"/>
    <w:rsid w:val="00D075FA"/>
    <w:rsid w:val="00D46BCA"/>
    <w:rsid w:val="00D63F6E"/>
    <w:rsid w:val="00DC57CF"/>
    <w:rsid w:val="00E569FD"/>
    <w:rsid w:val="00E620E7"/>
    <w:rsid w:val="00E85D3A"/>
    <w:rsid w:val="00ED1B6B"/>
    <w:rsid w:val="00ED6940"/>
    <w:rsid w:val="00EF2E29"/>
    <w:rsid w:val="00F66E1B"/>
    <w:rsid w:val="00F72172"/>
    <w:rsid w:val="00F811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B6560"/>
    <w:pPr>
      <w:keepNext/>
      <w:keepLines/>
      <w:spacing w:before="240" w:after="0" w:line="360" w:lineRule="auto"/>
      <w:outlineLvl w:val="0"/>
    </w:pPr>
    <w:rPr>
      <w:rFonts w:ascii="Arial" w:eastAsiaTheme="majorEastAsia" w:hAnsi="Arial"/>
      <w:b/>
      <w:sz w:val="32"/>
      <w:lang w:eastAsia="en-GB"/>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560"/>
    <w:rPr>
      <w:rFonts w:ascii="Arial" w:eastAsiaTheme="majorEastAsia" w:hAnsi="Arial"/>
      <w:b/>
      <w:sz w:val="32"/>
      <w:lang w:eastAsia="en-GB"/>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TableGrid">
    <w:name w:val="Table Grid"/>
    <w:basedOn w:val="TableNormal"/>
    <w:uiPriority w:val="39"/>
    <w:rsid w:val="003C7B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7B6D"/>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3C7B6D"/>
    <w:pPr>
      <w:spacing w:after="100"/>
    </w:pPr>
  </w:style>
  <w:style w:type="character" w:styleId="Hyperlink">
    <w:name w:val="Hyperlink"/>
    <w:basedOn w:val="DefaultParagraphFont"/>
    <w:uiPriority w:val="99"/>
    <w:unhideWhenUsed/>
    <w:rsid w:val="003C7B6D"/>
    <w:rPr>
      <w:color w:val="0563C1" w:themeColor="hyperlink"/>
      <w:u w:val="single"/>
    </w:rPr>
  </w:style>
  <w:style w:type="paragraph" w:styleId="NormalWeb">
    <w:name w:val="Normal (Web)"/>
    <w:basedOn w:val="Normal"/>
    <w:uiPriority w:val="99"/>
    <w:semiHidden/>
    <w:unhideWhenUsed/>
    <w:rsid w:val="002463A7"/>
    <w:rPr>
      <w:rFonts w:cs="Times New Roman"/>
      <w:szCs w:val="24"/>
    </w:rPr>
  </w:style>
  <w:style w:type="paragraph" w:styleId="ListParagraph">
    <w:name w:val="List Paragraph"/>
    <w:basedOn w:val="Normal"/>
    <w:uiPriority w:val="34"/>
    <w:qFormat/>
    <w:rsid w:val="002463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53FEF-2589-461C-BF9E-ECBEF7E4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1772</Words>
  <Characters>11628</Characters>
  <Application>Microsoft Office Word</Application>
  <DocSecurity>0</DocSecurity>
  <Lines>232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sharon burke</cp:lastModifiedBy>
  <cp:revision>2</cp:revision>
  <dcterms:created xsi:type="dcterms:W3CDTF">2026-08-11T21:30:00Z</dcterms:created>
  <dcterms:modified xsi:type="dcterms:W3CDTF">2026-08-11T21:30:00Z</dcterms:modified>
</cp:coreProperties>
</file>