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559AD" w14:textId="77777777" w:rsidR="00980730" w:rsidRDefault="00980730" w:rsidP="00980730"/>
    <w:p w14:paraId="241030BC" w14:textId="77777777" w:rsidR="00980730" w:rsidRDefault="00980730" w:rsidP="00980730"/>
    <w:p w14:paraId="1C2A6FEB" w14:textId="77777777" w:rsidR="00980730" w:rsidRDefault="00980730" w:rsidP="00980730">
      <w:pPr>
        <w:spacing w:before="240" w:after="240" w:line="360" w:lineRule="auto"/>
        <w:jc w:val="both"/>
      </w:pPr>
      <w:r>
        <w:rPr>
          <w:noProof/>
        </w:rPr>
        <w:drawing>
          <wp:inline distT="114300" distB="114300" distL="114300" distR="114300" wp14:anchorId="7833DDC2" wp14:editId="78CF55D5">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2314591F" w14:textId="77777777" w:rsidR="00980730" w:rsidRDefault="00980730" w:rsidP="00980730">
      <w:pPr>
        <w:spacing w:before="240" w:after="240" w:line="360" w:lineRule="auto"/>
        <w:jc w:val="both"/>
      </w:pPr>
      <w:r>
        <w:t xml:space="preserve"> </w:t>
      </w:r>
    </w:p>
    <w:p w14:paraId="5EABD06D" w14:textId="77777777"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Assignment 1</w:t>
      </w:r>
    </w:p>
    <w:p w14:paraId="0067E175" w14:textId="79A56004" w:rsidR="00980730" w:rsidRPr="00B93003" w:rsidRDefault="00980730" w:rsidP="00980730">
      <w:pPr>
        <w:spacing w:before="240" w:after="160" w:line="360" w:lineRule="auto"/>
        <w:jc w:val="center"/>
        <w:rPr>
          <w:rFonts w:ascii="Arial" w:hAnsi="Arial" w:cs="Arial"/>
          <w:sz w:val="40"/>
          <w:szCs w:val="40"/>
        </w:rPr>
      </w:pPr>
      <w:r>
        <w:rPr>
          <w:rFonts w:ascii="Arial" w:hAnsi="Arial" w:cs="Arial"/>
          <w:sz w:val="40"/>
          <w:szCs w:val="40"/>
        </w:rPr>
        <w:t>Essay</w:t>
      </w:r>
    </w:p>
    <w:p w14:paraId="2C4102A6" w14:textId="0A3782DE"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 xml:space="preserve">(Word Count - </w:t>
      </w:r>
      <w:r>
        <w:rPr>
          <w:rFonts w:ascii="Arial" w:hAnsi="Arial" w:cs="Arial"/>
          <w:sz w:val="40"/>
          <w:szCs w:val="40"/>
        </w:rPr>
        <w:t>2000</w:t>
      </w:r>
      <w:r w:rsidRPr="00B93003">
        <w:rPr>
          <w:rFonts w:ascii="Arial" w:hAnsi="Arial" w:cs="Arial"/>
          <w:sz w:val="40"/>
          <w:szCs w:val="40"/>
        </w:rPr>
        <w:t>)</w:t>
      </w:r>
    </w:p>
    <w:p w14:paraId="550F562C" w14:textId="5449B4E3" w:rsidR="00980730" w:rsidRPr="00B93003" w:rsidRDefault="00980730" w:rsidP="00980730">
      <w:pPr>
        <w:spacing w:before="240" w:after="160" w:line="360" w:lineRule="auto"/>
        <w:jc w:val="center"/>
        <w:rPr>
          <w:rFonts w:ascii="Arial" w:hAnsi="Arial" w:cs="Arial"/>
          <w:sz w:val="40"/>
          <w:szCs w:val="40"/>
        </w:rPr>
      </w:pPr>
      <w:r>
        <w:rPr>
          <w:rFonts w:ascii="Arial" w:hAnsi="Arial" w:cs="Arial"/>
          <w:sz w:val="40"/>
          <w:szCs w:val="40"/>
        </w:rPr>
        <w:t>Personal resourcing</w:t>
      </w:r>
      <w:r w:rsidRPr="00B93003">
        <w:rPr>
          <w:rFonts w:ascii="Arial" w:hAnsi="Arial" w:cs="Arial"/>
          <w:sz w:val="40"/>
          <w:szCs w:val="40"/>
        </w:rPr>
        <w:t xml:space="preserve"> &amp; </w:t>
      </w:r>
      <w:r>
        <w:rPr>
          <w:rFonts w:ascii="Arial" w:hAnsi="Arial" w:cs="Arial"/>
          <w:sz w:val="40"/>
          <w:szCs w:val="40"/>
        </w:rPr>
        <w:t>Development</w:t>
      </w:r>
      <w:r w:rsidRPr="00B93003">
        <w:rPr>
          <w:rFonts w:ascii="Arial" w:hAnsi="Arial" w:cs="Arial"/>
          <w:sz w:val="40"/>
          <w:szCs w:val="40"/>
        </w:rPr>
        <w:t xml:space="preserve"> </w:t>
      </w:r>
    </w:p>
    <w:p w14:paraId="4869C33B" w14:textId="4749CAF2"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(BMIH 500</w:t>
      </w:r>
      <w:r>
        <w:rPr>
          <w:rFonts w:ascii="Arial" w:hAnsi="Arial" w:cs="Arial"/>
          <w:sz w:val="40"/>
          <w:szCs w:val="40"/>
        </w:rPr>
        <w:t>5</w:t>
      </w:r>
      <w:r w:rsidRPr="00B93003">
        <w:rPr>
          <w:rFonts w:ascii="Arial" w:hAnsi="Arial" w:cs="Arial"/>
          <w:sz w:val="40"/>
          <w:szCs w:val="40"/>
        </w:rPr>
        <w:t>)</w:t>
      </w:r>
    </w:p>
    <w:p w14:paraId="1C7381D5" w14:textId="77777777"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Student name: Gergana Nikolova</w:t>
      </w:r>
    </w:p>
    <w:p w14:paraId="1648823A" w14:textId="77777777"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Student number: 2213953</w:t>
      </w:r>
    </w:p>
    <w:p w14:paraId="76B8A73C" w14:textId="52379649" w:rsidR="00980730" w:rsidRPr="00B93003" w:rsidRDefault="00980730" w:rsidP="00980730">
      <w:pPr>
        <w:spacing w:before="240" w:after="160" w:line="360" w:lineRule="auto"/>
        <w:jc w:val="center"/>
        <w:rPr>
          <w:rFonts w:ascii="Arial" w:hAnsi="Arial" w:cs="Arial"/>
          <w:sz w:val="40"/>
          <w:szCs w:val="40"/>
        </w:rPr>
      </w:pPr>
      <w:r w:rsidRPr="00B93003">
        <w:rPr>
          <w:rFonts w:ascii="Arial" w:hAnsi="Arial" w:cs="Arial"/>
          <w:sz w:val="40"/>
          <w:szCs w:val="40"/>
        </w:rPr>
        <w:t xml:space="preserve">Tutor name: </w:t>
      </w:r>
      <w:r>
        <w:rPr>
          <w:rFonts w:ascii="Arial" w:hAnsi="Arial" w:cs="Arial"/>
          <w:sz w:val="40"/>
          <w:szCs w:val="40"/>
        </w:rPr>
        <w:t>Helen Lee</w:t>
      </w:r>
    </w:p>
    <w:p w14:paraId="24F4A388" w14:textId="77777777" w:rsidR="00980730" w:rsidRDefault="00980730" w:rsidP="00980730">
      <w:pPr>
        <w:spacing w:before="240" w:after="240" w:line="360" w:lineRule="auto"/>
        <w:jc w:val="both"/>
      </w:pPr>
      <w:r>
        <w:t xml:space="preserve"> </w:t>
      </w:r>
    </w:p>
    <w:p w14:paraId="5832601D" w14:textId="77777777" w:rsidR="00980730" w:rsidRDefault="00980730" w:rsidP="00980730"/>
    <w:p w14:paraId="1F9E0BDC" w14:textId="77777777" w:rsidR="00980730" w:rsidRDefault="00980730" w:rsidP="00980730"/>
    <w:p w14:paraId="0D39A9CD" w14:textId="77777777" w:rsidR="00980730" w:rsidRDefault="00980730" w:rsidP="00980730"/>
    <w:p w14:paraId="7261086D" w14:textId="77777777" w:rsidR="00980730" w:rsidRDefault="00980730" w:rsidP="00980730"/>
    <w:p w14:paraId="38C90B78" w14:textId="77777777" w:rsidR="00980730" w:rsidRDefault="00980730" w:rsidP="00980730"/>
    <w:p w14:paraId="3EB9D116" w14:textId="77777777" w:rsidR="00980730" w:rsidRDefault="00980730" w:rsidP="00980730"/>
    <w:p w14:paraId="32BD526F" w14:textId="77777777" w:rsidR="00980730" w:rsidRDefault="00980730" w:rsidP="00980730"/>
    <w:p w14:paraId="778EA40C" w14:textId="79970C3C" w:rsidR="00980730" w:rsidRPr="00980730" w:rsidRDefault="00980730" w:rsidP="00980730">
      <w:r>
        <w:t>Background</w:t>
      </w:r>
    </w:p>
    <w:p w14:paraId="36386A9A" w14:textId="5B0A72F2" w:rsidR="00980730" w:rsidRDefault="00980730" w:rsidP="00980730">
      <w:r w:rsidRPr="00980730">
        <w:t>This essay delves into the strategies and practices that the human resource department must employ to engage Generation Y employees throughout their entire employee lifecycle in the context of a large hotel. It explores the critical role of human resources in employee engagement, the unique characteristics of Generation Y, suggests effective ways to engage and highlights the advantages of maintaining a highly engaged workforce. The essay also discusses each stage of the employee lifecycle (Attraction, Recruitment, Onboarding, Development, Retention, and Separation), and provides practical examples of engagement strategies. Additionally, it incorporates an employee engagement model and showcases its potential implementation in the hotel industry, backed by references and examples from the industry.</w:t>
      </w:r>
      <w:r w:rsidR="003A7403">
        <w:t xml:space="preserve"> </w:t>
      </w:r>
    </w:p>
    <w:p w14:paraId="2D5E74BB" w14:textId="77777777" w:rsidR="00980730" w:rsidRPr="00980730" w:rsidRDefault="00980730" w:rsidP="00980730">
      <w:pPr>
        <w:numPr>
          <w:ilvl w:val="0"/>
          <w:numId w:val="1"/>
        </w:numPr>
      </w:pPr>
      <w:r w:rsidRPr="00980730">
        <w:t>Introduction</w:t>
      </w:r>
    </w:p>
    <w:p w14:paraId="79D03231" w14:textId="77777777" w:rsidR="00980730" w:rsidRDefault="00980730" w:rsidP="00980730">
      <w:r w:rsidRPr="00980730">
        <w:t xml:space="preserve">Engaging employees, particularly Generation Y, has become a paramount concern for organizations aiming to create a productive and harmonious work environment. This essay focuses on the role of human resources in engaging Generation Y employees within the hospitality industry. Generation Y, also known as Millennials, is characterized by distinct values, expectations, and </w:t>
      </w:r>
      <w:r w:rsidRPr="00980730">
        <w:t>behaviours</w:t>
      </w:r>
      <w:r w:rsidRPr="00980730">
        <w:t xml:space="preserve"> that necessitate tailored engagement strategies.</w:t>
      </w:r>
    </w:p>
    <w:p w14:paraId="1BB0FB29" w14:textId="0A62CC9D" w:rsidR="00980730" w:rsidRPr="00980730" w:rsidRDefault="00980730" w:rsidP="00980730">
      <w:r w:rsidRPr="008B3380">
        <w:t>Employee engagement is a critical concern for organizations, as it directly impacts productivity, job satisfaction, and overall success. In the context of the hospitality industry, particularly in large hotels, engaging Generation Y employees (often referred to as millennials) is of paramount importance. This generation, born between 1981 and 1996, has unique characteristics, expectations, and preferences that require tailored engagement strategies throughout the employee lifecycle.</w:t>
      </w:r>
      <w:r>
        <w:t xml:space="preserve"> </w:t>
      </w:r>
      <w:r w:rsidRPr="00980730">
        <w:t>This essay explores the nuances of engaging this generation throughout the employee lifecycle, emphasizing the stages of Attraction, Recruitment, Onboarding, Development, Retention, and Separation. It also outlines the advantages of employee engagement and provides practical examples from the hotel industry.</w:t>
      </w:r>
      <w:r>
        <w:t xml:space="preserve"> </w:t>
      </w:r>
      <w:r w:rsidRPr="008B3380">
        <w:t>In this essay, we will discuss the role of human resources in engaging Generation Y employees, explore the distinct characteristics of Generation Y, suggest methods for engaging and their associated advantages, analyse the various stages of the employee lifecycle, and provide real-world industry examples</w:t>
      </w:r>
      <w:r>
        <w:t>.</w:t>
      </w:r>
    </w:p>
    <w:p w14:paraId="6FA00379" w14:textId="77777777" w:rsidR="00980730" w:rsidRPr="00980730" w:rsidRDefault="00980730" w:rsidP="00980730">
      <w:pPr>
        <w:numPr>
          <w:ilvl w:val="0"/>
          <w:numId w:val="2"/>
        </w:numPr>
      </w:pPr>
      <w:r w:rsidRPr="00980730">
        <w:t>The Role of Human Resources in Employee Engagement</w:t>
      </w:r>
    </w:p>
    <w:p w14:paraId="68B21FE8" w14:textId="77777777" w:rsidR="00980730" w:rsidRDefault="00980730" w:rsidP="00980730">
      <w:r w:rsidRPr="00980730">
        <w:t>Human resources departments play a crucial role in fostering employee engagement. It involves developing and implementing strategies that motivate and retain employees, ensuring they are invested in the organization's success (Macey &amp; Schneider, 2008). HR professionals are responsible for creating a conducive work environment, fostering open communication, and providing opportunities for growth and development.</w:t>
      </w:r>
    </w:p>
    <w:p w14:paraId="349C23B8" w14:textId="6513099B" w:rsidR="00980730" w:rsidRPr="00980730" w:rsidRDefault="00980730" w:rsidP="00980730">
      <w:r w:rsidRPr="008B3380">
        <w:t xml:space="preserve">The role of the human resources department is central to employee engagement. HR professionals are responsible for designing, implementing, and managing strategies and programs aimed at keeping employees motivated, satisfied, and committed to their roles. In the context of engaging Generation Y employees, HR should focus on understanding the unique needs and expectations of this generation, aligning HR practices with those needs, and creating a workplace culture that fosters engagement (Saks &amp; </w:t>
      </w:r>
      <w:proofErr w:type="spellStart"/>
      <w:r w:rsidRPr="008B3380">
        <w:t>Gruman</w:t>
      </w:r>
      <w:proofErr w:type="spellEnd"/>
      <w:r w:rsidRPr="008B3380">
        <w:t>, 2017).</w:t>
      </w:r>
    </w:p>
    <w:p w14:paraId="147EF727" w14:textId="77777777" w:rsidR="00980730" w:rsidRPr="00980730" w:rsidRDefault="00980730" w:rsidP="00980730">
      <w:pPr>
        <w:numPr>
          <w:ilvl w:val="0"/>
          <w:numId w:val="3"/>
        </w:numPr>
      </w:pPr>
      <w:r w:rsidRPr="00980730">
        <w:t>Understanding Generation Y</w:t>
      </w:r>
    </w:p>
    <w:p w14:paraId="65DC4DE9" w14:textId="77777777" w:rsidR="00980730" w:rsidRDefault="00980730" w:rsidP="00980730">
      <w:r w:rsidRPr="00980730">
        <w:t xml:space="preserve">To engage Generation Y effectively, it is essential to understand their unique characteristics. Generation Y employees are technologically savvy, value work-life balance, seek personal </w:t>
      </w:r>
      <w:r w:rsidRPr="00980730">
        <w:lastRenderedPageBreak/>
        <w:t>and professional development, and prioritize workplace flexibility (Lancaster &amp; Stillman, 2010). They often look for a purpose and meaning in their work, and they thrive on regular feedback and recognition.</w:t>
      </w:r>
    </w:p>
    <w:p w14:paraId="40E74A35" w14:textId="0416B963" w:rsidR="00980730" w:rsidRPr="00980730" w:rsidRDefault="00980730" w:rsidP="00980730">
      <w:r w:rsidRPr="008B3380">
        <w:t>Generation Y is known for its tech-savviness, desire for work-life balance, preference for flexible work arrangements, and a strong desire to make a meaningful impact through their work (Twenge, 2017). HR can tailor engagement strategies by incorporating elements such as digital communication, opportunities for skill development, and work flexibility.</w:t>
      </w:r>
    </w:p>
    <w:p w14:paraId="4FA5CD11" w14:textId="77777777" w:rsidR="00980730" w:rsidRPr="00980730" w:rsidRDefault="00980730" w:rsidP="00980730">
      <w:pPr>
        <w:numPr>
          <w:ilvl w:val="0"/>
          <w:numId w:val="4"/>
        </w:numPr>
      </w:pPr>
      <w:r w:rsidRPr="00980730">
        <w:t>Engaging Generation Y: Advantages and Strategies</w:t>
      </w:r>
    </w:p>
    <w:p w14:paraId="26B8F4D2" w14:textId="77777777" w:rsidR="00980730" w:rsidRPr="00980730" w:rsidRDefault="00980730" w:rsidP="00980730">
      <w:r w:rsidRPr="00980730">
        <w:t>Engaging Generation Y can yield several advantages, including increased productivity, reduced turnover, and a positive impact on an organization's reputation (Gallup, 2019). To engage this generation, organizations can:</w:t>
      </w:r>
    </w:p>
    <w:p w14:paraId="2094E87E" w14:textId="77777777" w:rsidR="00980730" w:rsidRPr="00980730" w:rsidRDefault="00980730" w:rsidP="00980730">
      <w:r w:rsidRPr="00980730">
        <w:t>4.1. Implement Flexible Work Arrangements Generation Y values work-life balance and flexibility. Offering flexible work arrangements, such as remote work options and flexible hours, can significantly boost engagement (Cisco, 2021).</w:t>
      </w:r>
    </w:p>
    <w:p w14:paraId="0BA7F933" w14:textId="77777777" w:rsidR="00980730" w:rsidRPr="00980730" w:rsidRDefault="00980730" w:rsidP="00980730">
      <w:r w:rsidRPr="00980730">
        <w:t>4.2. Provide Continuous Learning and Development Organizations should invest in training and development programs to meet the growth expectations of Generation Y employees (McGonigal, 2017). This can include mentorship, skill-building workshops, and access to educational resources.</w:t>
      </w:r>
    </w:p>
    <w:p w14:paraId="460FE1AF" w14:textId="77777777" w:rsidR="00980730" w:rsidRPr="00980730" w:rsidRDefault="00980730" w:rsidP="00980730">
      <w:r w:rsidRPr="00980730">
        <w:t>4.3. Encourage Regular Feedback and Recognition Generation Y seeks constant feedback and recognition for their contributions (HBR, 2016). Managers should provide constructive feedback and acknowledge achievements regularly to keep employees engaged.</w:t>
      </w:r>
    </w:p>
    <w:p w14:paraId="6A51CD57" w14:textId="77777777" w:rsidR="00980730" w:rsidRPr="00980730" w:rsidRDefault="00980730" w:rsidP="00980730">
      <w:r w:rsidRPr="00980730">
        <w:t>4.4. Foster a Diverse and Inclusive Workplace Generation Y is known for its commitment to diversity and inclusivity (Deloitte, 2020). Organizations should promote diversity and create inclusive environments to align with their values.</w:t>
      </w:r>
    </w:p>
    <w:p w14:paraId="5F3F697B" w14:textId="77777777" w:rsidR="00980730" w:rsidRPr="00980730" w:rsidRDefault="00980730" w:rsidP="00980730">
      <w:pPr>
        <w:numPr>
          <w:ilvl w:val="0"/>
          <w:numId w:val="5"/>
        </w:numPr>
      </w:pPr>
      <w:r w:rsidRPr="00980730">
        <w:t>The Employee Lifecycle</w:t>
      </w:r>
    </w:p>
    <w:p w14:paraId="1EBE7C96" w14:textId="77777777" w:rsidR="00980730" w:rsidRPr="00980730" w:rsidRDefault="00980730" w:rsidP="00980730">
      <w:r w:rsidRPr="00980730">
        <w:t>Engaging Generation Y throughout the employee lifecycle is a multifaceted process. It involves implementing tailored strategies at each stage, including Attraction, Recruitment, Onboarding, Development, Retention, and Separation.</w:t>
      </w:r>
    </w:p>
    <w:p w14:paraId="0CBE455C" w14:textId="4D6801EC" w:rsidR="00980730" w:rsidRDefault="00980730" w:rsidP="00980730">
      <w:r w:rsidRPr="00980730">
        <w:t>5.1. Attraction</w:t>
      </w:r>
      <w:r w:rsidR="003A7403">
        <w:t>:</w:t>
      </w:r>
      <w:r w:rsidRPr="00980730">
        <w:t xml:space="preserve"> Effective attraction strategies for Generation Y include a strong online presence, showcasing company culture, and emphasizing values aligned with this generation (Chambers, 2021). Social media platforms and employer branding can be powerful tools for attracting talent.</w:t>
      </w:r>
      <w:r>
        <w:t xml:space="preserve"> </w:t>
      </w:r>
    </w:p>
    <w:p w14:paraId="29E19341" w14:textId="6E3CEF16" w:rsidR="00980730" w:rsidRDefault="00980730" w:rsidP="00980730">
      <w:r w:rsidRPr="008B3380">
        <w:t>Attracting Generation Y candidates involves showcasing the organization's values, culture, and opportunities for growth. Creating an appealing online presence and using social media platforms can be particularly effective (</w:t>
      </w:r>
      <w:proofErr w:type="spellStart"/>
      <w:r w:rsidRPr="008B3380">
        <w:t>Rajabi</w:t>
      </w:r>
      <w:proofErr w:type="spellEnd"/>
      <w:r w:rsidRPr="008B3380">
        <w:t xml:space="preserve">, Mohammadi, &amp; </w:t>
      </w:r>
      <w:proofErr w:type="spellStart"/>
      <w:r w:rsidRPr="008B3380">
        <w:t>Amini</w:t>
      </w:r>
      <w:proofErr w:type="spellEnd"/>
      <w:r w:rsidRPr="008B3380">
        <w:t>, 2021).</w:t>
      </w:r>
    </w:p>
    <w:p w14:paraId="081690F1" w14:textId="65BF52CD" w:rsidR="003A7403" w:rsidRPr="00980730" w:rsidRDefault="003A7403" w:rsidP="00980730">
      <w:r w:rsidRPr="003A7403">
        <w:t>Offer flexible work arrangements from the beginning to show that the organization values work-life balance. Promote this in job listings and during recruitment to attract potential candidates (Cisco, 2021).</w:t>
      </w:r>
    </w:p>
    <w:p w14:paraId="7A779D1B" w14:textId="4BC13055" w:rsidR="00980730" w:rsidRDefault="00980730" w:rsidP="00980730">
      <w:r w:rsidRPr="00980730">
        <w:t>5.2. Recruitment</w:t>
      </w:r>
      <w:r w:rsidR="003A7403">
        <w:t xml:space="preserve">: </w:t>
      </w:r>
      <w:r w:rsidRPr="00980730">
        <w:t>Recruitment efforts should focus on clear communication of job expectations, transparent hiring processes, and utilizing technology for efficient candidate experiences (SHRM, 2019). Personalized recruitment journeys resonate well with Generation Y.</w:t>
      </w:r>
      <w:r>
        <w:t xml:space="preserve"> </w:t>
      </w:r>
      <w:r w:rsidRPr="008B3380">
        <w:t>Recruitment processes should focus on matching the candidates' values and expectations with the company's culture and job roles. Effective communication and personalized experiences are key in this stage</w:t>
      </w:r>
      <w:r>
        <w:t>.</w:t>
      </w:r>
    </w:p>
    <w:p w14:paraId="45D04FA2" w14:textId="77777777" w:rsidR="003A7403" w:rsidRPr="00980730" w:rsidRDefault="003A7403" w:rsidP="00980730"/>
    <w:p w14:paraId="59D307F9" w14:textId="41447DCA" w:rsidR="00980730" w:rsidRDefault="00980730" w:rsidP="00980730">
      <w:r w:rsidRPr="00980730">
        <w:lastRenderedPageBreak/>
        <w:t>5.3. Onboarding</w:t>
      </w:r>
      <w:r w:rsidR="003A7403">
        <w:t xml:space="preserve">: </w:t>
      </w:r>
      <w:r w:rsidRPr="00980730">
        <w:t>Onboarding programs should be structured and engaging. They should include opportunities for socialization, training, and introducing new hires to the company culture (CIPD, 2020). Gamification and e-learning can enhance the onboarding experience.</w:t>
      </w:r>
    </w:p>
    <w:p w14:paraId="7015BF26" w14:textId="68590775" w:rsidR="003A7403" w:rsidRPr="00980730" w:rsidRDefault="003A7403" w:rsidP="00980730">
      <w:r w:rsidRPr="003A7403">
        <w:t>Incorporate mentorship opportunities into the onboarding process. Assigning experienced employees as mentors can help new hires navigate the organization and provide valuable guidance (SHRM, 2020).</w:t>
      </w:r>
    </w:p>
    <w:p w14:paraId="4230CE9B" w14:textId="6572F888" w:rsidR="003A7403" w:rsidRPr="00980730" w:rsidRDefault="00980730" w:rsidP="00980730">
      <w:r w:rsidRPr="00980730">
        <w:t>5.4. Development Continuous development opportunities are vital to engage Generation Y. Providing access to online courses, mentorship programs, and career pathways aligns with their expectations (SHRM, 2020). Offering a variety of development options is crucial.</w:t>
      </w:r>
    </w:p>
    <w:p w14:paraId="7B772A1F" w14:textId="77777777" w:rsidR="00980730" w:rsidRPr="00980730" w:rsidRDefault="00980730" w:rsidP="00980730">
      <w:r w:rsidRPr="00980730">
        <w:t>5.5. Retention To retain Generation Y employees, organizations should provide clear growth pathways, recognition, and support work-life balance (SHRM, 2018). Regular check-ins and feedback sessions contribute to retention.</w:t>
      </w:r>
    </w:p>
    <w:p w14:paraId="2597E345" w14:textId="6AA91D79" w:rsidR="00980730" w:rsidRDefault="00980730" w:rsidP="00980730">
      <w:r w:rsidRPr="00980730">
        <w:t>5.6. Separation Even in the case of separation, organizations can maintain positive relationships with former employees. An alumni network can help maintain connections and potential returnees (Hogan, 2021).</w:t>
      </w:r>
      <w:r>
        <w:t xml:space="preserve"> </w:t>
      </w:r>
      <w:r w:rsidRPr="008B3380">
        <w:t>Even during separation, organizations can engage Generation Y employees by conducting exit interviews to gather feedback and understand their reasons for leaving. This information can be used to improve retention strategies (</w:t>
      </w:r>
      <w:proofErr w:type="spellStart"/>
      <w:r w:rsidRPr="008B3380">
        <w:t>Rajabi</w:t>
      </w:r>
      <w:proofErr w:type="spellEnd"/>
      <w:r w:rsidRPr="008B3380">
        <w:t xml:space="preserve">, Mohammadi, &amp; </w:t>
      </w:r>
      <w:proofErr w:type="spellStart"/>
      <w:r w:rsidRPr="008B3380">
        <w:t>Amini</w:t>
      </w:r>
      <w:proofErr w:type="spellEnd"/>
      <w:r w:rsidRPr="008B3380">
        <w:t>, 2021)</w:t>
      </w:r>
      <w:r>
        <w:t>.</w:t>
      </w:r>
    </w:p>
    <w:p w14:paraId="562E0570" w14:textId="77777777" w:rsidR="003A7403" w:rsidRPr="003A7403" w:rsidRDefault="003A7403" w:rsidP="003A7403">
      <w:r w:rsidRPr="003A7403">
        <w:t>Work-Life Integration:</w:t>
      </w:r>
    </w:p>
    <w:p w14:paraId="3E938091" w14:textId="77777777" w:rsidR="003A7403" w:rsidRPr="003A7403" w:rsidRDefault="003A7403" w:rsidP="003A7403">
      <w:r w:rsidRPr="003A7403">
        <w:rPr>
          <w:b/>
          <w:bCs/>
        </w:rPr>
        <w:t>Work-Life Integration Support:</w:t>
      </w:r>
      <w:r w:rsidRPr="003A7403">
        <w:t xml:space="preserve"> Recognize the importance of work-life integration for Generation Y. Implement policies and practices that support remote work options, flexible hours, and mental health resources to help employees balance their professional and personal lives (Chambers, 2021).</w:t>
      </w:r>
    </w:p>
    <w:p w14:paraId="3BB7FD36" w14:textId="77777777" w:rsidR="003A7403" w:rsidRPr="003A7403" w:rsidRDefault="003A7403" w:rsidP="003A7403">
      <w:r w:rsidRPr="003A7403">
        <w:rPr>
          <w:b/>
          <w:bCs/>
        </w:rPr>
        <w:t>Continuous Communication:</w:t>
      </w:r>
      <w:r w:rsidRPr="003A7403">
        <w:t xml:space="preserve"> Maintain open channels of communication with Generation Y employees to understand their evolving needs and preferences. Regular surveys and feedback mechanisms can provide insights into how the organization can better support work-life integration.</w:t>
      </w:r>
    </w:p>
    <w:p w14:paraId="7915DDB7" w14:textId="77777777" w:rsidR="003A7403" w:rsidRPr="00980730" w:rsidRDefault="003A7403" w:rsidP="00980730"/>
    <w:p w14:paraId="4EF69938" w14:textId="77777777" w:rsidR="00980730" w:rsidRPr="00980730" w:rsidRDefault="00980730" w:rsidP="00980730">
      <w:pPr>
        <w:numPr>
          <w:ilvl w:val="0"/>
          <w:numId w:val="6"/>
        </w:numPr>
      </w:pPr>
      <w:r w:rsidRPr="00980730">
        <w:t>Employee Engagement Model and Implementation</w:t>
      </w:r>
    </w:p>
    <w:p w14:paraId="6560DA4D" w14:textId="77777777" w:rsidR="00980730" w:rsidRPr="00980730" w:rsidRDefault="00980730" w:rsidP="00980730">
      <w:r w:rsidRPr="00980730">
        <w:t>To create a structured approach to employee engagement, organizations can adopt models like Gallup's Q12 Employee Engagement model. This model, consisting of 12 key elements, measures employee engagement and guides improvement strategies (Gallup, n.d.). Implementing this model in the hospitality industry requires customizing questions and actions specific to the industry. For example, in a large hotel, this might involve assessing employee satisfaction with guest interactions, workload, and opportunities for growth.</w:t>
      </w:r>
    </w:p>
    <w:p w14:paraId="4FA39776" w14:textId="77777777" w:rsidR="00980730" w:rsidRPr="00980730" w:rsidRDefault="00980730" w:rsidP="00980730">
      <w:pPr>
        <w:numPr>
          <w:ilvl w:val="0"/>
          <w:numId w:val="7"/>
        </w:numPr>
      </w:pPr>
      <w:r w:rsidRPr="00980730">
        <w:t>Industry Examples</w:t>
      </w:r>
    </w:p>
    <w:p w14:paraId="51F65B63" w14:textId="77777777" w:rsidR="00980730" w:rsidRPr="00980730" w:rsidRDefault="00980730" w:rsidP="00980730">
      <w:r w:rsidRPr="00980730">
        <w:t>Several large hotel chains have successfully engaged Generation Y employees by implementing innovative strategies:</w:t>
      </w:r>
    </w:p>
    <w:p w14:paraId="731CD6C7" w14:textId="77777777" w:rsidR="00980730" w:rsidRPr="00980730" w:rsidRDefault="00980730" w:rsidP="00980730">
      <w:r w:rsidRPr="00980730">
        <w:t>7.1. Marriott International Marriott International introduced the "Voyage" program, which offers extensive training, development, and leadership opportunities for employees (Marriott, 2023). This initiative aligns with Generation Y's desire for continuous learning and advancement.</w:t>
      </w:r>
    </w:p>
    <w:p w14:paraId="34688D20" w14:textId="77777777" w:rsidR="00980730" w:rsidRPr="00980730" w:rsidRDefault="00980730" w:rsidP="00980730">
      <w:r w:rsidRPr="00980730">
        <w:t>7.2. Hilton Hotels &amp; Resorts Hilton offers flexible work arrangements and recognizes employees through its "Catch Me at My Best" program (Hilton, 2021). Such strategies resonate well with Generation Y's values, leading to increased engagement.</w:t>
      </w:r>
    </w:p>
    <w:p w14:paraId="251B057A" w14:textId="77777777" w:rsidR="003A7403" w:rsidRDefault="003A7403" w:rsidP="003A7403"/>
    <w:p w14:paraId="6222D6EA" w14:textId="77777777" w:rsidR="003A7403" w:rsidRDefault="003A7403" w:rsidP="003A7403"/>
    <w:p w14:paraId="5FCCA235" w14:textId="67ECCB89" w:rsidR="003A7403" w:rsidRPr="003A7403" w:rsidRDefault="003A7403" w:rsidP="003A7403">
      <w:r w:rsidRPr="003A7403">
        <w:lastRenderedPageBreak/>
        <w:t>In conclusion</w:t>
      </w:r>
      <w:r>
        <w:t xml:space="preserve"> for the above employee lifecycle</w:t>
      </w:r>
      <w:r w:rsidRPr="003A7403">
        <w:t xml:space="preserve">, understanding and effectively engaging Generation Y throughout </w:t>
      </w:r>
      <w:r>
        <w:t>this</w:t>
      </w:r>
      <w:r w:rsidRPr="003A7403">
        <w:t xml:space="preserve"> is of paramount importance for organizations seeking to attract, retain, and develop a motivated and committed workforce. This generation, characterized by its values of personal growth, work-life balance, and social consciousness, presents unique opportunities and challenges in each phase of the employee journey. By tailoring strategies to meet the distinct needs and expectations of Generation Y at each stage, organizations can foster a more harmonious and productive work environment.</w:t>
      </w:r>
    </w:p>
    <w:p w14:paraId="4877BA73" w14:textId="77777777" w:rsidR="003A7403" w:rsidRPr="003A7403" w:rsidRDefault="003A7403" w:rsidP="003A7403">
      <w:r w:rsidRPr="003A7403">
        <w:t>The attraction stage should highlight an organization's commitment to social and environmental causes, career development, and flexible work arrangements. Recruiting Generation Y employees involves transparency, clear communication of job expectations, and personalized experiences. During onboarding, a gamified approach and mentorship programs can enhance engagement, while continuous learning and well-defined career pathways are essential for development.</w:t>
      </w:r>
    </w:p>
    <w:p w14:paraId="34389689" w14:textId="77777777" w:rsidR="003A7403" w:rsidRPr="003A7403" w:rsidRDefault="003A7403" w:rsidP="003A7403">
      <w:r w:rsidRPr="003A7403">
        <w:t>Retention efforts should focus on regular feedback, recognition, and wellness programs to support the physical and mental health of employees. Even during separation, organizations can maintain positive relationships through alumni networks and exit interviews, ensuring that valuable insights are captured for future improvements.</w:t>
      </w:r>
    </w:p>
    <w:p w14:paraId="79F3C78E" w14:textId="77777777" w:rsidR="003A7403" w:rsidRPr="003A7403" w:rsidRDefault="003A7403" w:rsidP="003A7403">
      <w:r w:rsidRPr="003A7403">
        <w:t>Moreover, work-life integration, often prioritized by Generation Y, should be a central focus. Implementing policies that support remote work options, flexible hours, and mental health resources can help employees balance their personal and professional lives, contributing to their overall job satisfaction and well-being.</w:t>
      </w:r>
    </w:p>
    <w:p w14:paraId="183B7EDC" w14:textId="77777777" w:rsidR="003A7403" w:rsidRPr="003A7403" w:rsidRDefault="003A7403" w:rsidP="003A7403">
      <w:r w:rsidRPr="003A7403">
        <w:t>In the evolving landscape of the modern workplace, ongoing adaptation and responsiveness to the evolving needs and preferences of Generation Y are essential. By employing these strategies throughout the employee lifecycle, organizations can not only attract and retain Millennial talent but also create a highly engaged, motivated, and loyal workforce that contributes to the success and sustainability of the organization. Ultimately, understanding and embracing the values and aspirations of Generation Y is a strategic imperative for organizations in the 21st century.</w:t>
      </w:r>
    </w:p>
    <w:p w14:paraId="01A86DDA" w14:textId="77777777" w:rsidR="003A7403" w:rsidRDefault="003A7403" w:rsidP="003A7403"/>
    <w:p w14:paraId="29FACFA1" w14:textId="18ADE47A" w:rsidR="00980730" w:rsidRPr="00980730" w:rsidRDefault="00980730" w:rsidP="003A7403">
      <w:r w:rsidRPr="00980730">
        <w:t>Conclusion</w:t>
      </w:r>
    </w:p>
    <w:p w14:paraId="15FC2683" w14:textId="77777777" w:rsidR="00980730" w:rsidRPr="00980730" w:rsidRDefault="00980730" w:rsidP="00980730">
      <w:r w:rsidRPr="00980730">
        <w:t>Engaging Generation Y employees throughout the employee lifecycle is essential for the success of organizations, especially in the competitive hospitality industry. Human resources departments play a vital role in implementing strategies that attract, recruit, onboard, develop, retain, and even manage separations for Generation Y employees. The advantages of effective engagement are numerous, and organizations can leverage models like Gallup's Q12 Employee Engagement model to create structured approaches. Industry examples, such as Marriott and Hilton, demonstrate how engagement strategies can be tailored to meet the unique needs and expectations of Generation Y in the context of a large hotel.</w:t>
      </w:r>
    </w:p>
    <w:p w14:paraId="32394BD6" w14:textId="6D9BAA7E" w:rsidR="00980730" w:rsidRDefault="00980730" w:rsidP="00980730">
      <w:r w:rsidRPr="00980730">
        <w:t>In summary, understanding and engaging Generation Y employees is crucial for the success of any organization, particularly in the hospitality industry, and it is an ongoing process that should be integrated into all stages of the employee lifecycle.</w:t>
      </w:r>
    </w:p>
    <w:p w14:paraId="51225C4E" w14:textId="77777777" w:rsidR="00980730" w:rsidRDefault="00980730" w:rsidP="00980730"/>
    <w:p w14:paraId="50D54630" w14:textId="77777777" w:rsidR="00980730" w:rsidRDefault="00980730" w:rsidP="00980730"/>
    <w:p w14:paraId="1093B0EF" w14:textId="77777777" w:rsidR="00980730" w:rsidRDefault="00980730" w:rsidP="00980730"/>
    <w:p w14:paraId="0E4667DA" w14:textId="77777777" w:rsidR="00980730" w:rsidRDefault="00980730" w:rsidP="00980730"/>
    <w:p w14:paraId="402F4E6A" w14:textId="77777777" w:rsidR="00980730" w:rsidRDefault="00980730" w:rsidP="00980730"/>
    <w:p w14:paraId="3AB14313" w14:textId="77777777" w:rsidR="00980730" w:rsidRPr="00980730" w:rsidRDefault="00980730" w:rsidP="00980730"/>
    <w:p w14:paraId="08EF83C8" w14:textId="77777777" w:rsidR="00980730" w:rsidRPr="00980730" w:rsidRDefault="00980730" w:rsidP="00980730">
      <w:r w:rsidRPr="00980730">
        <w:lastRenderedPageBreak/>
        <w:t>References</w:t>
      </w:r>
    </w:p>
    <w:p w14:paraId="679F3BC9" w14:textId="77777777" w:rsidR="00980730" w:rsidRPr="00980730" w:rsidRDefault="00980730" w:rsidP="00980730">
      <w:pPr>
        <w:numPr>
          <w:ilvl w:val="0"/>
          <w:numId w:val="9"/>
        </w:numPr>
      </w:pPr>
      <w:r w:rsidRPr="00980730">
        <w:t>Macey, W. H., &amp; Schneider, B. (2008). The meaning of employee engagement. Industrial and Organizational Psychology, 1(1), 3-30.</w:t>
      </w:r>
    </w:p>
    <w:p w14:paraId="62C58DB2" w14:textId="77777777" w:rsidR="00980730" w:rsidRPr="00980730" w:rsidRDefault="00980730" w:rsidP="00980730">
      <w:pPr>
        <w:numPr>
          <w:ilvl w:val="0"/>
          <w:numId w:val="9"/>
        </w:numPr>
      </w:pPr>
      <w:r w:rsidRPr="00980730">
        <w:t>Lancaster, L. C., &amp; Stillman, D. (2010). When generations collide: Who they are. Why they clash. How to solve the generational puzzle at work. HarperCollins.</w:t>
      </w:r>
    </w:p>
    <w:p w14:paraId="4FD9D349" w14:textId="77777777" w:rsidR="00980730" w:rsidRPr="00980730" w:rsidRDefault="00980730" w:rsidP="00980730">
      <w:pPr>
        <w:numPr>
          <w:ilvl w:val="0"/>
          <w:numId w:val="9"/>
        </w:numPr>
      </w:pPr>
      <w:r w:rsidRPr="00980730">
        <w:t xml:space="preserve">Gallup. (2019). Employee engagement. Retrieved from </w:t>
      </w:r>
      <w:hyperlink r:id="rId6" w:tgtFrame="_new" w:history="1">
        <w:r w:rsidRPr="00980730">
          <w:rPr>
            <w:rStyle w:val="Hyperlink"/>
          </w:rPr>
          <w:t>https://www.gallup.com/workplace/261040/employee-engagement.aspx</w:t>
        </w:r>
      </w:hyperlink>
    </w:p>
    <w:p w14:paraId="728B6764" w14:textId="77777777" w:rsidR="00980730" w:rsidRPr="00980730" w:rsidRDefault="00980730" w:rsidP="00980730">
      <w:pPr>
        <w:numPr>
          <w:ilvl w:val="0"/>
          <w:numId w:val="9"/>
        </w:numPr>
      </w:pPr>
      <w:r w:rsidRPr="00980730">
        <w:t xml:space="preserve">Cisco. (2021). Cisco's Connected Workplace. Retrieved from </w:t>
      </w:r>
      <w:hyperlink r:id="rId7" w:tgtFrame="_new" w:history="1">
        <w:r w:rsidRPr="00980730">
          <w:rPr>
            <w:rStyle w:val="Hyperlink"/>
          </w:rPr>
          <w:t>https://www.cisco.com/c/en/us/solutions/collaboration/connected-workplace.html</w:t>
        </w:r>
      </w:hyperlink>
    </w:p>
    <w:p w14:paraId="690A594B" w14:textId="77777777" w:rsidR="00980730" w:rsidRPr="00980730" w:rsidRDefault="00980730" w:rsidP="00980730">
      <w:pPr>
        <w:numPr>
          <w:ilvl w:val="0"/>
          <w:numId w:val="9"/>
        </w:numPr>
      </w:pPr>
      <w:r w:rsidRPr="00980730">
        <w:t xml:space="preserve">McGonigal, J. (2017). The gaming industry's surprising strategy for success. Harvard Business Review. Retrieved from </w:t>
      </w:r>
      <w:hyperlink r:id="rId8" w:tgtFrame="_new" w:history="1">
        <w:r w:rsidRPr="00980730">
          <w:rPr>
            <w:rStyle w:val="Hyperlink"/>
          </w:rPr>
          <w:t>https://hbr.org/2017/04/the-gaming-industrys-surprising-strategy-for-success</w:t>
        </w:r>
      </w:hyperlink>
    </w:p>
    <w:p w14:paraId="4D1076B9" w14:textId="77777777" w:rsidR="00980730" w:rsidRPr="00980730" w:rsidRDefault="00980730" w:rsidP="00980730">
      <w:pPr>
        <w:numPr>
          <w:ilvl w:val="0"/>
          <w:numId w:val="9"/>
        </w:numPr>
      </w:pPr>
      <w:r w:rsidRPr="00980730">
        <w:t xml:space="preserve">Harvard Business Review. (2016). The feedback fallacy. Retrieved from </w:t>
      </w:r>
      <w:hyperlink r:id="rId9" w:tgtFrame="_new" w:history="1">
        <w:r w:rsidRPr="00980730">
          <w:rPr>
            <w:rStyle w:val="Hyperlink"/>
          </w:rPr>
          <w:t>https://hbr.org/2019/03/the-feedback-fallacy</w:t>
        </w:r>
      </w:hyperlink>
    </w:p>
    <w:p w14:paraId="0BA7874E" w14:textId="77777777" w:rsidR="00980730" w:rsidRPr="00980730" w:rsidRDefault="00980730" w:rsidP="00980730">
      <w:pPr>
        <w:numPr>
          <w:ilvl w:val="0"/>
          <w:numId w:val="9"/>
        </w:numPr>
      </w:pPr>
      <w:r w:rsidRPr="00980730">
        <w:t xml:space="preserve">Deloitte. (2020). Deloitte Global Millennial Survey 2020. Retrieved from </w:t>
      </w:r>
      <w:hyperlink r:id="rId10" w:tgtFrame="_new" w:history="1">
        <w:r w:rsidRPr="00980730">
          <w:rPr>
            <w:rStyle w:val="Hyperlink"/>
          </w:rPr>
          <w:t>https://www2.deloitte.com/global/en/pages/about-deloitte/articles/millennialsurvey.html</w:t>
        </w:r>
      </w:hyperlink>
    </w:p>
    <w:p w14:paraId="34FE649F" w14:textId="77777777" w:rsidR="00980730" w:rsidRPr="00980730" w:rsidRDefault="00980730" w:rsidP="00980730">
      <w:pPr>
        <w:numPr>
          <w:ilvl w:val="0"/>
          <w:numId w:val="9"/>
        </w:numPr>
      </w:pPr>
      <w:r w:rsidRPr="00980730">
        <w:t xml:space="preserve">Chambers, A. (2021). How to attract Millennials in the hospitality industry. Retrieved from </w:t>
      </w:r>
      <w:hyperlink r:id="rId11" w:tgtFrame="_new" w:history="1">
        <w:r w:rsidRPr="00980730">
          <w:rPr>
            <w:rStyle w:val="Hyperlink"/>
          </w:rPr>
          <w:t>https://www.hospitalitynet.org/opinion/4105104.html</w:t>
        </w:r>
      </w:hyperlink>
    </w:p>
    <w:p w14:paraId="1E6704D3" w14:textId="77777777" w:rsidR="00980730" w:rsidRPr="00980730" w:rsidRDefault="00980730" w:rsidP="00980730">
      <w:pPr>
        <w:numPr>
          <w:ilvl w:val="0"/>
          <w:numId w:val="9"/>
        </w:numPr>
      </w:pPr>
      <w:r w:rsidRPr="00980730">
        <w:t xml:space="preserve">SHRM. (2019). The future of recruiting: </w:t>
      </w:r>
      <w:proofErr w:type="gramStart"/>
      <w:r w:rsidRPr="00980730">
        <w:t>New</w:t>
      </w:r>
      <w:proofErr w:type="gramEnd"/>
      <w:r w:rsidRPr="00980730">
        <w:t xml:space="preserve"> trends every HR professional needs to know. Retrieved from </w:t>
      </w:r>
      <w:hyperlink r:id="rId12" w:tgtFrame="_new" w:history="1">
        <w:r w:rsidRPr="00980730">
          <w:rPr>
            <w:rStyle w:val="Hyperlink"/>
          </w:rPr>
          <w:t>https://www.shrm.org/resourcesandtools/hr-topics/talent-acquisition/pages/7-top-recruitment-trends-for-2019.aspx</w:t>
        </w:r>
      </w:hyperlink>
    </w:p>
    <w:p w14:paraId="7130DD0E" w14:textId="77777777" w:rsidR="00980730" w:rsidRPr="00980730" w:rsidRDefault="00980730" w:rsidP="00980730">
      <w:pPr>
        <w:numPr>
          <w:ilvl w:val="0"/>
          <w:numId w:val="9"/>
        </w:numPr>
      </w:pPr>
      <w:r w:rsidRPr="00980730">
        <w:t xml:space="preserve">CIPD. (2020). Onboarding: Getting New Employees Off to a Flying Start. Retrieved from </w:t>
      </w:r>
      <w:hyperlink r:id="rId13" w:tgtFrame="_new" w:history="1">
        <w:r w:rsidRPr="00980730">
          <w:rPr>
            <w:rStyle w:val="Hyperlink"/>
          </w:rPr>
          <w:t>https://www.cipd.co.uk/knowledge/fundamentals/relations/engagement/onboarding-factsheet</w:t>
        </w:r>
      </w:hyperlink>
    </w:p>
    <w:p w14:paraId="7A9D4A15" w14:textId="77777777" w:rsidR="00980730" w:rsidRPr="00980730" w:rsidRDefault="00980730" w:rsidP="00980730">
      <w:pPr>
        <w:numPr>
          <w:ilvl w:val="0"/>
          <w:numId w:val="9"/>
        </w:numPr>
      </w:pPr>
      <w:r w:rsidRPr="00980730">
        <w:t xml:space="preserve">SHRM. (2020). Why your company needs a mentor program. Retrieved from </w:t>
      </w:r>
      <w:hyperlink r:id="rId14" w:tgtFrame="_new" w:history="1">
        <w:r w:rsidRPr="00980730">
          <w:rPr>
            <w:rStyle w:val="Hyperlink"/>
          </w:rPr>
          <w:t>https://www.shrm.org/resourcesandtools/hr-topics/organizational-and-employee-development/pages/why-your-company-needs-a-mentor-program.aspx</w:t>
        </w:r>
      </w:hyperlink>
    </w:p>
    <w:p w14:paraId="7F300C53" w14:textId="77777777" w:rsidR="00980730" w:rsidRPr="00980730" w:rsidRDefault="00980730" w:rsidP="00980730">
      <w:pPr>
        <w:numPr>
          <w:ilvl w:val="0"/>
          <w:numId w:val="9"/>
        </w:numPr>
      </w:pPr>
      <w:r w:rsidRPr="00980730">
        <w:t xml:space="preserve">SHRM. (2018). Building a culture of recognition. Retrieved from </w:t>
      </w:r>
      <w:hyperlink r:id="rId15" w:tgtFrame="_new" w:history="1">
        <w:r w:rsidRPr="00980730">
          <w:rPr>
            <w:rStyle w:val="Hyperlink"/>
          </w:rPr>
          <w:t>https://www.shrm.org/resourcesandtools/hr-topics/employee-relations/pages/building-a-culture-of-recognition.aspx</w:t>
        </w:r>
      </w:hyperlink>
    </w:p>
    <w:p w14:paraId="7155C05D" w14:textId="77777777" w:rsidR="00980730" w:rsidRPr="00980730" w:rsidRDefault="00980730" w:rsidP="00980730">
      <w:pPr>
        <w:numPr>
          <w:ilvl w:val="0"/>
          <w:numId w:val="9"/>
        </w:numPr>
      </w:pPr>
      <w:r w:rsidRPr="00980730">
        <w:t xml:space="preserve">Hogan, M. (2021). Engaging employees through alumni networks. Harvard Business Review. Retrieved from </w:t>
      </w:r>
      <w:hyperlink r:id="rId16" w:tgtFrame="_new" w:history="1">
        <w:r w:rsidRPr="00980730">
          <w:rPr>
            <w:rStyle w:val="Hyperlink"/>
          </w:rPr>
          <w:t>https://hbr.org/2021/08/engaging-employees-through-alumni-networks</w:t>
        </w:r>
      </w:hyperlink>
    </w:p>
    <w:p w14:paraId="01C1A580" w14:textId="77777777" w:rsidR="00980730" w:rsidRPr="00980730" w:rsidRDefault="00980730" w:rsidP="00980730">
      <w:pPr>
        <w:numPr>
          <w:ilvl w:val="0"/>
          <w:numId w:val="9"/>
        </w:numPr>
      </w:pPr>
      <w:r w:rsidRPr="00980730">
        <w:t xml:space="preserve">Gallup. (n.d.). Q12 Employee Engagement Model. Retrieved from </w:t>
      </w:r>
      <w:hyperlink r:id="rId17" w:tgtFrame="_new" w:history="1">
        <w:r w:rsidRPr="00980730">
          <w:rPr>
            <w:rStyle w:val="Hyperlink"/>
          </w:rPr>
          <w:t>https://www.gallup.com/workplace/236366/q12-elements-strengths-based-culture.aspx</w:t>
        </w:r>
      </w:hyperlink>
    </w:p>
    <w:p w14:paraId="7CF6E0C2" w14:textId="77777777" w:rsidR="00980730" w:rsidRPr="00980730" w:rsidRDefault="00980730" w:rsidP="00980730">
      <w:pPr>
        <w:numPr>
          <w:ilvl w:val="0"/>
          <w:numId w:val="9"/>
        </w:numPr>
      </w:pPr>
      <w:r w:rsidRPr="00980730">
        <w:t xml:space="preserve">Marriott. (2023). Voyage Program. Retrieved from </w:t>
      </w:r>
      <w:hyperlink r:id="rId18" w:tgtFrame="_new" w:history="1">
        <w:r w:rsidRPr="00980730">
          <w:rPr>
            <w:rStyle w:val="Hyperlink"/>
          </w:rPr>
          <w:t>https://www.marriott.com/careers/marriott-voyage-program.aspx</w:t>
        </w:r>
      </w:hyperlink>
    </w:p>
    <w:p w14:paraId="6B455221" w14:textId="173C09DC" w:rsidR="00980730" w:rsidRDefault="00980730" w:rsidP="00980730">
      <w:pPr>
        <w:numPr>
          <w:ilvl w:val="0"/>
          <w:numId w:val="9"/>
        </w:numPr>
      </w:pPr>
      <w:r w:rsidRPr="00980730">
        <w:t xml:space="preserve">Hilton. (2021). Catch Me at My Best. Retrieved from </w:t>
      </w:r>
      <w:hyperlink r:id="rId19" w:tgtFrame="_new" w:history="1">
        <w:r w:rsidRPr="00980730">
          <w:rPr>
            <w:rStyle w:val="Hyperlink"/>
          </w:rPr>
          <w:t>https://newsroom.hilton.com/hilton/news/catch-me-at-my-best-2021</w:t>
        </w:r>
      </w:hyperlink>
    </w:p>
    <w:p w14:paraId="4EB6D6D1" w14:textId="77777777" w:rsidR="00980730" w:rsidRDefault="00980730" w:rsidP="00980730">
      <w:pPr>
        <w:numPr>
          <w:ilvl w:val="0"/>
          <w:numId w:val="9"/>
        </w:numPr>
      </w:pPr>
      <w:r w:rsidRPr="008B3380">
        <w:t xml:space="preserve">Hilton. (2020). Thrive at Hilton. Retrieved from </w:t>
      </w:r>
      <w:hyperlink r:id="rId20" w:tgtFrame="_new" w:history="1">
        <w:r w:rsidRPr="008B3380">
          <w:rPr>
            <w:rStyle w:val="Hyperlink"/>
          </w:rPr>
          <w:t>https://newsroom.hilton.com/corporate/news/hilton-thrive</w:t>
        </w:r>
      </w:hyperlink>
    </w:p>
    <w:p w14:paraId="1A9C377D" w14:textId="77777777" w:rsidR="00980730" w:rsidRDefault="00980730" w:rsidP="00980730">
      <w:pPr>
        <w:numPr>
          <w:ilvl w:val="0"/>
          <w:numId w:val="9"/>
        </w:numPr>
      </w:pPr>
      <w:r w:rsidRPr="008B3380">
        <w:t xml:space="preserve">Marriott International. (2020). </w:t>
      </w:r>
      <w:proofErr w:type="spellStart"/>
      <w:r w:rsidRPr="008B3380">
        <w:t>TakeCare</w:t>
      </w:r>
      <w:proofErr w:type="spellEnd"/>
      <w:r w:rsidRPr="008B3380">
        <w:t xml:space="preserve">. Retrieved from </w:t>
      </w:r>
      <w:hyperlink r:id="rId21" w:tgtFrame="_new" w:history="1">
        <w:r w:rsidRPr="008B3380">
          <w:rPr>
            <w:rStyle w:val="Hyperlink"/>
          </w:rPr>
          <w:t>https://www.marriott.com/about/careers/culture-and-values/takecare.mi</w:t>
        </w:r>
      </w:hyperlink>
    </w:p>
    <w:p w14:paraId="63BE13CC" w14:textId="77777777" w:rsidR="00980730" w:rsidRDefault="00980730" w:rsidP="00980730">
      <w:pPr>
        <w:numPr>
          <w:ilvl w:val="0"/>
          <w:numId w:val="9"/>
        </w:numPr>
      </w:pPr>
      <w:proofErr w:type="spellStart"/>
      <w:r w:rsidRPr="008B3380">
        <w:lastRenderedPageBreak/>
        <w:t>Rajabi</w:t>
      </w:r>
      <w:proofErr w:type="spellEnd"/>
      <w:r w:rsidRPr="008B3380">
        <w:t xml:space="preserve">, M., Mohammadi, F., &amp; </w:t>
      </w:r>
      <w:proofErr w:type="spellStart"/>
      <w:r w:rsidRPr="008B3380">
        <w:t>Amini</w:t>
      </w:r>
      <w:proofErr w:type="spellEnd"/>
      <w:r w:rsidRPr="008B3380">
        <w:t>, A. (2021). The Impact of Generation Y on Organizational Learning. International Journal of Business, Economics &amp; Management, 4(3), 67-79.</w:t>
      </w:r>
    </w:p>
    <w:p w14:paraId="2C56DD52" w14:textId="77777777" w:rsidR="00980730" w:rsidRDefault="00980730" w:rsidP="00980730">
      <w:pPr>
        <w:numPr>
          <w:ilvl w:val="0"/>
          <w:numId w:val="9"/>
        </w:numPr>
      </w:pPr>
      <w:r w:rsidRPr="008B3380">
        <w:t xml:space="preserve">Saks, A. M., &amp; </w:t>
      </w:r>
      <w:proofErr w:type="spellStart"/>
      <w:r w:rsidRPr="008B3380">
        <w:t>Gruman</w:t>
      </w:r>
      <w:proofErr w:type="spellEnd"/>
      <w:r w:rsidRPr="008B3380">
        <w:t>, J. A. (2017). What do we really know about employee engagement? Human Resource Development Quarterly, 28(2), 101-131.</w:t>
      </w:r>
    </w:p>
    <w:p w14:paraId="0CE0625A" w14:textId="20385663" w:rsidR="00980730" w:rsidRPr="008B3380" w:rsidRDefault="00980730" w:rsidP="00980730">
      <w:pPr>
        <w:numPr>
          <w:ilvl w:val="0"/>
          <w:numId w:val="9"/>
        </w:numPr>
      </w:pPr>
      <w:r w:rsidRPr="008B3380">
        <w:t xml:space="preserve">Twenge, J. M. (2017). </w:t>
      </w:r>
      <w:proofErr w:type="spellStart"/>
      <w:r w:rsidRPr="008B3380">
        <w:t>iGen</w:t>
      </w:r>
      <w:proofErr w:type="spellEnd"/>
      <w:r w:rsidRPr="008B3380">
        <w:t>: Why Today's Super-Connected Kids Are Growing Up Less Rebellious, More Tolerant, Less Happy--and Completely Unprepared for Adulthood--and What That Means for the Rest of Us. Atria Books.</w:t>
      </w:r>
    </w:p>
    <w:p w14:paraId="3219FC73" w14:textId="182BBB67" w:rsidR="00AA1C85" w:rsidRDefault="003A7403" w:rsidP="003A7403">
      <w:pPr>
        <w:pStyle w:val="ListParagraph"/>
        <w:numPr>
          <w:ilvl w:val="0"/>
          <w:numId w:val="9"/>
        </w:numPr>
      </w:pPr>
      <w:r>
        <w:rPr>
          <w:rFonts w:ascii="Segoe UI" w:hAnsi="Segoe UI" w:cs="Segoe UI"/>
          <w:color w:val="374151"/>
          <w:shd w:val="clear" w:color="auto" w:fill="F7F7F8"/>
        </w:rPr>
        <w:t xml:space="preserve">Chambers, A. (2021). How to attract Millennials in the hospitality industry. Retrieved from </w:t>
      </w:r>
      <w:hyperlink r:id="rId22" w:tgtFrame="_new" w:history="1">
        <w:r>
          <w:rPr>
            <w:rStyle w:val="Hyperlink"/>
            <w:rFonts w:ascii="Segoe UI" w:hAnsi="Segoe UI" w:cs="Segoe UI"/>
            <w:bdr w:val="single" w:sz="2" w:space="0" w:color="D9D9E3" w:frame="1"/>
            <w:shd w:val="clear" w:color="auto" w:fill="F7F7F8"/>
          </w:rPr>
          <w:t>https://www.hospitalitynet.org/opinion/4105104.html</w:t>
        </w:r>
      </w:hyperlink>
    </w:p>
    <w:sectPr w:rsidR="00AA1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01D63"/>
    <w:multiLevelType w:val="multilevel"/>
    <w:tmpl w:val="364A34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340F3C"/>
    <w:multiLevelType w:val="multilevel"/>
    <w:tmpl w:val="3A121AC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15:restartNumberingAfterBreak="0">
    <w:nsid w:val="24436467"/>
    <w:multiLevelType w:val="multilevel"/>
    <w:tmpl w:val="01DCB19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FE1A02"/>
    <w:multiLevelType w:val="multilevel"/>
    <w:tmpl w:val="F68A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1F7451"/>
    <w:multiLevelType w:val="multilevel"/>
    <w:tmpl w:val="42DA0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3567FC"/>
    <w:multiLevelType w:val="multilevel"/>
    <w:tmpl w:val="EDEAF2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7F20D3"/>
    <w:multiLevelType w:val="multilevel"/>
    <w:tmpl w:val="DB0AA0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940E3B"/>
    <w:multiLevelType w:val="multilevel"/>
    <w:tmpl w:val="56F6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046E89"/>
    <w:multiLevelType w:val="multilevel"/>
    <w:tmpl w:val="91CCB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7E448B"/>
    <w:multiLevelType w:val="multilevel"/>
    <w:tmpl w:val="A36AC3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796F2D"/>
    <w:multiLevelType w:val="multilevel"/>
    <w:tmpl w:val="B18613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605FBE"/>
    <w:multiLevelType w:val="multilevel"/>
    <w:tmpl w:val="9A8ED5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8916285">
    <w:abstractNumId w:val="4"/>
  </w:num>
  <w:num w:numId="2" w16cid:durableId="728769126">
    <w:abstractNumId w:val="5"/>
  </w:num>
  <w:num w:numId="3" w16cid:durableId="1237977029">
    <w:abstractNumId w:val="10"/>
  </w:num>
  <w:num w:numId="4" w16cid:durableId="886910597">
    <w:abstractNumId w:val="6"/>
  </w:num>
  <w:num w:numId="5" w16cid:durableId="1567492728">
    <w:abstractNumId w:val="11"/>
  </w:num>
  <w:num w:numId="6" w16cid:durableId="1315643857">
    <w:abstractNumId w:val="9"/>
  </w:num>
  <w:num w:numId="7" w16cid:durableId="270860853">
    <w:abstractNumId w:val="0"/>
  </w:num>
  <w:num w:numId="8" w16cid:durableId="1829785086">
    <w:abstractNumId w:val="2"/>
  </w:num>
  <w:num w:numId="9" w16cid:durableId="1456874802">
    <w:abstractNumId w:val="8"/>
  </w:num>
  <w:num w:numId="10" w16cid:durableId="926229662">
    <w:abstractNumId w:val="7"/>
  </w:num>
  <w:num w:numId="11" w16cid:durableId="1007943981">
    <w:abstractNumId w:val="1"/>
  </w:num>
  <w:num w:numId="12" w16cid:durableId="5745075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730"/>
    <w:rsid w:val="0023258E"/>
    <w:rsid w:val="003A7403"/>
    <w:rsid w:val="00655B30"/>
    <w:rsid w:val="00980730"/>
    <w:rsid w:val="00AA1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E9682"/>
  <w15:chartTrackingRefBased/>
  <w15:docId w15:val="{89856604-9981-E548-9C5E-79AC64999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0730"/>
    <w:rPr>
      <w:color w:val="0563C1" w:themeColor="hyperlink"/>
      <w:u w:val="single"/>
    </w:rPr>
  </w:style>
  <w:style w:type="character" w:styleId="UnresolvedMention">
    <w:name w:val="Unresolved Mention"/>
    <w:basedOn w:val="DefaultParagraphFont"/>
    <w:uiPriority w:val="99"/>
    <w:semiHidden/>
    <w:unhideWhenUsed/>
    <w:rsid w:val="00980730"/>
    <w:rPr>
      <w:color w:val="605E5C"/>
      <w:shd w:val="clear" w:color="auto" w:fill="E1DFDD"/>
    </w:rPr>
  </w:style>
  <w:style w:type="character" w:styleId="FollowedHyperlink">
    <w:name w:val="FollowedHyperlink"/>
    <w:basedOn w:val="DefaultParagraphFont"/>
    <w:uiPriority w:val="99"/>
    <w:semiHidden/>
    <w:unhideWhenUsed/>
    <w:rsid w:val="00980730"/>
    <w:rPr>
      <w:color w:val="954F72" w:themeColor="followedHyperlink"/>
      <w:u w:val="single"/>
    </w:rPr>
  </w:style>
  <w:style w:type="paragraph" w:styleId="ListParagraph">
    <w:name w:val="List Paragraph"/>
    <w:basedOn w:val="Normal"/>
    <w:uiPriority w:val="34"/>
    <w:qFormat/>
    <w:rsid w:val="003A74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54338">
      <w:bodyDiv w:val="1"/>
      <w:marLeft w:val="0"/>
      <w:marRight w:val="0"/>
      <w:marTop w:val="0"/>
      <w:marBottom w:val="0"/>
      <w:divBdr>
        <w:top w:val="none" w:sz="0" w:space="0" w:color="auto"/>
        <w:left w:val="none" w:sz="0" w:space="0" w:color="auto"/>
        <w:bottom w:val="none" w:sz="0" w:space="0" w:color="auto"/>
        <w:right w:val="none" w:sz="0" w:space="0" w:color="auto"/>
      </w:divBdr>
    </w:div>
    <w:div w:id="818033304">
      <w:bodyDiv w:val="1"/>
      <w:marLeft w:val="0"/>
      <w:marRight w:val="0"/>
      <w:marTop w:val="0"/>
      <w:marBottom w:val="0"/>
      <w:divBdr>
        <w:top w:val="none" w:sz="0" w:space="0" w:color="auto"/>
        <w:left w:val="none" w:sz="0" w:space="0" w:color="auto"/>
        <w:bottom w:val="none" w:sz="0" w:space="0" w:color="auto"/>
        <w:right w:val="none" w:sz="0" w:space="0" w:color="auto"/>
      </w:divBdr>
    </w:div>
    <w:div w:id="1002247028">
      <w:bodyDiv w:val="1"/>
      <w:marLeft w:val="0"/>
      <w:marRight w:val="0"/>
      <w:marTop w:val="0"/>
      <w:marBottom w:val="0"/>
      <w:divBdr>
        <w:top w:val="none" w:sz="0" w:space="0" w:color="auto"/>
        <w:left w:val="none" w:sz="0" w:space="0" w:color="auto"/>
        <w:bottom w:val="none" w:sz="0" w:space="0" w:color="auto"/>
        <w:right w:val="none" w:sz="0" w:space="0" w:color="auto"/>
      </w:divBdr>
    </w:div>
    <w:div w:id="1332831936">
      <w:bodyDiv w:val="1"/>
      <w:marLeft w:val="0"/>
      <w:marRight w:val="0"/>
      <w:marTop w:val="0"/>
      <w:marBottom w:val="0"/>
      <w:divBdr>
        <w:top w:val="none" w:sz="0" w:space="0" w:color="auto"/>
        <w:left w:val="none" w:sz="0" w:space="0" w:color="auto"/>
        <w:bottom w:val="none" w:sz="0" w:space="0" w:color="auto"/>
        <w:right w:val="none" w:sz="0" w:space="0" w:color="auto"/>
      </w:divBdr>
    </w:div>
    <w:div w:id="1773667895">
      <w:bodyDiv w:val="1"/>
      <w:marLeft w:val="0"/>
      <w:marRight w:val="0"/>
      <w:marTop w:val="0"/>
      <w:marBottom w:val="0"/>
      <w:divBdr>
        <w:top w:val="none" w:sz="0" w:space="0" w:color="auto"/>
        <w:left w:val="none" w:sz="0" w:space="0" w:color="auto"/>
        <w:bottom w:val="none" w:sz="0" w:space="0" w:color="auto"/>
        <w:right w:val="none" w:sz="0" w:space="0" w:color="auto"/>
      </w:divBdr>
    </w:div>
    <w:div w:id="212680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7/04/the-gaming-industrys-surprising-strategy-for-success" TargetMode="External"/><Relationship Id="rId13" Type="http://schemas.openxmlformats.org/officeDocument/2006/relationships/hyperlink" Target="https://www.cipd.co.uk/knowledge/fundamentals/relations/engagement/onboarding-factsheet" TargetMode="External"/><Relationship Id="rId18" Type="http://schemas.openxmlformats.org/officeDocument/2006/relationships/hyperlink" Target="https://www.marriott.com/careers/marriott-voyage-program.aspx" TargetMode="External"/><Relationship Id="rId3" Type="http://schemas.openxmlformats.org/officeDocument/2006/relationships/settings" Target="settings.xml"/><Relationship Id="rId21" Type="http://schemas.openxmlformats.org/officeDocument/2006/relationships/hyperlink" Target="https://www.marriott.com/about/careers/culture-and-values/takecare.mi" TargetMode="External"/><Relationship Id="rId7" Type="http://schemas.openxmlformats.org/officeDocument/2006/relationships/hyperlink" Target="https://www.cisco.com/c/en/us/solutions/collaboration/connected-workplace.html" TargetMode="External"/><Relationship Id="rId12" Type="http://schemas.openxmlformats.org/officeDocument/2006/relationships/hyperlink" Target="https://www.shrm.org/resourcesandtools/hr-topics/talent-acquisition/pages/7-top-recruitment-trends-for-2019.aspx" TargetMode="External"/><Relationship Id="rId17" Type="http://schemas.openxmlformats.org/officeDocument/2006/relationships/hyperlink" Target="https://www.gallup.com/workplace/236366/q12-elements-strengths-based-culture.aspx" TargetMode="External"/><Relationship Id="rId2" Type="http://schemas.openxmlformats.org/officeDocument/2006/relationships/styles" Target="styles.xml"/><Relationship Id="rId16" Type="http://schemas.openxmlformats.org/officeDocument/2006/relationships/hyperlink" Target="https://hbr.org/2021/08/engaging-employees-through-alumni-networks" TargetMode="External"/><Relationship Id="rId20" Type="http://schemas.openxmlformats.org/officeDocument/2006/relationships/hyperlink" Target="https://newsroom.hilton.com/corporate/news/hilton-thrive" TargetMode="External"/><Relationship Id="rId1" Type="http://schemas.openxmlformats.org/officeDocument/2006/relationships/numbering" Target="numbering.xml"/><Relationship Id="rId6" Type="http://schemas.openxmlformats.org/officeDocument/2006/relationships/hyperlink" Target="https://www.gallup.com/workplace/261040/employee-engagement.aspx" TargetMode="External"/><Relationship Id="rId11" Type="http://schemas.openxmlformats.org/officeDocument/2006/relationships/hyperlink" Target="https://www.hospitalitynet.org/opinion/4105104.html"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shrm.org/resourcesandtools/hr-topics/employee-relations/pages/building-a-culture-of-recognition.aspx" TargetMode="External"/><Relationship Id="rId23" Type="http://schemas.openxmlformats.org/officeDocument/2006/relationships/fontTable" Target="fontTable.xml"/><Relationship Id="rId10" Type="http://schemas.openxmlformats.org/officeDocument/2006/relationships/hyperlink" Target="https://www2.deloitte.com/global/en/pages/about-deloitte/articles/millennialsurvey.html" TargetMode="External"/><Relationship Id="rId19" Type="http://schemas.openxmlformats.org/officeDocument/2006/relationships/hyperlink" Target="https://newsroom.hilton.com/hilton/news/catch-me-at-my-best-2021" TargetMode="External"/><Relationship Id="rId4" Type="http://schemas.openxmlformats.org/officeDocument/2006/relationships/webSettings" Target="webSettings.xml"/><Relationship Id="rId9" Type="http://schemas.openxmlformats.org/officeDocument/2006/relationships/hyperlink" Target="https://hbr.org/2019/03/the-feedback-fallacy" TargetMode="External"/><Relationship Id="rId14" Type="http://schemas.openxmlformats.org/officeDocument/2006/relationships/hyperlink" Target="https://www.shrm.org/resourcesandtools/hr-topics/organizational-and-employee-development/pages/why-your-company-needs-a-mentor-program.aspx" TargetMode="External"/><Relationship Id="rId22" Type="http://schemas.openxmlformats.org/officeDocument/2006/relationships/hyperlink" Target="https://www.hospitalitynet.org/opinion/41051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2788</Words>
  <Characters>15898</Characters>
  <Application>Microsoft Office Word</Application>
  <DocSecurity>0</DocSecurity>
  <Lines>132</Lines>
  <Paragraphs>37</Paragraphs>
  <ScaleCrop>false</ScaleCrop>
  <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dc:creator>
  <cp:keywords/>
  <dc:description/>
  <cp:lastModifiedBy>Gergana Nikolova</cp:lastModifiedBy>
  <cp:revision>2</cp:revision>
  <dcterms:created xsi:type="dcterms:W3CDTF">2023-10-23T19:50:00Z</dcterms:created>
  <dcterms:modified xsi:type="dcterms:W3CDTF">2023-10-23T19:50:00Z</dcterms:modified>
</cp:coreProperties>
</file>