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0375" w:rsidRDefault="003D4A86" w:rsidP="003D4A86">
      <w:pPr>
        <w:jc w:val="center"/>
        <w:rPr>
          <w:b/>
          <w:sz w:val="64"/>
          <w:szCs w:val="64"/>
        </w:rPr>
        <w:sectPr w:rsidR="00CE0375" w:rsidSect="006678E7">
          <w:footerReference w:type="even" r:id="rId8"/>
          <w:footerReference w:type="default" r:id="rId9"/>
          <w:pgSz w:w="12240" w:h="15840"/>
          <w:pgMar w:top="1440" w:right="1440" w:bottom="1440" w:left="1440" w:header="720" w:footer="720" w:gutter="0"/>
          <w:cols w:space="720"/>
          <w:docGrid w:linePitch="360"/>
        </w:sectPr>
      </w:pPr>
      <w:bookmarkStart w:id="0" w:name="_GoBack"/>
      <w:bookmarkEnd w:id="0"/>
      <w:r w:rsidRPr="009B0C54">
        <w:rPr>
          <w:b/>
          <w:sz w:val="64"/>
          <w:szCs w:val="64"/>
        </w:rPr>
        <w:t>Assessment 1 Community Engagement</w:t>
      </w:r>
    </w:p>
    <w:sdt>
      <w:sdtPr>
        <w:rPr>
          <w:rFonts w:ascii="Times New Roman" w:eastAsiaTheme="minorHAnsi" w:hAnsi="Times New Roman" w:cstheme="minorBidi"/>
          <w:b w:val="0"/>
          <w:bCs w:val="0"/>
          <w:color w:val="auto"/>
          <w:sz w:val="24"/>
          <w:szCs w:val="22"/>
        </w:rPr>
        <w:id w:val="26314615"/>
        <w:docPartObj>
          <w:docPartGallery w:val="Table of Contents"/>
          <w:docPartUnique/>
        </w:docPartObj>
      </w:sdtPr>
      <w:sdtEndPr/>
      <w:sdtContent>
        <w:p w:rsidR="00982454" w:rsidRDefault="00982454" w:rsidP="00982454">
          <w:pPr>
            <w:pStyle w:val="TOCHeading"/>
            <w:jc w:val="center"/>
          </w:pPr>
          <w:r w:rsidRPr="00982454">
            <w:rPr>
              <w:rFonts w:ascii="Times New Roman" w:hAnsi="Times New Roman" w:cs="Times New Roman"/>
              <w:color w:val="auto"/>
            </w:rPr>
            <w:t>Table of Contents</w:t>
          </w:r>
        </w:p>
        <w:p w:rsidR="00982454" w:rsidRDefault="00982454">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01199609" w:history="1">
            <w:r w:rsidRPr="005553D6">
              <w:rPr>
                <w:rStyle w:val="Hyperlink"/>
                <w:noProof/>
              </w:rPr>
              <w:t>Introduction</w:t>
            </w:r>
            <w:r>
              <w:rPr>
                <w:noProof/>
                <w:webHidden/>
              </w:rPr>
              <w:tab/>
            </w:r>
            <w:r>
              <w:rPr>
                <w:noProof/>
                <w:webHidden/>
              </w:rPr>
              <w:fldChar w:fldCharType="begin"/>
            </w:r>
            <w:r>
              <w:rPr>
                <w:noProof/>
                <w:webHidden/>
              </w:rPr>
              <w:instrText xml:space="preserve"> PAGEREF _Toc101199609 \h </w:instrText>
            </w:r>
            <w:r>
              <w:rPr>
                <w:noProof/>
                <w:webHidden/>
              </w:rPr>
            </w:r>
            <w:r>
              <w:rPr>
                <w:noProof/>
                <w:webHidden/>
              </w:rPr>
              <w:fldChar w:fldCharType="separate"/>
            </w:r>
            <w:r>
              <w:rPr>
                <w:noProof/>
                <w:webHidden/>
              </w:rPr>
              <w:t>1</w:t>
            </w:r>
            <w:r>
              <w:rPr>
                <w:noProof/>
                <w:webHidden/>
              </w:rPr>
              <w:fldChar w:fldCharType="end"/>
            </w:r>
          </w:hyperlink>
        </w:p>
        <w:p w:rsidR="00982454" w:rsidRDefault="00796F47">
          <w:pPr>
            <w:pStyle w:val="TOC1"/>
            <w:tabs>
              <w:tab w:val="right" w:leader="dot" w:pos="9350"/>
            </w:tabs>
            <w:rPr>
              <w:rFonts w:asciiTheme="minorHAnsi" w:eastAsiaTheme="minorEastAsia" w:hAnsiTheme="minorHAnsi"/>
              <w:noProof/>
              <w:sz w:val="22"/>
              <w:lang w:val="en-US"/>
            </w:rPr>
          </w:pPr>
          <w:hyperlink w:anchor="_Toc101199610" w:history="1">
            <w:r w:rsidR="00982454" w:rsidRPr="005553D6">
              <w:rPr>
                <w:rStyle w:val="Hyperlink"/>
                <w:noProof/>
              </w:rPr>
              <w:t>Body</w:t>
            </w:r>
            <w:r w:rsidR="00982454">
              <w:rPr>
                <w:noProof/>
                <w:webHidden/>
              </w:rPr>
              <w:tab/>
            </w:r>
            <w:r w:rsidR="00982454">
              <w:rPr>
                <w:noProof/>
                <w:webHidden/>
              </w:rPr>
              <w:fldChar w:fldCharType="begin"/>
            </w:r>
            <w:r w:rsidR="00982454">
              <w:rPr>
                <w:noProof/>
                <w:webHidden/>
              </w:rPr>
              <w:instrText xml:space="preserve"> PAGEREF _Toc101199610 \h </w:instrText>
            </w:r>
            <w:r w:rsidR="00982454">
              <w:rPr>
                <w:noProof/>
                <w:webHidden/>
              </w:rPr>
            </w:r>
            <w:r w:rsidR="00982454">
              <w:rPr>
                <w:noProof/>
                <w:webHidden/>
              </w:rPr>
              <w:fldChar w:fldCharType="separate"/>
            </w:r>
            <w:r w:rsidR="00982454">
              <w:rPr>
                <w:noProof/>
                <w:webHidden/>
              </w:rPr>
              <w:t>2</w:t>
            </w:r>
            <w:r w:rsidR="00982454">
              <w:rPr>
                <w:noProof/>
                <w:webHidden/>
              </w:rPr>
              <w:fldChar w:fldCharType="end"/>
            </w:r>
          </w:hyperlink>
        </w:p>
        <w:p w:rsidR="00982454" w:rsidRDefault="00796F47">
          <w:pPr>
            <w:pStyle w:val="TOC2"/>
            <w:tabs>
              <w:tab w:val="right" w:leader="dot" w:pos="9350"/>
            </w:tabs>
            <w:rPr>
              <w:rFonts w:asciiTheme="minorHAnsi" w:eastAsiaTheme="minorEastAsia" w:hAnsiTheme="minorHAnsi"/>
              <w:noProof/>
              <w:sz w:val="22"/>
              <w:lang w:val="en-US"/>
            </w:rPr>
          </w:pPr>
          <w:hyperlink w:anchor="_Toc101199611" w:history="1">
            <w:r w:rsidR="00982454" w:rsidRPr="005553D6">
              <w:rPr>
                <w:rStyle w:val="Hyperlink"/>
                <w:noProof/>
              </w:rPr>
              <w:t>Identify and establish the relationship between the stakeholders and what strategies are suitable for engaging them.</w:t>
            </w:r>
            <w:r w:rsidR="00982454">
              <w:rPr>
                <w:noProof/>
                <w:webHidden/>
              </w:rPr>
              <w:tab/>
            </w:r>
            <w:r w:rsidR="00982454">
              <w:rPr>
                <w:noProof/>
                <w:webHidden/>
              </w:rPr>
              <w:fldChar w:fldCharType="begin"/>
            </w:r>
            <w:r w:rsidR="00982454">
              <w:rPr>
                <w:noProof/>
                <w:webHidden/>
              </w:rPr>
              <w:instrText xml:space="preserve"> PAGEREF _Toc101199611 \h </w:instrText>
            </w:r>
            <w:r w:rsidR="00982454">
              <w:rPr>
                <w:noProof/>
                <w:webHidden/>
              </w:rPr>
            </w:r>
            <w:r w:rsidR="00982454">
              <w:rPr>
                <w:noProof/>
                <w:webHidden/>
              </w:rPr>
              <w:fldChar w:fldCharType="separate"/>
            </w:r>
            <w:r w:rsidR="00982454">
              <w:rPr>
                <w:noProof/>
                <w:webHidden/>
              </w:rPr>
              <w:t>3</w:t>
            </w:r>
            <w:r w:rsidR="00982454">
              <w:rPr>
                <w:noProof/>
                <w:webHidden/>
              </w:rPr>
              <w:fldChar w:fldCharType="end"/>
            </w:r>
          </w:hyperlink>
        </w:p>
        <w:p w:rsidR="00982454" w:rsidRDefault="00796F47">
          <w:pPr>
            <w:pStyle w:val="TOC2"/>
            <w:tabs>
              <w:tab w:val="right" w:leader="dot" w:pos="9350"/>
            </w:tabs>
            <w:rPr>
              <w:rFonts w:asciiTheme="minorHAnsi" w:eastAsiaTheme="minorEastAsia" w:hAnsiTheme="minorHAnsi"/>
              <w:noProof/>
              <w:sz w:val="22"/>
              <w:lang w:val="en-US"/>
            </w:rPr>
          </w:pPr>
          <w:hyperlink w:anchor="_Toc101199612" w:history="1">
            <w:r w:rsidR="00982454" w:rsidRPr="005553D6">
              <w:rPr>
                <w:rStyle w:val="Hyperlink"/>
                <w:noProof/>
              </w:rPr>
              <w:t>Detailed narrative of how different social media platforms can be used as an outreach to support the project</w:t>
            </w:r>
            <w:r w:rsidR="00982454">
              <w:rPr>
                <w:noProof/>
                <w:webHidden/>
              </w:rPr>
              <w:tab/>
            </w:r>
            <w:r w:rsidR="00982454">
              <w:rPr>
                <w:noProof/>
                <w:webHidden/>
              </w:rPr>
              <w:fldChar w:fldCharType="begin"/>
            </w:r>
            <w:r w:rsidR="00982454">
              <w:rPr>
                <w:noProof/>
                <w:webHidden/>
              </w:rPr>
              <w:instrText xml:space="preserve"> PAGEREF _Toc101199612 \h </w:instrText>
            </w:r>
            <w:r w:rsidR="00982454">
              <w:rPr>
                <w:noProof/>
                <w:webHidden/>
              </w:rPr>
            </w:r>
            <w:r w:rsidR="00982454">
              <w:rPr>
                <w:noProof/>
                <w:webHidden/>
              </w:rPr>
              <w:fldChar w:fldCharType="separate"/>
            </w:r>
            <w:r w:rsidR="00982454">
              <w:rPr>
                <w:noProof/>
                <w:webHidden/>
              </w:rPr>
              <w:t>4</w:t>
            </w:r>
            <w:r w:rsidR="00982454">
              <w:rPr>
                <w:noProof/>
                <w:webHidden/>
              </w:rPr>
              <w:fldChar w:fldCharType="end"/>
            </w:r>
          </w:hyperlink>
        </w:p>
        <w:p w:rsidR="00982454" w:rsidRDefault="00796F47">
          <w:pPr>
            <w:pStyle w:val="TOC2"/>
            <w:tabs>
              <w:tab w:val="right" w:leader="dot" w:pos="9350"/>
            </w:tabs>
            <w:rPr>
              <w:rFonts w:asciiTheme="minorHAnsi" w:eastAsiaTheme="minorEastAsia" w:hAnsiTheme="minorHAnsi"/>
              <w:noProof/>
              <w:sz w:val="22"/>
              <w:lang w:val="en-US"/>
            </w:rPr>
          </w:pPr>
          <w:hyperlink w:anchor="_Toc101199613" w:history="1">
            <w:r w:rsidR="00982454" w:rsidRPr="005553D6">
              <w:rPr>
                <w:rStyle w:val="Hyperlink"/>
                <w:noProof/>
              </w:rPr>
              <w:t>Explore relevant avenues to promote community participation, collaboration, diversity and inclusion to enable socio-cultural integration and multiculturalism.</w:t>
            </w:r>
            <w:r w:rsidR="00982454">
              <w:rPr>
                <w:noProof/>
                <w:webHidden/>
              </w:rPr>
              <w:tab/>
            </w:r>
            <w:r w:rsidR="00982454">
              <w:rPr>
                <w:noProof/>
                <w:webHidden/>
              </w:rPr>
              <w:fldChar w:fldCharType="begin"/>
            </w:r>
            <w:r w:rsidR="00982454">
              <w:rPr>
                <w:noProof/>
                <w:webHidden/>
              </w:rPr>
              <w:instrText xml:space="preserve"> PAGEREF _Toc101199613 \h </w:instrText>
            </w:r>
            <w:r w:rsidR="00982454">
              <w:rPr>
                <w:noProof/>
                <w:webHidden/>
              </w:rPr>
            </w:r>
            <w:r w:rsidR="00982454">
              <w:rPr>
                <w:noProof/>
                <w:webHidden/>
              </w:rPr>
              <w:fldChar w:fldCharType="separate"/>
            </w:r>
            <w:r w:rsidR="00982454">
              <w:rPr>
                <w:noProof/>
                <w:webHidden/>
              </w:rPr>
              <w:t>5</w:t>
            </w:r>
            <w:r w:rsidR="00982454">
              <w:rPr>
                <w:noProof/>
                <w:webHidden/>
              </w:rPr>
              <w:fldChar w:fldCharType="end"/>
            </w:r>
          </w:hyperlink>
        </w:p>
        <w:p w:rsidR="00982454" w:rsidRDefault="00796F47">
          <w:pPr>
            <w:pStyle w:val="TOC2"/>
            <w:tabs>
              <w:tab w:val="right" w:leader="dot" w:pos="9350"/>
            </w:tabs>
            <w:rPr>
              <w:rFonts w:asciiTheme="minorHAnsi" w:eastAsiaTheme="minorEastAsia" w:hAnsiTheme="minorHAnsi"/>
              <w:noProof/>
              <w:sz w:val="22"/>
              <w:lang w:val="en-US"/>
            </w:rPr>
          </w:pPr>
          <w:hyperlink w:anchor="_Toc101199614" w:history="1">
            <w:r w:rsidR="00982454" w:rsidRPr="005553D6">
              <w:rPr>
                <w:rStyle w:val="Hyperlink"/>
                <w:noProof/>
              </w:rPr>
              <w:t>Why the community engagement practitioner needs to adopt a forward-looking approach to educate community members on internal and external factors that influence community development</w:t>
            </w:r>
            <w:r w:rsidR="00982454">
              <w:rPr>
                <w:noProof/>
                <w:webHidden/>
              </w:rPr>
              <w:tab/>
            </w:r>
            <w:r w:rsidR="00982454">
              <w:rPr>
                <w:noProof/>
                <w:webHidden/>
              </w:rPr>
              <w:fldChar w:fldCharType="begin"/>
            </w:r>
            <w:r w:rsidR="00982454">
              <w:rPr>
                <w:noProof/>
                <w:webHidden/>
              </w:rPr>
              <w:instrText xml:space="preserve"> PAGEREF _Toc101199614 \h </w:instrText>
            </w:r>
            <w:r w:rsidR="00982454">
              <w:rPr>
                <w:noProof/>
                <w:webHidden/>
              </w:rPr>
            </w:r>
            <w:r w:rsidR="00982454">
              <w:rPr>
                <w:noProof/>
                <w:webHidden/>
              </w:rPr>
              <w:fldChar w:fldCharType="separate"/>
            </w:r>
            <w:r w:rsidR="00982454">
              <w:rPr>
                <w:noProof/>
                <w:webHidden/>
              </w:rPr>
              <w:t>6</w:t>
            </w:r>
            <w:r w:rsidR="00982454">
              <w:rPr>
                <w:noProof/>
                <w:webHidden/>
              </w:rPr>
              <w:fldChar w:fldCharType="end"/>
            </w:r>
          </w:hyperlink>
        </w:p>
        <w:p w:rsidR="00982454" w:rsidRDefault="00796F47">
          <w:pPr>
            <w:pStyle w:val="TOC1"/>
            <w:tabs>
              <w:tab w:val="right" w:leader="dot" w:pos="9350"/>
            </w:tabs>
            <w:rPr>
              <w:rFonts w:asciiTheme="minorHAnsi" w:eastAsiaTheme="minorEastAsia" w:hAnsiTheme="minorHAnsi"/>
              <w:noProof/>
              <w:sz w:val="22"/>
              <w:lang w:val="en-US"/>
            </w:rPr>
          </w:pPr>
          <w:hyperlink w:anchor="_Toc101199615" w:history="1">
            <w:r w:rsidR="00982454" w:rsidRPr="005553D6">
              <w:rPr>
                <w:rStyle w:val="Hyperlink"/>
                <w:noProof/>
              </w:rPr>
              <w:t>Conclusion</w:t>
            </w:r>
            <w:r w:rsidR="00982454">
              <w:rPr>
                <w:noProof/>
                <w:webHidden/>
              </w:rPr>
              <w:tab/>
            </w:r>
            <w:r w:rsidR="00982454">
              <w:rPr>
                <w:noProof/>
                <w:webHidden/>
              </w:rPr>
              <w:fldChar w:fldCharType="begin"/>
            </w:r>
            <w:r w:rsidR="00982454">
              <w:rPr>
                <w:noProof/>
                <w:webHidden/>
              </w:rPr>
              <w:instrText xml:space="preserve"> PAGEREF _Toc101199615 \h </w:instrText>
            </w:r>
            <w:r w:rsidR="00982454">
              <w:rPr>
                <w:noProof/>
                <w:webHidden/>
              </w:rPr>
            </w:r>
            <w:r w:rsidR="00982454">
              <w:rPr>
                <w:noProof/>
                <w:webHidden/>
              </w:rPr>
              <w:fldChar w:fldCharType="separate"/>
            </w:r>
            <w:r w:rsidR="00982454">
              <w:rPr>
                <w:noProof/>
                <w:webHidden/>
              </w:rPr>
              <w:t>7</w:t>
            </w:r>
            <w:r w:rsidR="00982454">
              <w:rPr>
                <w:noProof/>
                <w:webHidden/>
              </w:rPr>
              <w:fldChar w:fldCharType="end"/>
            </w:r>
          </w:hyperlink>
        </w:p>
        <w:p w:rsidR="00982454" w:rsidRDefault="00796F47">
          <w:pPr>
            <w:pStyle w:val="TOC1"/>
            <w:tabs>
              <w:tab w:val="right" w:leader="dot" w:pos="9350"/>
            </w:tabs>
            <w:rPr>
              <w:rFonts w:asciiTheme="minorHAnsi" w:eastAsiaTheme="minorEastAsia" w:hAnsiTheme="minorHAnsi"/>
              <w:noProof/>
              <w:sz w:val="22"/>
              <w:lang w:val="en-US"/>
            </w:rPr>
          </w:pPr>
          <w:hyperlink w:anchor="_Toc101199616" w:history="1">
            <w:r w:rsidR="00982454" w:rsidRPr="005553D6">
              <w:rPr>
                <w:rStyle w:val="Hyperlink"/>
                <w:noProof/>
              </w:rPr>
              <w:t>References</w:t>
            </w:r>
            <w:r w:rsidR="00982454">
              <w:rPr>
                <w:noProof/>
                <w:webHidden/>
              </w:rPr>
              <w:tab/>
            </w:r>
            <w:r w:rsidR="00982454">
              <w:rPr>
                <w:noProof/>
                <w:webHidden/>
              </w:rPr>
              <w:fldChar w:fldCharType="begin"/>
            </w:r>
            <w:r w:rsidR="00982454">
              <w:rPr>
                <w:noProof/>
                <w:webHidden/>
              </w:rPr>
              <w:instrText xml:space="preserve"> PAGEREF _Toc101199616 \h </w:instrText>
            </w:r>
            <w:r w:rsidR="00982454">
              <w:rPr>
                <w:noProof/>
                <w:webHidden/>
              </w:rPr>
            </w:r>
            <w:r w:rsidR="00982454">
              <w:rPr>
                <w:noProof/>
                <w:webHidden/>
              </w:rPr>
              <w:fldChar w:fldCharType="separate"/>
            </w:r>
            <w:r w:rsidR="00982454">
              <w:rPr>
                <w:noProof/>
                <w:webHidden/>
              </w:rPr>
              <w:t>8</w:t>
            </w:r>
            <w:r w:rsidR="00982454">
              <w:rPr>
                <w:noProof/>
                <w:webHidden/>
              </w:rPr>
              <w:fldChar w:fldCharType="end"/>
            </w:r>
          </w:hyperlink>
        </w:p>
        <w:p w:rsidR="00982454" w:rsidRDefault="00982454">
          <w:r>
            <w:fldChar w:fldCharType="end"/>
          </w:r>
        </w:p>
      </w:sdtContent>
    </w:sdt>
    <w:p w:rsidR="003D4A86" w:rsidRDefault="003D4A86" w:rsidP="003D4A86">
      <w:pPr>
        <w:jc w:val="center"/>
        <w:rPr>
          <w:b/>
          <w:sz w:val="64"/>
          <w:szCs w:val="64"/>
        </w:rPr>
        <w:sectPr w:rsidR="003D4A86" w:rsidSect="006678E7">
          <w:pgSz w:w="12240" w:h="15840"/>
          <w:pgMar w:top="1440" w:right="1440" w:bottom="1440" w:left="1440" w:header="720" w:footer="720" w:gutter="0"/>
          <w:cols w:space="720"/>
          <w:docGrid w:linePitch="360"/>
        </w:sectPr>
      </w:pPr>
    </w:p>
    <w:p w:rsidR="003D4A86" w:rsidRDefault="003D4A86" w:rsidP="003D4A86">
      <w:pPr>
        <w:pStyle w:val="Heading1"/>
      </w:pPr>
      <w:bookmarkStart w:id="1" w:name="_Toc76827576"/>
      <w:bookmarkStart w:id="2" w:name="_Toc101199609"/>
      <w:r>
        <w:lastRenderedPageBreak/>
        <w:t>Introduction</w:t>
      </w:r>
      <w:bookmarkEnd w:id="1"/>
      <w:bookmarkEnd w:id="2"/>
      <w:r>
        <w:t xml:space="preserve"> </w:t>
      </w:r>
    </w:p>
    <w:p w:rsidR="003C5288" w:rsidRDefault="003C5288" w:rsidP="003C5288">
      <w:r>
        <w:t>As the number of reported cases of child abuse as well as neglect continues to climb, the need of working as a participatory practitioner becomes more and more apparent. This report, written by an NSPCC employee in the position of a community engagement professional, will examine various techniques and methods for growing recognition of the social problems identified, as well as potential solutions to those problems</w:t>
      </w:r>
      <w:r w:rsidR="00A10333">
        <w:t xml:space="preserve"> (NSPCC, 2021)</w:t>
      </w:r>
      <w:r>
        <w:t xml:space="preserve">. As a consequence of this study, there will be a presentation on the key challenges faced by UK-based organisations in the areas of child harassment as well as abuse, as well as other topics. Stakeholders might encounter extra difficulties while attempting to participate in the procedure. </w:t>
      </w:r>
      <w:r w:rsidR="00CE0375">
        <w:t>At last</w:t>
      </w:r>
      <w:r>
        <w:t>, </w:t>
      </w:r>
      <w:r w:rsidR="00CE0375">
        <w:t xml:space="preserve">the report will discuss the </w:t>
      </w:r>
      <w:r>
        <w:t>key importance that community engagement professionals contribute to the growth of their respective communities.</w:t>
      </w:r>
    </w:p>
    <w:p w:rsidR="003C5288" w:rsidRDefault="003C5288" w:rsidP="003C5288">
      <w:r>
        <w:t>It will be utilised to create information that will assist the group for becoming more aware of the difficulties and mobilizing its resources to solve them via the use of a range of social media networks, with both personally and professionally ones. In order to involve a diverse multiple stakeholders inside the report's context as well as medium, social media platforms will be utilised. A recommendation will be made based on the results of the research and the views of the community's stakeholders in order to prevent child abuse from occurring.</w:t>
      </w:r>
    </w:p>
    <w:p w:rsidR="003C5894" w:rsidRDefault="003C5894" w:rsidP="003C5894">
      <w:pPr>
        <w:pStyle w:val="Heading1"/>
        <w:sectPr w:rsidR="003C5894" w:rsidSect="00CE0375">
          <w:footerReference w:type="default" r:id="rId10"/>
          <w:pgSz w:w="12240" w:h="15840"/>
          <w:pgMar w:top="1440" w:right="1440" w:bottom="1440" w:left="1440" w:header="720" w:footer="720" w:gutter="0"/>
          <w:pgNumType w:start="1"/>
          <w:cols w:space="720"/>
          <w:docGrid w:linePitch="360"/>
        </w:sectPr>
      </w:pPr>
      <w:bookmarkStart w:id="3" w:name="_Toc76827577"/>
    </w:p>
    <w:p w:rsidR="003C5894" w:rsidRPr="00124020" w:rsidRDefault="003C5894" w:rsidP="003C5894">
      <w:pPr>
        <w:pStyle w:val="Heading1"/>
      </w:pPr>
      <w:bookmarkStart w:id="4" w:name="_Toc101199610"/>
      <w:r>
        <w:lastRenderedPageBreak/>
        <w:t>Body</w:t>
      </w:r>
      <w:bookmarkEnd w:id="3"/>
      <w:bookmarkEnd w:id="4"/>
      <w:r>
        <w:t xml:space="preserve">   </w:t>
      </w:r>
    </w:p>
    <w:p w:rsidR="003C5894" w:rsidRPr="00485C9C" w:rsidRDefault="003C5894" w:rsidP="003C5894">
      <w:pPr>
        <w:rPr>
          <w:b/>
        </w:rPr>
      </w:pPr>
      <w:r w:rsidRPr="00485C9C">
        <w:rPr>
          <w:b/>
        </w:rPr>
        <w:t xml:space="preserve">Project description </w:t>
      </w:r>
    </w:p>
    <w:p w:rsidR="003C5288" w:rsidRDefault="003C5288" w:rsidP="003C5288">
      <w:r>
        <w:t xml:space="preserve">The current project, "Together for Childhood," is being given serious consideration. Through the involvement of local families as well as surrounding people in the care of a child, it is hoped that child abuse will be avoided. These initiatives enable the National Society for the Prevention of Child Abuse to collaborate with local groups in place to avert child molestation. NSPCC </w:t>
      </w:r>
      <w:r w:rsidR="003C5894">
        <w:t>staff working at local and state levels to connect with local public charities or schools as section of the plan develops</w:t>
      </w:r>
      <w:r>
        <w:t xml:space="preserve"> methods and plans that are tailored to meet the requirements and demands of the community. Increased public awareness is being promoted as part of the campaign to safeguard the security of the local children and youth</w:t>
      </w:r>
      <w:r w:rsidR="00A10333">
        <w:t xml:space="preserve"> (NSPCC, 2021)</w:t>
      </w:r>
      <w:r>
        <w:t>.</w:t>
      </w:r>
    </w:p>
    <w:p w:rsidR="003C5894" w:rsidRDefault="003C5894" w:rsidP="003C5894">
      <w:pPr>
        <w:rPr>
          <w:rFonts w:cs="Times New Roman"/>
          <w:b/>
          <w:color w:val="000000"/>
          <w:sz w:val="23"/>
          <w:szCs w:val="23"/>
          <w:lang w:val="en-US"/>
        </w:rPr>
      </w:pPr>
      <w:r>
        <w:rPr>
          <w:rFonts w:cs="Times New Roman"/>
          <w:b/>
          <w:color w:val="000000"/>
          <w:sz w:val="23"/>
          <w:szCs w:val="23"/>
          <w:lang w:val="en-US"/>
        </w:rPr>
        <w:t>P</w:t>
      </w:r>
      <w:r w:rsidRPr="00485C9C">
        <w:rPr>
          <w:rFonts w:cs="Times New Roman"/>
          <w:b/>
          <w:color w:val="000000"/>
          <w:sz w:val="23"/>
          <w:szCs w:val="23"/>
          <w:lang w:val="en-US"/>
        </w:rPr>
        <w:t>rinciples</w:t>
      </w:r>
      <w:r>
        <w:rPr>
          <w:rFonts w:cs="Times New Roman"/>
          <w:b/>
          <w:color w:val="000000"/>
          <w:sz w:val="23"/>
          <w:szCs w:val="23"/>
          <w:lang w:val="en-US"/>
        </w:rPr>
        <w:t xml:space="preserve"> of</w:t>
      </w:r>
      <w:r w:rsidRPr="00485C9C">
        <w:rPr>
          <w:rFonts w:cs="Times New Roman"/>
          <w:b/>
          <w:color w:val="000000"/>
          <w:sz w:val="23"/>
          <w:szCs w:val="23"/>
          <w:lang w:val="en-US"/>
        </w:rPr>
        <w:t xml:space="preserve"> community engagement </w:t>
      </w:r>
      <w:r>
        <w:rPr>
          <w:rFonts w:cs="Times New Roman"/>
          <w:b/>
          <w:color w:val="000000"/>
          <w:sz w:val="23"/>
          <w:szCs w:val="23"/>
          <w:lang w:val="en-US"/>
        </w:rPr>
        <w:t>p</w:t>
      </w:r>
      <w:r w:rsidRPr="00485C9C">
        <w:rPr>
          <w:rFonts w:cs="Times New Roman"/>
          <w:b/>
          <w:color w:val="000000"/>
          <w:sz w:val="23"/>
          <w:szCs w:val="23"/>
          <w:lang w:val="en-US"/>
        </w:rPr>
        <w:t>ractices</w:t>
      </w:r>
    </w:p>
    <w:p w:rsidR="003C5894" w:rsidRPr="003C5894" w:rsidRDefault="003C5894" w:rsidP="003C5894">
      <w:r w:rsidRPr="003C5894">
        <w:rPr>
          <w:b/>
          <w:i/>
        </w:rPr>
        <w:t>Collaborative and shared reasons</w:t>
      </w:r>
      <w:r>
        <w:t>: The approach must include participation from a diverse group of stakeholders with a variety of perspectives. In order to ensure the well-being of children, a diverse variety of perspectives, views, demographics, as well as other factors must be considered throughout the planning procedure.</w:t>
      </w:r>
    </w:p>
    <w:p w:rsidR="003C5288" w:rsidRDefault="003C5288" w:rsidP="003C5288">
      <w:r w:rsidRPr="003C5894">
        <w:rPr>
          <w:b/>
          <w:i/>
        </w:rPr>
        <w:t>Detailed pre-planning and thorough execution</w:t>
      </w:r>
      <w:r>
        <w:t>: Practitioners may participate in a wide range of activities in order to satisfy the principles and norms of community involvement, depending on the situation. Examples include rigorous planning to ensure that the project's aims as well as objectives are stronger and more coherent, as well as taking into mind the expectations of diverse stakeholders</w:t>
      </w:r>
      <w:r w:rsidR="00A10333">
        <w:t xml:space="preserve"> (</w:t>
      </w:r>
      <w:r w:rsidR="00A10333">
        <w:rPr>
          <w:shd w:val="clear" w:color="auto" w:fill="FFFFFF"/>
        </w:rPr>
        <w:t>Che, 2018</w:t>
      </w:r>
      <w:r w:rsidR="00A10333">
        <w:t>)</w:t>
      </w:r>
      <w:r>
        <w:t>.</w:t>
      </w:r>
    </w:p>
    <w:p w:rsidR="003C5894" w:rsidRDefault="003C5894" w:rsidP="003C5288">
      <w:r w:rsidRPr="003C5894">
        <w:rPr>
          <w:b/>
          <w:i/>
        </w:rPr>
        <w:t>With the same end objective in mind, everyone should work together</w:t>
      </w:r>
      <w:r>
        <w:t>: It is an appeal to them and to come hard in order to achieve their common goals. There is a need of diverse set of talents, as well as persuasive power, to complete this mission. In order for the company and the government to work together effectively, stakeholders as well as the government should be taken into consideration.</w:t>
      </w:r>
    </w:p>
    <w:p w:rsidR="003C5894" w:rsidRDefault="003C5894" w:rsidP="003C5288">
      <w:r w:rsidRPr="003C5894">
        <w:rPr>
          <w:b/>
          <w:i/>
        </w:rPr>
        <w:t>Persistent involvement and a culture of participation</w:t>
      </w:r>
      <w:r w:rsidRPr="003C5894">
        <w:t>:</w:t>
      </w:r>
      <w:r>
        <w:t xml:space="preserve"> Developing a participatory culture by making a lifetime commitment are critical elements of any effective community involvement </w:t>
      </w:r>
      <w:r>
        <w:lastRenderedPageBreak/>
        <w:t>effort. This necessitates the development of a number of measures to encourage people of the community to remain active.</w:t>
      </w:r>
    </w:p>
    <w:p w:rsidR="003C5288" w:rsidRDefault="003C5288" w:rsidP="003C5288">
      <w:r w:rsidRPr="003C5894">
        <w:rPr>
          <w:b/>
          <w:i/>
        </w:rPr>
        <w:t>Maintain the open learning framework in its current form</w:t>
      </w:r>
      <w:r>
        <w:t>: Culture seems to be more effective since it motivates individuals to listen to each other and, fosters the generation of new ideas, as well as involves communities in the project's activities.</w:t>
      </w:r>
    </w:p>
    <w:p w:rsidR="003C5288" w:rsidRPr="003C5894" w:rsidRDefault="003C5288" w:rsidP="003C5288">
      <w:pPr>
        <w:rPr>
          <w:b/>
        </w:rPr>
      </w:pPr>
      <w:r w:rsidRPr="003C5894">
        <w:rPr>
          <w:b/>
        </w:rPr>
        <w:t>There are several benefits to having stakeholders participate in a project.</w:t>
      </w:r>
    </w:p>
    <w:p w:rsidR="003D4A86" w:rsidRPr="001A561A" w:rsidRDefault="003C5288" w:rsidP="003C5288">
      <w:pPr>
        <w:rPr>
          <w:lang w:val="en-US"/>
        </w:rPr>
      </w:pPr>
      <w:r>
        <w:t>There are several benefits to participating in this manner. It is essential for the initiatives to be effective at the community scale that all parties involved have a clear awareness of the subject at hand. In order for the effort to be more effective, new funds should be made accessible in order to protect the local children from cruelty as well as abuse, among other things. It allows for a higher degree of flexibility in formulating advice on how to make the United for Children program even more effective</w:t>
      </w:r>
      <w:r w:rsidR="00A10333">
        <w:t xml:space="preserve"> (</w:t>
      </w:r>
      <w:r w:rsidR="00A10333">
        <w:rPr>
          <w:shd w:val="clear" w:color="auto" w:fill="FFFFFF"/>
        </w:rPr>
        <w:t>Keeys and Huemann, 2017</w:t>
      </w:r>
      <w:r w:rsidR="00A10333">
        <w:t>)</w:t>
      </w:r>
      <w:r>
        <w:t>.</w:t>
      </w:r>
      <w:r w:rsidR="003D4A86">
        <w:t xml:space="preserve">     </w:t>
      </w:r>
    </w:p>
    <w:p w:rsidR="003D4A86" w:rsidRPr="00852D04" w:rsidRDefault="003D4A86" w:rsidP="0087072C">
      <w:pPr>
        <w:pStyle w:val="Heading2"/>
      </w:pPr>
      <w:bookmarkStart w:id="5" w:name="_Toc101199611"/>
      <w:r w:rsidRPr="00852D04">
        <w:t xml:space="preserve">Identify and establish the relationship between the stakeholders and what strategies </w:t>
      </w:r>
      <w:r>
        <w:t>are suitable for engaging them.</w:t>
      </w:r>
      <w:bookmarkEnd w:id="5"/>
      <w:r>
        <w:t xml:space="preserve"> </w:t>
      </w:r>
      <w:r w:rsidRPr="00852D04">
        <w:t xml:space="preserve"> </w:t>
      </w:r>
    </w:p>
    <w:p w:rsidR="008F4488" w:rsidRDefault="008F4488" w:rsidP="008F4488">
      <w:r>
        <w:t xml:space="preserve">Workers have been influenced by management, especially lenders or funders of the firm have a relationship with the firm's senior management team As a result of their connections to the beneficiaries, leadership, as well as employees, </w:t>
      </w:r>
      <w:r w:rsidR="0087072C">
        <w:t>and they</w:t>
      </w:r>
      <w:r>
        <w:t xml:space="preserve"> have a significant effect on the organization. Because the workers assist the local communities in developing strategies, the workers as well as the affected councils are linked in their efforts. Engaging a varied range of stakeholders might well be accomplished in a number of methods, including the following. As a result of using a picture in the post, will increase the likelihood of receiving more likes, follows, as well as comments since the post becomes more aesthetically attractive</w:t>
      </w:r>
      <w:r w:rsidR="00A10333">
        <w:t xml:space="preserve"> (</w:t>
      </w:r>
      <w:r w:rsidR="00A10333">
        <w:rPr>
          <w:shd w:val="clear" w:color="auto" w:fill="FFFFFF"/>
        </w:rPr>
        <w:t>Furman et al., 2021</w:t>
      </w:r>
      <w:r w:rsidR="00A10333">
        <w:t>)</w:t>
      </w:r>
      <w:r>
        <w:t>. For example, the NSPCC might host competitions to promote engagement from all of its stakeholders. For example, this might enable visitors to "like" as well as "comment" on posts, as well as to "fill in the blanks" for various contests, as well as reward those doing it.</w:t>
      </w:r>
    </w:p>
    <w:p w:rsidR="0087072C" w:rsidRDefault="008F4488" w:rsidP="008F4488">
      <w:r>
        <w:t xml:space="preserve">Videos are much more prone to get the information across but have a broader audience when it comes to obtaining government or financing. Videos are more effective at engaging a diverse variety of stakeholders plus persuading them to act on their message than written communications. Followers who are actively involved are more inclined to respond to queries as </w:t>
      </w:r>
      <w:r>
        <w:lastRenderedPageBreak/>
        <w:t>well as suggestions. Reacting to their followers' queries and posts on social media can allow them to get to know them better. It is critical to have a member who participates actively on the platform</w:t>
      </w:r>
      <w:r w:rsidR="00A10333">
        <w:t xml:space="preserve"> (</w:t>
      </w:r>
      <w:r w:rsidR="00A10333">
        <w:rPr>
          <w:shd w:val="clear" w:color="auto" w:fill="FFFFFF"/>
        </w:rPr>
        <w:t>Lopez et al., 2019</w:t>
      </w:r>
      <w:r w:rsidR="00A10333">
        <w:t>)</w:t>
      </w:r>
      <w:r>
        <w:t xml:space="preserve">. Creating strong motivation for stakeholders to following them on social media, like preventing child abuse, increasing kid confidence, as well as assuring that young people live happy </w:t>
      </w:r>
      <w:r w:rsidR="00792815">
        <w:t>lives</w:t>
      </w:r>
      <w:r>
        <w:t xml:space="preserve"> can help business get more followers.</w:t>
      </w:r>
    </w:p>
    <w:p w:rsidR="0087072C" w:rsidRDefault="0087072C" w:rsidP="0087072C">
      <w:pPr>
        <w:pStyle w:val="Heading2"/>
      </w:pPr>
      <w:bookmarkStart w:id="6" w:name="_Toc101199612"/>
      <w:r>
        <w:t>Detailed narrative of how different social media platforms can be used as an outreach to support the project</w:t>
      </w:r>
      <w:bookmarkEnd w:id="6"/>
    </w:p>
    <w:p w:rsidR="00F34854" w:rsidRDefault="00F34854" w:rsidP="00F34854">
      <w:r>
        <w:t xml:space="preserve">Because of the Covid-19 outbreak and the advancement of social media and technology has become the key source of strong community participation. Because of the platform's capacity to post various forms of material that may be seen by millions of potential users or followers at the same time, the charity is capable of engaging with a diverse group of individuals as well as stakeholders in order to create awareness concerning its activities. </w:t>
      </w:r>
      <w:r w:rsidR="00A10333">
        <w:t>A diverse spectrum of individuals is</w:t>
      </w:r>
      <w:r>
        <w:t xml:space="preserve"> able to effectively engage as a consequence of the use of social media. However, the person responsible of the accounting must possess a wide range of competencies in order to keep the information current and amusing. There are several social networking platforms accessible to aid the current developer.</w:t>
      </w:r>
    </w:p>
    <w:p w:rsidR="00F34854" w:rsidRDefault="00F34854" w:rsidP="00F34854">
      <w:r>
        <w:t>Because Facebook has the biggest amount of followers of all social networking sites, the NSPCC could reach a huge number of potential sponsors at the same time. Distinctive hosts who are knowledgeable in the places where they could have discovered child abuse may be found and shared with the group, according to the company. This method would be used to collect funds for children's digital ads. It boasts 2.8 billion monthly active, according to the company. This feature may be used to publish a variety of posts about the programs, as well as group images of volunteer participants. Requests for information and other activities should be sent to the volunteering accounts. Social media users may then solicit donations, offer to volunteer, or join up for one of the NSPCC's local teams to assist in the care of children in their area, as desired. A blog maintained by an organization is a fantastic tool for raising knowledge about the importance of children in daily life as well as in the economic development of future generation.</w:t>
      </w:r>
    </w:p>
    <w:p w:rsidR="00792815" w:rsidRDefault="00F34854" w:rsidP="00F34854">
      <w:r>
        <w:t xml:space="preserve">Then Instagram, with its capacity to collect online payments, may be the ideal platform for disseminating stories and photos that are much more secure than other platforms. Video footage of children as well as their recoveries might well be put on YouTube, wherever viewers may </w:t>
      </w:r>
      <w:r>
        <w:lastRenderedPageBreak/>
        <w:t>l</w:t>
      </w:r>
      <w:r w:rsidR="00A10333">
        <w:t>earn much more regarding organis</w:t>
      </w:r>
      <w:r>
        <w:t>ation's attempts to assist the children in their development. A video campaign to tell stakeholders as well as supporters regarding the project, as well as a frequent blog post on various events and collaborations, are all made possible by this technology. It is possible to create awareness via the usage of numerous websites, incl</w:t>
      </w:r>
      <w:r w:rsidR="004A1A30">
        <w:t>uding blogs might well be utilis</w:t>
      </w:r>
      <w:r>
        <w:t>ed to interact with communities through social media. Some individuals take the initiative to actively respond to queries presented on the internet in order to establish a community of admirers</w:t>
      </w:r>
      <w:r w:rsidR="00A10333">
        <w:t xml:space="preserve"> (</w:t>
      </w:r>
      <w:r w:rsidR="00A10333">
        <w:rPr>
          <w:shd w:val="clear" w:color="auto" w:fill="FFFFFF"/>
        </w:rPr>
        <w:t>Bellucci et al., 2019</w:t>
      </w:r>
      <w:r w:rsidR="00A10333">
        <w:t>)</w:t>
      </w:r>
      <w:r>
        <w:t>.</w:t>
      </w:r>
    </w:p>
    <w:p w:rsidR="004A1A30" w:rsidRPr="00792815" w:rsidRDefault="004A0A55" w:rsidP="004A0A55">
      <w:pPr>
        <w:pStyle w:val="Heading2"/>
      </w:pPr>
      <w:bookmarkStart w:id="7" w:name="_Toc101199613"/>
      <w:r>
        <w:t>Explore relevant avenues to promote community participation, collaboration, diversity and inclusion to enable socio-cultural integration and multiculturalism.</w:t>
      </w:r>
      <w:bookmarkEnd w:id="7"/>
    </w:p>
    <w:p w:rsidR="0034779A" w:rsidRDefault="0034779A" w:rsidP="0034779A">
      <w:pPr>
        <w:tabs>
          <w:tab w:val="left" w:pos="1306"/>
        </w:tabs>
      </w:pPr>
      <w:r>
        <w:t>Community engagement may be encouraged in a variety of ways, such as by creating a sense of urgency. Engage with your followers, communities, and stakeholders by using social media more successfully. The human instinct is to put in less effort until the future looks bleak, thus generating an emergency through entertaining material on the internet is a good way to get people's attention. Various forms of social media may be used by the organization to enhance its effectiveness. The company may take into account a wide range of stakeholders including communities from a variety of cultural and racial backgrounds, allowing them to draw on their unique perspectives and work in concert to generate new ideas</w:t>
      </w:r>
      <w:r w:rsidR="00805297">
        <w:t xml:space="preserve"> (</w:t>
      </w:r>
      <w:r w:rsidR="00805297">
        <w:rPr>
          <w:shd w:val="clear" w:color="auto" w:fill="FFFFFF"/>
        </w:rPr>
        <w:t>Blomkamp, 2018</w:t>
      </w:r>
      <w:r w:rsidR="00805297">
        <w:t>)</w:t>
      </w:r>
      <w:r>
        <w:t>.</w:t>
      </w:r>
    </w:p>
    <w:p w:rsidR="00195697" w:rsidRDefault="0034779A" w:rsidP="0034779A">
      <w:pPr>
        <w:tabs>
          <w:tab w:val="left" w:pos="1306"/>
        </w:tabs>
      </w:pPr>
      <w:r>
        <w:t>Incentive packages may be given out to a variety of stakeholders and community members such as charity representatives in various programs or to workers or volunteers as part of an interview or meeting with the charity's board of trustees. There are many different types of benefits that accrue. Activists as well as staff from all walks of life will be welcomed into the program, and locals will be encouraged to work with charity and communities. In order to establish a welcoming environment for all workers and leadership, engaging material is needed to promote inclusion, diversity, and equality. This will bring together families from a wide range of socioeconomic but also cultural origins in order to achieve socio-cultural harmony</w:t>
      </w:r>
      <w:r w:rsidR="00805297">
        <w:t xml:space="preserve"> (</w:t>
      </w:r>
      <w:r w:rsidR="00805297">
        <w:rPr>
          <w:shd w:val="clear" w:color="auto" w:fill="FFFFFF"/>
        </w:rPr>
        <w:t>Cheng, 2018</w:t>
      </w:r>
      <w:r w:rsidR="00805297">
        <w:t>)</w:t>
      </w:r>
      <w:r>
        <w:t>.</w:t>
      </w:r>
    </w:p>
    <w:p w:rsidR="00195697" w:rsidRDefault="00195697" w:rsidP="00195697">
      <w:pPr>
        <w:pStyle w:val="Heading2"/>
      </w:pPr>
      <w:bookmarkStart w:id="8" w:name="_Toc101199614"/>
      <w:r>
        <w:lastRenderedPageBreak/>
        <w:t>W</w:t>
      </w:r>
      <w:r w:rsidRPr="00852D04">
        <w:t>hy the community engagement practitioner needs to adopt a forward-looking approach to educate community members on internal and external factors that influence community development</w:t>
      </w:r>
      <w:bookmarkEnd w:id="8"/>
    </w:p>
    <w:p w:rsidR="00D9549D" w:rsidRDefault="002552A4" w:rsidP="0034779A">
      <w:pPr>
        <w:tabs>
          <w:tab w:val="left" w:pos="1306"/>
        </w:tabs>
      </w:pPr>
      <w:r w:rsidRPr="002552A4">
        <w:t xml:space="preserve">Children are the future of our country and culture, because they're the ones who might carry our ideas forward. The role of the practitioner in the community development is to make the collectively working of the many barriers to self-development because they would grow with the environment. As a consequence, it is the individual's obligation to identify possible issues that may negatively </w:t>
      </w:r>
      <w:r w:rsidR="00805297" w:rsidRPr="002552A4">
        <w:t>affect</w:t>
      </w:r>
      <w:r w:rsidRPr="002552A4">
        <w:t xml:space="preserve"> the communities, as well as continue to educate others in the region</w:t>
      </w:r>
      <w:r w:rsidR="00805297">
        <w:t xml:space="preserve"> (</w:t>
      </w:r>
      <w:r w:rsidR="00805297">
        <w:rPr>
          <w:shd w:val="clear" w:color="auto" w:fill="FFFFFF"/>
        </w:rPr>
        <w:t>Gudowsky et al., 2017</w:t>
      </w:r>
      <w:r w:rsidR="00805297">
        <w:t>)</w:t>
      </w:r>
      <w:r w:rsidRPr="002552A4">
        <w:t>. For instance, if populations are not informed on the value of women's empowerment and health, women's participation in programs may decline or disease incidences may rise. Inattention to internal and environmental factors may result in wrong consequences.</w:t>
      </w:r>
    </w:p>
    <w:p w:rsidR="00421F74" w:rsidRDefault="00421F74" w:rsidP="0034779A">
      <w:pPr>
        <w:tabs>
          <w:tab w:val="left" w:pos="1306"/>
        </w:tabs>
        <w:sectPr w:rsidR="00421F74" w:rsidSect="006678E7">
          <w:pgSz w:w="12240" w:h="15840"/>
          <w:pgMar w:top="1440" w:right="1440" w:bottom="1440" w:left="1440" w:header="720" w:footer="720" w:gutter="0"/>
          <w:cols w:space="720"/>
          <w:docGrid w:linePitch="360"/>
        </w:sectPr>
      </w:pPr>
    </w:p>
    <w:p w:rsidR="00D9549D" w:rsidRDefault="00D9549D" w:rsidP="00D9549D">
      <w:pPr>
        <w:pStyle w:val="Heading1"/>
      </w:pPr>
      <w:bookmarkStart w:id="9" w:name="_Toc76827578"/>
      <w:bookmarkStart w:id="10" w:name="_Toc101199615"/>
      <w:r>
        <w:lastRenderedPageBreak/>
        <w:t>Conclusion</w:t>
      </w:r>
      <w:bookmarkEnd w:id="9"/>
      <w:bookmarkEnd w:id="10"/>
      <w:r>
        <w:t xml:space="preserve"> </w:t>
      </w:r>
    </w:p>
    <w:p w:rsidR="00C83633" w:rsidRDefault="00C83633" w:rsidP="0087072C">
      <w:r w:rsidRPr="00C83633">
        <w:t xml:space="preserve">The "Together for Childhood" initiative was selected by the report from among the many initiatives of the National Society for the Prevention of Child Abuse. There has also been a great deal of discussion on the importance of community practitioners in recent years. Stakeholder participation principles and conventional approaches for stakeholder contact on social media are discussed in detail in this article, with clear instances from various social media platforms provided. Thus saw how streaming on YouTube as well as other social media websites seems to be a more successful form of communicating the program's aims when they take it into account. </w:t>
      </w:r>
    </w:p>
    <w:p w:rsidR="00805297" w:rsidRDefault="00C83633" w:rsidP="0087072C">
      <w:pPr>
        <w:sectPr w:rsidR="00805297" w:rsidSect="006678E7">
          <w:pgSz w:w="12240" w:h="15840"/>
          <w:pgMar w:top="1440" w:right="1440" w:bottom="1440" w:left="1440" w:header="720" w:footer="720" w:gutter="0"/>
          <w:cols w:space="720"/>
          <w:docGrid w:linePitch="360"/>
        </w:sectPr>
      </w:pPr>
      <w:r w:rsidRPr="00C83633">
        <w:t>It is possible to employ the techniques listed above to engage communities, forcing companies to modify their strategies and customize their programs as well as methods of implementation in order to encourage long-term development in a variety of locations. To help connect stakeholders and get innovative understanding of the program via effective cooperation from individuals from diverse backgrounds, the organization has to strengthen its engagement approaches including incentive schemes, which will help it engage them more effectively.</w:t>
      </w:r>
    </w:p>
    <w:p w:rsidR="00805297" w:rsidRDefault="00805297" w:rsidP="00805297">
      <w:pPr>
        <w:pStyle w:val="Heading1"/>
      </w:pPr>
      <w:bookmarkStart w:id="11" w:name="_Toc101199616"/>
      <w:r>
        <w:lastRenderedPageBreak/>
        <w:t>References</w:t>
      </w:r>
      <w:bookmarkEnd w:id="11"/>
    </w:p>
    <w:p w:rsidR="00805297" w:rsidRDefault="00805297" w:rsidP="00805297">
      <w:pPr>
        <w:rPr>
          <w:shd w:val="clear" w:color="auto" w:fill="FFFFFF"/>
        </w:rPr>
      </w:pPr>
      <w:r>
        <w:rPr>
          <w:shd w:val="clear" w:color="auto" w:fill="FFFFFF"/>
        </w:rPr>
        <w:t>Bellucci, M., Simoni, L., Acuti, D. and Manetti, G., 2019. Stakeholder engagement and dialogic accounting: empirical evidence in sustainability reporting. </w:t>
      </w:r>
      <w:r>
        <w:rPr>
          <w:i/>
          <w:iCs/>
          <w:shd w:val="clear" w:color="auto" w:fill="FFFFFF"/>
        </w:rPr>
        <w:t>Accounting, Auditing &amp; Accountability Journal</w:t>
      </w:r>
      <w:r>
        <w:rPr>
          <w:shd w:val="clear" w:color="auto" w:fill="FFFFFF"/>
        </w:rPr>
        <w:t>.</w:t>
      </w:r>
    </w:p>
    <w:p w:rsidR="00805297" w:rsidRDefault="00805297" w:rsidP="00805297">
      <w:pPr>
        <w:rPr>
          <w:shd w:val="clear" w:color="auto" w:fill="FFFFFF"/>
        </w:rPr>
      </w:pPr>
      <w:r>
        <w:rPr>
          <w:shd w:val="clear" w:color="auto" w:fill="FFFFFF"/>
        </w:rPr>
        <w:t>Blomkamp, E., 2018. The promise of co</w:t>
      </w:r>
      <w:r>
        <w:rPr>
          <w:rFonts w:ascii="Cambria Math" w:hAnsi="Cambria Math" w:cs="Cambria Math"/>
          <w:shd w:val="clear" w:color="auto" w:fill="FFFFFF"/>
        </w:rPr>
        <w:t>‐</w:t>
      </w:r>
      <w:r>
        <w:rPr>
          <w:shd w:val="clear" w:color="auto" w:fill="FFFFFF"/>
        </w:rPr>
        <w:t>design for public policy. </w:t>
      </w:r>
      <w:r>
        <w:rPr>
          <w:i/>
          <w:iCs/>
          <w:shd w:val="clear" w:color="auto" w:fill="FFFFFF"/>
        </w:rPr>
        <w:t>Australian Journal of Public Administration</w:t>
      </w:r>
      <w:r>
        <w:rPr>
          <w:shd w:val="clear" w:color="auto" w:fill="FFFFFF"/>
        </w:rPr>
        <w:t>, </w:t>
      </w:r>
      <w:r>
        <w:rPr>
          <w:i/>
          <w:iCs/>
          <w:shd w:val="clear" w:color="auto" w:fill="FFFFFF"/>
        </w:rPr>
        <w:t>77</w:t>
      </w:r>
      <w:r>
        <w:rPr>
          <w:shd w:val="clear" w:color="auto" w:fill="FFFFFF"/>
        </w:rPr>
        <w:t>(4), pp.729-743.</w:t>
      </w:r>
    </w:p>
    <w:p w:rsidR="00805297" w:rsidRDefault="00805297" w:rsidP="00805297">
      <w:pPr>
        <w:rPr>
          <w:shd w:val="clear" w:color="auto" w:fill="FFFFFF"/>
        </w:rPr>
      </w:pPr>
      <w:r>
        <w:rPr>
          <w:shd w:val="clear" w:color="auto" w:fill="FFFFFF"/>
        </w:rPr>
        <w:t>Che, C.F., 2018. Re-inventing community development: Utilizing relational networking and cultural assets for infrastructure provision. </w:t>
      </w:r>
      <w:r>
        <w:rPr>
          <w:i/>
          <w:iCs/>
          <w:shd w:val="clear" w:color="auto" w:fill="FFFFFF"/>
        </w:rPr>
        <w:t>Societies</w:t>
      </w:r>
      <w:r>
        <w:rPr>
          <w:shd w:val="clear" w:color="auto" w:fill="FFFFFF"/>
        </w:rPr>
        <w:t>, </w:t>
      </w:r>
      <w:r>
        <w:rPr>
          <w:i/>
          <w:iCs/>
          <w:shd w:val="clear" w:color="auto" w:fill="FFFFFF"/>
        </w:rPr>
        <w:t>8</w:t>
      </w:r>
      <w:r>
        <w:rPr>
          <w:shd w:val="clear" w:color="auto" w:fill="FFFFFF"/>
        </w:rPr>
        <w:t>(3), p.84.</w:t>
      </w:r>
    </w:p>
    <w:p w:rsidR="00805297" w:rsidRDefault="00805297" w:rsidP="00805297">
      <w:pPr>
        <w:rPr>
          <w:shd w:val="clear" w:color="auto" w:fill="FFFFFF"/>
        </w:rPr>
      </w:pPr>
      <w:r>
        <w:rPr>
          <w:shd w:val="clear" w:color="auto" w:fill="FFFFFF"/>
        </w:rPr>
        <w:t>Cheng, Y., 2018. How social media is changing crisis communication strategies: Evidence from the updated literature. </w:t>
      </w:r>
      <w:r>
        <w:rPr>
          <w:i/>
          <w:iCs/>
          <w:shd w:val="clear" w:color="auto" w:fill="FFFFFF"/>
        </w:rPr>
        <w:t>Journal of contingencies and crisis management</w:t>
      </w:r>
      <w:r>
        <w:rPr>
          <w:shd w:val="clear" w:color="auto" w:fill="FFFFFF"/>
        </w:rPr>
        <w:t>, </w:t>
      </w:r>
      <w:r>
        <w:rPr>
          <w:i/>
          <w:iCs/>
          <w:shd w:val="clear" w:color="auto" w:fill="FFFFFF"/>
        </w:rPr>
        <w:t>26</w:t>
      </w:r>
      <w:r>
        <w:rPr>
          <w:shd w:val="clear" w:color="auto" w:fill="FFFFFF"/>
        </w:rPr>
        <w:t>(1), pp.58-68.</w:t>
      </w:r>
    </w:p>
    <w:p w:rsidR="00805297" w:rsidRDefault="00805297" w:rsidP="00805297">
      <w:pPr>
        <w:rPr>
          <w:shd w:val="clear" w:color="auto" w:fill="FFFFFF"/>
        </w:rPr>
      </w:pPr>
      <w:r>
        <w:rPr>
          <w:shd w:val="clear" w:color="auto" w:fill="FFFFFF"/>
        </w:rPr>
        <w:t>Furman, K.L., Aminpour, P., Gray, S.A. and Scyphers, S.B., 2021. Mental models for assessing coastal social-ecological systems following disasters. </w:t>
      </w:r>
      <w:r>
        <w:rPr>
          <w:i/>
          <w:iCs/>
          <w:shd w:val="clear" w:color="auto" w:fill="FFFFFF"/>
        </w:rPr>
        <w:t>Marine Policy</w:t>
      </w:r>
      <w:r>
        <w:rPr>
          <w:shd w:val="clear" w:color="auto" w:fill="FFFFFF"/>
        </w:rPr>
        <w:t>, </w:t>
      </w:r>
      <w:r>
        <w:rPr>
          <w:i/>
          <w:iCs/>
          <w:shd w:val="clear" w:color="auto" w:fill="FFFFFF"/>
        </w:rPr>
        <w:t>125</w:t>
      </w:r>
      <w:r>
        <w:rPr>
          <w:shd w:val="clear" w:color="auto" w:fill="FFFFFF"/>
        </w:rPr>
        <w:t>, p.104334.</w:t>
      </w:r>
    </w:p>
    <w:p w:rsidR="00805297" w:rsidRPr="007435BE" w:rsidRDefault="00805297" w:rsidP="007435BE">
      <w:r>
        <w:rPr>
          <w:shd w:val="clear" w:color="auto" w:fill="FFFFFF"/>
        </w:rPr>
        <w:t>Gudowsky, N., Sotoudeh, M., Capari, L. and Wilfing, H., 2017. Transdisciplinary forward-looking agenda setting for age-friendly, human centered cities. </w:t>
      </w:r>
      <w:r>
        <w:rPr>
          <w:i/>
          <w:iCs/>
          <w:shd w:val="clear" w:color="auto" w:fill="FFFFFF"/>
        </w:rPr>
        <w:t>Futures</w:t>
      </w:r>
      <w:r>
        <w:rPr>
          <w:shd w:val="clear" w:color="auto" w:fill="FFFFFF"/>
        </w:rPr>
        <w:t>, </w:t>
      </w:r>
      <w:r>
        <w:rPr>
          <w:i/>
          <w:iCs/>
          <w:shd w:val="clear" w:color="auto" w:fill="FFFFFF"/>
        </w:rPr>
        <w:t>90</w:t>
      </w:r>
      <w:r>
        <w:rPr>
          <w:shd w:val="clear" w:color="auto" w:fill="FFFFFF"/>
        </w:rPr>
        <w:t>, pp.16-30.</w:t>
      </w:r>
    </w:p>
    <w:p w:rsidR="00805297" w:rsidRDefault="00805297" w:rsidP="00805297">
      <w:pPr>
        <w:rPr>
          <w:shd w:val="clear" w:color="auto" w:fill="FFFFFF"/>
        </w:rPr>
      </w:pPr>
      <w:r>
        <w:rPr>
          <w:shd w:val="clear" w:color="auto" w:fill="FFFFFF"/>
        </w:rPr>
        <w:t>Keeys, L.A. and Huemann, M., 2017. Project benefits co-creation: Shaping sustainable development benefits. </w:t>
      </w:r>
      <w:r>
        <w:rPr>
          <w:i/>
          <w:iCs/>
          <w:shd w:val="clear" w:color="auto" w:fill="FFFFFF"/>
        </w:rPr>
        <w:t>International Journal of Project Management</w:t>
      </w:r>
      <w:r>
        <w:rPr>
          <w:shd w:val="clear" w:color="auto" w:fill="FFFFFF"/>
        </w:rPr>
        <w:t>, </w:t>
      </w:r>
      <w:r>
        <w:rPr>
          <w:i/>
          <w:iCs/>
          <w:shd w:val="clear" w:color="auto" w:fill="FFFFFF"/>
        </w:rPr>
        <w:t>35</w:t>
      </w:r>
      <w:r>
        <w:rPr>
          <w:shd w:val="clear" w:color="auto" w:fill="FFFFFF"/>
        </w:rPr>
        <w:t>(6), pp.1196-1212.</w:t>
      </w:r>
    </w:p>
    <w:p w:rsidR="00805297" w:rsidRDefault="00805297" w:rsidP="00805297">
      <w:pPr>
        <w:rPr>
          <w:shd w:val="clear" w:color="auto" w:fill="FFFFFF"/>
        </w:rPr>
      </w:pPr>
      <w:r>
        <w:rPr>
          <w:shd w:val="clear" w:color="auto" w:fill="FFFFFF"/>
        </w:rPr>
        <w:t>Lopez, M., Chan, T.M., Thoma, B., Arora, V.M. and Trueger, N.S., 2019. The social media editor at medical journals: responsibilities, goals, barriers, and facilitators. </w:t>
      </w:r>
      <w:r>
        <w:rPr>
          <w:i/>
          <w:iCs/>
          <w:shd w:val="clear" w:color="auto" w:fill="FFFFFF"/>
        </w:rPr>
        <w:t>Academic medicine: journal of the Association of American Medical Colleges</w:t>
      </w:r>
      <w:r>
        <w:rPr>
          <w:shd w:val="clear" w:color="auto" w:fill="FFFFFF"/>
        </w:rPr>
        <w:t>, </w:t>
      </w:r>
      <w:r>
        <w:rPr>
          <w:i/>
          <w:iCs/>
          <w:shd w:val="clear" w:color="auto" w:fill="FFFFFF"/>
        </w:rPr>
        <w:t>94</w:t>
      </w:r>
      <w:r>
        <w:rPr>
          <w:shd w:val="clear" w:color="auto" w:fill="FFFFFF"/>
        </w:rPr>
        <w:t>(5), p.701.</w:t>
      </w:r>
    </w:p>
    <w:p w:rsidR="00805297" w:rsidRDefault="00805297" w:rsidP="00805297">
      <w:pPr>
        <w:rPr>
          <w:shd w:val="clear" w:color="auto" w:fill="FFFFFF"/>
        </w:rPr>
      </w:pPr>
      <w:r>
        <w:rPr>
          <w:shd w:val="clear" w:color="auto" w:fill="FFFFFF"/>
        </w:rPr>
        <w:t>Malone, K., 2017. Children in the Anthropocene: Rethinking sustainability and child friendliness in cities. Springer.</w:t>
      </w:r>
    </w:p>
    <w:p w:rsidR="00805297" w:rsidRDefault="00805297" w:rsidP="00805297">
      <w:r>
        <w:t xml:space="preserve">NSPCC, 2021. Together for childhood. [Online] [Accessed through] </w:t>
      </w:r>
      <w:r w:rsidRPr="007C7F19">
        <w:t xml:space="preserve">https://www.nspcc.org.uk/keeping-children-safe/our-services/together-for-childhood/ </w:t>
      </w:r>
      <w:r>
        <w:t>[18</w:t>
      </w:r>
      <w:r w:rsidRPr="00CD244E">
        <w:rPr>
          <w:vertAlign w:val="superscript"/>
        </w:rPr>
        <w:t>th</w:t>
      </w:r>
      <w:r>
        <w:t xml:space="preserve"> April 2022] </w:t>
      </w:r>
    </w:p>
    <w:sectPr w:rsidR="00805297" w:rsidSect="006678E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96F47" w:rsidRDefault="00796F47" w:rsidP="00F34ADB">
      <w:pPr>
        <w:spacing w:after="0" w:line="240" w:lineRule="auto"/>
      </w:pPr>
      <w:r>
        <w:separator/>
      </w:r>
    </w:p>
  </w:endnote>
  <w:endnote w:type="continuationSeparator" w:id="0">
    <w:p w:rsidR="00796F47" w:rsidRDefault="00796F47" w:rsidP="00F34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50128434"/>
      <w:docPartObj>
        <w:docPartGallery w:val="Page Numbers (Bottom of Page)"/>
        <w:docPartUnique/>
      </w:docPartObj>
    </w:sdtPr>
    <w:sdtContent>
      <w:p w:rsidR="00A87796" w:rsidRDefault="00A87796" w:rsidP="001F77D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A87796" w:rsidRDefault="00A87796" w:rsidP="00A8779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4ADB" w:rsidRDefault="00F34ADB">
    <w:pPr>
      <w:pStyle w:val="Footer"/>
    </w:pPr>
  </w:p>
  <w:p w:rsidR="00F34ADB" w:rsidRDefault="00F34AD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30427614"/>
      <w:docPartObj>
        <w:docPartGallery w:val="Page Numbers (Bottom of Page)"/>
        <w:docPartUnique/>
      </w:docPartObj>
    </w:sdtPr>
    <w:sdtContent>
      <w:p w:rsidR="00A87796" w:rsidRDefault="00A87796" w:rsidP="001F77D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CE0375" w:rsidRDefault="00CE0375" w:rsidP="00A87796">
    <w:pPr>
      <w:pStyle w:val="Footer"/>
      <w:ind w:right="360"/>
      <w:jc w:val="right"/>
    </w:pPr>
  </w:p>
  <w:p w:rsidR="00CE0375" w:rsidRDefault="00CE03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96F47" w:rsidRDefault="00796F47" w:rsidP="00F34ADB">
      <w:pPr>
        <w:spacing w:after="0" w:line="240" w:lineRule="auto"/>
      </w:pPr>
      <w:r>
        <w:separator/>
      </w:r>
    </w:p>
  </w:footnote>
  <w:footnote w:type="continuationSeparator" w:id="0">
    <w:p w:rsidR="00796F47" w:rsidRDefault="00796F47" w:rsidP="00F34A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D4C18"/>
    <w:multiLevelType w:val="hybridMultilevel"/>
    <w:tmpl w:val="E9366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2AC67A6"/>
    <w:multiLevelType w:val="hybridMultilevel"/>
    <w:tmpl w:val="40345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7C05E05"/>
    <w:multiLevelType w:val="hybridMultilevel"/>
    <w:tmpl w:val="5B424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C9B1243"/>
    <w:multiLevelType w:val="hybridMultilevel"/>
    <w:tmpl w:val="B2223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PersonalInformation/>
  <w:removeDateAndTime/>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86E88"/>
    <w:rsid w:val="000007A5"/>
    <w:rsid w:val="0000274E"/>
    <w:rsid w:val="00005FC0"/>
    <w:rsid w:val="000365B1"/>
    <w:rsid w:val="00040F09"/>
    <w:rsid w:val="00051FA6"/>
    <w:rsid w:val="00063B1B"/>
    <w:rsid w:val="00066FCF"/>
    <w:rsid w:val="00072BAC"/>
    <w:rsid w:val="00077B16"/>
    <w:rsid w:val="00083FBE"/>
    <w:rsid w:val="00096A91"/>
    <w:rsid w:val="000A0EC5"/>
    <w:rsid w:val="000A3DA5"/>
    <w:rsid w:val="000A60B2"/>
    <w:rsid w:val="000A7234"/>
    <w:rsid w:val="000B6D3D"/>
    <w:rsid w:val="000C3E85"/>
    <w:rsid w:val="000C4638"/>
    <w:rsid w:val="000D3CE2"/>
    <w:rsid w:val="000D44CB"/>
    <w:rsid w:val="000E0562"/>
    <w:rsid w:val="000E1EF6"/>
    <w:rsid w:val="00110801"/>
    <w:rsid w:val="00111CA3"/>
    <w:rsid w:val="001264D3"/>
    <w:rsid w:val="00126908"/>
    <w:rsid w:val="00130081"/>
    <w:rsid w:val="0013715F"/>
    <w:rsid w:val="0019130B"/>
    <w:rsid w:val="00195697"/>
    <w:rsid w:val="001A73FC"/>
    <w:rsid w:val="001A771C"/>
    <w:rsid w:val="001C6AD0"/>
    <w:rsid w:val="001E757A"/>
    <w:rsid w:val="0020173F"/>
    <w:rsid w:val="00207A19"/>
    <w:rsid w:val="00232CB6"/>
    <w:rsid w:val="00235005"/>
    <w:rsid w:val="0025054A"/>
    <w:rsid w:val="00250B42"/>
    <w:rsid w:val="002550F8"/>
    <w:rsid w:val="002552A4"/>
    <w:rsid w:val="00264F20"/>
    <w:rsid w:val="00280207"/>
    <w:rsid w:val="002839FC"/>
    <w:rsid w:val="002B0BE6"/>
    <w:rsid w:val="002C339B"/>
    <w:rsid w:val="002C33AC"/>
    <w:rsid w:val="002D0125"/>
    <w:rsid w:val="002D09B2"/>
    <w:rsid w:val="002D14F1"/>
    <w:rsid w:val="002D1745"/>
    <w:rsid w:val="002E5BC6"/>
    <w:rsid w:val="0030126D"/>
    <w:rsid w:val="003104EB"/>
    <w:rsid w:val="00327EF4"/>
    <w:rsid w:val="00332481"/>
    <w:rsid w:val="0034779A"/>
    <w:rsid w:val="00390FC8"/>
    <w:rsid w:val="0039167D"/>
    <w:rsid w:val="003A5EEC"/>
    <w:rsid w:val="003B05D7"/>
    <w:rsid w:val="003B1461"/>
    <w:rsid w:val="003B202C"/>
    <w:rsid w:val="003C4C8B"/>
    <w:rsid w:val="003C5288"/>
    <w:rsid w:val="003C5894"/>
    <w:rsid w:val="003C5D94"/>
    <w:rsid w:val="003C6CBE"/>
    <w:rsid w:val="003C6DDB"/>
    <w:rsid w:val="003C7646"/>
    <w:rsid w:val="003D223D"/>
    <w:rsid w:val="003D4A86"/>
    <w:rsid w:val="003D4B36"/>
    <w:rsid w:val="003F01CB"/>
    <w:rsid w:val="004158BC"/>
    <w:rsid w:val="00417AB2"/>
    <w:rsid w:val="00421F74"/>
    <w:rsid w:val="004311D9"/>
    <w:rsid w:val="00433EEE"/>
    <w:rsid w:val="00434DA8"/>
    <w:rsid w:val="004506ED"/>
    <w:rsid w:val="00497C0A"/>
    <w:rsid w:val="004A0A55"/>
    <w:rsid w:val="004A1A30"/>
    <w:rsid w:val="004D0DC5"/>
    <w:rsid w:val="004D27A1"/>
    <w:rsid w:val="004D5127"/>
    <w:rsid w:val="004D6959"/>
    <w:rsid w:val="004E799A"/>
    <w:rsid w:val="00506C53"/>
    <w:rsid w:val="00515425"/>
    <w:rsid w:val="00516BC1"/>
    <w:rsid w:val="0051778C"/>
    <w:rsid w:val="00531096"/>
    <w:rsid w:val="0053264B"/>
    <w:rsid w:val="0053425A"/>
    <w:rsid w:val="005359BA"/>
    <w:rsid w:val="00542682"/>
    <w:rsid w:val="0056435F"/>
    <w:rsid w:val="00573C74"/>
    <w:rsid w:val="00577E15"/>
    <w:rsid w:val="00590FDB"/>
    <w:rsid w:val="00592B98"/>
    <w:rsid w:val="00593C2A"/>
    <w:rsid w:val="00597B6F"/>
    <w:rsid w:val="005A5B12"/>
    <w:rsid w:val="005B233A"/>
    <w:rsid w:val="005C28EE"/>
    <w:rsid w:val="005D4D92"/>
    <w:rsid w:val="00615E20"/>
    <w:rsid w:val="0063334C"/>
    <w:rsid w:val="00644F95"/>
    <w:rsid w:val="00646FC0"/>
    <w:rsid w:val="00656E1C"/>
    <w:rsid w:val="00660AEE"/>
    <w:rsid w:val="006678E7"/>
    <w:rsid w:val="0067242E"/>
    <w:rsid w:val="00673290"/>
    <w:rsid w:val="00686E88"/>
    <w:rsid w:val="006946A2"/>
    <w:rsid w:val="00697765"/>
    <w:rsid w:val="006C0520"/>
    <w:rsid w:val="006C5562"/>
    <w:rsid w:val="006D7F60"/>
    <w:rsid w:val="00707E72"/>
    <w:rsid w:val="00712BB3"/>
    <w:rsid w:val="00736455"/>
    <w:rsid w:val="00741FA7"/>
    <w:rsid w:val="007435BE"/>
    <w:rsid w:val="00744B25"/>
    <w:rsid w:val="00746AAB"/>
    <w:rsid w:val="00747307"/>
    <w:rsid w:val="00765401"/>
    <w:rsid w:val="00772512"/>
    <w:rsid w:val="00792815"/>
    <w:rsid w:val="0079479E"/>
    <w:rsid w:val="0079648B"/>
    <w:rsid w:val="00796F47"/>
    <w:rsid w:val="007B3E61"/>
    <w:rsid w:val="007B5E33"/>
    <w:rsid w:val="007D5464"/>
    <w:rsid w:val="007D78E2"/>
    <w:rsid w:val="007E22AE"/>
    <w:rsid w:val="00801533"/>
    <w:rsid w:val="00805297"/>
    <w:rsid w:val="00825C12"/>
    <w:rsid w:val="008330C7"/>
    <w:rsid w:val="0086180F"/>
    <w:rsid w:val="0087072C"/>
    <w:rsid w:val="00876E63"/>
    <w:rsid w:val="008922ED"/>
    <w:rsid w:val="008A0FC2"/>
    <w:rsid w:val="008D42F3"/>
    <w:rsid w:val="008D5E92"/>
    <w:rsid w:val="008F167C"/>
    <w:rsid w:val="008F4488"/>
    <w:rsid w:val="008F5823"/>
    <w:rsid w:val="008F6235"/>
    <w:rsid w:val="009051A3"/>
    <w:rsid w:val="009112ED"/>
    <w:rsid w:val="0093793B"/>
    <w:rsid w:val="00937D4F"/>
    <w:rsid w:val="009417FA"/>
    <w:rsid w:val="009533BB"/>
    <w:rsid w:val="009643F7"/>
    <w:rsid w:val="00967CC0"/>
    <w:rsid w:val="00982454"/>
    <w:rsid w:val="009900B1"/>
    <w:rsid w:val="009A0917"/>
    <w:rsid w:val="009B0B47"/>
    <w:rsid w:val="009D7BB2"/>
    <w:rsid w:val="009F0A32"/>
    <w:rsid w:val="00A00239"/>
    <w:rsid w:val="00A03CF1"/>
    <w:rsid w:val="00A10333"/>
    <w:rsid w:val="00A22C1F"/>
    <w:rsid w:val="00A373FB"/>
    <w:rsid w:val="00A376B8"/>
    <w:rsid w:val="00A409EB"/>
    <w:rsid w:val="00A45788"/>
    <w:rsid w:val="00A560D2"/>
    <w:rsid w:val="00A6496F"/>
    <w:rsid w:val="00A661D2"/>
    <w:rsid w:val="00A71368"/>
    <w:rsid w:val="00A747A9"/>
    <w:rsid w:val="00A83C99"/>
    <w:rsid w:val="00A87796"/>
    <w:rsid w:val="00A95905"/>
    <w:rsid w:val="00AD06EE"/>
    <w:rsid w:val="00AD78E3"/>
    <w:rsid w:val="00AE40BD"/>
    <w:rsid w:val="00AF6239"/>
    <w:rsid w:val="00AF6C29"/>
    <w:rsid w:val="00B24411"/>
    <w:rsid w:val="00B30102"/>
    <w:rsid w:val="00B34DA3"/>
    <w:rsid w:val="00B5102E"/>
    <w:rsid w:val="00B531D6"/>
    <w:rsid w:val="00B5418B"/>
    <w:rsid w:val="00B56397"/>
    <w:rsid w:val="00B73A1E"/>
    <w:rsid w:val="00B74096"/>
    <w:rsid w:val="00B762F6"/>
    <w:rsid w:val="00B966D5"/>
    <w:rsid w:val="00BB3AB2"/>
    <w:rsid w:val="00BC7794"/>
    <w:rsid w:val="00BC7E35"/>
    <w:rsid w:val="00BD19F0"/>
    <w:rsid w:val="00BD42E1"/>
    <w:rsid w:val="00BE0BF0"/>
    <w:rsid w:val="00C21387"/>
    <w:rsid w:val="00C24C92"/>
    <w:rsid w:val="00C5341A"/>
    <w:rsid w:val="00C564D8"/>
    <w:rsid w:val="00C73AF4"/>
    <w:rsid w:val="00C83633"/>
    <w:rsid w:val="00CA3C19"/>
    <w:rsid w:val="00CB0F8E"/>
    <w:rsid w:val="00CB494B"/>
    <w:rsid w:val="00CC0026"/>
    <w:rsid w:val="00CC4B86"/>
    <w:rsid w:val="00CD4A11"/>
    <w:rsid w:val="00CE0375"/>
    <w:rsid w:val="00D0566E"/>
    <w:rsid w:val="00D136FD"/>
    <w:rsid w:val="00D258B1"/>
    <w:rsid w:val="00D27A1C"/>
    <w:rsid w:val="00D402CA"/>
    <w:rsid w:val="00D426BB"/>
    <w:rsid w:val="00D62D58"/>
    <w:rsid w:val="00D729AC"/>
    <w:rsid w:val="00D73F56"/>
    <w:rsid w:val="00D91E16"/>
    <w:rsid w:val="00D9549D"/>
    <w:rsid w:val="00D95B56"/>
    <w:rsid w:val="00DB19C2"/>
    <w:rsid w:val="00DB77F4"/>
    <w:rsid w:val="00DC33C2"/>
    <w:rsid w:val="00DD15D0"/>
    <w:rsid w:val="00DF3921"/>
    <w:rsid w:val="00E0711A"/>
    <w:rsid w:val="00E10DAD"/>
    <w:rsid w:val="00E22A79"/>
    <w:rsid w:val="00E30647"/>
    <w:rsid w:val="00E37ED8"/>
    <w:rsid w:val="00E4104F"/>
    <w:rsid w:val="00E44A4C"/>
    <w:rsid w:val="00E53750"/>
    <w:rsid w:val="00E67DA5"/>
    <w:rsid w:val="00E73C71"/>
    <w:rsid w:val="00E87D77"/>
    <w:rsid w:val="00EB195A"/>
    <w:rsid w:val="00EB75B2"/>
    <w:rsid w:val="00EC02D0"/>
    <w:rsid w:val="00EC5146"/>
    <w:rsid w:val="00ED0355"/>
    <w:rsid w:val="00EE3549"/>
    <w:rsid w:val="00EE6E9D"/>
    <w:rsid w:val="00F104E6"/>
    <w:rsid w:val="00F14D7B"/>
    <w:rsid w:val="00F30B71"/>
    <w:rsid w:val="00F34854"/>
    <w:rsid w:val="00F34ADB"/>
    <w:rsid w:val="00F44E94"/>
    <w:rsid w:val="00F53E9C"/>
    <w:rsid w:val="00F7512C"/>
    <w:rsid w:val="00F7603A"/>
    <w:rsid w:val="00F848A6"/>
    <w:rsid w:val="00F873BE"/>
    <w:rsid w:val="00FA732F"/>
    <w:rsid w:val="00FB0DA3"/>
    <w:rsid w:val="00FB3354"/>
    <w:rsid w:val="00FB5058"/>
    <w:rsid w:val="00FC662C"/>
    <w:rsid w:val="00FD426B"/>
    <w:rsid w:val="00FE14FE"/>
    <w:rsid w:val="00FF22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4A8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D1745"/>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2D1745"/>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1745"/>
    <w:rPr>
      <w:rFonts w:ascii="Times New Roman" w:eastAsiaTheme="majorEastAsia" w:hAnsi="Times New Roman" w:cstheme="majorBidi"/>
      <w:bCs/>
      <w:sz w:val="24"/>
      <w:szCs w:val="26"/>
      <w:u w:val="single"/>
    </w:rPr>
  </w:style>
  <w:style w:type="character" w:customStyle="1" w:styleId="Heading1Char">
    <w:name w:val="Heading 1 Char"/>
    <w:basedOn w:val="DefaultParagraphFont"/>
    <w:link w:val="Heading1"/>
    <w:uiPriority w:val="9"/>
    <w:rsid w:val="002D1745"/>
    <w:rPr>
      <w:rFonts w:ascii="Times New Roman" w:eastAsiaTheme="majorEastAsia" w:hAnsi="Times New Roman" w:cstheme="majorBidi"/>
      <w:b/>
      <w:bCs/>
      <w:sz w:val="28"/>
      <w:szCs w:val="28"/>
    </w:rPr>
  </w:style>
  <w:style w:type="paragraph" w:styleId="BalloonText">
    <w:name w:val="Balloon Text"/>
    <w:basedOn w:val="Normal"/>
    <w:link w:val="BalloonTextChar"/>
    <w:uiPriority w:val="99"/>
    <w:semiHidden/>
    <w:unhideWhenUsed/>
    <w:rsid w:val="002017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173F"/>
    <w:rPr>
      <w:rFonts w:ascii="Tahoma" w:hAnsi="Tahoma" w:cs="Tahoma"/>
      <w:sz w:val="16"/>
      <w:szCs w:val="16"/>
    </w:rPr>
  </w:style>
  <w:style w:type="paragraph" w:styleId="Caption">
    <w:name w:val="caption"/>
    <w:basedOn w:val="Normal"/>
    <w:next w:val="Normal"/>
    <w:uiPriority w:val="35"/>
    <w:unhideWhenUsed/>
    <w:qFormat/>
    <w:rsid w:val="0020173F"/>
    <w:pPr>
      <w:spacing w:line="240" w:lineRule="auto"/>
    </w:pPr>
    <w:rPr>
      <w:b/>
      <w:bCs/>
      <w:color w:val="4F81BD" w:themeColor="accent1"/>
      <w:sz w:val="18"/>
      <w:szCs w:val="18"/>
    </w:rPr>
  </w:style>
  <w:style w:type="table" w:styleId="TableGrid">
    <w:name w:val="Table Grid"/>
    <w:basedOn w:val="TableNormal"/>
    <w:uiPriority w:val="59"/>
    <w:rsid w:val="003C5D9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C24C92"/>
    <w:pPr>
      <w:ind w:left="720"/>
      <w:contextualSpacing/>
    </w:pPr>
  </w:style>
  <w:style w:type="character" w:customStyle="1" w:styleId="apple-converted-space">
    <w:name w:val="apple-converted-space"/>
    <w:basedOn w:val="DefaultParagraphFont"/>
    <w:rsid w:val="003D4B36"/>
  </w:style>
  <w:style w:type="paragraph" w:styleId="TOCHeading">
    <w:name w:val="TOC Heading"/>
    <w:basedOn w:val="Heading1"/>
    <w:next w:val="Normal"/>
    <w:uiPriority w:val="39"/>
    <w:semiHidden/>
    <w:unhideWhenUsed/>
    <w:qFormat/>
    <w:rsid w:val="00E53750"/>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E53750"/>
    <w:pPr>
      <w:spacing w:after="100"/>
    </w:pPr>
  </w:style>
  <w:style w:type="paragraph" w:styleId="TOC2">
    <w:name w:val="toc 2"/>
    <w:basedOn w:val="Normal"/>
    <w:next w:val="Normal"/>
    <w:autoRedefine/>
    <w:uiPriority w:val="39"/>
    <w:unhideWhenUsed/>
    <w:rsid w:val="00E53750"/>
    <w:pPr>
      <w:spacing w:after="100"/>
      <w:ind w:left="240"/>
    </w:pPr>
  </w:style>
  <w:style w:type="character" w:styleId="Hyperlink">
    <w:name w:val="Hyperlink"/>
    <w:basedOn w:val="DefaultParagraphFont"/>
    <w:uiPriority w:val="99"/>
    <w:unhideWhenUsed/>
    <w:rsid w:val="00E53750"/>
    <w:rPr>
      <w:color w:val="0000FF" w:themeColor="hyperlink"/>
      <w:u w:val="single"/>
    </w:rPr>
  </w:style>
  <w:style w:type="paragraph" w:styleId="TableofFigures">
    <w:name w:val="table of figures"/>
    <w:basedOn w:val="Normal"/>
    <w:next w:val="Normal"/>
    <w:uiPriority w:val="99"/>
    <w:unhideWhenUsed/>
    <w:rsid w:val="00801533"/>
    <w:pPr>
      <w:spacing w:after="0"/>
    </w:pPr>
  </w:style>
  <w:style w:type="paragraph" w:styleId="Header">
    <w:name w:val="header"/>
    <w:basedOn w:val="Normal"/>
    <w:link w:val="HeaderChar"/>
    <w:uiPriority w:val="99"/>
    <w:semiHidden/>
    <w:unhideWhenUsed/>
    <w:rsid w:val="00F34AD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34ADB"/>
    <w:rPr>
      <w:rFonts w:ascii="Times New Roman" w:hAnsi="Times New Roman"/>
      <w:sz w:val="24"/>
    </w:rPr>
  </w:style>
  <w:style w:type="paragraph" w:styleId="Footer">
    <w:name w:val="footer"/>
    <w:basedOn w:val="Normal"/>
    <w:link w:val="FooterChar"/>
    <w:uiPriority w:val="99"/>
    <w:unhideWhenUsed/>
    <w:rsid w:val="00F34A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4ADB"/>
    <w:rPr>
      <w:rFonts w:ascii="Times New Roman" w:hAnsi="Times New Roman"/>
      <w:sz w:val="24"/>
    </w:rPr>
  </w:style>
  <w:style w:type="character" w:styleId="PageNumber">
    <w:name w:val="page number"/>
    <w:basedOn w:val="DefaultParagraphFont"/>
    <w:uiPriority w:val="99"/>
    <w:semiHidden/>
    <w:unhideWhenUsed/>
    <w:rsid w:val="00A877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ownloads\template%20(1)%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CE1B8D-12EA-7F4F-BC24-653E816F4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C:\Users\HP\Downloads\template (1) (2).dotx</Template>
  <TotalTime>82</TotalTime>
  <Pages>10</Pages>
  <Words>2473</Words>
  <Characters>13628</Characters>
  <Application>Microsoft Office Word</Application>
  <DocSecurity>0</DocSecurity>
  <Lines>283</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11</cp:revision>
  <dcterms:created xsi:type="dcterms:W3CDTF">2022-04-18T11:25:00Z</dcterms:created>
  <dcterms:modified xsi:type="dcterms:W3CDTF">2022-04-20T02:42:00Z</dcterms:modified>
</cp:coreProperties>
</file>