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F0C41" w14:textId="77777777" w:rsidR="001044A9" w:rsidRPr="008D7DBA" w:rsidRDefault="001044A9" w:rsidP="001044A9">
      <w:pPr>
        <w:spacing w:line="259" w:lineRule="auto"/>
        <w:jc w:val="left"/>
        <w:rPr>
          <w:rFonts w:ascii="Arial" w:hAnsi="Arial" w:cs="Arial"/>
        </w:rPr>
      </w:pPr>
      <w:r w:rsidRPr="008D7DBA">
        <w:rPr>
          <w:rFonts w:ascii="Arial" w:hAnsi="Arial" w:cs="Arial"/>
          <w:noProof/>
        </w:rPr>
        <w:drawing>
          <wp:anchor distT="0" distB="0" distL="114300" distR="114300" simplePos="0" relativeHeight="251659264" behindDoc="1" locked="0" layoutInCell="1" allowOverlap="1" wp14:anchorId="38664444" wp14:editId="4655C5F6">
            <wp:simplePos x="0" y="0"/>
            <wp:positionH relativeFrom="column">
              <wp:posOffset>0</wp:posOffset>
            </wp:positionH>
            <wp:positionV relativeFrom="paragraph">
              <wp:posOffset>292100</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275F699" w14:textId="77777777" w:rsidR="001044A9" w:rsidRPr="008D7DBA" w:rsidRDefault="001044A9" w:rsidP="001044A9">
      <w:pPr>
        <w:spacing w:line="259" w:lineRule="auto"/>
        <w:jc w:val="left"/>
        <w:rPr>
          <w:rFonts w:ascii="Arial" w:hAnsi="Arial" w:cs="Arial"/>
        </w:rPr>
      </w:pPr>
    </w:p>
    <w:p w14:paraId="42823562" w14:textId="77777777" w:rsidR="001044A9" w:rsidRPr="008D7DBA" w:rsidRDefault="001044A9" w:rsidP="001044A9">
      <w:pPr>
        <w:spacing w:line="259" w:lineRule="auto"/>
        <w:jc w:val="left"/>
        <w:rPr>
          <w:rFonts w:ascii="Arial" w:hAnsi="Arial" w:cs="Arial"/>
        </w:rPr>
      </w:pPr>
    </w:p>
    <w:p w14:paraId="1846B65D" w14:textId="77777777" w:rsidR="001044A9" w:rsidRPr="008D7DBA" w:rsidRDefault="001044A9" w:rsidP="001044A9">
      <w:pPr>
        <w:spacing w:line="259" w:lineRule="auto"/>
        <w:jc w:val="left"/>
        <w:rPr>
          <w:rFonts w:ascii="Arial" w:hAnsi="Arial" w:cs="Arial"/>
        </w:rPr>
      </w:pPr>
    </w:p>
    <w:p w14:paraId="6BCEC561" w14:textId="77777777" w:rsidR="001044A9" w:rsidRPr="008D7DBA" w:rsidRDefault="001044A9" w:rsidP="001044A9">
      <w:pPr>
        <w:spacing w:line="259" w:lineRule="auto"/>
        <w:jc w:val="center"/>
        <w:rPr>
          <w:rFonts w:ascii="Arial" w:hAnsi="Arial" w:cs="Arial"/>
        </w:rPr>
      </w:pPr>
      <w:r w:rsidRPr="008D7DBA">
        <w:rPr>
          <w:rFonts w:ascii="Arial" w:hAnsi="Arial" w:cs="Arial"/>
        </w:rPr>
        <w:t xml:space="preserve">Programme Name: </w:t>
      </w:r>
      <w:r w:rsidRPr="008D7DBA">
        <w:rPr>
          <w:rFonts w:ascii="Arial" w:hAnsi="Arial" w:cs="Arial"/>
          <w:sz w:val="22"/>
        </w:rPr>
        <w:t>Master of Business Administration</w:t>
      </w:r>
    </w:p>
    <w:p w14:paraId="767711E5" w14:textId="77777777" w:rsidR="001044A9" w:rsidRPr="008D7DBA" w:rsidRDefault="001044A9" w:rsidP="001044A9">
      <w:pPr>
        <w:spacing w:line="259" w:lineRule="auto"/>
        <w:jc w:val="center"/>
        <w:rPr>
          <w:rFonts w:ascii="Arial" w:hAnsi="Arial" w:cs="Arial"/>
        </w:rPr>
      </w:pPr>
      <w:r w:rsidRPr="008D7DBA">
        <w:rPr>
          <w:rFonts w:ascii="Arial" w:hAnsi="Arial" w:cs="Arial"/>
        </w:rPr>
        <w:t xml:space="preserve">Module Code: </w:t>
      </w:r>
      <w:r w:rsidRPr="008D7DBA">
        <w:rPr>
          <w:rFonts w:ascii="Arial" w:hAnsi="Arial" w:cs="Arial"/>
          <w:sz w:val="22"/>
        </w:rPr>
        <w:t>LCMB7002</w:t>
      </w:r>
    </w:p>
    <w:p w14:paraId="50F6818A" w14:textId="77777777" w:rsidR="001044A9" w:rsidRPr="008D7DBA" w:rsidRDefault="001044A9" w:rsidP="001044A9">
      <w:pPr>
        <w:spacing w:line="259" w:lineRule="auto"/>
        <w:jc w:val="center"/>
        <w:rPr>
          <w:rFonts w:ascii="Arial" w:hAnsi="Arial" w:cs="Arial"/>
          <w:sz w:val="22"/>
        </w:rPr>
      </w:pPr>
      <w:r w:rsidRPr="008D7DBA">
        <w:rPr>
          <w:rFonts w:ascii="Arial" w:hAnsi="Arial" w:cs="Arial"/>
        </w:rPr>
        <w:t xml:space="preserve">Module Title: </w:t>
      </w:r>
      <w:r w:rsidRPr="008D7DBA">
        <w:rPr>
          <w:rFonts w:ascii="Arial" w:hAnsi="Arial" w:cs="Arial"/>
          <w:szCs w:val="24"/>
        </w:rPr>
        <w:t>Financial Management</w:t>
      </w:r>
    </w:p>
    <w:p w14:paraId="1BD47502" w14:textId="41EE21A7" w:rsidR="001044A9" w:rsidRPr="008D7DBA" w:rsidRDefault="001044A9" w:rsidP="001044A9">
      <w:pPr>
        <w:spacing w:line="259" w:lineRule="auto"/>
        <w:jc w:val="center"/>
        <w:rPr>
          <w:rFonts w:ascii="Arial" w:hAnsi="Arial" w:cs="Arial"/>
        </w:rPr>
      </w:pPr>
      <w:r w:rsidRPr="008D7DBA">
        <w:rPr>
          <w:rFonts w:ascii="Arial" w:hAnsi="Arial" w:cs="Arial"/>
        </w:rPr>
        <w:t xml:space="preserve">Title: </w:t>
      </w:r>
      <w:r w:rsidR="0027209F" w:rsidRPr="008D7DBA">
        <w:rPr>
          <w:rFonts w:ascii="Arial" w:hAnsi="Arial" w:cs="Arial"/>
        </w:rPr>
        <w:t>Strategic Financial Analysis and Investment Appraisal for General Electronics</w:t>
      </w:r>
    </w:p>
    <w:p w14:paraId="40999A74" w14:textId="57F7FAD6" w:rsidR="001044A9" w:rsidRPr="008D7DBA" w:rsidRDefault="001044A9" w:rsidP="001044A9">
      <w:pPr>
        <w:spacing w:line="259" w:lineRule="auto"/>
        <w:jc w:val="center"/>
        <w:rPr>
          <w:rFonts w:ascii="Arial" w:hAnsi="Arial" w:cs="Arial"/>
        </w:rPr>
      </w:pPr>
      <w:r w:rsidRPr="008D7DBA">
        <w:rPr>
          <w:rFonts w:ascii="Arial" w:hAnsi="Arial" w:cs="Arial"/>
        </w:rPr>
        <w:t xml:space="preserve">Lecturer Name: </w:t>
      </w:r>
      <w:r w:rsidR="00885CA9" w:rsidRPr="008D7DBA">
        <w:rPr>
          <w:rFonts w:ascii="Arial" w:hAnsi="Arial" w:cs="Arial"/>
          <w:sz w:val="22"/>
        </w:rPr>
        <w:t>Shengfeng Mei</w:t>
      </w:r>
    </w:p>
    <w:p w14:paraId="5FC72DFA" w14:textId="30C05C7F" w:rsidR="001044A9" w:rsidRPr="008D7DBA" w:rsidRDefault="001044A9" w:rsidP="001044A9">
      <w:pPr>
        <w:spacing w:line="259" w:lineRule="auto"/>
        <w:jc w:val="center"/>
        <w:rPr>
          <w:rFonts w:ascii="Arial" w:hAnsi="Arial" w:cs="Arial"/>
        </w:rPr>
      </w:pPr>
      <w:r w:rsidRPr="008D7DBA">
        <w:rPr>
          <w:rFonts w:ascii="Arial" w:hAnsi="Arial" w:cs="Arial"/>
        </w:rPr>
        <w:t>Student Name:</w:t>
      </w:r>
      <w:r w:rsidR="009D511F">
        <w:rPr>
          <w:rFonts w:ascii="Arial" w:hAnsi="Arial" w:cs="Arial"/>
        </w:rPr>
        <w:t xml:space="preserve"> Thelma Dhussey</w:t>
      </w:r>
    </w:p>
    <w:p w14:paraId="773BC7DA" w14:textId="46E53C00" w:rsidR="001044A9" w:rsidRPr="008D7DBA" w:rsidRDefault="001044A9" w:rsidP="001044A9">
      <w:pPr>
        <w:spacing w:line="259" w:lineRule="auto"/>
        <w:jc w:val="center"/>
        <w:rPr>
          <w:rFonts w:ascii="Arial" w:hAnsi="Arial" w:cs="Arial"/>
        </w:rPr>
      </w:pPr>
      <w:r w:rsidRPr="008D7DBA">
        <w:rPr>
          <w:rFonts w:ascii="Arial" w:hAnsi="Arial" w:cs="Arial"/>
        </w:rPr>
        <w:t>Student ID:</w:t>
      </w:r>
      <w:r w:rsidR="009D511F">
        <w:rPr>
          <w:rFonts w:ascii="Arial" w:hAnsi="Arial" w:cs="Arial"/>
        </w:rPr>
        <w:t xml:space="preserve"> 2516910</w:t>
      </w:r>
    </w:p>
    <w:p w14:paraId="7ADE3993" w14:textId="7D829D3B" w:rsidR="001044A9" w:rsidRPr="008D7DBA" w:rsidRDefault="001044A9" w:rsidP="009D511F">
      <w:pPr>
        <w:spacing w:line="259" w:lineRule="auto"/>
        <w:jc w:val="center"/>
        <w:rPr>
          <w:rFonts w:ascii="Arial" w:hAnsi="Arial" w:cs="Arial"/>
        </w:rPr>
      </w:pPr>
    </w:p>
    <w:p w14:paraId="616202C0" w14:textId="64A9803D" w:rsidR="001357F8" w:rsidRPr="008D7DBA" w:rsidRDefault="001044A9">
      <w:pPr>
        <w:spacing w:line="259" w:lineRule="auto"/>
        <w:jc w:val="left"/>
        <w:rPr>
          <w:rFonts w:ascii="Arial" w:hAnsi="Arial" w:cs="Arial"/>
        </w:rPr>
      </w:pPr>
      <w:r w:rsidRPr="008D7DBA">
        <w:rPr>
          <w:rFonts w:ascii="Arial" w:hAnsi="Arial" w:cs="Arial"/>
        </w:rPr>
        <w:br w:type="page"/>
      </w:r>
    </w:p>
    <w:sdt>
      <w:sdtPr>
        <w:rPr>
          <w:rFonts w:ascii="Arial" w:eastAsiaTheme="minorHAnsi" w:hAnsi="Arial" w:cs="Arial"/>
          <w:color w:val="auto"/>
          <w:kern w:val="2"/>
          <w:sz w:val="24"/>
          <w:szCs w:val="22"/>
          <w14:ligatures w14:val="standardContextual"/>
        </w:rPr>
        <w:id w:val="13974400"/>
        <w:docPartObj>
          <w:docPartGallery w:val="Table of Contents"/>
          <w:docPartUnique/>
        </w:docPartObj>
      </w:sdtPr>
      <w:sdtEndPr>
        <w:rPr>
          <w:b/>
          <w:bCs/>
          <w:noProof/>
        </w:rPr>
      </w:sdtEndPr>
      <w:sdtContent>
        <w:p w14:paraId="69AC3135" w14:textId="7A38D7A3" w:rsidR="001357F8" w:rsidRPr="008D7DBA" w:rsidRDefault="001357F8">
          <w:pPr>
            <w:pStyle w:val="TOCHeading"/>
            <w:rPr>
              <w:rFonts w:ascii="Arial" w:hAnsi="Arial" w:cs="Arial"/>
              <w:color w:val="auto"/>
            </w:rPr>
          </w:pPr>
          <w:r w:rsidRPr="008D7DBA">
            <w:rPr>
              <w:rFonts w:ascii="Arial" w:hAnsi="Arial" w:cs="Arial"/>
              <w:color w:val="auto"/>
            </w:rPr>
            <w:t>Table of Contents</w:t>
          </w:r>
        </w:p>
        <w:p w14:paraId="0B97787D" w14:textId="472F0C85" w:rsidR="005E5D33" w:rsidRPr="008D7DBA" w:rsidRDefault="001357F8">
          <w:pPr>
            <w:pStyle w:val="TOC1"/>
            <w:tabs>
              <w:tab w:val="right" w:leader="dot" w:pos="9350"/>
            </w:tabs>
            <w:rPr>
              <w:rFonts w:ascii="Arial" w:eastAsiaTheme="minorEastAsia" w:hAnsi="Arial" w:cs="Arial"/>
              <w:noProof/>
              <w:szCs w:val="24"/>
            </w:rPr>
          </w:pPr>
          <w:r w:rsidRPr="008D7DBA">
            <w:rPr>
              <w:rFonts w:ascii="Arial" w:hAnsi="Arial" w:cs="Arial"/>
            </w:rPr>
            <w:fldChar w:fldCharType="begin"/>
          </w:r>
          <w:r w:rsidRPr="008D7DBA">
            <w:rPr>
              <w:rFonts w:ascii="Arial" w:hAnsi="Arial" w:cs="Arial"/>
            </w:rPr>
            <w:instrText xml:space="preserve"> TOC \o "1-3" \h \z \u </w:instrText>
          </w:r>
          <w:r w:rsidRPr="008D7DBA">
            <w:rPr>
              <w:rFonts w:ascii="Arial" w:hAnsi="Arial" w:cs="Arial"/>
            </w:rPr>
            <w:fldChar w:fldCharType="separate"/>
          </w:r>
          <w:hyperlink w:anchor="_Toc216380876" w:history="1">
            <w:r w:rsidR="005E5D33" w:rsidRPr="008D7DBA">
              <w:rPr>
                <w:rStyle w:val="Hyperlink"/>
                <w:rFonts w:ascii="Arial" w:hAnsi="Arial" w:cs="Arial"/>
                <w:noProof/>
              </w:rPr>
              <w:t>1. Introduction</w:t>
            </w:r>
            <w:r w:rsidR="005E5D33" w:rsidRPr="008D7DBA">
              <w:rPr>
                <w:rFonts w:ascii="Arial" w:hAnsi="Arial" w:cs="Arial"/>
                <w:noProof/>
                <w:webHidden/>
              </w:rPr>
              <w:tab/>
            </w:r>
            <w:r w:rsidR="005E5D33" w:rsidRPr="008D7DBA">
              <w:rPr>
                <w:rFonts w:ascii="Arial" w:hAnsi="Arial" w:cs="Arial"/>
                <w:noProof/>
                <w:webHidden/>
              </w:rPr>
              <w:fldChar w:fldCharType="begin"/>
            </w:r>
            <w:r w:rsidR="005E5D33" w:rsidRPr="008D7DBA">
              <w:rPr>
                <w:rFonts w:ascii="Arial" w:hAnsi="Arial" w:cs="Arial"/>
                <w:noProof/>
                <w:webHidden/>
              </w:rPr>
              <w:instrText xml:space="preserve"> PAGEREF _Toc216380876 \h </w:instrText>
            </w:r>
            <w:r w:rsidR="005E5D33" w:rsidRPr="008D7DBA">
              <w:rPr>
                <w:rFonts w:ascii="Arial" w:hAnsi="Arial" w:cs="Arial"/>
                <w:noProof/>
                <w:webHidden/>
              </w:rPr>
            </w:r>
            <w:r w:rsidR="005E5D33" w:rsidRPr="008D7DBA">
              <w:rPr>
                <w:rFonts w:ascii="Arial" w:hAnsi="Arial" w:cs="Arial"/>
                <w:noProof/>
                <w:webHidden/>
              </w:rPr>
              <w:fldChar w:fldCharType="separate"/>
            </w:r>
            <w:r w:rsidR="005E5D33" w:rsidRPr="008D7DBA">
              <w:rPr>
                <w:rFonts w:ascii="Arial" w:hAnsi="Arial" w:cs="Arial"/>
                <w:noProof/>
                <w:webHidden/>
              </w:rPr>
              <w:t>4</w:t>
            </w:r>
            <w:r w:rsidR="005E5D33" w:rsidRPr="008D7DBA">
              <w:rPr>
                <w:rFonts w:ascii="Arial" w:hAnsi="Arial" w:cs="Arial"/>
                <w:noProof/>
                <w:webHidden/>
              </w:rPr>
              <w:fldChar w:fldCharType="end"/>
            </w:r>
          </w:hyperlink>
        </w:p>
        <w:p w14:paraId="4CF6083C" w14:textId="68359BAA" w:rsidR="005E5D33" w:rsidRPr="008D7DBA" w:rsidRDefault="005E5D33">
          <w:pPr>
            <w:pStyle w:val="TOC1"/>
            <w:tabs>
              <w:tab w:val="right" w:leader="dot" w:pos="9350"/>
            </w:tabs>
            <w:rPr>
              <w:rFonts w:ascii="Arial" w:eastAsiaTheme="minorEastAsia" w:hAnsi="Arial" w:cs="Arial"/>
              <w:noProof/>
              <w:szCs w:val="24"/>
            </w:rPr>
          </w:pPr>
          <w:hyperlink w:anchor="_Toc216380877" w:history="1">
            <w:r w:rsidRPr="008D7DBA">
              <w:rPr>
                <w:rStyle w:val="Hyperlink"/>
                <w:rFonts w:ascii="Arial" w:hAnsi="Arial" w:cs="Arial"/>
                <w:noProof/>
              </w:rPr>
              <w:t>2. Financial analysis of General Electronics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_Toc216380877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5</w:t>
            </w:r>
            <w:r w:rsidRPr="008D7DBA">
              <w:rPr>
                <w:rFonts w:ascii="Arial" w:hAnsi="Arial" w:cs="Arial"/>
                <w:noProof/>
                <w:webHidden/>
              </w:rPr>
              <w:fldChar w:fldCharType="end"/>
            </w:r>
          </w:hyperlink>
        </w:p>
        <w:p w14:paraId="15A6C1D0" w14:textId="3811DDC4" w:rsidR="005E5D33" w:rsidRPr="008D7DBA" w:rsidRDefault="005E5D33">
          <w:pPr>
            <w:pStyle w:val="TOC2"/>
            <w:tabs>
              <w:tab w:val="right" w:leader="dot" w:pos="9350"/>
            </w:tabs>
            <w:rPr>
              <w:rFonts w:ascii="Arial" w:eastAsiaTheme="minorEastAsia" w:hAnsi="Arial" w:cs="Arial"/>
              <w:noProof/>
              <w:szCs w:val="24"/>
            </w:rPr>
          </w:pPr>
          <w:hyperlink w:anchor="_Toc216380878" w:history="1">
            <w:r w:rsidRPr="008D7DBA">
              <w:rPr>
                <w:rStyle w:val="Hyperlink"/>
                <w:rFonts w:ascii="Arial" w:hAnsi="Arial" w:cs="Arial"/>
                <w:noProof/>
              </w:rPr>
              <w:t>2.1 Financial Ratio Analysis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_Toc216380878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5</w:t>
            </w:r>
            <w:r w:rsidRPr="008D7DBA">
              <w:rPr>
                <w:rFonts w:ascii="Arial" w:hAnsi="Arial" w:cs="Arial"/>
                <w:noProof/>
                <w:webHidden/>
              </w:rPr>
              <w:fldChar w:fldCharType="end"/>
            </w:r>
          </w:hyperlink>
        </w:p>
        <w:p w14:paraId="3965FE23" w14:textId="549DCD9A" w:rsidR="005E5D33" w:rsidRPr="008D7DBA" w:rsidRDefault="005E5D33">
          <w:pPr>
            <w:pStyle w:val="TOC2"/>
            <w:tabs>
              <w:tab w:val="right" w:leader="dot" w:pos="9350"/>
            </w:tabs>
            <w:rPr>
              <w:rFonts w:ascii="Arial" w:eastAsiaTheme="minorEastAsia" w:hAnsi="Arial" w:cs="Arial"/>
              <w:noProof/>
              <w:szCs w:val="24"/>
            </w:rPr>
          </w:pPr>
          <w:hyperlink w:anchor="_Toc216380879" w:history="1">
            <w:r w:rsidRPr="008D7DBA">
              <w:rPr>
                <w:rStyle w:val="Hyperlink"/>
                <w:rFonts w:ascii="Arial" w:hAnsi="Arial" w:cs="Arial"/>
                <w:noProof/>
              </w:rPr>
              <w:t>2.2 Trends Analysis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_Toc216380879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12</w:t>
            </w:r>
            <w:r w:rsidRPr="008D7DBA">
              <w:rPr>
                <w:rFonts w:ascii="Arial" w:hAnsi="Arial" w:cs="Arial"/>
                <w:noProof/>
                <w:webHidden/>
              </w:rPr>
              <w:fldChar w:fldCharType="end"/>
            </w:r>
          </w:hyperlink>
        </w:p>
        <w:p w14:paraId="18D359B0" w14:textId="30BEB205" w:rsidR="005E5D33" w:rsidRPr="008D7DBA" w:rsidRDefault="005E5D33">
          <w:pPr>
            <w:pStyle w:val="TOC2"/>
            <w:tabs>
              <w:tab w:val="right" w:leader="dot" w:pos="9350"/>
            </w:tabs>
            <w:rPr>
              <w:rFonts w:ascii="Arial" w:eastAsiaTheme="minorEastAsia" w:hAnsi="Arial" w:cs="Arial"/>
              <w:noProof/>
              <w:szCs w:val="24"/>
            </w:rPr>
          </w:pPr>
          <w:hyperlink w:anchor="_Toc216380880" w:history="1">
            <w:r w:rsidRPr="008D7DBA">
              <w:rPr>
                <w:rStyle w:val="Hyperlink"/>
                <w:rFonts w:ascii="Arial" w:hAnsi="Arial" w:cs="Arial"/>
                <w:noProof/>
              </w:rPr>
              <w:t>2.3 Corporate Failure Prediction Model Analysis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_Toc216380880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13</w:t>
            </w:r>
            <w:r w:rsidRPr="008D7DBA">
              <w:rPr>
                <w:rFonts w:ascii="Arial" w:hAnsi="Arial" w:cs="Arial"/>
                <w:noProof/>
                <w:webHidden/>
              </w:rPr>
              <w:fldChar w:fldCharType="end"/>
            </w:r>
          </w:hyperlink>
        </w:p>
        <w:p w14:paraId="7F2467A9" w14:textId="4DD6F966" w:rsidR="005E5D33" w:rsidRPr="008D7DBA" w:rsidRDefault="005E5D33">
          <w:pPr>
            <w:pStyle w:val="TOC1"/>
            <w:tabs>
              <w:tab w:val="right" w:leader="dot" w:pos="9350"/>
            </w:tabs>
            <w:rPr>
              <w:rFonts w:ascii="Arial" w:eastAsiaTheme="minorEastAsia" w:hAnsi="Arial" w:cs="Arial"/>
              <w:noProof/>
              <w:szCs w:val="24"/>
            </w:rPr>
          </w:pPr>
          <w:hyperlink w:anchor="_Toc216380881" w:history="1">
            <w:r w:rsidRPr="008D7DBA">
              <w:rPr>
                <w:rStyle w:val="Hyperlink"/>
                <w:rFonts w:ascii="Arial" w:hAnsi="Arial" w:cs="Arial"/>
                <w:noProof/>
              </w:rPr>
              <w:t>3. General Electric Working Capital Management Analysis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_Toc216380881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14</w:t>
            </w:r>
            <w:r w:rsidRPr="008D7DBA">
              <w:rPr>
                <w:rFonts w:ascii="Arial" w:hAnsi="Arial" w:cs="Arial"/>
                <w:noProof/>
                <w:webHidden/>
              </w:rPr>
              <w:fldChar w:fldCharType="end"/>
            </w:r>
          </w:hyperlink>
        </w:p>
        <w:p w14:paraId="32A9BD79" w14:textId="39FB55EB" w:rsidR="005E5D33" w:rsidRPr="008D7DBA" w:rsidRDefault="005E5D33">
          <w:pPr>
            <w:pStyle w:val="TOC2"/>
            <w:tabs>
              <w:tab w:val="right" w:leader="dot" w:pos="9350"/>
            </w:tabs>
            <w:rPr>
              <w:rFonts w:ascii="Arial" w:eastAsiaTheme="minorEastAsia" w:hAnsi="Arial" w:cs="Arial"/>
              <w:noProof/>
              <w:szCs w:val="24"/>
            </w:rPr>
          </w:pPr>
          <w:hyperlink w:anchor="_Toc216380882" w:history="1">
            <w:r w:rsidRPr="008D7DBA">
              <w:rPr>
                <w:rStyle w:val="Hyperlink"/>
                <w:rFonts w:ascii="Arial" w:hAnsi="Arial" w:cs="Arial"/>
                <w:noProof/>
              </w:rPr>
              <w:t>3.1 Cash Operating Cycle Evaluation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_Toc216380882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14</w:t>
            </w:r>
            <w:r w:rsidRPr="008D7DBA">
              <w:rPr>
                <w:rFonts w:ascii="Arial" w:hAnsi="Arial" w:cs="Arial"/>
                <w:noProof/>
                <w:webHidden/>
              </w:rPr>
              <w:fldChar w:fldCharType="end"/>
            </w:r>
          </w:hyperlink>
        </w:p>
        <w:p w14:paraId="34D6A732" w14:textId="1CF9D55C" w:rsidR="005E5D33" w:rsidRPr="008D7DBA" w:rsidRDefault="005E5D33">
          <w:pPr>
            <w:pStyle w:val="TOC2"/>
            <w:tabs>
              <w:tab w:val="right" w:leader="dot" w:pos="9350"/>
            </w:tabs>
            <w:rPr>
              <w:rFonts w:ascii="Arial" w:eastAsiaTheme="minorEastAsia" w:hAnsi="Arial" w:cs="Arial"/>
              <w:noProof/>
              <w:szCs w:val="24"/>
            </w:rPr>
          </w:pPr>
          <w:hyperlink w:anchor="_Toc216380883" w:history="1">
            <w:r w:rsidRPr="008D7DBA">
              <w:rPr>
                <w:rStyle w:val="Hyperlink"/>
                <w:rFonts w:ascii="Arial" w:hAnsi="Arial" w:cs="Arial"/>
                <w:noProof/>
              </w:rPr>
              <w:t>3.2 Plan to Enhance Liquidity using Reforms to the Working Capital.</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_Toc216380883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15</w:t>
            </w:r>
            <w:r w:rsidRPr="008D7DBA">
              <w:rPr>
                <w:rFonts w:ascii="Arial" w:hAnsi="Arial" w:cs="Arial"/>
                <w:noProof/>
                <w:webHidden/>
              </w:rPr>
              <w:fldChar w:fldCharType="end"/>
            </w:r>
          </w:hyperlink>
        </w:p>
        <w:p w14:paraId="29D8F3A5" w14:textId="03B5E328" w:rsidR="005E5D33" w:rsidRPr="008D7DBA" w:rsidRDefault="005E5D33">
          <w:pPr>
            <w:pStyle w:val="TOC2"/>
            <w:tabs>
              <w:tab w:val="right" w:leader="dot" w:pos="9350"/>
            </w:tabs>
            <w:rPr>
              <w:rFonts w:ascii="Arial" w:eastAsiaTheme="minorEastAsia" w:hAnsi="Arial" w:cs="Arial"/>
              <w:noProof/>
              <w:szCs w:val="24"/>
            </w:rPr>
          </w:pPr>
          <w:hyperlink w:anchor="_Toc216380884" w:history="1">
            <w:r w:rsidRPr="008D7DBA">
              <w:rPr>
                <w:rStyle w:val="Hyperlink"/>
                <w:rFonts w:ascii="Arial" w:hAnsi="Arial" w:cs="Arial"/>
                <w:noProof/>
              </w:rPr>
              <w:t>3.3 Short-Term vs Long-Term Financing Comparison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_Toc216380884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16</w:t>
            </w:r>
            <w:r w:rsidRPr="008D7DBA">
              <w:rPr>
                <w:rFonts w:ascii="Arial" w:hAnsi="Arial" w:cs="Arial"/>
                <w:noProof/>
                <w:webHidden/>
              </w:rPr>
              <w:fldChar w:fldCharType="end"/>
            </w:r>
          </w:hyperlink>
        </w:p>
        <w:p w14:paraId="0307C98D" w14:textId="46034AE6" w:rsidR="005E5D33" w:rsidRPr="008D7DBA" w:rsidRDefault="005E5D33">
          <w:pPr>
            <w:pStyle w:val="TOC1"/>
            <w:tabs>
              <w:tab w:val="right" w:leader="dot" w:pos="9350"/>
            </w:tabs>
            <w:rPr>
              <w:rFonts w:ascii="Arial" w:eastAsiaTheme="minorEastAsia" w:hAnsi="Arial" w:cs="Arial"/>
              <w:noProof/>
              <w:szCs w:val="24"/>
            </w:rPr>
          </w:pPr>
          <w:hyperlink w:anchor="_Toc216380885" w:history="1">
            <w:r w:rsidRPr="008D7DBA">
              <w:rPr>
                <w:rStyle w:val="Hyperlink"/>
                <w:rFonts w:ascii="Arial" w:hAnsi="Arial" w:cs="Arial"/>
                <w:noProof/>
              </w:rPr>
              <w:t>4. Strategic Financial Restructuring Plan for General Electronics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_Toc216380885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17</w:t>
            </w:r>
            <w:r w:rsidRPr="008D7DBA">
              <w:rPr>
                <w:rFonts w:ascii="Arial" w:hAnsi="Arial" w:cs="Arial"/>
                <w:noProof/>
                <w:webHidden/>
              </w:rPr>
              <w:fldChar w:fldCharType="end"/>
            </w:r>
          </w:hyperlink>
        </w:p>
        <w:p w14:paraId="5CCBDA12" w14:textId="1ECB6CE2" w:rsidR="005E5D33" w:rsidRPr="008D7DBA" w:rsidRDefault="005E5D33">
          <w:pPr>
            <w:pStyle w:val="TOC2"/>
            <w:tabs>
              <w:tab w:val="right" w:leader="dot" w:pos="9350"/>
            </w:tabs>
            <w:rPr>
              <w:rFonts w:ascii="Arial" w:eastAsiaTheme="minorEastAsia" w:hAnsi="Arial" w:cs="Arial"/>
              <w:noProof/>
              <w:szCs w:val="24"/>
            </w:rPr>
          </w:pPr>
          <w:hyperlink w:anchor="_Toc216380886" w:history="1">
            <w:r w:rsidRPr="008D7DBA">
              <w:rPr>
                <w:rStyle w:val="Hyperlink"/>
                <w:rFonts w:ascii="Arial" w:hAnsi="Arial" w:cs="Arial"/>
                <w:noProof/>
              </w:rPr>
              <w:t>4.1 Recommended Financial Restructuring Options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_Toc216380886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17</w:t>
            </w:r>
            <w:r w:rsidRPr="008D7DBA">
              <w:rPr>
                <w:rFonts w:ascii="Arial" w:hAnsi="Arial" w:cs="Arial"/>
                <w:noProof/>
                <w:webHidden/>
              </w:rPr>
              <w:fldChar w:fldCharType="end"/>
            </w:r>
          </w:hyperlink>
        </w:p>
        <w:p w14:paraId="1379D90F" w14:textId="54C83B48" w:rsidR="005E5D33" w:rsidRPr="008D7DBA" w:rsidRDefault="005E5D33">
          <w:pPr>
            <w:pStyle w:val="TOC2"/>
            <w:tabs>
              <w:tab w:val="right" w:leader="dot" w:pos="9350"/>
            </w:tabs>
            <w:rPr>
              <w:rFonts w:ascii="Arial" w:eastAsiaTheme="minorEastAsia" w:hAnsi="Arial" w:cs="Arial"/>
              <w:noProof/>
              <w:szCs w:val="24"/>
            </w:rPr>
          </w:pPr>
          <w:hyperlink w:anchor="_Toc216380887" w:history="1">
            <w:r w:rsidRPr="008D7DBA">
              <w:rPr>
                <w:rStyle w:val="Hyperlink"/>
                <w:rFonts w:ascii="Arial" w:hAnsi="Arial" w:cs="Arial"/>
                <w:noProof/>
              </w:rPr>
              <w:t>4.2 Effects on Shareholder Value, Debt Structure, and Operating Flexibility</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_Toc216380887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19</w:t>
            </w:r>
            <w:r w:rsidRPr="008D7DBA">
              <w:rPr>
                <w:rFonts w:ascii="Arial" w:hAnsi="Arial" w:cs="Arial"/>
                <w:noProof/>
                <w:webHidden/>
              </w:rPr>
              <w:fldChar w:fldCharType="end"/>
            </w:r>
          </w:hyperlink>
        </w:p>
        <w:p w14:paraId="4488C9E0" w14:textId="60C5FB07" w:rsidR="005E5D33" w:rsidRPr="008D7DBA" w:rsidRDefault="005E5D33">
          <w:pPr>
            <w:pStyle w:val="TOC2"/>
            <w:tabs>
              <w:tab w:val="right" w:leader="dot" w:pos="9350"/>
            </w:tabs>
            <w:rPr>
              <w:rFonts w:ascii="Arial" w:eastAsiaTheme="minorEastAsia" w:hAnsi="Arial" w:cs="Arial"/>
              <w:noProof/>
              <w:szCs w:val="24"/>
            </w:rPr>
          </w:pPr>
          <w:hyperlink w:anchor="_Toc216380888" w:history="1">
            <w:r w:rsidRPr="008D7DBA">
              <w:rPr>
                <w:rStyle w:val="Hyperlink"/>
                <w:rFonts w:ascii="Arial" w:hAnsi="Arial" w:cs="Arial"/>
                <w:noProof/>
              </w:rPr>
              <w:t>4.3 International and Ethical Issues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_Toc216380888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20</w:t>
            </w:r>
            <w:r w:rsidRPr="008D7DBA">
              <w:rPr>
                <w:rFonts w:ascii="Arial" w:hAnsi="Arial" w:cs="Arial"/>
                <w:noProof/>
                <w:webHidden/>
              </w:rPr>
              <w:fldChar w:fldCharType="end"/>
            </w:r>
          </w:hyperlink>
        </w:p>
        <w:p w14:paraId="4EB55D68" w14:textId="6DCD3713" w:rsidR="005E5D33" w:rsidRPr="008D7DBA" w:rsidRDefault="005E5D33">
          <w:pPr>
            <w:pStyle w:val="TOC1"/>
            <w:tabs>
              <w:tab w:val="right" w:leader="dot" w:pos="9350"/>
            </w:tabs>
            <w:rPr>
              <w:rFonts w:ascii="Arial" w:eastAsiaTheme="minorEastAsia" w:hAnsi="Arial" w:cs="Arial"/>
              <w:noProof/>
              <w:szCs w:val="24"/>
            </w:rPr>
          </w:pPr>
          <w:hyperlink w:anchor="_Toc216380889" w:history="1">
            <w:r w:rsidRPr="008D7DBA">
              <w:rPr>
                <w:rStyle w:val="Hyperlink"/>
                <w:rFonts w:ascii="Arial" w:hAnsi="Arial" w:cs="Arial"/>
                <w:noProof/>
              </w:rPr>
              <w:t>5. Investment Appraisal and Capital Budgeting</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_Toc216380889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21</w:t>
            </w:r>
            <w:r w:rsidRPr="008D7DBA">
              <w:rPr>
                <w:rFonts w:ascii="Arial" w:hAnsi="Arial" w:cs="Arial"/>
                <w:noProof/>
                <w:webHidden/>
              </w:rPr>
              <w:fldChar w:fldCharType="end"/>
            </w:r>
          </w:hyperlink>
        </w:p>
        <w:p w14:paraId="1ECD401E" w14:textId="0B64DA51" w:rsidR="005E5D33" w:rsidRPr="008D7DBA" w:rsidRDefault="005E5D33">
          <w:pPr>
            <w:pStyle w:val="TOC2"/>
            <w:tabs>
              <w:tab w:val="right" w:leader="dot" w:pos="9350"/>
            </w:tabs>
            <w:rPr>
              <w:rFonts w:ascii="Arial" w:eastAsiaTheme="minorEastAsia" w:hAnsi="Arial" w:cs="Arial"/>
              <w:noProof/>
              <w:szCs w:val="24"/>
            </w:rPr>
          </w:pPr>
          <w:hyperlink w:anchor="_Toc216380890" w:history="1">
            <w:r w:rsidRPr="008D7DBA">
              <w:rPr>
                <w:rStyle w:val="Hyperlink"/>
                <w:rFonts w:ascii="Arial" w:hAnsi="Arial" w:cs="Arial"/>
                <w:noProof/>
              </w:rPr>
              <w:t>5.1 Final Investment Recommendation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_Toc216380890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22</w:t>
            </w:r>
            <w:r w:rsidRPr="008D7DBA">
              <w:rPr>
                <w:rFonts w:ascii="Arial" w:hAnsi="Arial" w:cs="Arial"/>
                <w:noProof/>
                <w:webHidden/>
              </w:rPr>
              <w:fldChar w:fldCharType="end"/>
            </w:r>
          </w:hyperlink>
        </w:p>
        <w:p w14:paraId="43217080" w14:textId="31004D3F" w:rsidR="005E5D33" w:rsidRPr="008D7DBA" w:rsidRDefault="005E5D33">
          <w:pPr>
            <w:pStyle w:val="TOC2"/>
            <w:tabs>
              <w:tab w:val="right" w:leader="dot" w:pos="9350"/>
            </w:tabs>
            <w:rPr>
              <w:rFonts w:ascii="Arial" w:eastAsiaTheme="minorEastAsia" w:hAnsi="Arial" w:cs="Arial"/>
              <w:noProof/>
              <w:szCs w:val="24"/>
            </w:rPr>
          </w:pPr>
          <w:hyperlink w:anchor="_Toc216380891" w:history="1">
            <w:r w:rsidRPr="008D7DBA">
              <w:rPr>
                <w:rStyle w:val="Hyperlink"/>
                <w:rFonts w:ascii="Arial" w:hAnsi="Arial" w:cs="Arial"/>
                <w:noProof/>
              </w:rPr>
              <w:t>5.2 Investment Recommendation Project C Justification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_Toc216380891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23</w:t>
            </w:r>
            <w:r w:rsidRPr="008D7DBA">
              <w:rPr>
                <w:rFonts w:ascii="Arial" w:hAnsi="Arial" w:cs="Arial"/>
                <w:noProof/>
                <w:webHidden/>
              </w:rPr>
              <w:fldChar w:fldCharType="end"/>
            </w:r>
          </w:hyperlink>
        </w:p>
        <w:p w14:paraId="74E5C1C7" w14:textId="62D7F055" w:rsidR="005E5D33" w:rsidRPr="008D7DBA" w:rsidRDefault="005E5D33">
          <w:pPr>
            <w:pStyle w:val="TOC1"/>
            <w:tabs>
              <w:tab w:val="right" w:leader="dot" w:pos="9350"/>
            </w:tabs>
            <w:rPr>
              <w:rFonts w:ascii="Arial" w:eastAsiaTheme="minorEastAsia" w:hAnsi="Arial" w:cs="Arial"/>
              <w:noProof/>
              <w:szCs w:val="24"/>
            </w:rPr>
          </w:pPr>
          <w:hyperlink w:anchor="_Toc216380892" w:history="1">
            <w:r w:rsidRPr="008D7DBA">
              <w:rPr>
                <w:rStyle w:val="Hyperlink"/>
                <w:rFonts w:ascii="Arial" w:hAnsi="Arial" w:cs="Arial"/>
                <w:noProof/>
              </w:rPr>
              <w:t>6. Conclusion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_Toc216380892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26</w:t>
            </w:r>
            <w:r w:rsidRPr="008D7DBA">
              <w:rPr>
                <w:rFonts w:ascii="Arial" w:hAnsi="Arial" w:cs="Arial"/>
                <w:noProof/>
                <w:webHidden/>
              </w:rPr>
              <w:fldChar w:fldCharType="end"/>
            </w:r>
          </w:hyperlink>
        </w:p>
        <w:p w14:paraId="2D47E2FC" w14:textId="591CBF60" w:rsidR="005E5D33" w:rsidRPr="008D7DBA" w:rsidRDefault="005E5D33">
          <w:pPr>
            <w:pStyle w:val="TOC1"/>
            <w:tabs>
              <w:tab w:val="right" w:leader="dot" w:pos="9350"/>
            </w:tabs>
            <w:rPr>
              <w:rFonts w:ascii="Arial" w:eastAsiaTheme="minorEastAsia" w:hAnsi="Arial" w:cs="Arial"/>
              <w:noProof/>
              <w:szCs w:val="24"/>
            </w:rPr>
          </w:pPr>
          <w:hyperlink w:anchor="_Toc216380893" w:history="1">
            <w:r w:rsidRPr="008D7DBA">
              <w:rPr>
                <w:rStyle w:val="Hyperlink"/>
                <w:rFonts w:ascii="Arial" w:hAnsi="Arial" w:cs="Arial"/>
                <w:noProof/>
              </w:rPr>
              <w:t>7. Reference</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_Toc216380893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27</w:t>
            </w:r>
            <w:r w:rsidRPr="008D7DBA">
              <w:rPr>
                <w:rFonts w:ascii="Arial" w:hAnsi="Arial" w:cs="Arial"/>
                <w:noProof/>
                <w:webHidden/>
              </w:rPr>
              <w:fldChar w:fldCharType="end"/>
            </w:r>
          </w:hyperlink>
        </w:p>
        <w:p w14:paraId="39DBA268" w14:textId="310E3B34" w:rsidR="005E5D33" w:rsidRPr="008D7DBA" w:rsidRDefault="005E5D33">
          <w:pPr>
            <w:pStyle w:val="TOC1"/>
            <w:tabs>
              <w:tab w:val="right" w:leader="dot" w:pos="9350"/>
            </w:tabs>
            <w:rPr>
              <w:rFonts w:ascii="Arial" w:eastAsiaTheme="minorEastAsia" w:hAnsi="Arial" w:cs="Arial"/>
              <w:noProof/>
              <w:szCs w:val="24"/>
            </w:rPr>
          </w:pPr>
          <w:hyperlink w:anchor="_Toc216380894" w:history="1">
            <w:r w:rsidRPr="008D7DBA">
              <w:rPr>
                <w:rStyle w:val="Hyperlink"/>
                <w:rFonts w:ascii="Arial" w:hAnsi="Arial" w:cs="Arial"/>
                <w:noProof/>
              </w:rPr>
              <w:t>8. Appendix</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_Toc216380894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30</w:t>
            </w:r>
            <w:r w:rsidRPr="008D7DBA">
              <w:rPr>
                <w:rFonts w:ascii="Arial" w:hAnsi="Arial" w:cs="Arial"/>
                <w:noProof/>
                <w:webHidden/>
              </w:rPr>
              <w:fldChar w:fldCharType="end"/>
            </w:r>
          </w:hyperlink>
        </w:p>
        <w:p w14:paraId="39F246D9" w14:textId="0D00BB81" w:rsidR="005E5D33" w:rsidRPr="008D7DBA" w:rsidRDefault="005E5D33">
          <w:pPr>
            <w:pStyle w:val="TOC2"/>
            <w:tabs>
              <w:tab w:val="right" w:leader="dot" w:pos="9350"/>
            </w:tabs>
            <w:rPr>
              <w:rFonts w:ascii="Arial" w:eastAsiaTheme="minorEastAsia" w:hAnsi="Arial" w:cs="Arial"/>
              <w:noProof/>
              <w:szCs w:val="24"/>
            </w:rPr>
          </w:pPr>
          <w:hyperlink w:anchor="_Toc216380895" w:history="1">
            <w:r w:rsidRPr="008D7DBA">
              <w:rPr>
                <w:rStyle w:val="Hyperlink"/>
                <w:rFonts w:ascii="Arial" w:hAnsi="Arial" w:cs="Arial"/>
                <w:noProof/>
              </w:rPr>
              <w:t>8.1 Ratio tables and Graphs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_Toc216380895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30</w:t>
            </w:r>
            <w:r w:rsidRPr="008D7DBA">
              <w:rPr>
                <w:rFonts w:ascii="Arial" w:hAnsi="Arial" w:cs="Arial"/>
                <w:noProof/>
                <w:webHidden/>
              </w:rPr>
              <w:fldChar w:fldCharType="end"/>
            </w:r>
          </w:hyperlink>
        </w:p>
        <w:p w14:paraId="1E94CF39" w14:textId="7DEA3B1E" w:rsidR="005E5D33" w:rsidRPr="008D7DBA" w:rsidRDefault="005E5D33">
          <w:pPr>
            <w:pStyle w:val="TOC2"/>
            <w:tabs>
              <w:tab w:val="right" w:leader="dot" w:pos="9350"/>
            </w:tabs>
            <w:rPr>
              <w:rFonts w:ascii="Arial" w:eastAsiaTheme="minorEastAsia" w:hAnsi="Arial" w:cs="Arial"/>
              <w:noProof/>
              <w:szCs w:val="24"/>
            </w:rPr>
          </w:pPr>
          <w:hyperlink w:anchor="_Toc216380896" w:history="1">
            <w:r w:rsidRPr="008D7DBA">
              <w:rPr>
                <w:rStyle w:val="Hyperlink"/>
                <w:rFonts w:ascii="Arial" w:hAnsi="Arial" w:cs="Arial"/>
                <w:noProof/>
              </w:rPr>
              <w:t>8.2 Investment appraisal calculations</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_Toc216380896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32</w:t>
            </w:r>
            <w:r w:rsidRPr="008D7DBA">
              <w:rPr>
                <w:rFonts w:ascii="Arial" w:hAnsi="Arial" w:cs="Arial"/>
                <w:noProof/>
                <w:webHidden/>
              </w:rPr>
              <w:fldChar w:fldCharType="end"/>
            </w:r>
          </w:hyperlink>
        </w:p>
        <w:p w14:paraId="0DE89E3E" w14:textId="4DDE6FC2" w:rsidR="001357F8" w:rsidRPr="008D7DBA" w:rsidRDefault="001357F8">
          <w:pPr>
            <w:rPr>
              <w:rFonts w:ascii="Arial" w:hAnsi="Arial" w:cs="Arial"/>
            </w:rPr>
          </w:pPr>
          <w:r w:rsidRPr="008D7DBA">
            <w:rPr>
              <w:rFonts w:ascii="Arial" w:hAnsi="Arial" w:cs="Arial"/>
              <w:b/>
              <w:bCs/>
              <w:noProof/>
            </w:rPr>
            <w:fldChar w:fldCharType="end"/>
          </w:r>
        </w:p>
      </w:sdtContent>
    </w:sdt>
    <w:p w14:paraId="6885D42C" w14:textId="21207E04" w:rsidR="00791863" w:rsidRPr="008D7DBA" w:rsidRDefault="004B5EC6">
      <w:pPr>
        <w:pStyle w:val="TableofFigures"/>
        <w:tabs>
          <w:tab w:val="right" w:leader="dot" w:pos="9350"/>
        </w:tabs>
        <w:rPr>
          <w:rFonts w:ascii="Arial" w:eastAsiaTheme="minorEastAsia" w:hAnsi="Arial" w:cs="Arial"/>
          <w:noProof/>
          <w:szCs w:val="24"/>
        </w:rPr>
      </w:pPr>
      <w:r w:rsidRPr="008D7DBA">
        <w:rPr>
          <w:rFonts w:ascii="Arial" w:hAnsi="Arial" w:cs="Arial"/>
        </w:rPr>
        <w:fldChar w:fldCharType="begin"/>
      </w:r>
      <w:r w:rsidRPr="008D7DBA">
        <w:rPr>
          <w:rFonts w:ascii="Arial" w:hAnsi="Arial" w:cs="Arial"/>
        </w:rPr>
        <w:instrText xml:space="preserve"> TOC \h \z \c "Table" </w:instrText>
      </w:r>
      <w:r w:rsidRPr="008D7DBA">
        <w:rPr>
          <w:rFonts w:ascii="Arial" w:hAnsi="Arial" w:cs="Arial"/>
        </w:rPr>
        <w:fldChar w:fldCharType="separate"/>
      </w:r>
      <w:hyperlink w:anchor="_Toc216380437" w:history="1">
        <w:r w:rsidR="00791863" w:rsidRPr="008D7DBA">
          <w:rPr>
            <w:rStyle w:val="Hyperlink"/>
            <w:rFonts w:ascii="Arial" w:hAnsi="Arial" w:cs="Arial"/>
            <w:noProof/>
            <w:color w:val="auto"/>
          </w:rPr>
          <w:t>Table 1: Profitability Calculation</w:t>
        </w:r>
        <w:r w:rsidR="00791863" w:rsidRPr="008D7DBA">
          <w:rPr>
            <w:rFonts w:ascii="Arial" w:hAnsi="Arial" w:cs="Arial"/>
            <w:noProof/>
            <w:webHidden/>
          </w:rPr>
          <w:tab/>
        </w:r>
        <w:r w:rsidR="00791863" w:rsidRPr="008D7DBA">
          <w:rPr>
            <w:rFonts w:ascii="Arial" w:hAnsi="Arial" w:cs="Arial"/>
            <w:noProof/>
            <w:webHidden/>
          </w:rPr>
          <w:fldChar w:fldCharType="begin"/>
        </w:r>
        <w:r w:rsidR="00791863" w:rsidRPr="008D7DBA">
          <w:rPr>
            <w:rFonts w:ascii="Arial" w:hAnsi="Arial" w:cs="Arial"/>
            <w:noProof/>
            <w:webHidden/>
          </w:rPr>
          <w:instrText xml:space="preserve"> PAGEREF _Toc216380437 \h </w:instrText>
        </w:r>
        <w:r w:rsidR="00791863" w:rsidRPr="008D7DBA">
          <w:rPr>
            <w:rFonts w:ascii="Arial" w:hAnsi="Arial" w:cs="Arial"/>
            <w:noProof/>
            <w:webHidden/>
          </w:rPr>
        </w:r>
        <w:r w:rsidR="00791863" w:rsidRPr="008D7DBA">
          <w:rPr>
            <w:rFonts w:ascii="Arial" w:hAnsi="Arial" w:cs="Arial"/>
            <w:noProof/>
            <w:webHidden/>
          </w:rPr>
          <w:fldChar w:fldCharType="separate"/>
        </w:r>
        <w:r w:rsidR="00791863" w:rsidRPr="008D7DBA">
          <w:rPr>
            <w:rFonts w:ascii="Arial" w:hAnsi="Arial" w:cs="Arial"/>
            <w:noProof/>
            <w:webHidden/>
          </w:rPr>
          <w:t>5</w:t>
        </w:r>
        <w:r w:rsidR="00791863" w:rsidRPr="008D7DBA">
          <w:rPr>
            <w:rFonts w:ascii="Arial" w:hAnsi="Arial" w:cs="Arial"/>
            <w:noProof/>
            <w:webHidden/>
          </w:rPr>
          <w:fldChar w:fldCharType="end"/>
        </w:r>
      </w:hyperlink>
    </w:p>
    <w:p w14:paraId="712999D3" w14:textId="6D7F1BF8" w:rsidR="00791863" w:rsidRPr="008D7DBA" w:rsidRDefault="00791863">
      <w:pPr>
        <w:pStyle w:val="TableofFigures"/>
        <w:tabs>
          <w:tab w:val="right" w:leader="dot" w:pos="9350"/>
        </w:tabs>
        <w:rPr>
          <w:rFonts w:ascii="Arial" w:eastAsiaTheme="minorEastAsia" w:hAnsi="Arial" w:cs="Arial"/>
          <w:noProof/>
          <w:szCs w:val="24"/>
        </w:rPr>
      </w:pPr>
      <w:hyperlink w:anchor="_Toc216380438" w:history="1">
        <w:r w:rsidRPr="008D7DBA">
          <w:rPr>
            <w:rStyle w:val="Hyperlink"/>
            <w:rFonts w:ascii="Arial" w:hAnsi="Arial" w:cs="Arial"/>
            <w:noProof/>
            <w:color w:val="auto"/>
          </w:rPr>
          <w:t>Table 2: Liquidity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_Toc216380438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7</w:t>
        </w:r>
        <w:r w:rsidRPr="008D7DBA">
          <w:rPr>
            <w:rFonts w:ascii="Arial" w:hAnsi="Arial" w:cs="Arial"/>
            <w:noProof/>
            <w:webHidden/>
          </w:rPr>
          <w:fldChar w:fldCharType="end"/>
        </w:r>
      </w:hyperlink>
    </w:p>
    <w:p w14:paraId="63FF2325" w14:textId="631AAC6C" w:rsidR="00791863" w:rsidRPr="008D7DBA" w:rsidRDefault="00791863">
      <w:pPr>
        <w:pStyle w:val="TableofFigures"/>
        <w:tabs>
          <w:tab w:val="right" w:leader="dot" w:pos="9350"/>
        </w:tabs>
        <w:rPr>
          <w:rFonts w:ascii="Arial" w:eastAsiaTheme="minorEastAsia" w:hAnsi="Arial" w:cs="Arial"/>
          <w:noProof/>
          <w:szCs w:val="24"/>
        </w:rPr>
      </w:pPr>
      <w:hyperlink w:anchor="_Toc216380439" w:history="1">
        <w:r w:rsidRPr="008D7DBA">
          <w:rPr>
            <w:rStyle w:val="Hyperlink"/>
            <w:rFonts w:ascii="Arial" w:hAnsi="Arial" w:cs="Arial"/>
            <w:noProof/>
            <w:color w:val="auto"/>
          </w:rPr>
          <w:t>Table 3: Efficiency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_Toc216380439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8</w:t>
        </w:r>
        <w:r w:rsidRPr="008D7DBA">
          <w:rPr>
            <w:rFonts w:ascii="Arial" w:hAnsi="Arial" w:cs="Arial"/>
            <w:noProof/>
            <w:webHidden/>
          </w:rPr>
          <w:fldChar w:fldCharType="end"/>
        </w:r>
      </w:hyperlink>
    </w:p>
    <w:p w14:paraId="4DF42712" w14:textId="1DFAE0BC" w:rsidR="00791863" w:rsidRPr="008D7DBA" w:rsidRDefault="00791863">
      <w:pPr>
        <w:pStyle w:val="TableofFigures"/>
        <w:tabs>
          <w:tab w:val="right" w:leader="dot" w:pos="9350"/>
        </w:tabs>
        <w:rPr>
          <w:rFonts w:ascii="Arial" w:eastAsiaTheme="minorEastAsia" w:hAnsi="Arial" w:cs="Arial"/>
          <w:noProof/>
          <w:szCs w:val="24"/>
        </w:rPr>
      </w:pPr>
      <w:hyperlink w:anchor="_Toc216380440" w:history="1">
        <w:r w:rsidRPr="008D7DBA">
          <w:rPr>
            <w:rStyle w:val="Hyperlink"/>
            <w:rFonts w:ascii="Arial" w:hAnsi="Arial" w:cs="Arial"/>
            <w:noProof/>
            <w:color w:val="auto"/>
          </w:rPr>
          <w:t>Table 4: Gearing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_Toc216380440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9</w:t>
        </w:r>
        <w:r w:rsidRPr="008D7DBA">
          <w:rPr>
            <w:rFonts w:ascii="Arial" w:hAnsi="Arial" w:cs="Arial"/>
            <w:noProof/>
            <w:webHidden/>
          </w:rPr>
          <w:fldChar w:fldCharType="end"/>
        </w:r>
      </w:hyperlink>
    </w:p>
    <w:p w14:paraId="2A8BB535" w14:textId="6C1B393A" w:rsidR="00791863" w:rsidRPr="008D7DBA" w:rsidRDefault="00791863">
      <w:pPr>
        <w:pStyle w:val="TableofFigures"/>
        <w:tabs>
          <w:tab w:val="right" w:leader="dot" w:pos="9350"/>
        </w:tabs>
        <w:rPr>
          <w:rFonts w:ascii="Arial" w:eastAsiaTheme="minorEastAsia" w:hAnsi="Arial" w:cs="Arial"/>
          <w:noProof/>
          <w:szCs w:val="24"/>
        </w:rPr>
      </w:pPr>
      <w:hyperlink w:anchor="_Toc216380441" w:history="1">
        <w:r w:rsidRPr="008D7DBA">
          <w:rPr>
            <w:rStyle w:val="Hyperlink"/>
            <w:rFonts w:ascii="Arial" w:hAnsi="Arial" w:cs="Arial"/>
            <w:noProof/>
            <w:color w:val="auto"/>
          </w:rPr>
          <w:t>Table 5: Investment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_Toc216380441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10</w:t>
        </w:r>
        <w:r w:rsidRPr="008D7DBA">
          <w:rPr>
            <w:rFonts w:ascii="Arial" w:hAnsi="Arial" w:cs="Arial"/>
            <w:noProof/>
            <w:webHidden/>
          </w:rPr>
          <w:fldChar w:fldCharType="end"/>
        </w:r>
      </w:hyperlink>
    </w:p>
    <w:p w14:paraId="4CB379A9" w14:textId="2AED062D" w:rsidR="00791863" w:rsidRPr="008D7DBA" w:rsidRDefault="00791863">
      <w:pPr>
        <w:pStyle w:val="TableofFigures"/>
        <w:tabs>
          <w:tab w:val="right" w:leader="dot" w:pos="9350"/>
        </w:tabs>
        <w:rPr>
          <w:rFonts w:ascii="Arial" w:eastAsiaTheme="minorEastAsia" w:hAnsi="Arial" w:cs="Arial"/>
          <w:noProof/>
          <w:szCs w:val="24"/>
        </w:rPr>
      </w:pPr>
      <w:hyperlink w:anchor="_Toc216380442" w:history="1">
        <w:r w:rsidRPr="008D7DBA">
          <w:rPr>
            <w:rStyle w:val="Hyperlink"/>
            <w:rFonts w:ascii="Arial" w:hAnsi="Arial" w:cs="Arial"/>
            <w:noProof/>
            <w:color w:val="auto"/>
          </w:rPr>
          <w:t>Table 6: Cash Flow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_Toc216380442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11</w:t>
        </w:r>
        <w:r w:rsidRPr="008D7DBA">
          <w:rPr>
            <w:rFonts w:ascii="Arial" w:hAnsi="Arial" w:cs="Arial"/>
            <w:noProof/>
            <w:webHidden/>
          </w:rPr>
          <w:fldChar w:fldCharType="end"/>
        </w:r>
      </w:hyperlink>
    </w:p>
    <w:p w14:paraId="1C4F2635" w14:textId="03F100A2" w:rsidR="00791863" w:rsidRPr="008D7DBA" w:rsidRDefault="00791863">
      <w:pPr>
        <w:pStyle w:val="TableofFigures"/>
        <w:tabs>
          <w:tab w:val="right" w:leader="dot" w:pos="9350"/>
        </w:tabs>
        <w:rPr>
          <w:rFonts w:ascii="Arial" w:eastAsiaTheme="minorEastAsia" w:hAnsi="Arial" w:cs="Arial"/>
          <w:noProof/>
          <w:szCs w:val="24"/>
        </w:rPr>
      </w:pPr>
      <w:hyperlink w:anchor="_Toc216380443" w:history="1">
        <w:r w:rsidRPr="008D7DBA">
          <w:rPr>
            <w:rStyle w:val="Hyperlink"/>
            <w:rFonts w:ascii="Arial" w:hAnsi="Arial" w:cs="Arial"/>
            <w:noProof/>
            <w:color w:val="auto"/>
          </w:rPr>
          <w:t>Table 7: Altman Z Score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_Toc216380443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14</w:t>
        </w:r>
        <w:r w:rsidRPr="008D7DBA">
          <w:rPr>
            <w:rFonts w:ascii="Arial" w:hAnsi="Arial" w:cs="Arial"/>
            <w:noProof/>
            <w:webHidden/>
          </w:rPr>
          <w:fldChar w:fldCharType="end"/>
        </w:r>
      </w:hyperlink>
    </w:p>
    <w:p w14:paraId="2379829E" w14:textId="792B0234" w:rsidR="00791863" w:rsidRPr="008D7DBA" w:rsidRDefault="00791863">
      <w:pPr>
        <w:pStyle w:val="TableofFigures"/>
        <w:tabs>
          <w:tab w:val="right" w:leader="dot" w:pos="9350"/>
        </w:tabs>
        <w:rPr>
          <w:rFonts w:ascii="Arial" w:eastAsiaTheme="minorEastAsia" w:hAnsi="Arial" w:cs="Arial"/>
          <w:noProof/>
          <w:szCs w:val="24"/>
        </w:rPr>
      </w:pPr>
      <w:hyperlink w:anchor="_Toc216380444" w:history="1">
        <w:r w:rsidRPr="008D7DBA">
          <w:rPr>
            <w:rStyle w:val="Hyperlink"/>
            <w:rFonts w:ascii="Arial" w:hAnsi="Arial" w:cs="Arial"/>
            <w:noProof/>
            <w:color w:val="auto"/>
          </w:rPr>
          <w:t>Table 8: Investment Appraisal</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_Toc216380444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22</w:t>
        </w:r>
        <w:r w:rsidRPr="008D7DBA">
          <w:rPr>
            <w:rFonts w:ascii="Arial" w:hAnsi="Arial" w:cs="Arial"/>
            <w:noProof/>
            <w:webHidden/>
          </w:rPr>
          <w:fldChar w:fldCharType="end"/>
        </w:r>
      </w:hyperlink>
    </w:p>
    <w:p w14:paraId="3091D4A2" w14:textId="77777777" w:rsidR="00791863" w:rsidRPr="008D7DBA" w:rsidRDefault="004B5EC6">
      <w:pPr>
        <w:spacing w:line="259" w:lineRule="auto"/>
        <w:jc w:val="left"/>
        <w:rPr>
          <w:rFonts w:ascii="Arial" w:hAnsi="Arial" w:cs="Arial"/>
          <w:noProof/>
        </w:rPr>
      </w:pPr>
      <w:r w:rsidRPr="008D7DBA">
        <w:rPr>
          <w:rFonts w:ascii="Arial" w:hAnsi="Arial" w:cs="Arial"/>
        </w:rPr>
        <w:fldChar w:fldCharType="end"/>
      </w:r>
      <w:r w:rsidRPr="008D7DBA">
        <w:rPr>
          <w:rFonts w:ascii="Arial" w:hAnsi="Arial" w:cs="Arial"/>
        </w:rPr>
        <w:fldChar w:fldCharType="begin"/>
      </w:r>
      <w:r w:rsidRPr="008D7DBA">
        <w:rPr>
          <w:rFonts w:ascii="Arial" w:hAnsi="Arial" w:cs="Arial"/>
        </w:rPr>
        <w:instrText xml:space="preserve"> TOC \h \z \c "Figure" </w:instrText>
      </w:r>
      <w:r w:rsidRPr="008D7DBA">
        <w:rPr>
          <w:rFonts w:ascii="Arial" w:hAnsi="Arial" w:cs="Arial"/>
        </w:rPr>
        <w:fldChar w:fldCharType="separate"/>
      </w:r>
    </w:p>
    <w:p w14:paraId="6597231D" w14:textId="13B79E70" w:rsidR="00791863" w:rsidRPr="008D7DBA" w:rsidRDefault="00791863">
      <w:pPr>
        <w:pStyle w:val="TableofFigures"/>
        <w:tabs>
          <w:tab w:val="right" w:leader="dot" w:pos="9350"/>
        </w:tabs>
        <w:rPr>
          <w:rFonts w:ascii="Arial" w:eastAsiaTheme="minorEastAsia" w:hAnsi="Arial" w:cs="Arial"/>
          <w:noProof/>
          <w:szCs w:val="24"/>
        </w:rPr>
      </w:pPr>
      <w:hyperlink w:anchor="_Toc216380445" w:history="1">
        <w:r w:rsidRPr="008D7DBA">
          <w:rPr>
            <w:rStyle w:val="Hyperlink"/>
            <w:rFonts w:ascii="Arial" w:hAnsi="Arial" w:cs="Arial"/>
            <w:noProof/>
            <w:color w:val="auto"/>
          </w:rPr>
          <w:t>Figure 1: Profitability</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_Toc216380445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5</w:t>
        </w:r>
        <w:r w:rsidRPr="008D7DBA">
          <w:rPr>
            <w:rFonts w:ascii="Arial" w:hAnsi="Arial" w:cs="Arial"/>
            <w:noProof/>
            <w:webHidden/>
          </w:rPr>
          <w:fldChar w:fldCharType="end"/>
        </w:r>
      </w:hyperlink>
    </w:p>
    <w:p w14:paraId="722B0EB0" w14:textId="4169DDC9" w:rsidR="00791863" w:rsidRPr="008D7DBA" w:rsidRDefault="00791863">
      <w:pPr>
        <w:pStyle w:val="TableofFigures"/>
        <w:tabs>
          <w:tab w:val="right" w:leader="dot" w:pos="9350"/>
        </w:tabs>
        <w:rPr>
          <w:rFonts w:ascii="Arial" w:eastAsiaTheme="minorEastAsia" w:hAnsi="Arial" w:cs="Arial"/>
          <w:noProof/>
          <w:szCs w:val="24"/>
        </w:rPr>
      </w:pPr>
      <w:hyperlink w:anchor="_Toc216380446" w:history="1">
        <w:r w:rsidRPr="008D7DBA">
          <w:rPr>
            <w:rStyle w:val="Hyperlink"/>
            <w:rFonts w:ascii="Arial" w:hAnsi="Arial" w:cs="Arial"/>
            <w:noProof/>
            <w:color w:val="auto"/>
          </w:rPr>
          <w:t>Figure 2: Liquidity</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_Toc216380446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6</w:t>
        </w:r>
        <w:r w:rsidRPr="008D7DBA">
          <w:rPr>
            <w:rFonts w:ascii="Arial" w:hAnsi="Arial" w:cs="Arial"/>
            <w:noProof/>
            <w:webHidden/>
          </w:rPr>
          <w:fldChar w:fldCharType="end"/>
        </w:r>
      </w:hyperlink>
    </w:p>
    <w:p w14:paraId="78DF5924" w14:textId="400CDBAD" w:rsidR="00791863" w:rsidRPr="008D7DBA" w:rsidRDefault="00791863">
      <w:pPr>
        <w:pStyle w:val="TableofFigures"/>
        <w:tabs>
          <w:tab w:val="right" w:leader="dot" w:pos="9350"/>
        </w:tabs>
        <w:rPr>
          <w:rFonts w:ascii="Arial" w:eastAsiaTheme="minorEastAsia" w:hAnsi="Arial" w:cs="Arial"/>
          <w:noProof/>
          <w:szCs w:val="24"/>
        </w:rPr>
      </w:pPr>
      <w:hyperlink w:anchor="_Toc216380447" w:history="1">
        <w:r w:rsidRPr="008D7DBA">
          <w:rPr>
            <w:rStyle w:val="Hyperlink"/>
            <w:rFonts w:ascii="Arial" w:hAnsi="Arial" w:cs="Arial"/>
            <w:noProof/>
            <w:color w:val="auto"/>
          </w:rPr>
          <w:t>Figure 3: Efficiency</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_Toc216380447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7</w:t>
        </w:r>
        <w:r w:rsidRPr="008D7DBA">
          <w:rPr>
            <w:rFonts w:ascii="Arial" w:hAnsi="Arial" w:cs="Arial"/>
            <w:noProof/>
            <w:webHidden/>
          </w:rPr>
          <w:fldChar w:fldCharType="end"/>
        </w:r>
      </w:hyperlink>
    </w:p>
    <w:p w14:paraId="2B6BA6CD" w14:textId="638553D8" w:rsidR="00791863" w:rsidRPr="008D7DBA" w:rsidRDefault="00791863">
      <w:pPr>
        <w:pStyle w:val="TableofFigures"/>
        <w:tabs>
          <w:tab w:val="right" w:leader="dot" w:pos="9350"/>
        </w:tabs>
        <w:rPr>
          <w:rFonts w:ascii="Arial" w:eastAsiaTheme="minorEastAsia" w:hAnsi="Arial" w:cs="Arial"/>
          <w:noProof/>
          <w:szCs w:val="24"/>
        </w:rPr>
      </w:pPr>
      <w:hyperlink w:anchor="_Toc216380448" w:history="1">
        <w:r w:rsidRPr="008D7DBA">
          <w:rPr>
            <w:rStyle w:val="Hyperlink"/>
            <w:rFonts w:ascii="Arial" w:hAnsi="Arial" w:cs="Arial"/>
            <w:noProof/>
            <w:color w:val="auto"/>
          </w:rPr>
          <w:t>Figure 4: Gearing</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_Toc216380448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9</w:t>
        </w:r>
        <w:r w:rsidRPr="008D7DBA">
          <w:rPr>
            <w:rFonts w:ascii="Arial" w:hAnsi="Arial" w:cs="Arial"/>
            <w:noProof/>
            <w:webHidden/>
          </w:rPr>
          <w:fldChar w:fldCharType="end"/>
        </w:r>
      </w:hyperlink>
    </w:p>
    <w:p w14:paraId="5BEACF87" w14:textId="3337E3EE" w:rsidR="00791863" w:rsidRPr="008D7DBA" w:rsidRDefault="00791863">
      <w:pPr>
        <w:pStyle w:val="TableofFigures"/>
        <w:tabs>
          <w:tab w:val="right" w:leader="dot" w:pos="9350"/>
        </w:tabs>
        <w:rPr>
          <w:rFonts w:ascii="Arial" w:eastAsiaTheme="minorEastAsia" w:hAnsi="Arial" w:cs="Arial"/>
          <w:noProof/>
          <w:szCs w:val="24"/>
        </w:rPr>
      </w:pPr>
      <w:hyperlink w:anchor="_Toc216380449" w:history="1">
        <w:r w:rsidRPr="008D7DBA">
          <w:rPr>
            <w:rStyle w:val="Hyperlink"/>
            <w:rFonts w:ascii="Arial" w:hAnsi="Arial" w:cs="Arial"/>
            <w:noProof/>
            <w:color w:val="auto"/>
          </w:rPr>
          <w:t>Figure 5: Investment</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_Toc216380449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10</w:t>
        </w:r>
        <w:r w:rsidRPr="008D7DBA">
          <w:rPr>
            <w:rFonts w:ascii="Arial" w:hAnsi="Arial" w:cs="Arial"/>
            <w:noProof/>
            <w:webHidden/>
          </w:rPr>
          <w:fldChar w:fldCharType="end"/>
        </w:r>
      </w:hyperlink>
    </w:p>
    <w:p w14:paraId="5A284BB4" w14:textId="01535DFE" w:rsidR="00791863" w:rsidRPr="008D7DBA" w:rsidRDefault="00791863">
      <w:pPr>
        <w:pStyle w:val="TableofFigures"/>
        <w:tabs>
          <w:tab w:val="right" w:leader="dot" w:pos="9350"/>
        </w:tabs>
        <w:rPr>
          <w:rFonts w:ascii="Arial" w:eastAsiaTheme="minorEastAsia" w:hAnsi="Arial" w:cs="Arial"/>
          <w:noProof/>
          <w:szCs w:val="24"/>
        </w:rPr>
      </w:pPr>
      <w:hyperlink w:anchor="_Toc216380450" w:history="1">
        <w:r w:rsidRPr="008D7DBA">
          <w:rPr>
            <w:rStyle w:val="Hyperlink"/>
            <w:rFonts w:ascii="Arial" w:hAnsi="Arial" w:cs="Arial"/>
            <w:noProof/>
            <w:color w:val="auto"/>
          </w:rPr>
          <w:t>Figure 6: Cash Flow</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_Toc216380450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11</w:t>
        </w:r>
        <w:r w:rsidRPr="008D7DBA">
          <w:rPr>
            <w:rFonts w:ascii="Arial" w:hAnsi="Arial" w:cs="Arial"/>
            <w:noProof/>
            <w:webHidden/>
          </w:rPr>
          <w:fldChar w:fldCharType="end"/>
        </w:r>
      </w:hyperlink>
    </w:p>
    <w:p w14:paraId="56ED142D" w14:textId="7C900299" w:rsidR="00791863" w:rsidRPr="008D7DBA" w:rsidRDefault="00791863">
      <w:pPr>
        <w:pStyle w:val="TableofFigures"/>
        <w:tabs>
          <w:tab w:val="right" w:leader="dot" w:pos="9350"/>
        </w:tabs>
        <w:rPr>
          <w:rFonts w:ascii="Arial" w:eastAsiaTheme="minorEastAsia" w:hAnsi="Arial" w:cs="Arial"/>
          <w:noProof/>
          <w:szCs w:val="24"/>
        </w:rPr>
      </w:pPr>
      <w:hyperlink w:anchor="_Toc216380451" w:history="1">
        <w:r w:rsidRPr="008D7DBA">
          <w:rPr>
            <w:rStyle w:val="Hyperlink"/>
            <w:rFonts w:ascii="Arial" w:hAnsi="Arial" w:cs="Arial"/>
            <w:noProof/>
            <w:color w:val="auto"/>
          </w:rPr>
          <w:t>Figure 7: Investment Appraisal calculation</w:t>
        </w:r>
        <w:r w:rsidRPr="008D7DBA">
          <w:rPr>
            <w:rFonts w:ascii="Arial" w:hAnsi="Arial" w:cs="Arial"/>
            <w:noProof/>
            <w:webHidden/>
          </w:rPr>
          <w:tab/>
        </w:r>
        <w:r w:rsidRPr="008D7DBA">
          <w:rPr>
            <w:rFonts w:ascii="Arial" w:hAnsi="Arial" w:cs="Arial"/>
            <w:noProof/>
            <w:webHidden/>
          </w:rPr>
          <w:fldChar w:fldCharType="begin"/>
        </w:r>
        <w:r w:rsidRPr="008D7DBA">
          <w:rPr>
            <w:rFonts w:ascii="Arial" w:hAnsi="Arial" w:cs="Arial"/>
            <w:noProof/>
            <w:webHidden/>
          </w:rPr>
          <w:instrText xml:space="preserve"> PAGEREF _Toc216380451 \h </w:instrText>
        </w:r>
        <w:r w:rsidRPr="008D7DBA">
          <w:rPr>
            <w:rFonts w:ascii="Arial" w:hAnsi="Arial" w:cs="Arial"/>
            <w:noProof/>
            <w:webHidden/>
          </w:rPr>
        </w:r>
        <w:r w:rsidRPr="008D7DBA">
          <w:rPr>
            <w:rFonts w:ascii="Arial" w:hAnsi="Arial" w:cs="Arial"/>
            <w:noProof/>
            <w:webHidden/>
          </w:rPr>
          <w:fldChar w:fldCharType="separate"/>
        </w:r>
        <w:r w:rsidRPr="008D7DBA">
          <w:rPr>
            <w:rFonts w:ascii="Arial" w:hAnsi="Arial" w:cs="Arial"/>
            <w:noProof/>
            <w:webHidden/>
          </w:rPr>
          <w:t>22</w:t>
        </w:r>
        <w:r w:rsidRPr="008D7DBA">
          <w:rPr>
            <w:rFonts w:ascii="Arial" w:hAnsi="Arial" w:cs="Arial"/>
            <w:noProof/>
            <w:webHidden/>
          </w:rPr>
          <w:fldChar w:fldCharType="end"/>
        </w:r>
      </w:hyperlink>
    </w:p>
    <w:p w14:paraId="431B8A72" w14:textId="7C6472DE" w:rsidR="001357F8" w:rsidRPr="008D7DBA" w:rsidRDefault="004B5EC6">
      <w:pPr>
        <w:spacing w:line="259" w:lineRule="auto"/>
        <w:jc w:val="left"/>
        <w:rPr>
          <w:rFonts w:ascii="Arial" w:hAnsi="Arial" w:cs="Arial"/>
        </w:rPr>
      </w:pPr>
      <w:r w:rsidRPr="008D7DBA">
        <w:rPr>
          <w:rFonts w:ascii="Arial" w:hAnsi="Arial" w:cs="Arial"/>
        </w:rPr>
        <w:fldChar w:fldCharType="end"/>
      </w:r>
      <w:r w:rsidR="001357F8" w:rsidRPr="008D7DBA">
        <w:rPr>
          <w:rFonts w:ascii="Arial" w:hAnsi="Arial" w:cs="Arial"/>
        </w:rPr>
        <w:br w:type="page"/>
      </w:r>
    </w:p>
    <w:p w14:paraId="5058A4D0" w14:textId="7C385F68" w:rsidR="000736A2" w:rsidRPr="008D7DBA" w:rsidRDefault="0071222E" w:rsidP="0028562F">
      <w:pPr>
        <w:pStyle w:val="Heading1"/>
        <w:rPr>
          <w:rFonts w:ascii="Arial" w:hAnsi="Arial" w:cs="Arial"/>
          <w:color w:val="auto"/>
        </w:rPr>
      </w:pPr>
      <w:bookmarkStart w:id="0" w:name="_Toc216380876"/>
      <w:r w:rsidRPr="008D7DBA">
        <w:rPr>
          <w:rFonts w:ascii="Arial" w:hAnsi="Arial" w:cs="Arial"/>
          <w:color w:val="auto"/>
        </w:rPr>
        <w:lastRenderedPageBreak/>
        <w:t xml:space="preserve">1. </w:t>
      </w:r>
      <w:r w:rsidR="001357F8" w:rsidRPr="008D7DBA">
        <w:rPr>
          <w:rFonts w:ascii="Arial" w:hAnsi="Arial" w:cs="Arial"/>
          <w:color w:val="auto"/>
        </w:rPr>
        <w:t>Introduction</w:t>
      </w:r>
      <w:bookmarkEnd w:id="0"/>
    </w:p>
    <w:p w14:paraId="73608174" w14:textId="247ECE50" w:rsidR="001357F8" w:rsidRPr="008D7DBA" w:rsidRDefault="0028562F" w:rsidP="0028562F">
      <w:pPr>
        <w:rPr>
          <w:rFonts w:ascii="Arial" w:hAnsi="Arial" w:cs="Arial"/>
        </w:rPr>
      </w:pPr>
      <w:r w:rsidRPr="008D7DBA">
        <w:rPr>
          <w:rFonts w:ascii="Arial" w:hAnsi="Arial" w:cs="Arial"/>
        </w:rPr>
        <w:t>Th</w:t>
      </w:r>
      <w:r w:rsidR="00ED1A18" w:rsidRPr="008D7DBA">
        <w:rPr>
          <w:rFonts w:ascii="Arial" w:hAnsi="Arial" w:cs="Arial"/>
        </w:rPr>
        <w:t>is</w:t>
      </w:r>
      <w:r w:rsidRPr="008D7DBA">
        <w:rPr>
          <w:rFonts w:ascii="Arial" w:hAnsi="Arial" w:cs="Arial"/>
        </w:rPr>
        <w:t xml:space="preserve"> report includes an in-depth analysis of the financial performance of General </w:t>
      </w:r>
      <w:r w:rsidR="0095452D" w:rsidRPr="008D7DBA">
        <w:rPr>
          <w:rFonts w:ascii="Arial" w:hAnsi="Arial" w:cs="Arial"/>
        </w:rPr>
        <w:t>E</w:t>
      </w:r>
      <w:r w:rsidRPr="008D7DBA">
        <w:rPr>
          <w:rFonts w:ascii="Arial" w:hAnsi="Arial" w:cs="Arial"/>
        </w:rPr>
        <w:t>lectronics and gives three investment projects that were proposed, which are under the limitations of capital rationing. The initial part discusses some of the most important financial ratios</w:t>
      </w:r>
      <w:r w:rsidR="0095452D" w:rsidRPr="008D7DBA">
        <w:rPr>
          <w:rFonts w:ascii="Arial" w:hAnsi="Arial" w:cs="Arial"/>
        </w:rPr>
        <w:t>,</w:t>
      </w:r>
      <w:r w:rsidRPr="008D7DBA">
        <w:rPr>
          <w:rFonts w:ascii="Arial" w:hAnsi="Arial" w:cs="Arial"/>
        </w:rPr>
        <w:t xml:space="preserve"> like profitability, liquidity, efficiency, gearing, and cash flow</w:t>
      </w:r>
      <w:r w:rsidR="0095452D" w:rsidRPr="008D7DBA">
        <w:rPr>
          <w:rFonts w:ascii="Arial" w:hAnsi="Arial" w:cs="Arial"/>
        </w:rPr>
        <w:t>,</w:t>
      </w:r>
      <w:r w:rsidRPr="008D7DBA">
        <w:rPr>
          <w:rFonts w:ascii="Arial" w:hAnsi="Arial" w:cs="Arial"/>
        </w:rPr>
        <w:t xml:space="preserve"> to determine the current financial status of the company and the areas of concern. This is followed by the investment appraisal that involves the use of certain measures like Payback Period (PBP), Accounting Rate of Return (ARR), Net Present Value (NPV), Profitability Index (PI), and Internal Rate of Return (IRR) in the evaluation and comparison of three possible investing opportunities</w:t>
      </w:r>
      <w:r w:rsidR="0058089E" w:rsidRPr="008D7DBA">
        <w:rPr>
          <w:rFonts w:ascii="Arial" w:hAnsi="Arial" w:cs="Arial"/>
        </w:rPr>
        <w:t xml:space="preserve"> </w:t>
      </w:r>
      <w:r w:rsidR="0058089E" w:rsidRPr="008D7DBA">
        <w:rPr>
          <w:rFonts w:ascii="Arial" w:hAnsi="Arial" w:cs="Arial"/>
          <w:shd w:val="clear" w:color="auto" w:fill="FFFFFF"/>
        </w:rPr>
        <w:t>(Thomas and Rabiyathul Basariya, 2019)</w:t>
      </w:r>
      <w:r w:rsidRPr="008D7DBA">
        <w:rPr>
          <w:rFonts w:ascii="Arial" w:hAnsi="Arial" w:cs="Arial"/>
        </w:rPr>
        <w:t>. A recommendation is made and in defen</w:t>
      </w:r>
      <w:r w:rsidR="0095452D" w:rsidRPr="008D7DBA">
        <w:rPr>
          <w:rFonts w:ascii="Arial" w:hAnsi="Arial" w:cs="Arial"/>
        </w:rPr>
        <w:t>c</w:t>
      </w:r>
      <w:r w:rsidRPr="008D7DBA">
        <w:rPr>
          <w:rFonts w:ascii="Arial" w:hAnsi="Arial" w:cs="Arial"/>
        </w:rPr>
        <w:t xml:space="preserve">e of the choice of Project C as </w:t>
      </w:r>
      <w:r w:rsidR="0095452D" w:rsidRPr="008D7DBA">
        <w:rPr>
          <w:rFonts w:ascii="Arial" w:hAnsi="Arial" w:cs="Arial"/>
        </w:rPr>
        <w:t xml:space="preserve">the </w:t>
      </w:r>
      <w:r w:rsidRPr="008D7DBA">
        <w:rPr>
          <w:rFonts w:ascii="Arial" w:hAnsi="Arial" w:cs="Arial"/>
        </w:rPr>
        <w:t>most financially viable and strategic fit to grow General Electronics long-term and stay afloat.</w:t>
      </w:r>
      <w:r w:rsidR="001357F8" w:rsidRPr="008D7DBA">
        <w:rPr>
          <w:rFonts w:ascii="Arial" w:hAnsi="Arial" w:cs="Arial"/>
        </w:rPr>
        <w:br w:type="page"/>
      </w:r>
    </w:p>
    <w:p w14:paraId="21E6373A" w14:textId="644EE67B" w:rsidR="001357F8" w:rsidRPr="008D7DBA" w:rsidRDefault="0071222E" w:rsidP="001357F8">
      <w:pPr>
        <w:pStyle w:val="Heading1"/>
        <w:rPr>
          <w:rFonts w:ascii="Arial" w:hAnsi="Arial" w:cs="Arial"/>
          <w:color w:val="auto"/>
        </w:rPr>
      </w:pPr>
      <w:bookmarkStart w:id="1" w:name="_Toc210855226"/>
      <w:bookmarkStart w:id="2" w:name="_Toc216380877"/>
      <w:r w:rsidRPr="008D7DBA">
        <w:rPr>
          <w:rFonts w:ascii="Arial" w:hAnsi="Arial" w:cs="Arial"/>
          <w:color w:val="auto"/>
        </w:rPr>
        <w:lastRenderedPageBreak/>
        <w:t xml:space="preserve">2. </w:t>
      </w:r>
      <w:r w:rsidR="001357F8" w:rsidRPr="008D7DBA">
        <w:rPr>
          <w:rFonts w:ascii="Arial" w:hAnsi="Arial" w:cs="Arial"/>
          <w:color w:val="auto"/>
        </w:rPr>
        <w:t>Financial analysis of General Electronics</w:t>
      </w:r>
      <w:bookmarkEnd w:id="1"/>
      <w:bookmarkEnd w:id="2"/>
    </w:p>
    <w:p w14:paraId="20D8BDEF" w14:textId="15E20813" w:rsidR="0082692D" w:rsidRPr="008D7DBA" w:rsidRDefault="0071222E" w:rsidP="008C0803">
      <w:pPr>
        <w:pStyle w:val="Heading2"/>
        <w:rPr>
          <w:rFonts w:ascii="Arial" w:hAnsi="Arial" w:cs="Arial"/>
        </w:rPr>
      </w:pPr>
      <w:bookmarkStart w:id="3" w:name="_Toc216380878"/>
      <w:r w:rsidRPr="008D7DBA">
        <w:rPr>
          <w:rFonts w:ascii="Arial" w:hAnsi="Arial" w:cs="Arial"/>
        </w:rPr>
        <w:t xml:space="preserve">2.1 </w:t>
      </w:r>
      <w:r w:rsidR="004A7A34" w:rsidRPr="008D7DBA">
        <w:rPr>
          <w:rFonts w:ascii="Arial" w:hAnsi="Arial" w:cs="Arial"/>
        </w:rPr>
        <w:t>Financial Ratio Analysis</w:t>
      </w:r>
      <w:bookmarkEnd w:id="3"/>
    </w:p>
    <w:p w14:paraId="09208CA7" w14:textId="2DE701AC" w:rsidR="0082692D" w:rsidRPr="008D7DBA" w:rsidRDefault="0082692D" w:rsidP="0082692D">
      <w:pPr>
        <w:rPr>
          <w:rFonts w:ascii="Arial" w:hAnsi="Arial" w:cs="Arial"/>
        </w:rPr>
      </w:pPr>
      <w:r w:rsidRPr="008D7DBA">
        <w:rPr>
          <w:rFonts w:ascii="Arial" w:hAnsi="Arial" w:cs="Arial"/>
        </w:rPr>
        <w:t>General Electronics is an international enterprise dealing with consumer electronic</w:t>
      </w:r>
      <w:r w:rsidR="0095452D" w:rsidRPr="008D7DBA">
        <w:rPr>
          <w:rFonts w:ascii="Arial" w:hAnsi="Arial" w:cs="Arial"/>
        </w:rPr>
        <w:t>s</w:t>
      </w:r>
      <w:r w:rsidRPr="008D7DBA">
        <w:rPr>
          <w:rFonts w:ascii="Arial" w:hAnsi="Arial" w:cs="Arial"/>
        </w:rPr>
        <w:t xml:space="preserve"> operation</w:t>
      </w:r>
      <w:r w:rsidR="0095452D" w:rsidRPr="008D7DBA">
        <w:rPr>
          <w:rFonts w:ascii="Arial" w:hAnsi="Arial" w:cs="Arial"/>
        </w:rPr>
        <w:t>s</w:t>
      </w:r>
      <w:r w:rsidRPr="008D7DBA">
        <w:rPr>
          <w:rFonts w:ascii="Arial" w:hAnsi="Arial" w:cs="Arial"/>
        </w:rPr>
        <w:t xml:space="preserve"> in the global market</w:t>
      </w:r>
      <w:r w:rsidR="0095452D" w:rsidRPr="008D7DBA">
        <w:rPr>
          <w:rFonts w:ascii="Arial" w:hAnsi="Arial" w:cs="Arial"/>
        </w:rPr>
        <w:t>,</w:t>
      </w:r>
      <w:r w:rsidRPr="008D7DBA">
        <w:rPr>
          <w:rFonts w:ascii="Arial" w:hAnsi="Arial" w:cs="Arial"/>
        </w:rPr>
        <w:t xml:space="preserve"> and its financial ratios over the last five years have shown that the company has been struggling with considerable financial difficulties in recent years. This interpretation is done by breaking </w:t>
      </w:r>
      <w:r w:rsidR="0095452D" w:rsidRPr="008D7DBA">
        <w:rPr>
          <w:rFonts w:ascii="Arial" w:hAnsi="Arial" w:cs="Arial"/>
        </w:rPr>
        <w:t xml:space="preserve">down </w:t>
      </w:r>
      <w:r w:rsidRPr="008D7DBA">
        <w:rPr>
          <w:rFonts w:ascii="Arial" w:hAnsi="Arial" w:cs="Arial"/>
        </w:rPr>
        <w:t>the profitability, liquidity, efficiency, gearing, investment, and cash flow ratios of the company to establish the problems that lie behind the poor performance of the company.</w:t>
      </w:r>
    </w:p>
    <w:p w14:paraId="2A2EF00C" w14:textId="42B80312" w:rsidR="008C0803" w:rsidRPr="008D7DBA" w:rsidRDefault="008C0803" w:rsidP="0082692D">
      <w:pPr>
        <w:rPr>
          <w:rFonts w:ascii="Arial" w:hAnsi="Arial" w:cs="Arial"/>
          <w:b/>
          <w:bCs/>
        </w:rPr>
      </w:pPr>
      <w:r w:rsidRPr="008D7DBA">
        <w:rPr>
          <w:rFonts w:ascii="Arial" w:hAnsi="Arial" w:cs="Arial"/>
          <w:b/>
          <w:bCs/>
        </w:rPr>
        <w:t>Profitability Ratios</w:t>
      </w:r>
    </w:p>
    <w:p w14:paraId="3FA62154" w14:textId="77777777" w:rsidR="00466EEA" w:rsidRPr="008D7DBA" w:rsidRDefault="00466EEA" w:rsidP="00466EEA">
      <w:pPr>
        <w:keepNext/>
        <w:jc w:val="center"/>
        <w:rPr>
          <w:rFonts w:ascii="Arial" w:hAnsi="Arial" w:cs="Arial"/>
        </w:rPr>
      </w:pPr>
      <w:r w:rsidRPr="008D7DBA">
        <w:rPr>
          <w:rFonts w:ascii="Arial" w:hAnsi="Arial" w:cs="Arial"/>
          <w:noProof/>
        </w:rPr>
        <w:drawing>
          <wp:inline distT="0" distB="0" distL="0" distR="0" wp14:anchorId="0F25D323" wp14:editId="39218C3B">
            <wp:extent cx="3378200" cy="1746250"/>
            <wp:effectExtent l="0" t="0" r="12700" b="6350"/>
            <wp:docPr id="920985330" name="Chart 1">
              <a:extLst xmlns:a="http://schemas.openxmlformats.org/drawingml/2006/main">
                <a:ext uri="{FF2B5EF4-FFF2-40B4-BE49-F238E27FC236}">
                  <a16:creationId xmlns:a16="http://schemas.microsoft.com/office/drawing/2014/main" id="{1F2C535F-2F13-55FF-CACC-7A57AED92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DD5D1B" w14:textId="4B2731A8" w:rsidR="00466EEA" w:rsidRPr="008D7DBA" w:rsidRDefault="00466EEA" w:rsidP="00466EEA">
      <w:pPr>
        <w:pStyle w:val="Caption"/>
        <w:jc w:val="center"/>
        <w:rPr>
          <w:rFonts w:ascii="Arial" w:hAnsi="Arial" w:cs="Arial"/>
          <w:b/>
          <w:bCs/>
          <w:color w:val="auto"/>
        </w:rPr>
      </w:pPr>
      <w:bookmarkStart w:id="4" w:name="_Toc216380445"/>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00FC1C62" w:rsidRPr="008D7DBA">
        <w:rPr>
          <w:rFonts w:ascii="Arial" w:hAnsi="Arial" w:cs="Arial"/>
          <w:noProof/>
          <w:color w:val="auto"/>
        </w:rPr>
        <w:t>1</w:t>
      </w:r>
      <w:r w:rsidRPr="008D7DBA">
        <w:rPr>
          <w:rFonts w:ascii="Arial" w:hAnsi="Arial" w:cs="Arial"/>
          <w:color w:val="auto"/>
        </w:rPr>
        <w:fldChar w:fldCharType="end"/>
      </w:r>
      <w:r w:rsidRPr="008D7DBA">
        <w:rPr>
          <w:rFonts w:ascii="Arial" w:hAnsi="Arial" w:cs="Arial"/>
          <w:color w:val="auto"/>
        </w:rPr>
        <w:t>: Profitability</w:t>
      </w:r>
      <w:bookmarkEnd w:id="4"/>
    </w:p>
    <w:tbl>
      <w:tblPr>
        <w:tblStyle w:val="PlainTable1"/>
        <w:tblW w:w="4764" w:type="pct"/>
        <w:tblLook w:val="04A0" w:firstRow="1" w:lastRow="0" w:firstColumn="1" w:lastColumn="0" w:noHBand="0" w:noVBand="1"/>
      </w:tblPr>
      <w:tblGrid>
        <w:gridCol w:w="2226"/>
        <w:gridCol w:w="1079"/>
        <w:gridCol w:w="1209"/>
        <w:gridCol w:w="1209"/>
        <w:gridCol w:w="1209"/>
        <w:gridCol w:w="1209"/>
        <w:gridCol w:w="1209"/>
      </w:tblGrid>
      <w:tr w:rsidR="001A0657" w:rsidRPr="008D7DBA" w14:paraId="26286EC5" w14:textId="77777777" w:rsidTr="00AA2DD0">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513FE56F"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Gross Profit Margin</w:t>
            </w:r>
          </w:p>
        </w:tc>
      </w:tr>
      <w:tr w:rsidR="001A0657" w:rsidRPr="008D7DBA" w14:paraId="4014D53B"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782E4751"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578" w:type="pct"/>
            <w:noWrap/>
            <w:hideMark/>
          </w:tcPr>
          <w:p w14:paraId="2272E0C5"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47" w:type="pct"/>
            <w:noWrap/>
            <w:hideMark/>
          </w:tcPr>
          <w:p w14:paraId="2C25A03D"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47" w:type="pct"/>
            <w:noWrap/>
            <w:hideMark/>
          </w:tcPr>
          <w:p w14:paraId="3A81004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47" w:type="pct"/>
            <w:noWrap/>
            <w:hideMark/>
          </w:tcPr>
          <w:p w14:paraId="01F38B0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47" w:type="pct"/>
            <w:noWrap/>
            <w:hideMark/>
          </w:tcPr>
          <w:p w14:paraId="7728E44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47" w:type="pct"/>
            <w:noWrap/>
            <w:hideMark/>
          </w:tcPr>
          <w:p w14:paraId="76CA711A"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1A0657" w:rsidRPr="008D7DBA" w14:paraId="4FA952CC"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7A451112" w14:textId="77777777" w:rsidR="00AA2DD0" w:rsidRPr="008D7DBA" w:rsidRDefault="00AA2DD0" w:rsidP="00AA2DD0">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Gross Profit</w:t>
            </w:r>
          </w:p>
        </w:tc>
        <w:tc>
          <w:tcPr>
            <w:tcW w:w="578" w:type="pct"/>
            <w:vMerge w:val="restart"/>
            <w:hideMark/>
          </w:tcPr>
          <w:p w14:paraId="46ACDB2C" w14:textId="77777777" w:rsidR="00AA2DD0" w:rsidRPr="008D7DBA" w:rsidRDefault="00AA2DD0" w:rsidP="00AA2DD0">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Gross Profit/ Revenue</w:t>
            </w:r>
          </w:p>
        </w:tc>
        <w:tc>
          <w:tcPr>
            <w:tcW w:w="647" w:type="pct"/>
            <w:noWrap/>
            <w:hideMark/>
          </w:tcPr>
          <w:p w14:paraId="7060F5BB"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113,994</w:t>
            </w:r>
          </w:p>
        </w:tc>
        <w:tc>
          <w:tcPr>
            <w:tcW w:w="647" w:type="pct"/>
            <w:noWrap/>
            <w:hideMark/>
          </w:tcPr>
          <w:p w14:paraId="52C00377"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97,560</w:t>
            </w:r>
          </w:p>
        </w:tc>
        <w:tc>
          <w:tcPr>
            <w:tcW w:w="647" w:type="pct"/>
            <w:noWrap/>
            <w:hideMark/>
          </w:tcPr>
          <w:p w14:paraId="2B51C1E0"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152,292</w:t>
            </w:r>
          </w:p>
        </w:tc>
        <w:tc>
          <w:tcPr>
            <w:tcW w:w="647" w:type="pct"/>
            <w:noWrap/>
            <w:hideMark/>
          </w:tcPr>
          <w:p w14:paraId="7A877973"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173,016</w:t>
            </w:r>
          </w:p>
        </w:tc>
        <w:tc>
          <w:tcPr>
            <w:tcW w:w="647" w:type="pct"/>
            <w:noWrap/>
            <w:hideMark/>
          </w:tcPr>
          <w:p w14:paraId="3A4B3121"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176,256</w:t>
            </w:r>
          </w:p>
        </w:tc>
      </w:tr>
      <w:tr w:rsidR="001A0657" w:rsidRPr="008D7DBA" w14:paraId="199D14EF"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2DDA47A2" w14:textId="77777777" w:rsidR="00AA2DD0" w:rsidRPr="008D7DBA" w:rsidRDefault="00AA2DD0" w:rsidP="00AA2DD0">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Revenue</w:t>
            </w:r>
          </w:p>
        </w:tc>
        <w:tc>
          <w:tcPr>
            <w:tcW w:w="578" w:type="pct"/>
            <w:vMerge/>
            <w:hideMark/>
          </w:tcPr>
          <w:p w14:paraId="29FADE6E"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47" w:type="pct"/>
            <w:noWrap/>
            <w:hideMark/>
          </w:tcPr>
          <w:p w14:paraId="1833EDDE"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394,879</w:t>
            </w:r>
          </w:p>
        </w:tc>
        <w:tc>
          <w:tcPr>
            <w:tcW w:w="647" w:type="pct"/>
            <w:noWrap/>
            <w:hideMark/>
          </w:tcPr>
          <w:p w14:paraId="1B391134"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420,457</w:t>
            </w:r>
          </w:p>
        </w:tc>
        <w:tc>
          <w:tcPr>
            <w:tcW w:w="647" w:type="pct"/>
            <w:noWrap/>
            <w:hideMark/>
          </w:tcPr>
          <w:p w14:paraId="7755AA2A"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542,751</w:t>
            </w:r>
          </w:p>
        </w:tc>
        <w:tc>
          <w:tcPr>
            <w:tcW w:w="647" w:type="pct"/>
            <w:noWrap/>
            <w:hideMark/>
          </w:tcPr>
          <w:p w14:paraId="2C6E08E4"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601,602</w:t>
            </w:r>
          </w:p>
        </w:tc>
        <w:tc>
          <w:tcPr>
            <w:tcW w:w="647" w:type="pct"/>
            <w:noWrap/>
            <w:hideMark/>
          </w:tcPr>
          <w:p w14:paraId="1457E195"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614,680</w:t>
            </w:r>
          </w:p>
        </w:tc>
      </w:tr>
      <w:tr w:rsidR="001A0657" w:rsidRPr="008D7DBA" w14:paraId="039F26E4"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3A38D0B1" w14:textId="77777777" w:rsidR="00AA2DD0" w:rsidRPr="008D7DBA" w:rsidRDefault="00AA2DD0" w:rsidP="00AA2DD0">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Gross Profit Margin</w:t>
            </w:r>
          </w:p>
        </w:tc>
        <w:tc>
          <w:tcPr>
            <w:tcW w:w="578" w:type="pct"/>
            <w:vMerge/>
            <w:hideMark/>
          </w:tcPr>
          <w:p w14:paraId="30AAF529" w14:textId="77777777" w:rsidR="00AA2DD0" w:rsidRPr="008D7DBA" w:rsidRDefault="00AA2DD0" w:rsidP="00AA2DD0">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47" w:type="pct"/>
            <w:noWrap/>
            <w:hideMark/>
          </w:tcPr>
          <w:p w14:paraId="298BFE16"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28.87%</w:t>
            </w:r>
          </w:p>
        </w:tc>
        <w:tc>
          <w:tcPr>
            <w:tcW w:w="647" w:type="pct"/>
            <w:noWrap/>
            <w:hideMark/>
          </w:tcPr>
          <w:p w14:paraId="7A9F63D0"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23.20%</w:t>
            </w:r>
          </w:p>
        </w:tc>
        <w:tc>
          <w:tcPr>
            <w:tcW w:w="647" w:type="pct"/>
            <w:noWrap/>
            <w:hideMark/>
          </w:tcPr>
          <w:p w14:paraId="4FC509E3"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28.06%</w:t>
            </w:r>
          </w:p>
        </w:tc>
        <w:tc>
          <w:tcPr>
            <w:tcW w:w="647" w:type="pct"/>
            <w:noWrap/>
            <w:hideMark/>
          </w:tcPr>
          <w:p w14:paraId="551935E3"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28.76%</w:t>
            </w:r>
          </w:p>
        </w:tc>
        <w:tc>
          <w:tcPr>
            <w:tcW w:w="647" w:type="pct"/>
            <w:noWrap/>
            <w:hideMark/>
          </w:tcPr>
          <w:p w14:paraId="433518EF"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28.67%</w:t>
            </w:r>
          </w:p>
        </w:tc>
      </w:tr>
      <w:tr w:rsidR="001A0657" w:rsidRPr="008D7DBA" w14:paraId="16AFFF0E"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0BA3BD04" w14:textId="77777777" w:rsidR="00AA2DD0" w:rsidRPr="008D7DBA" w:rsidRDefault="00AA2DD0" w:rsidP="00AA2DD0">
            <w:pPr>
              <w:spacing w:line="240" w:lineRule="auto"/>
              <w:jc w:val="left"/>
              <w:rPr>
                <w:rFonts w:ascii="Arial" w:eastAsia="Times New Roman" w:hAnsi="Arial" w:cs="Arial"/>
                <w:kern w:val="0"/>
                <w:sz w:val="20"/>
                <w:szCs w:val="20"/>
                <w14:ligatures w14:val="none"/>
              </w:rPr>
            </w:pPr>
          </w:p>
        </w:tc>
        <w:tc>
          <w:tcPr>
            <w:tcW w:w="578" w:type="pct"/>
            <w:noWrap/>
            <w:hideMark/>
          </w:tcPr>
          <w:p w14:paraId="2397012C"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47" w:type="pct"/>
            <w:noWrap/>
            <w:hideMark/>
          </w:tcPr>
          <w:p w14:paraId="7314A9BB"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47" w:type="pct"/>
            <w:noWrap/>
            <w:hideMark/>
          </w:tcPr>
          <w:p w14:paraId="7AC06656"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47" w:type="pct"/>
            <w:noWrap/>
            <w:hideMark/>
          </w:tcPr>
          <w:p w14:paraId="4222F7BD"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47" w:type="pct"/>
            <w:noWrap/>
            <w:hideMark/>
          </w:tcPr>
          <w:p w14:paraId="5286E94C"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47" w:type="pct"/>
            <w:noWrap/>
            <w:hideMark/>
          </w:tcPr>
          <w:p w14:paraId="1CB0E812"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1A0657" w:rsidRPr="008D7DBA" w14:paraId="6FBDF704"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78D88C55" w14:textId="77777777" w:rsidR="00AA2DD0" w:rsidRPr="008D7DBA" w:rsidRDefault="00AA2DD0" w:rsidP="00AA2DD0">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Return On Asset</w:t>
            </w:r>
          </w:p>
        </w:tc>
      </w:tr>
      <w:tr w:rsidR="001A0657" w:rsidRPr="008D7DBA" w14:paraId="2E6BD52E"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65BA34E2" w14:textId="77777777" w:rsidR="00AA2DD0" w:rsidRPr="008D7DBA" w:rsidRDefault="00AA2DD0" w:rsidP="00AA2DD0">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578" w:type="pct"/>
            <w:noWrap/>
            <w:hideMark/>
          </w:tcPr>
          <w:p w14:paraId="338BB99D" w14:textId="77777777" w:rsidR="00AA2DD0" w:rsidRPr="008D7DBA" w:rsidRDefault="00AA2DD0" w:rsidP="00AA2DD0">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47" w:type="pct"/>
            <w:noWrap/>
            <w:hideMark/>
          </w:tcPr>
          <w:p w14:paraId="125C8B03"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47" w:type="pct"/>
            <w:noWrap/>
            <w:hideMark/>
          </w:tcPr>
          <w:p w14:paraId="034DB6CE"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47" w:type="pct"/>
            <w:noWrap/>
            <w:hideMark/>
          </w:tcPr>
          <w:p w14:paraId="576A9F9A"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47" w:type="pct"/>
            <w:noWrap/>
            <w:hideMark/>
          </w:tcPr>
          <w:p w14:paraId="3079BB94"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47" w:type="pct"/>
            <w:noWrap/>
            <w:hideMark/>
          </w:tcPr>
          <w:p w14:paraId="491DE512"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1A0657" w:rsidRPr="008D7DBA" w14:paraId="0A3131FE"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79DE23E5" w14:textId="77777777" w:rsidR="00AA2DD0" w:rsidRPr="008D7DBA" w:rsidRDefault="00AA2DD0" w:rsidP="00AA2DD0">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Profit</w:t>
            </w:r>
          </w:p>
        </w:tc>
        <w:tc>
          <w:tcPr>
            <w:tcW w:w="578" w:type="pct"/>
            <w:vMerge w:val="restart"/>
            <w:hideMark/>
          </w:tcPr>
          <w:p w14:paraId="5A13EE64" w14:textId="77777777" w:rsidR="00AA2DD0" w:rsidRPr="008D7DBA" w:rsidRDefault="00AA2DD0" w:rsidP="00AA2DD0">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Profit ÷ Total Assets) *100</w:t>
            </w:r>
          </w:p>
        </w:tc>
        <w:tc>
          <w:tcPr>
            <w:tcW w:w="647" w:type="pct"/>
            <w:noWrap/>
            <w:hideMark/>
          </w:tcPr>
          <w:p w14:paraId="49AD693D"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-24,029</w:t>
            </w:r>
          </w:p>
        </w:tc>
        <w:tc>
          <w:tcPr>
            <w:tcW w:w="647" w:type="pct"/>
            <w:noWrap/>
            <w:hideMark/>
          </w:tcPr>
          <w:p w14:paraId="1CAB2D1E"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-98,238</w:t>
            </w:r>
          </w:p>
        </w:tc>
        <w:tc>
          <w:tcPr>
            <w:tcW w:w="647" w:type="pct"/>
            <w:noWrap/>
            <w:hideMark/>
          </w:tcPr>
          <w:p w14:paraId="6DEE9736"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407</w:t>
            </w:r>
          </w:p>
        </w:tc>
        <w:tc>
          <w:tcPr>
            <w:tcW w:w="647" w:type="pct"/>
            <w:noWrap/>
            <w:hideMark/>
          </w:tcPr>
          <w:p w14:paraId="752BDF1C"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5,301</w:t>
            </w:r>
          </w:p>
        </w:tc>
        <w:tc>
          <w:tcPr>
            <w:tcW w:w="647" w:type="pct"/>
            <w:noWrap/>
            <w:hideMark/>
          </w:tcPr>
          <w:p w14:paraId="2F1B35FA"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38,572</w:t>
            </w:r>
          </w:p>
        </w:tc>
      </w:tr>
      <w:tr w:rsidR="001A0657" w:rsidRPr="008D7DBA" w14:paraId="6EF39F03"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1C578D3B" w14:textId="77777777" w:rsidR="00AA2DD0" w:rsidRPr="008D7DBA" w:rsidRDefault="00AA2DD0" w:rsidP="00AA2DD0">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Total Asset</w:t>
            </w:r>
          </w:p>
        </w:tc>
        <w:tc>
          <w:tcPr>
            <w:tcW w:w="578" w:type="pct"/>
            <w:vMerge/>
            <w:hideMark/>
          </w:tcPr>
          <w:p w14:paraId="65D1CD80" w14:textId="77777777" w:rsidR="00AA2DD0" w:rsidRPr="008D7DBA" w:rsidRDefault="00AA2DD0" w:rsidP="00AA2DD0">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47" w:type="pct"/>
            <w:noWrap/>
            <w:hideMark/>
          </w:tcPr>
          <w:p w14:paraId="3CC582C3"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323,354</w:t>
            </w:r>
          </w:p>
        </w:tc>
        <w:tc>
          <w:tcPr>
            <w:tcW w:w="647" w:type="pct"/>
            <w:noWrap/>
            <w:hideMark/>
          </w:tcPr>
          <w:p w14:paraId="003655D3"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355,872</w:t>
            </w:r>
          </w:p>
        </w:tc>
        <w:tc>
          <w:tcPr>
            <w:tcW w:w="647" w:type="pct"/>
            <w:noWrap/>
            <w:hideMark/>
          </w:tcPr>
          <w:p w14:paraId="3F87311B"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504,163</w:t>
            </w:r>
          </w:p>
        </w:tc>
        <w:tc>
          <w:tcPr>
            <w:tcW w:w="647" w:type="pct"/>
            <w:noWrap/>
            <w:hideMark/>
          </w:tcPr>
          <w:p w14:paraId="4073AE27"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510,348</w:t>
            </w:r>
          </w:p>
        </w:tc>
        <w:tc>
          <w:tcPr>
            <w:tcW w:w="647" w:type="pct"/>
            <w:noWrap/>
            <w:hideMark/>
          </w:tcPr>
          <w:p w14:paraId="30ECF220" w14:textId="77777777" w:rsidR="00AA2DD0" w:rsidRPr="008D7DBA" w:rsidRDefault="00AA2DD0" w:rsidP="00AA2DD0">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510,290</w:t>
            </w:r>
          </w:p>
        </w:tc>
      </w:tr>
      <w:tr w:rsidR="001A0657" w:rsidRPr="008D7DBA" w14:paraId="68B43C81"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86" w:type="pct"/>
            <w:noWrap/>
            <w:hideMark/>
          </w:tcPr>
          <w:p w14:paraId="13281939" w14:textId="77777777" w:rsidR="00AA2DD0" w:rsidRPr="008D7DBA" w:rsidRDefault="00AA2DD0" w:rsidP="00AA2DD0">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Return On Asset</w:t>
            </w:r>
          </w:p>
        </w:tc>
        <w:tc>
          <w:tcPr>
            <w:tcW w:w="578" w:type="pct"/>
            <w:vMerge/>
            <w:hideMark/>
          </w:tcPr>
          <w:p w14:paraId="045C5F2D" w14:textId="77777777" w:rsidR="00AA2DD0" w:rsidRPr="008D7DBA" w:rsidRDefault="00AA2DD0" w:rsidP="00AA2DD0">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47" w:type="pct"/>
            <w:noWrap/>
            <w:hideMark/>
          </w:tcPr>
          <w:p w14:paraId="66BBEF0D"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-7.43%</w:t>
            </w:r>
          </w:p>
        </w:tc>
        <w:tc>
          <w:tcPr>
            <w:tcW w:w="647" w:type="pct"/>
            <w:noWrap/>
            <w:hideMark/>
          </w:tcPr>
          <w:p w14:paraId="52CEBE48"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-27.60%</w:t>
            </w:r>
          </w:p>
        </w:tc>
        <w:tc>
          <w:tcPr>
            <w:tcW w:w="647" w:type="pct"/>
            <w:noWrap/>
            <w:hideMark/>
          </w:tcPr>
          <w:p w14:paraId="6066B3F6"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0.08%</w:t>
            </w:r>
          </w:p>
        </w:tc>
        <w:tc>
          <w:tcPr>
            <w:tcW w:w="647" w:type="pct"/>
            <w:noWrap/>
            <w:hideMark/>
          </w:tcPr>
          <w:p w14:paraId="5F12BC1B"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1.04%</w:t>
            </w:r>
          </w:p>
        </w:tc>
        <w:tc>
          <w:tcPr>
            <w:tcW w:w="647" w:type="pct"/>
            <w:noWrap/>
            <w:hideMark/>
          </w:tcPr>
          <w:p w14:paraId="6CC74C8B" w14:textId="77777777" w:rsidR="00AA2DD0" w:rsidRPr="008D7DBA" w:rsidRDefault="00AA2DD0" w:rsidP="00AA2DD0">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7.56%</w:t>
            </w:r>
          </w:p>
        </w:tc>
      </w:tr>
    </w:tbl>
    <w:p w14:paraId="68745077" w14:textId="591FE3DA" w:rsidR="006F6997" w:rsidRPr="008D7DBA" w:rsidRDefault="006F6997" w:rsidP="006F6997">
      <w:pPr>
        <w:pStyle w:val="Caption"/>
        <w:jc w:val="center"/>
        <w:rPr>
          <w:rFonts w:ascii="Arial" w:hAnsi="Arial" w:cs="Arial"/>
          <w:b/>
          <w:bCs/>
          <w:color w:val="auto"/>
        </w:rPr>
      </w:pPr>
      <w:bookmarkStart w:id="5" w:name="_Toc216380437"/>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1</w:t>
      </w:r>
      <w:r w:rsidRPr="008D7DBA">
        <w:rPr>
          <w:rFonts w:ascii="Arial" w:hAnsi="Arial" w:cs="Arial"/>
          <w:color w:val="auto"/>
        </w:rPr>
        <w:fldChar w:fldCharType="end"/>
      </w:r>
      <w:r w:rsidRPr="008D7DBA">
        <w:rPr>
          <w:rFonts w:ascii="Arial" w:hAnsi="Arial" w:cs="Arial"/>
          <w:color w:val="auto"/>
        </w:rPr>
        <w:t>: Profitability Calculation</w:t>
      </w:r>
      <w:bookmarkEnd w:id="5"/>
    </w:p>
    <w:p w14:paraId="7E68EABF" w14:textId="48EE3F7E" w:rsidR="0082692D" w:rsidRPr="008D7DBA" w:rsidRDefault="0082692D" w:rsidP="0082692D">
      <w:pPr>
        <w:rPr>
          <w:rFonts w:ascii="Arial" w:hAnsi="Arial" w:cs="Arial"/>
          <w:b/>
          <w:bCs/>
        </w:rPr>
      </w:pPr>
      <w:r w:rsidRPr="008D7DBA">
        <w:rPr>
          <w:rFonts w:ascii="Arial" w:hAnsi="Arial" w:cs="Arial"/>
          <w:i/>
          <w:iCs/>
        </w:rPr>
        <w:lastRenderedPageBreak/>
        <w:t>Gross Profit Margin</w:t>
      </w:r>
      <w:r w:rsidR="008C0803" w:rsidRPr="008D7DBA">
        <w:rPr>
          <w:rFonts w:ascii="Arial" w:hAnsi="Arial" w:cs="Arial"/>
          <w:i/>
          <w:iCs/>
        </w:rPr>
        <w:t>:</w:t>
      </w:r>
      <w:r w:rsidR="008C0803" w:rsidRPr="008D7DBA">
        <w:rPr>
          <w:rFonts w:ascii="Arial" w:hAnsi="Arial" w:cs="Arial"/>
          <w:b/>
          <w:bCs/>
        </w:rPr>
        <w:t xml:space="preserve"> </w:t>
      </w:r>
      <w:r w:rsidRPr="008D7DBA">
        <w:rPr>
          <w:rFonts w:ascii="Arial" w:hAnsi="Arial" w:cs="Arial"/>
        </w:rPr>
        <w:t>Gross Profit Margin has experienced a minor change over the years</w:t>
      </w:r>
      <w:r w:rsidR="0095452D" w:rsidRPr="008D7DBA">
        <w:rPr>
          <w:rFonts w:ascii="Arial" w:hAnsi="Arial" w:cs="Arial"/>
        </w:rPr>
        <w:t>,</w:t>
      </w:r>
      <w:r w:rsidRPr="008D7DBA">
        <w:rPr>
          <w:rFonts w:ascii="Arial" w:hAnsi="Arial" w:cs="Arial"/>
        </w:rPr>
        <w:t xml:space="preserve"> with the company recording a decrease of 0.27 points comparing 2020 and 2024</w:t>
      </w:r>
      <w:r w:rsidR="0095452D" w:rsidRPr="008D7DBA">
        <w:rPr>
          <w:rFonts w:ascii="Arial" w:hAnsi="Arial" w:cs="Arial"/>
        </w:rPr>
        <w:t>,</w:t>
      </w:r>
      <w:r w:rsidRPr="008D7DBA">
        <w:rPr>
          <w:rFonts w:ascii="Arial" w:hAnsi="Arial" w:cs="Arial"/>
        </w:rPr>
        <w:t xml:space="preserve"> </w:t>
      </w:r>
      <w:r w:rsidR="0095452D" w:rsidRPr="008D7DBA">
        <w:rPr>
          <w:rFonts w:ascii="Arial" w:hAnsi="Arial" w:cs="Arial"/>
        </w:rPr>
        <w:t>with</w:t>
      </w:r>
      <w:r w:rsidRPr="008D7DBA">
        <w:rPr>
          <w:rFonts w:ascii="Arial" w:hAnsi="Arial" w:cs="Arial"/>
        </w:rPr>
        <w:t xml:space="preserve"> 28.67 and 28.87</w:t>
      </w:r>
      <w:r w:rsidR="0095452D" w:rsidRPr="008D7DBA">
        <w:rPr>
          <w:rFonts w:ascii="Arial" w:hAnsi="Arial" w:cs="Arial"/>
        </w:rPr>
        <w:t>,</w:t>
      </w:r>
      <w:r w:rsidRPr="008D7DBA">
        <w:rPr>
          <w:rFonts w:ascii="Arial" w:hAnsi="Arial" w:cs="Arial"/>
        </w:rPr>
        <w:t xml:space="preserve"> respectively. This is an increment of </w:t>
      </w:r>
      <w:r w:rsidR="0095452D" w:rsidRPr="008D7DBA">
        <w:rPr>
          <w:rFonts w:ascii="Arial" w:hAnsi="Arial" w:cs="Arial"/>
        </w:rPr>
        <w:t>3%</w:t>
      </w:r>
      <w:r w:rsidRPr="008D7DBA">
        <w:rPr>
          <w:rFonts w:ascii="Arial" w:hAnsi="Arial" w:cs="Arial"/>
        </w:rPr>
        <w:t xml:space="preserve"> in 2024 compared to a fall to 23.20</w:t>
      </w:r>
      <w:r w:rsidR="0095452D" w:rsidRPr="008D7DBA">
        <w:rPr>
          <w:rFonts w:ascii="Arial" w:hAnsi="Arial" w:cs="Arial"/>
        </w:rPr>
        <w:t>%</w:t>
      </w:r>
      <w:r w:rsidRPr="008D7DBA">
        <w:rPr>
          <w:rFonts w:ascii="Arial" w:hAnsi="Arial" w:cs="Arial"/>
        </w:rPr>
        <w:t xml:space="preserve"> in 2023. </w:t>
      </w:r>
      <w:r w:rsidR="009D511F" w:rsidRPr="008D7DBA">
        <w:rPr>
          <w:rFonts w:ascii="Arial" w:hAnsi="Arial" w:cs="Arial"/>
        </w:rPr>
        <w:t>Although</w:t>
      </w:r>
      <w:r w:rsidRPr="008D7DBA">
        <w:rPr>
          <w:rFonts w:ascii="Arial" w:hAnsi="Arial" w:cs="Arial"/>
        </w:rPr>
        <w:t xml:space="preserve"> the margin remains healthy, the loss and volatility over the last few years mean that there is a problem with ensuring effective cost control or price power</w:t>
      </w:r>
      <w:r w:rsidR="0095452D" w:rsidRPr="008D7DBA">
        <w:rPr>
          <w:rFonts w:ascii="Arial" w:hAnsi="Arial" w:cs="Arial"/>
        </w:rPr>
        <w:t>,</w:t>
      </w:r>
      <w:r w:rsidRPr="008D7DBA">
        <w:rPr>
          <w:rFonts w:ascii="Arial" w:hAnsi="Arial" w:cs="Arial"/>
        </w:rPr>
        <w:t xml:space="preserve"> particularly when it comes to market competition or increasing costs</w:t>
      </w:r>
      <w:r w:rsidR="0058089E" w:rsidRPr="008D7DBA">
        <w:rPr>
          <w:rFonts w:ascii="Arial" w:hAnsi="Arial" w:cs="Arial"/>
        </w:rPr>
        <w:t xml:space="preserve"> </w:t>
      </w:r>
      <w:r w:rsidR="0058089E" w:rsidRPr="008D7DBA">
        <w:rPr>
          <w:rFonts w:ascii="Arial" w:hAnsi="Arial" w:cs="Arial"/>
          <w:shd w:val="clear" w:color="auto" w:fill="FFFFFF"/>
        </w:rPr>
        <w:t>(Thomas and Rabiyathul Basariya, 2019)</w:t>
      </w:r>
      <w:r w:rsidRPr="008D7DBA">
        <w:rPr>
          <w:rFonts w:ascii="Arial" w:hAnsi="Arial" w:cs="Arial"/>
        </w:rPr>
        <w:t>.</w:t>
      </w:r>
    </w:p>
    <w:p w14:paraId="3E504370" w14:textId="5DA7BFAC" w:rsidR="0082692D" w:rsidRPr="008D7DBA" w:rsidRDefault="0082692D" w:rsidP="0082692D">
      <w:pPr>
        <w:rPr>
          <w:rFonts w:ascii="Arial" w:hAnsi="Arial" w:cs="Arial"/>
        </w:rPr>
      </w:pPr>
      <w:r w:rsidRPr="008D7DBA">
        <w:rPr>
          <w:rFonts w:ascii="Arial" w:hAnsi="Arial" w:cs="Arial"/>
          <w:i/>
          <w:iCs/>
        </w:rPr>
        <w:t>Return on Assets</w:t>
      </w:r>
      <w:r w:rsidR="008C0803" w:rsidRPr="008D7DBA">
        <w:rPr>
          <w:rFonts w:ascii="Arial" w:hAnsi="Arial" w:cs="Arial"/>
          <w:i/>
          <w:iCs/>
        </w:rPr>
        <w:t>:</w:t>
      </w:r>
      <w:r w:rsidR="008C0803" w:rsidRPr="008D7DBA">
        <w:rPr>
          <w:rFonts w:ascii="Arial" w:hAnsi="Arial" w:cs="Arial"/>
        </w:rPr>
        <w:t xml:space="preserve"> </w:t>
      </w:r>
      <w:r w:rsidRPr="008D7DBA">
        <w:rPr>
          <w:rFonts w:ascii="Arial" w:hAnsi="Arial" w:cs="Arial"/>
        </w:rPr>
        <w:t xml:space="preserve">The ROA has been observing a drastic decline, taking a positive value of 7.56 in 2020 and reporting a negative -7.43 within 2024. This fall is a pointer </w:t>
      </w:r>
      <w:r w:rsidR="0095452D" w:rsidRPr="008D7DBA">
        <w:rPr>
          <w:rFonts w:ascii="Arial" w:hAnsi="Arial" w:cs="Arial"/>
        </w:rPr>
        <w:t>to</w:t>
      </w:r>
      <w:r w:rsidRPr="008D7DBA">
        <w:rPr>
          <w:rFonts w:ascii="Arial" w:hAnsi="Arial" w:cs="Arial"/>
        </w:rPr>
        <w:t xml:space="preserve"> a significant decrease in the capacity of the company to </w:t>
      </w:r>
      <w:r w:rsidR="0095452D" w:rsidRPr="008D7DBA">
        <w:rPr>
          <w:rFonts w:ascii="Arial" w:hAnsi="Arial" w:cs="Arial"/>
        </w:rPr>
        <w:t>generat</w:t>
      </w:r>
      <w:r w:rsidRPr="008D7DBA">
        <w:rPr>
          <w:rFonts w:ascii="Arial" w:hAnsi="Arial" w:cs="Arial"/>
        </w:rPr>
        <w:t xml:space="preserve">e revenue </w:t>
      </w:r>
      <w:r w:rsidR="0095452D" w:rsidRPr="008D7DBA">
        <w:rPr>
          <w:rFonts w:ascii="Arial" w:hAnsi="Arial" w:cs="Arial"/>
        </w:rPr>
        <w:t>from</w:t>
      </w:r>
      <w:r w:rsidRPr="008D7DBA">
        <w:rPr>
          <w:rFonts w:ascii="Arial" w:hAnsi="Arial" w:cs="Arial"/>
        </w:rPr>
        <w:t xml:space="preserve"> its assets. Although total assets have been high, losses </w:t>
      </w:r>
      <w:r w:rsidR="0095452D" w:rsidRPr="008D7DBA">
        <w:rPr>
          <w:rFonts w:ascii="Arial" w:hAnsi="Arial" w:cs="Arial"/>
        </w:rPr>
        <w:t>have been</w:t>
      </w:r>
      <w:r w:rsidRPr="008D7DBA">
        <w:rPr>
          <w:rFonts w:ascii="Arial" w:hAnsi="Arial" w:cs="Arial"/>
        </w:rPr>
        <w:t xml:space="preserve"> significantly posted both in 2023 and 2024, dragging the return, and this indicates that the assets have not been put to very good use to push the profitability.</w:t>
      </w:r>
    </w:p>
    <w:p w14:paraId="047E17F6" w14:textId="25B035EE" w:rsidR="0082692D" w:rsidRPr="008D7DBA" w:rsidRDefault="0082692D" w:rsidP="0082692D">
      <w:pPr>
        <w:rPr>
          <w:rFonts w:ascii="Arial" w:hAnsi="Arial" w:cs="Arial"/>
          <w:b/>
          <w:bCs/>
        </w:rPr>
      </w:pPr>
      <w:r w:rsidRPr="008D7DBA">
        <w:rPr>
          <w:rFonts w:ascii="Arial" w:hAnsi="Arial" w:cs="Arial"/>
          <w:b/>
          <w:bCs/>
        </w:rPr>
        <w:t>Liquidity Ratios</w:t>
      </w:r>
    </w:p>
    <w:p w14:paraId="7666DB0A" w14:textId="77777777" w:rsidR="00466EEA" w:rsidRPr="008D7DBA" w:rsidRDefault="00466EEA" w:rsidP="00466EEA">
      <w:pPr>
        <w:keepNext/>
        <w:jc w:val="center"/>
        <w:rPr>
          <w:rFonts w:ascii="Arial" w:hAnsi="Arial" w:cs="Arial"/>
        </w:rPr>
      </w:pPr>
      <w:r w:rsidRPr="008D7DBA">
        <w:rPr>
          <w:rFonts w:ascii="Arial" w:hAnsi="Arial" w:cs="Arial"/>
          <w:noProof/>
        </w:rPr>
        <w:drawing>
          <wp:inline distT="0" distB="0" distL="0" distR="0" wp14:anchorId="7E49DF8B" wp14:editId="2C35BF47">
            <wp:extent cx="3143250" cy="1835150"/>
            <wp:effectExtent l="0" t="0" r="0" b="12700"/>
            <wp:docPr id="1996356746" name="Chart 1">
              <a:extLst xmlns:a="http://schemas.openxmlformats.org/drawingml/2006/main">
                <a:ext uri="{FF2B5EF4-FFF2-40B4-BE49-F238E27FC236}">
                  <a16:creationId xmlns:a16="http://schemas.microsoft.com/office/drawing/2014/main" id="{D798B1B1-151D-D586-182E-A85326D9A6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6A30579" w14:textId="15B44119" w:rsidR="00466EEA" w:rsidRPr="008D7DBA" w:rsidRDefault="00466EEA" w:rsidP="00466EEA">
      <w:pPr>
        <w:pStyle w:val="Caption"/>
        <w:jc w:val="center"/>
        <w:rPr>
          <w:rFonts w:ascii="Arial" w:hAnsi="Arial" w:cs="Arial"/>
          <w:color w:val="auto"/>
        </w:rPr>
      </w:pPr>
      <w:bookmarkStart w:id="6" w:name="_Toc216380446"/>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00FC1C62" w:rsidRPr="008D7DBA">
        <w:rPr>
          <w:rFonts w:ascii="Arial" w:hAnsi="Arial" w:cs="Arial"/>
          <w:noProof/>
          <w:color w:val="auto"/>
        </w:rPr>
        <w:t>2</w:t>
      </w:r>
      <w:r w:rsidRPr="008D7DBA">
        <w:rPr>
          <w:rFonts w:ascii="Arial" w:hAnsi="Arial" w:cs="Arial"/>
          <w:color w:val="auto"/>
        </w:rPr>
        <w:fldChar w:fldCharType="end"/>
      </w:r>
      <w:r w:rsidRPr="008D7DBA">
        <w:rPr>
          <w:rFonts w:ascii="Arial" w:hAnsi="Arial" w:cs="Arial"/>
          <w:color w:val="auto"/>
        </w:rPr>
        <w:t>: Liquidity</w:t>
      </w:r>
      <w:bookmarkEnd w:id="6"/>
    </w:p>
    <w:tbl>
      <w:tblPr>
        <w:tblStyle w:val="PlainTable1"/>
        <w:tblW w:w="4764" w:type="pct"/>
        <w:tblLook w:val="04A0" w:firstRow="1" w:lastRow="0" w:firstColumn="1" w:lastColumn="0" w:noHBand="0" w:noVBand="1"/>
      </w:tblPr>
      <w:tblGrid>
        <w:gridCol w:w="1939"/>
        <w:gridCol w:w="1141"/>
        <w:gridCol w:w="1254"/>
        <w:gridCol w:w="1254"/>
        <w:gridCol w:w="1254"/>
        <w:gridCol w:w="1254"/>
        <w:gridCol w:w="1254"/>
      </w:tblGrid>
      <w:tr w:rsidR="00A80E41" w:rsidRPr="008D7DBA" w14:paraId="29F5B3DD" w14:textId="77777777" w:rsidTr="00AA2DD0">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522058BD"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Current ratio</w:t>
            </w:r>
          </w:p>
        </w:tc>
      </w:tr>
      <w:tr w:rsidR="00A80E41" w:rsidRPr="008D7DBA" w14:paraId="5F88D0FD"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5201F874"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593" w:type="pct"/>
            <w:noWrap/>
            <w:hideMark/>
          </w:tcPr>
          <w:p w14:paraId="30A56BCF"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74" w:type="pct"/>
            <w:noWrap/>
            <w:hideMark/>
          </w:tcPr>
          <w:p w14:paraId="5525ACBB"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74" w:type="pct"/>
            <w:noWrap/>
            <w:hideMark/>
          </w:tcPr>
          <w:p w14:paraId="2160552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74" w:type="pct"/>
            <w:noWrap/>
            <w:hideMark/>
          </w:tcPr>
          <w:p w14:paraId="07B097FC"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74" w:type="pct"/>
            <w:noWrap/>
            <w:hideMark/>
          </w:tcPr>
          <w:p w14:paraId="1CC362F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74" w:type="pct"/>
            <w:noWrap/>
            <w:hideMark/>
          </w:tcPr>
          <w:p w14:paraId="0EB824A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31B142C1"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1EC65D6B"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Current Assets </w:t>
            </w:r>
          </w:p>
        </w:tc>
        <w:tc>
          <w:tcPr>
            <w:tcW w:w="593" w:type="pct"/>
            <w:vMerge w:val="restart"/>
            <w:hideMark/>
          </w:tcPr>
          <w:p w14:paraId="3AFA8DBD" w14:textId="172BC6B9"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Current Assets/ Current Liabilit</w:t>
            </w:r>
            <w:r w:rsidR="0095452D" w:rsidRPr="008D7DBA">
              <w:rPr>
                <w:rFonts w:ascii="Arial" w:eastAsia="Times New Roman" w:hAnsi="Arial" w:cs="Arial"/>
                <w:kern w:val="0"/>
                <w:szCs w:val="24"/>
                <w14:ligatures w14:val="none"/>
              </w:rPr>
              <w:t>ies</w:t>
            </w:r>
            <w:r w:rsidRPr="008D7DBA">
              <w:rPr>
                <w:rFonts w:ascii="Arial" w:eastAsia="Times New Roman" w:hAnsi="Arial" w:cs="Arial"/>
                <w:kern w:val="0"/>
                <w:szCs w:val="24"/>
                <w14:ligatures w14:val="none"/>
              </w:rPr>
              <w:t xml:space="preserve"> </w:t>
            </w:r>
          </w:p>
        </w:tc>
        <w:tc>
          <w:tcPr>
            <w:tcW w:w="674" w:type="pct"/>
            <w:noWrap/>
            <w:hideMark/>
          </w:tcPr>
          <w:p w14:paraId="391C6A85"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242,494</w:t>
            </w:r>
          </w:p>
        </w:tc>
        <w:tc>
          <w:tcPr>
            <w:tcW w:w="674" w:type="pct"/>
            <w:noWrap/>
            <w:hideMark/>
          </w:tcPr>
          <w:p w14:paraId="122F488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258,851</w:t>
            </w:r>
          </w:p>
        </w:tc>
        <w:tc>
          <w:tcPr>
            <w:tcW w:w="674" w:type="pct"/>
            <w:noWrap/>
            <w:hideMark/>
          </w:tcPr>
          <w:p w14:paraId="3AFD750D"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338,040</w:t>
            </w:r>
          </w:p>
        </w:tc>
        <w:tc>
          <w:tcPr>
            <w:tcW w:w="674" w:type="pct"/>
            <w:noWrap/>
            <w:hideMark/>
          </w:tcPr>
          <w:p w14:paraId="288034B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337,146</w:t>
            </w:r>
          </w:p>
        </w:tc>
        <w:tc>
          <w:tcPr>
            <w:tcW w:w="674" w:type="pct"/>
            <w:noWrap/>
            <w:hideMark/>
          </w:tcPr>
          <w:p w14:paraId="597209EB"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326,843</w:t>
            </w:r>
          </w:p>
        </w:tc>
      </w:tr>
      <w:tr w:rsidR="00A80E41" w:rsidRPr="008D7DBA" w14:paraId="1C1880E9"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785ABE60"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Current Liability </w:t>
            </w:r>
          </w:p>
        </w:tc>
        <w:tc>
          <w:tcPr>
            <w:tcW w:w="593" w:type="pct"/>
            <w:vMerge/>
            <w:hideMark/>
          </w:tcPr>
          <w:p w14:paraId="4C46680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74" w:type="pct"/>
            <w:noWrap/>
            <w:hideMark/>
          </w:tcPr>
          <w:p w14:paraId="4411B7D3"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158,291</w:t>
            </w:r>
          </w:p>
        </w:tc>
        <w:tc>
          <w:tcPr>
            <w:tcW w:w="674" w:type="pct"/>
            <w:noWrap/>
            <w:hideMark/>
          </w:tcPr>
          <w:p w14:paraId="76C5E6FA"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161,148</w:t>
            </w:r>
          </w:p>
        </w:tc>
        <w:tc>
          <w:tcPr>
            <w:tcW w:w="674" w:type="pct"/>
            <w:noWrap/>
            <w:hideMark/>
          </w:tcPr>
          <w:p w14:paraId="213AF00B"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216,473</w:t>
            </w:r>
          </w:p>
        </w:tc>
        <w:tc>
          <w:tcPr>
            <w:tcW w:w="674" w:type="pct"/>
            <w:noWrap/>
            <w:hideMark/>
          </w:tcPr>
          <w:p w14:paraId="6D17AD23"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216,787</w:t>
            </w:r>
          </w:p>
        </w:tc>
        <w:tc>
          <w:tcPr>
            <w:tcW w:w="674" w:type="pct"/>
            <w:noWrap/>
            <w:hideMark/>
          </w:tcPr>
          <w:p w14:paraId="4059FB12"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179,510</w:t>
            </w:r>
          </w:p>
        </w:tc>
      </w:tr>
      <w:tr w:rsidR="00A80E41" w:rsidRPr="008D7DBA" w14:paraId="71F142C0"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73161DF8"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Current Ratio</w:t>
            </w:r>
          </w:p>
        </w:tc>
        <w:tc>
          <w:tcPr>
            <w:tcW w:w="593" w:type="pct"/>
            <w:vMerge/>
            <w:hideMark/>
          </w:tcPr>
          <w:p w14:paraId="32889D31"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74" w:type="pct"/>
            <w:noWrap/>
            <w:hideMark/>
          </w:tcPr>
          <w:p w14:paraId="3E03426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1.53</w:t>
            </w:r>
          </w:p>
        </w:tc>
        <w:tc>
          <w:tcPr>
            <w:tcW w:w="674" w:type="pct"/>
            <w:noWrap/>
            <w:hideMark/>
          </w:tcPr>
          <w:p w14:paraId="1E1869CD"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1.61</w:t>
            </w:r>
          </w:p>
        </w:tc>
        <w:tc>
          <w:tcPr>
            <w:tcW w:w="674" w:type="pct"/>
            <w:noWrap/>
            <w:hideMark/>
          </w:tcPr>
          <w:p w14:paraId="299FB045"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1.56</w:t>
            </w:r>
          </w:p>
        </w:tc>
        <w:tc>
          <w:tcPr>
            <w:tcW w:w="674" w:type="pct"/>
            <w:noWrap/>
            <w:hideMark/>
          </w:tcPr>
          <w:p w14:paraId="6E3A15E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1.56</w:t>
            </w:r>
          </w:p>
        </w:tc>
        <w:tc>
          <w:tcPr>
            <w:tcW w:w="674" w:type="pct"/>
            <w:noWrap/>
            <w:hideMark/>
          </w:tcPr>
          <w:p w14:paraId="4566A8F7"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1.82</w:t>
            </w:r>
          </w:p>
        </w:tc>
      </w:tr>
      <w:tr w:rsidR="00A80E41" w:rsidRPr="008D7DBA" w14:paraId="35065761"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4F9AB0BE" w14:textId="77777777" w:rsidR="00AA2DD0" w:rsidRPr="008D7DBA" w:rsidRDefault="00AA2DD0" w:rsidP="00DA07CE">
            <w:pPr>
              <w:spacing w:line="240" w:lineRule="auto"/>
              <w:jc w:val="left"/>
              <w:rPr>
                <w:rFonts w:ascii="Arial" w:eastAsia="Times New Roman" w:hAnsi="Arial" w:cs="Arial"/>
                <w:kern w:val="0"/>
                <w:sz w:val="20"/>
                <w:szCs w:val="20"/>
                <w14:ligatures w14:val="none"/>
              </w:rPr>
            </w:pPr>
          </w:p>
        </w:tc>
        <w:tc>
          <w:tcPr>
            <w:tcW w:w="593" w:type="pct"/>
            <w:noWrap/>
            <w:hideMark/>
          </w:tcPr>
          <w:p w14:paraId="7C7B4B1A"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74" w:type="pct"/>
            <w:noWrap/>
            <w:hideMark/>
          </w:tcPr>
          <w:p w14:paraId="20FD1BBC"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74" w:type="pct"/>
            <w:noWrap/>
            <w:hideMark/>
          </w:tcPr>
          <w:p w14:paraId="291DB55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74" w:type="pct"/>
            <w:noWrap/>
            <w:hideMark/>
          </w:tcPr>
          <w:p w14:paraId="73C3A838"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74" w:type="pct"/>
            <w:noWrap/>
            <w:hideMark/>
          </w:tcPr>
          <w:p w14:paraId="34195AB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74" w:type="pct"/>
            <w:noWrap/>
            <w:hideMark/>
          </w:tcPr>
          <w:p w14:paraId="4BB9E76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A80E41" w:rsidRPr="008D7DBA" w14:paraId="7AFC3182"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4F52E640"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Quick ratio</w:t>
            </w:r>
          </w:p>
        </w:tc>
      </w:tr>
      <w:tr w:rsidR="00A80E41" w:rsidRPr="008D7DBA" w14:paraId="7D8AE544"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380441B0"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lastRenderedPageBreak/>
              <w:t>Particulars</w:t>
            </w:r>
          </w:p>
        </w:tc>
        <w:tc>
          <w:tcPr>
            <w:tcW w:w="593" w:type="pct"/>
            <w:noWrap/>
            <w:hideMark/>
          </w:tcPr>
          <w:p w14:paraId="1658C15A"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74" w:type="pct"/>
            <w:noWrap/>
            <w:hideMark/>
          </w:tcPr>
          <w:p w14:paraId="65FE46F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74" w:type="pct"/>
            <w:noWrap/>
            <w:hideMark/>
          </w:tcPr>
          <w:p w14:paraId="66F4CD6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74" w:type="pct"/>
            <w:noWrap/>
            <w:hideMark/>
          </w:tcPr>
          <w:p w14:paraId="58784B7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74" w:type="pct"/>
            <w:noWrap/>
            <w:hideMark/>
          </w:tcPr>
          <w:p w14:paraId="19F51CA2"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74" w:type="pct"/>
            <w:noWrap/>
            <w:hideMark/>
          </w:tcPr>
          <w:p w14:paraId="6B582FF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79F1A09A"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548A55C4"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Quick Assets </w:t>
            </w:r>
          </w:p>
        </w:tc>
        <w:tc>
          <w:tcPr>
            <w:tcW w:w="593" w:type="pct"/>
            <w:vMerge w:val="restart"/>
            <w:hideMark/>
          </w:tcPr>
          <w:p w14:paraId="5A093384"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Quick  Assets/ Current Liability </w:t>
            </w:r>
          </w:p>
        </w:tc>
        <w:tc>
          <w:tcPr>
            <w:tcW w:w="674" w:type="pct"/>
            <w:noWrap/>
            <w:hideMark/>
          </w:tcPr>
          <w:p w14:paraId="2E0A3DB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163,139</w:t>
            </w:r>
          </w:p>
        </w:tc>
        <w:tc>
          <w:tcPr>
            <w:tcW w:w="674" w:type="pct"/>
            <w:noWrap/>
            <w:hideMark/>
          </w:tcPr>
          <w:p w14:paraId="59EDC15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170,578</w:t>
            </w:r>
          </w:p>
        </w:tc>
        <w:tc>
          <w:tcPr>
            <w:tcW w:w="674" w:type="pct"/>
            <w:noWrap/>
            <w:hideMark/>
          </w:tcPr>
          <w:p w14:paraId="111EDAC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197,859</w:t>
            </w:r>
          </w:p>
        </w:tc>
        <w:tc>
          <w:tcPr>
            <w:tcW w:w="674" w:type="pct"/>
            <w:noWrap/>
            <w:hideMark/>
          </w:tcPr>
          <w:p w14:paraId="67BB082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202,677</w:t>
            </w:r>
          </w:p>
        </w:tc>
        <w:tc>
          <w:tcPr>
            <w:tcW w:w="674" w:type="pct"/>
            <w:noWrap/>
            <w:hideMark/>
          </w:tcPr>
          <w:p w14:paraId="0D34016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206,413</w:t>
            </w:r>
          </w:p>
        </w:tc>
      </w:tr>
      <w:tr w:rsidR="00A80E41" w:rsidRPr="008D7DBA" w14:paraId="1A3A420E"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45AB25B0"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Current Liability </w:t>
            </w:r>
          </w:p>
        </w:tc>
        <w:tc>
          <w:tcPr>
            <w:tcW w:w="593" w:type="pct"/>
            <w:vMerge/>
            <w:hideMark/>
          </w:tcPr>
          <w:p w14:paraId="51D1A09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74" w:type="pct"/>
            <w:noWrap/>
            <w:hideMark/>
          </w:tcPr>
          <w:p w14:paraId="720A778D"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158,291</w:t>
            </w:r>
          </w:p>
        </w:tc>
        <w:tc>
          <w:tcPr>
            <w:tcW w:w="674" w:type="pct"/>
            <w:noWrap/>
            <w:hideMark/>
          </w:tcPr>
          <w:p w14:paraId="16994CFE"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161,148</w:t>
            </w:r>
          </w:p>
        </w:tc>
        <w:tc>
          <w:tcPr>
            <w:tcW w:w="674" w:type="pct"/>
            <w:noWrap/>
            <w:hideMark/>
          </w:tcPr>
          <w:p w14:paraId="122B6DFD"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216,473</w:t>
            </w:r>
          </w:p>
        </w:tc>
        <w:tc>
          <w:tcPr>
            <w:tcW w:w="674" w:type="pct"/>
            <w:noWrap/>
            <w:hideMark/>
          </w:tcPr>
          <w:p w14:paraId="272741DA"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216,787</w:t>
            </w:r>
          </w:p>
        </w:tc>
        <w:tc>
          <w:tcPr>
            <w:tcW w:w="674" w:type="pct"/>
            <w:noWrap/>
            <w:hideMark/>
          </w:tcPr>
          <w:p w14:paraId="281611DA"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179,510</w:t>
            </w:r>
          </w:p>
        </w:tc>
      </w:tr>
      <w:tr w:rsidR="00A80E41" w:rsidRPr="008D7DBA" w14:paraId="2FBECBCD"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039" w:type="pct"/>
            <w:noWrap/>
            <w:hideMark/>
          </w:tcPr>
          <w:p w14:paraId="4804DF37"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Quick Ratio</w:t>
            </w:r>
          </w:p>
        </w:tc>
        <w:tc>
          <w:tcPr>
            <w:tcW w:w="593" w:type="pct"/>
            <w:vMerge/>
            <w:hideMark/>
          </w:tcPr>
          <w:p w14:paraId="7DF4096F"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74" w:type="pct"/>
            <w:noWrap/>
            <w:hideMark/>
          </w:tcPr>
          <w:p w14:paraId="161AD9F8"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1.03</w:t>
            </w:r>
          </w:p>
        </w:tc>
        <w:tc>
          <w:tcPr>
            <w:tcW w:w="674" w:type="pct"/>
            <w:noWrap/>
            <w:hideMark/>
          </w:tcPr>
          <w:p w14:paraId="1F28AF4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1.06</w:t>
            </w:r>
          </w:p>
        </w:tc>
        <w:tc>
          <w:tcPr>
            <w:tcW w:w="674" w:type="pct"/>
            <w:noWrap/>
            <w:hideMark/>
          </w:tcPr>
          <w:p w14:paraId="76D8E26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0.91</w:t>
            </w:r>
          </w:p>
        </w:tc>
        <w:tc>
          <w:tcPr>
            <w:tcW w:w="674" w:type="pct"/>
            <w:noWrap/>
            <w:hideMark/>
          </w:tcPr>
          <w:p w14:paraId="7972585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0.93</w:t>
            </w:r>
          </w:p>
        </w:tc>
        <w:tc>
          <w:tcPr>
            <w:tcW w:w="674" w:type="pct"/>
            <w:noWrap/>
            <w:hideMark/>
          </w:tcPr>
          <w:p w14:paraId="32B2FF9B"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1.15</w:t>
            </w:r>
          </w:p>
        </w:tc>
      </w:tr>
    </w:tbl>
    <w:p w14:paraId="26F5D5F4" w14:textId="045938AF" w:rsidR="00466EEA" w:rsidRPr="008D7DBA" w:rsidRDefault="00466EEA" w:rsidP="00466EEA">
      <w:pPr>
        <w:pStyle w:val="Caption"/>
        <w:jc w:val="center"/>
        <w:rPr>
          <w:rFonts w:ascii="Arial" w:hAnsi="Arial" w:cs="Arial"/>
          <w:color w:val="auto"/>
        </w:rPr>
      </w:pPr>
      <w:bookmarkStart w:id="7" w:name="_Toc216380438"/>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2</w:t>
      </w:r>
      <w:r w:rsidRPr="008D7DBA">
        <w:rPr>
          <w:rFonts w:ascii="Arial" w:hAnsi="Arial" w:cs="Arial"/>
          <w:color w:val="auto"/>
        </w:rPr>
        <w:fldChar w:fldCharType="end"/>
      </w:r>
      <w:r w:rsidRPr="008D7DBA">
        <w:rPr>
          <w:rFonts w:ascii="Arial" w:hAnsi="Arial" w:cs="Arial"/>
          <w:color w:val="auto"/>
        </w:rPr>
        <w:t>: Liquidity Calculation</w:t>
      </w:r>
      <w:bookmarkEnd w:id="7"/>
    </w:p>
    <w:p w14:paraId="23BBA373" w14:textId="77BDAED4" w:rsidR="0082692D" w:rsidRPr="008D7DBA" w:rsidRDefault="0082692D" w:rsidP="0082692D">
      <w:pPr>
        <w:rPr>
          <w:rFonts w:ascii="Arial" w:hAnsi="Arial" w:cs="Arial"/>
        </w:rPr>
      </w:pPr>
      <w:r w:rsidRPr="008D7DBA">
        <w:rPr>
          <w:rFonts w:ascii="Arial" w:hAnsi="Arial" w:cs="Arial"/>
          <w:i/>
          <w:iCs/>
        </w:rPr>
        <w:t>Current Ratio</w:t>
      </w:r>
      <w:r w:rsidR="008C0803" w:rsidRPr="008D7DBA">
        <w:rPr>
          <w:rFonts w:ascii="Arial" w:hAnsi="Arial" w:cs="Arial"/>
          <w:i/>
          <w:iCs/>
        </w:rPr>
        <w:t>:</w:t>
      </w:r>
      <w:r w:rsidR="008C0803" w:rsidRPr="008D7DBA">
        <w:rPr>
          <w:rFonts w:ascii="Arial" w:hAnsi="Arial" w:cs="Arial"/>
        </w:rPr>
        <w:t xml:space="preserve"> </w:t>
      </w:r>
      <w:r w:rsidRPr="008D7DBA">
        <w:rPr>
          <w:rFonts w:ascii="Arial" w:hAnsi="Arial" w:cs="Arial"/>
        </w:rPr>
        <w:t xml:space="preserve">The Current Ratio has continued to decline gradually </w:t>
      </w:r>
      <w:r w:rsidR="0095452D" w:rsidRPr="008D7DBA">
        <w:rPr>
          <w:rFonts w:ascii="Arial" w:hAnsi="Arial" w:cs="Arial"/>
        </w:rPr>
        <w:t>from</w:t>
      </w:r>
      <w:r w:rsidRPr="008D7DBA">
        <w:rPr>
          <w:rFonts w:ascii="Arial" w:hAnsi="Arial" w:cs="Arial"/>
        </w:rPr>
        <w:t xml:space="preserve"> 1.82 in 2020 to 1.53 in 2024. Whereas still above the mark of 1.0, this fall assures of increasing the fear over the liquidity of the company in the short run</w:t>
      </w:r>
      <w:r w:rsidR="0058089E" w:rsidRPr="008D7DBA">
        <w:rPr>
          <w:rFonts w:ascii="Arial" w:hAnsi="Arial" w:cs="Arial"/>
        </w:rPr>
        <w:t xml:space="preserve"> </w:t>
      </w:r>
      <w:r w:rsidR="0058089E" w:rsidRPr="008D7DBA">
        <w:rPr>
          <w:rFonts w:ascii="Arial" w:hAnsi="Arial" w:cs="Arial"/>
          <w:shd w:val="clear" w:color="auto" w:fill="FFFFFF"/>
        </w:rPr>
        <w:t>(Supriyanto and Darmawan, 2018)</w:t>
      </w:r>
      <w:r w:rsidRPr="008D7DBA">
        <w:rPr>
          <w:rFonts w:ascii="Arial" w:hAnsi="Arial" w:cs="Arial"/>
        </w:rPr>
        <w:t>. The decreasing ratio can represent the stricter rules of working capital management or the increase in current liabilities, which means that the company is at risk of failing to provide the short-term commitments.</w:t>
      </w:r>
    </w:p>
    <w:p w14:paraId="60801FC8" w14:textId="539210BC" w:rsidR="0082692D" w:rsidRPr="008D7DBA" w:rsidRDefault="0082692D" w:rsidP="0082692D">
      <w:pPr>
        <w:rPr>
          <w:rFonts w:ascii="Arial" w:hAnsi="Arial" w:cs="Arial"/>
        </w:rPr>
      </w:pPr>
      <w:r w:rsidRPr="008D7DBA">
        <w:rPr>
          <w:rFonts w:ascii="Arial" w:hAnsi="Arial" w:cs="Arial"/>
          <w:i/>
          <w:iCs/>
        </w:rPr>
        <w:t>Quick Ratio</w:t>
      </w:r>
      <w:r w:rsidR="008C0803" w:rsidRPr="008D7DBA">
        <w:rPr>
          <w:rFonts w:ascii="Arial" w:hAnsi="Arial" w:cs="Arial"/>
          <w:i/>
          <w:iCs/>
        </w:rPr>
        <w:t>:</w:t>
      </w:r>
      <w:r w:rsidR="008C0803" w:rsidRPr="008D7DBA">
        <w:rPr>
          <w:rFonts w:ascii="Arial" w:hAnsi="Arial" w:cs="Arial"/>
        </w:rPr>
        <w:t xml:space="preserve"> </w:t>
      </w:r>
      <w:r w:rsidRPr="008D7DBA">
        <w:rPr>
          <w:rFonts w:ascii="Arial" w:hAnsi="Arial" w:cs="Arial"/>
        </w:rPr>
        <w:t xml:space="preserve">The Quick Ratio has decreased greatly compared </w:t>
      </w:r>
      <w:r w:rsidR="0095452D" w:rsidRPr="008D7DBA">
        <w:rPr>
          <w:rFonts w:ascii="Arial" w:hAnsi="Arial" w:cs="Arial"/>
        </w:rPr>
        <w:t>from</w:t>
      </w:r>
      <w:r w:rsidRPr="008D7DBA">
        <w:rPr>
          <w:rFonts w:ascii="Arial" w:hAnsi="Arial" w:cs="Arial"/>
        </w:rPr>
        <w:t xml:space="preserve"> 1.15 </w:t>
      </w:r>
      <w:r w:rsidR="0095452D" w:rsidRPr="008D7DBA">
        <w:rPr>
          <w:rFonts w:ascii="Arial" w:hAnsi="Arial" w:cs="Arial"/>
        </w:rPr>
        <w:t>in</w:t>
      </w:r>
      <w:r w:rsidRPr="008D7DBA">
        <w:rPr>
          <w:rFonts w:ascii="Arial" w:hAnsi="Arial" w:cs="Arial"/>
        </w:rPr>
        <w:t xml:space="preserve"> 2020 to 1.03 </w:t>
      </w:r>
      <w:r w:rsidR="0095452D" w:rsidRPr="008D7DBA">
        <w:rPr>
          <w:rFonts w:ascii="Arial" w:hAnsi="Arial" w:cs="Arial"/>
        </w:rPr>
        <w:t>in</w:t>
      </w:r>
      <w:r w:rsidRPr="008D7DBA">
        <w:rPr>
          <w:rFonts w:ascii="Arial" w:hAnsi="Arial" w:cs="Arial"/>
        </w:rPr>
        <w:t xml:space="preserve"> 2024. Although this is not at its critical level of 1.0, it is </w:t>
      </w:r>
      <w:r w:rsidR="0095452D" w:rsidRPr="008D7DBA">
        <w:rPr>
          <w:rFonts w:ascii="Arial" w:hAnsi="Arial" w:cs="Arial"/>
        </w:rPr>
        <w:t>still</w:t>
      </w:r>
      <w:r w:rsidRPr="008D7DBA">
        <w:rPr>
          <w:rFonts w:ascii="Arial" w:hAnsi="Arial" w:cs="Arial"/>
        </w:rPr>
        <w:t xml:space="preserve"> a worrying trend. The Quick Ratio does not take into consideration inventory</w:t>
      </w:r>
      <w:r w:rsidR="0095452D" w:rsidRPr="008D7DBA">
        <w:rPr>
          <w:rFonts w:ascii="Arial" w:hAnsi="Arial" w:cs="Arial"/>
        </w:rPr>
        <w:t>,</w:t>
      </w:r>
      <w:r w:rsidRPr="008D7DBA">
        <w:rPr>
          <w:rFonts w:ascii="Arial" w:hAnsi="Arial" w:cs="Arial"/>
        </w:rPr>
        <w:t xml:space="preserve"> and a decrease will indicate the possibility of the company experiencing problems in ensuring liquidity without liquidating its inventory, which might be an indication of inefficiencies in the handling of receivables or increasing unsold inventory.</w:t>
      </w:r>
    </w:p>
    <w:p w14:paraId="51415BB7" w14:textId="4CD7E241" w:rsidR="0082692D" w:rsidRPr="008D7DBA" w:rsidRDefault="0082692D" w:rsidP="0082692D">
      <w:pPr>
        <w:rPr>
          <w:rFonts w:ascii="Arial" w:hAnsi="Arial" w:cs="Arial"/>
          <w:b/>
          <w:bCs/>
        </w:rPr>
      </w:pPr>
      <w:r w:rsidRPr="008D7DBA">
        <w:rPr>
          <w:rFonts w:ascii="Arial" w:hAnsi="Arial" w:cs="Arial"/>
          <w:b/>
          <w:bCs/>
        </w:rPr>
        <w:t>Efficiency Ratios</w:t>
      </w:r>
    </w:p>
    <w:p w14:paraId="39A9B37A" w14:textId="77777777" w:rsidR="00466EEA" w:rsidRPr="008D7DBA" w:rsidRDefault="00466EEA" w:rsidP="00466EEA">
      <w:pPr>
        <w:keepNext/>
        <w:jc w:val="center"/>
        <w:rPr>
          <w:rFonts w:ascii="Arial" w:hAnsi="Arial" w:cs="Arial"/>
        </w:rPr>
      </w:pPr>
      <w:r w:rsidRPr="008D7DBA">
        <w:rPr>
          <w:rFonts w:ascii="Arial" w:hAnsi="Arial" w:cs="Arial"/>
          <w:noProof/>
        </w:rPr>
        <w:drawing>
          <wp:inline distT="0" distB="0" distL="0" distR="0" wp14:anchorId="6CA0590D" wp14:editId="03EE2F23">
            <wp:extent cx="3689350" cy="2203450"/>
            <wp:effectExtent l="0" t="0" r="6350" b="6350"/>
            <wp:docPr id="2074123230" name="Chart 1">
              <a:extLst xmlns:a="http://schemas.openxmlformats.org/drawingml/2006/main">
                <a:ext uri="{FF2B5EF4-FFF2-40B4-BE49-F238E27FC236}">
                  <a16:creationId xmlns:a16="http://schemas.microsoft.com/office/drawing/2014/main" id="{859A8D4B-428F-DC4D-3B9E-A624353178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42D5DB" w14:textId="7DBB25ED" w:rsidR="00466EEA" w:rsidRPr="008D7DBA" w:rsidRDefault="00466EEA" w:rsidP="00466EEA">
      <w:pPr>
        <w:pStyle w:val="Caption"/>
        <w:jc w:val="center"/>
        <w:rPr>
          <w:rFonts w:ascii="Arial" w:hAnsi="Arial" w:cs="Arial"/>
          <w:color w:val="auto"/>
        </w:rPr>
      </w:pPr>
      <w:bookmarkStart w:id="8" w:name="_Toc216380447"/>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00FC1C62" w:rsidRPr="008D7DBA">
        <w:rPr>
          <w:rFonts w:ascii="Arial" w:hAnsi="Arial" w:cs="Arial"/>
          <w:noProof/>
          <w:color w:val="auto"/>
        </w:rPr>
        <w:t>3</w:t>
      </w:r>
      <w:r w:rsidRPr="008D7DBA">
        <w:rPr>
          <w:rFonts w:ascii="Arial" w:hAnsi="Arial" w:cs="Arial"/>
          <w:color w:val="auto"/>
        </w:rPr>
        <w:fldChar w:fldCharType="end"/>
      </w:r>
      <w:r w:rsidRPr="008D7DBA">
        <w:rPr>
          <w:rFonts w:ascii="Arial" w:hAnsi="Arial" w:cs="Arial"/>
          <w:color w:val="auto"/>
        </w:rPr>
        <w:t>: Efficiency</w:t>
      </w:r>
      <w:bookmarkEnd w:id="8"/>
    </w:p>
    <w:tbl>
      <w:tblPr>
        <w:tblStyle w:val="PlainTable1"/>
        <w:tblW w:w="4765" w:type="pct"/>
        <w:tblLook w:val="04A0" w:firstRow="1" w:lastRow="0" w:firstColumn="1" w:lastColumn="0" w:noHBand="0" w:noVBand="1"/>
      </w:tblPr>
      <w:tblGrid>
        <w:gridCol w:w="2799"/>
        <w:gridCol w:w="1301"/>
        <w:gridCol w:w="1050"/>
        <w:gridCol w:w="1050"/>
        <w:gridCol w:w="1050"/>
        <w:gridCol w:w="1050"/>
        <w:gridCol w:w="1050"/>
      </w:tblGrid>
      <w:tr w:rsidR="00A80E41" w:rsidRPr="008D7DBA" w14:paraId="26E714B7" w14:textId="77777777" w:rsidTr="00AA2DD0">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54168106"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Inventory turnover</w:t>
            </w:r>
          </w:p>
        </w:tc>
      </w:tr>
      <w:tr w:rsidR="00A80E41" w:rsidRPr="008D7DBA" w14:paraId="32DACEA6"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0A127DA9"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lastRenderedPageBreak/>
              <w:t>Particulars</w:t>
            </w:r>
          </w:p>
        </w:tc>
        <w:tc>
          <w:tcPr>
            <w:tcW w:w="696" w:type="pct"/>
            <w:noWrap/>
            <w:hideMark/>
          </w:tcPr>
          <w:p w14:paraId="026B7352"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563" w:type="pct"/>
            <w:noWrap/>
            <w:hideMark/>
          </w:tcPr>
          <w:p w14:paraId="6F33C9BB"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563" w:type="pct"/>
            <w:noWrap/>
            <w:hideMark/>
          </w:tcPr>
          <w:p w14:paraId="30CF0CF0"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563" w:type="pct"/>
            <w:noWrap/>
            <w:hideMark/>
          </w:tcPr>
          <w:p w14:paraId="1230234A"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563" w:type="pct"/>
            <w:noWrap/>
            <w:hideMark/>
          </w:tcPr>
          <w:p w14:paraId="5BC6880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563" w:type="pct"/>
            <w:noWrap/>
            <w:hideMark/>
          </w:tcPr>
          <w:p w14:paraId="6A5D4C9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479096CF"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0F3689DA"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Cost of Goods Sold </w:t>
            </w:r>
          </w:p>
        </w:tc>
        <w:tc>
          <w:tcPr>
            <w:tcW w:w="696" w:type="pct"/>
            <w:vMerge w:val="restart"/>
            <w:hideMark/>
          </w:tcPr>
          <w:p w14:paraId="3A5337FA"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Cost of Goods Sold/Average Inventory </w:t>
            </w:r>
          </w:p>
        </w:tc>
        <w:tc>
          <w:tcPr>
            <w:tcW w:w="563" w:type="pct"/>
            <w:noWrap/>
            <w:hideMark/>
          </w:tcPr>
          <w:p w14:paraId="25974C1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280,885</w:t>
            </w:r>
          </w:p>
        </w:tc>
        <w:tc>
          <w:tcPr>
            <w:tcW w:w="563" w:type="pct"/>
            <w:noWrap/>
            <w:hideMark/>
          </w:tcPr>
          <w:p w14:paraId="384FA34B"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322,897</w:t>
            </w:r>
          </w:p>
        </w:tc>
        <w:tc>
          <w:tcPr>
            <w:tcW w:w="563" w:type="pct"/>
            <w:noWrap/>
            <w:hideMark/>
          </w:tcPr>
          <w:p w14:paraId="623834E8"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390,459</w:t>
            </w:r>
          </w:p>
        </w:tc>
        <w:tc>
          <w:tcPr>
            <w:tcW w:w="563" w:type="pct"/>
            <w:noWrap/>
            <w:hideMark/>
          </w:tcPr>
          <w:p w14:paraId="21529F1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428,586</w:t>
            </w:r>
          </w:p>
        </w:tc>
        <w:tc>
          <w:tcPr>
            <w:tcW w:w="563" w:type="pct"/>
            <w:noWrap/>
            <w:hideMark/>
          </w:tcPr>
          <w:p w14:paraId="79AF1EE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438,424</w:t>
            </w:r>
          </w:p>
        </w:tc>
      </w:tr>
      <w:tr w:rsidR="00A80E41" w:rsidRPr="008D7DBA" w14:paraId="46BA642E"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10F65480"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Average Inventory </w:t>
            </w:r>
          </w:p>
        </w:tc>
        <w:tc>
          <w:tcPr>
            <w:tcW w:w="696" w:type="pct"/>
            <w:vMerge/>
            <w:hideMark/>
          </w:tcPr>
          <w:p w14:paraId="5514690C"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563" w:type="pct"/>
            <w:noWrap/>
            <w:hideMark/>
          </w:tcPr>
          <w:p w14:paraId="0B0ED431"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83814</w:t>
            </w:r>
          </w:p>
        </w:tc>
        <w:tc>
          <w:tcPr>
            <w:tcW w:w="563" w:type="pct"/>
            <w:noWrap/>
            <w:hideMark/>
          </w:tcPr>
          <w:p w14:paraId="52EF25AE"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114227</w:t>
            </w:r>
          </w:p>
        </w:tc>
        <w:tc>
          <w:tcPr>
            <w:tcW w:w="563" w:type="pct"/>
            <w:noWrap/>
            <w:hideMark/>
          </w:tcPr>
          <w:p w14:paraId="3B8561CC"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137325</w:t>
            </w:r>
          </w:p>
        </w:tc>
        <w:tc>
          <w:tcPr>
            <w:tcW w:w="563" w:type="pct"/>
            <w:noWrap/>
            <w:hideMark/>
          </w:tcPr>
          <w:p w14:paraId="0705A3EF"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127449.5</w:t>
            </w:r>
          </w:p>
        </w:tc>
        <w:tc>
          <w:tcPr>
            <w:tcW w:w="563" w:type="pct"/>
            <w:noWrap/>
            <w:hideMark/>
          </w:tcPr>
          <w:p w14:paraId="7E6EAC9C"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120,430</w:t>
            </w:r>
          </w:p>
        </w:tc>
      </w:tr>
      <w:tr w:rsidR="00A80E41" w:rsidRPr="008D7DBA" w14:paraId="55DF8463"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77A202E3"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Inventory turnover</w:t>
            </w:r>
          </w:p>
        </w:tc>
        <w:tc>
          <w:tcPr>
            <w:tcW w:w="696" w:type="pct"/>
            <w:vMerge/>
            <w:hideMark/>
          </w:tcPr>
          <w:p w14:paraId="1D55B7ED"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563" w:type="pct"/>
            <w:noWrap/>
            <w:hideMark/>
          </w:tcPr>
          <w:p w14:paraId="7C7DC381"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3.35</w:t>
            </w:r>
          </w:p>
        </w:tc>
        <w:tc>
          <w:tcPr>
            <w:tcW w:w="563" w:type="pct"/>
            <w:noWrap/>
            <w:hideMark/>
          </w:tcPr>
          <w:p w14:paraId="7FC225D8"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2.83</w:t>
            </w:r>
          </w:p>
        </w:tc>
        <w:tc>
          <w:tcPr>
            <w:tcW w:w="563" w:type="pct"/>
            <w:noWrap/>
            <w:hideMark/>
          </w:tcPr>
          <w:p w14:paraId="5632C495"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2.84</w:t>
            </w:r>
          </w:p>
        </w:tc>
        <w:tc>
          <w:tcPr>
            <w:tcW w:w="563" w:type="pct"/>
            <w:noWrap/>
            <w:hideMark/>
          </w:tcPr>
          <w:p w14:paraId="74AC5E5E"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3.36</w:t>
            </w:r>
          </w:p>
        </w:tc>
        <w:tc>
          <w:tcPr>
            <w:tcW w:w="563" w:type="pct"/>
            <w:noWrap/>
            <w:hideMark/>
          </w:tcPr>
          <w:p w14:paraId="13AD3EFA"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3.64</w:t>
            </w:r>
          </w:p>
        </w:tc>
      </w:tr>
      <w:tr w:rsidR="00A80E41" w:rsidRPr="008D7DBA" w14:paraId="04C56154"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7AE69C3C"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w:t>
            </w:r>
          </w:p>
        </w:tc>
        <w:tc>
          <w:tcPr>
            <w:tcW w:w="696" w:type="pct"/>
            <w:hideMark/>
          </w:tcPr>
          <w:p w14:paraId="7C04949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 </w:t>
            </w:r>
          </w:p>
        </w:tc>
        <w:tc>
          <w:tcPr>
            <w:tcW w:w="563" w:type="pct"/>
            <w:noWrap/>
            <w:hideMark/>
          </w:tcPr>
          <w:p w14:paraId="56C478BC"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 </w:t>
            </w:r>
          </w:p>
        </w:tc>
        <w:tc>
          <w:tcPr>
            <w:tcW w:w="563" w:type="pct"/>
            <w:noWrap/>
            <w:hideMark/>
          </w:tcPr>
          <w:p w14:paraId="4A589A1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 </w:t>
            </w:r>
          </w:p>
        </w:tc>
        <w:tc>
          <w:tcPr>
            <w:tcW w:w="563" w:type="pct"/>
            <w:noWrap/>
            <w:hideMark/>
          </w:tcPr>
          <w:p w14:paraId="441C3D5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563" w:type="pct"/>
            <w:noWrap/>
            <w:hideMark/>
          </w:tcPr>
          <w:p w14:paraId="0A6B374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563" w:type="pct"/>
            <w:noWrap/>
            <w:hideMark/>
          </w:tcPr>
          <w:p w14:paraId="4E33BF5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A80E41" w:rsidRPr="008D7DBA" w14:paraId="1E0A99DD"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2333796E"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Receivable turnover</w:t>
            </w:r>
          </w:p>
        </w:tc>
      </w:tr>
      <w:tr w:rsidR="00A80E41" w:rsidRPr="008D7DBA" w14:paraId="731FF99B"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17BD7048"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696" w:type="pct"/>
            <w:noWrap/>
            <w:hideMark/>
          </w:tcPr>
          <w:p w14:paraId="59892816"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563" w:type="pct"/>
            <w:noWrap/>
            <w:hideMark/>
          </w:tcPr>
          <w:p w14:paraId="7DD3BB1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563" w:type="pct"/>
            <w:noWrap/>
            <w:hideMark/>
          </w:tcPr>
          <w:p w14:paraId="3EBD5F29"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563" w:type="pct"/>
            <w:noWrap/>
            <w:hideMark/>
          </w:tcPr>
          <w:p w14:paraId="01F880D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563" w:type="pct"/>
            <w:noWrap/>
            <w:hideMark/>
          </w:tcPr>
          <w:p w14:paraId="35735C8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563" w:type="pct"/>
            <w:noWrap/>
            <w:hideMark/>
          </w:tcPr>
          <w:p w14:paraId="25B13ECD"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6D2B793A"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2CB7A001"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Sales</w:t>
            </w:r>
          </w:p>
        </w:tc>
        <w:tc>
          <w:tcPr>
            <w:tcW w:w="696" w:type="pct"/>
            <w:vMerge w:val="restart"/>
            <w:hideMark/>
          </w:tcPr>
          <w:p w14:paraId="1B820109"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Sales/ Average Accounts Receivable</w:t>
            </w:r>
          </w:p>
        </w:tc>
        <w:tc>
          <w:tcPr>
            <w:tcW w:w="563" w:type="pct"/>
            <w:noWrap/>
            <w:hideMark/>
          </w:tcPr>
          <w:p w14:paraId="656E725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394,879</w:t>
            </w:r>
          </w:p>
        </w:tc>
        <w:tc>
          <w:tcPr>
            <w:tcW w:w="563" w:type="pct"/>
            <w:noWrap/>
            <w:hideMark/>
          </w:tcPr>
          <w:p w14:paraId="5926272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420,457</w:t>
            </w:r>
          </w:p>
        </w:tc>
        <w:tc>
          <w:tcPr>
            <w:tcW w:w="563" w:type="pct"/>
            <w:noWrap/>
            <w:hideMark/>
          </w:tcPr>
          <w:p w14:paraId="27BA2844"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542,751</w:t>
            </w:r>
          </w:p>
        </w:tc>
        <w:tc>
          <w:tcPr>
            <w:tcW w:w="563" w:type="pct"/>
            <w:noWrap/>
            <w:hideMark/>
          </w:tcPr>
          <w:p w14:paraId="2BA78BA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601,602</w:t>
            </w:r>
          </w:p>
        </w:tc>
        <w:tc>
          <w:tcPr>
            <w:tcW w:w="563" w:type="pct"/>
            <w:noWrap/>
            <w:hideMark/>
          </w:tcPr>
          <w:p w14:paraId="55A53C11"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614,680</w:t>
            </w:r>
          </w:p>
        </w:tc>
      </w:tr>
      <w:tr w:rsidR="00A80E41" w:rsidRPr="008D7DBA" w14:paraId="4D117149"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37D6A84C"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Average Accounts Receivable</w:t>
            </w:r>
          </w:p>
        </w:tc>
        <w:tc>
          <w:tcPr>
            <w:tcW w:w="696" w:type="pct"/>
            <w:vMerge/>
            <w:hideMark/>
          </w:tcPr>
          <w:p w14:paraId="410339C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563" w:type="pct"/>
            <w:noWrap/>
            <w:hideMark/>
          </w:tcPr>
          <w:p w14:paraId="33CBB2A0"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113389</w:t>
            </w:r>
          </w:p>
        </w:tc>
        <w:tc>
          <w:tcPr>
            <w:tcW w:w="563" w:type="pct"/>
            <w:noWrap/>
            <w:hideMark/>
          </w:tcPr>
          <w:p w14:paraId="2890743A"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112471</w:t>
            </w:r>
          </w:p>
        </w:tc>
        <w:tc>
          <w:tcPr>
            <w:tcW w:w="563" w:type="pct"/>
            <w:noWrap/>
            <w:hideMark/>
          </w:tcPr>
          <w:p w14:paraId="48C78F37"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120780.5</w:t>
            </w:r>
          </w:p>
        </w:tc>
        <w:tc>
          <w:tcPr>
            <w:tcW w:w="563" w:type="pct"/>
            <w:noWrap/>
            <w:hideMark/>
          </w:tcPr>
          <w:p w14:paraId="2ACE0906"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129324</w:t>
            </w:r>
          </w:p>
        </w:tc>
        <w:tc>
          <w:tcPr>
            <w:tcW w:w="563" w:type="pct"/>
            <w:noWrap/>
            <w:hideMark/>
          </w:tcPr>
          <w:p w14:paraId="3D3CEF11"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129,433</w:t>
            </w:r>
          </w:p>
        </w:tc>
      </w:tr>
      <w:tr w:rsidR="00A80E41" w:rsidRPr="008D7DBA" w14:paraId="7C54D456"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489" w:type="pct"/>
            <w:noWrap/>
            <w:hideMark/>
          </w:tcPr>
          <w:p w14:paraId="3133EBAA"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Receivable turnover</w:t>
            </w:r>
          </w:p>
        </w:tc>
        <w:tc>
          <w:tcPr>
            <w:tcW w:w="696" w:type="pct"/>
            <w:vMerge/>
            <w:hideMark/>
          </w:tcPr>
          <w:p w14:paraId="2FE4B30C"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563" w:type="pct"/>
            <w:noWrap/>
            <w:hideMark/>
          </w:tcPr>
          <w:p w14:paraId="73B5A87A"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3.48</w:t>
            </w:r>
          </w:p>
        </w:tc>
        <w:tc>
          <w:tcPr>
            <w:tcW w:w="563" w:type="pct"/>
            <w:noWrap/>
            <w:hideMark/>
          </w:tcPr>
          <w:p w14:paraId="1B0D3759"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3.74</w:t>
            </w:r>
          </w:p>
        </w:tc>
        <w:tc>
          <w:tcPr>
            <w:tcW w:w="563" w:type="pct"/>
            <w:noWrap/>
            <w:hideMark/>
          </w:tcPr>
          <w:p w14:paraId="651121E1"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4.49</w:t>
            </w:r>
          </w:p>
        </w:tc>
        <w:tc>
          <w:tcPr>
            <w:tcW w:w="563" w:type="pct"/>
            <w:noWrap/>
            <w:hideMark/>
          </w:tcPr>
          <w:p w14:paraId="5D4D98B1"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4.65</w:t>
            </w:r>
          </w:p>
        </w:tc>
        <w:tc>
          <w:tcPr>
            <w:tcW w:w="563" w:type="pct"/>
            <w:noWrap/>
            <w:hideMark/>
          </w:tcPr>
          <w:p w14:paraId="04E7A3FB"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4.75</w:t>
            </w:r>
          </w:p>
        </w:tc>
      </w:tr>
    </w:tbl>
    <w:p w14:paraId="43CAE735" w14:textId="32ADDCB5" w:rsidR="00466EEA" w:rsidRPr="008D7DBA" w:rsidRDefault="00466EEA" w:rsidP="00466EEA">
      <w:pPr>
        <w:pStyle w:val="Caption"/>
        <w:jc w:val="center"/>
        <w:rPr>
          <w:rFonts w:ascii="Arial" w:hAnsi="Arial" w:cs="Arial"/>
          <w:color w:val="auto"/>
        </w:rPr>
      </w:pPr>
      <w:bookmarkStart w:id="9" w:name="_Toc216380439"/>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3</w:t>
      </w:r>
      <w:r w:rsidRPr="008D7DBA">
        <w:rPr>
          <w:rFonts w:ascii="Arial" w:hAnsi="Arial" w:cs="Arial"/>
          <w:color w:val="auto"/>
        </w:rPr>
        <w:fldChar w:fldCharType="end"/>
      </w:r>
      <w:r w:rsidRPr="008D7DBA">
        <w:rPr>
          <w:rFonts w:ascii="Arial" w:hAnsi="Arial" w:cs="Arial"/>
          <w:color w:val="auto"/>
        </w:rPr>
        <w:t>: Efficiency Calculation</w:t>
      </w:r>
      <w:bookmarkEnd w:id="9"/>
    </w:p>
    <w:p w14:paraId="515610CC" w14:textId="40B78060" w:rsidR="0082692D" w:rsidRPr="008D7DBA" w:rsidRDefault="0082692D" w:rsidP="0082692D">
      <w:pPr>
        <w:rPr>
          <w:rFonts w:ascii="Arial" w:hAnsi="Arial" w:cs="Arial"/>
        </w:rPr>
      </w:pPr>
      <w:r w:rsidRPr="008D7DBA">
        <w:rPr>
          <w:rFonts w:ascii="Arial" w:hAnsi="Arial" w:cs="Arial"/>
          <w:i/>
          <w:iCs/>
        </w:rPr>
        <w:t>Inventory Turnover</w:t>
      </w:r>
      <w:r w:rsidR="008C0803" w:rsidRPr="008D7DBA">
        <w:rPr>
          <w:rFonts w:ascii="Arial" w:hAnsi="Arial" w:cs="Arial"/>
          <w:i/>
          <w:iCs/>
        </w:rPr>
        <w:t>:</w:t>
      </w:r>
      <w:r w:rsidR="008C0803" w:rsidRPr="008D7DBA">
        <w:rPr>
          <w:rFonts w:ascii="Arial" w:hAnsi="Arial" w:cs="Arial"/>
        </w:rPr>
        <w:t xml:space="preserve"> </w:t>
      </w:r>
      <w:r w:rsidRPr="008D7DBA">
        <w:rPr>
          <w:rFonts w:ascii="Arial" w:hAnsi="Arial" w:cs="Arial"/>
        </w:rPr>
        <w:t>The Inventory Turnover ratio of the company has been varying</w:t>
      </w:r>
      <w:r w:rsidR="0095452D" w:rsidRPr="008D7DBA">
        <w:rPr>
          <w:rFonts w:ascii="Arial" w:hAnsi="Arial" w:cs="Arial"/>
        </w:rPr>
        <w:t>,</w:t>
      </w:r>
      <w:r w:rsidRPr="008D7DBA">
        <w:rPr>
          <w:rFonts w:ascii="Arial" w:hAnsi="Arial" w:cs="Arial"/>
        </w:rPr>
        <w:t xml:space="preserve"> with the largest value experiencing a decline in 2020</w:t>
      </w:r>
      <w:r w:rsidR="0095452D" w:rsidRPr="008D7DBA">
        <w:rPr>
          <w:rFonts w:ascii="Arial" w:hAnsi="Arial" w:cs="Arial"/>
        </w:rPr>
        <w:t>,</w:t>
      </w:r>
      <w:r w:rsidRPr="008D7DBA">
        <w:rPr>
          <w:rFonts w:ascii="Arial" w:hAnsi="Arial" w:cs="Arial"/>
        </w:rPr>
        <w:t xml:space="preserve"> with 3.64 and 3.35 in 2024</w:t>
      </w:r>
      <w:r w:rsidR="0095452D" w:rsidRPr="008D7DBA">
        <w:rPr>
          <w:rFonts w:ascii="Arial" w:hAnsi="Arial" w:cs="Arial"/>
        </w:rPr>
        <w:t>,</w:t>
      </w:r>
      <w:r w:rsidRPr="008D7DBA">
        <w:rPr>
          <w:rFonts w:ascii="Arial" w:hAnsi="Arial" w:cs="Arial"/>
        </w:rPr>
        <w:t xml:space="preserve"> respectively. This slowdown is an indication that the inventory is becoming slower, so a cumulative excess capacity of inventory is possible</w:t>
      </w:r>
      <w:r w:rsidR="0095452D" w:rsidRPr="008D7DBA">
        <w:rPr>
          <w:rFonts w:ascii="Arial" w:hAnsi="Arial" w:cs="Arial"/>
        </w:rPr>
        <w:t>,</w:t>
      </w:r>
      <w:r w:rsidRPr="008D7DBA">
        <w:rPr>
          <w:rFonts w:ascii="Arial" w:hAnsi="Arial" w:cs="Arial"/>
        </w:rPr>
        <w:t xml:space="preserve"> or the demand </w:t>
      </w:r>
      <w:r w:rsidR="0095452D" w:rsidRPr="008D7DBA">
        <w:rPr>
          <w:rFonts w:ascii="Arial" w:hAnsi="Arial" w:cs="Arial"/>
        </w:rPr>
        <w:t>for</w:t>
      </w:r>
      <w:r w:rsidRPr="008D7DBA">
        <w:rPr>
          <w:rFonts w:ascii="Arial" w:hAnsi="Arial" w:cs="Arial"/>
        </w:rPr>
        <w:t xml:space="preserve"> goods may be reduced</w:t>
      </w:r>
      <w:r w:rsidR="0058089E" w:rsidRPr="008D7DBA">
        <w:rPr>
          <w:rFonts w:ascii="Arial" w:hAnsi="Arial" w:cs="Arial"/>
        </w:rPr>
        <w:t xml:space="preserve"> </w:t>
      </w:r>
      <w:r w:rsidR="0058089E" w:rsidRPr="008D7DBA">
        <w:rPr>
          <w:rFonts w:ascii="Arial" w:hAnsi="Arial" w:cs="Arial"/>
          <w:shd w:val="clear" w:color="auto" w:fill="FFFFFF"/>
        </w:rPr>
        <w:t>(Supriyanto and Darmawan, 2018)</w:t>
      </w:r>
      <w:r w:rsidRPr="008D7DBA">
        <w:rPr>
          <w:rFonts w:ascii="Arial" w:hAnsi="Arial" w:cs="Arial"/>
        </w:rPr>
        <w:t xml:space="preserve">. The result of such inefficiency in inventory management is that capital is tied up, and holding costs are increased and </w:t>
      </w:r>
      <w:r w:rsidR="0095452D" w:rsidRPr="008D7DBA">
        <w:rPr>
          <w:rFonts w:ascii="Arial" w:hAnsi="Arial" w:cs="Arial"/>
        </w:rPr>
        <w:t>which</w:t>
      </w:r>
      <w:r w:rsidRPr="008D7DBA">
        <w:rPr>
          <w:rFonts w:ascii="Arial" w:hAnsi="Arial" w:cs="Arial"/>
        </w:rPr>
        <w:t xml:space="preserve"> can cause </w:t>
      </w:r>
      <w:r w:rsidR="0095452D" w:rsidRPr="008D7DBA">
        <w:rPr>
          <w:rFonts w:ascii="Arial" w:hAnsi="Arial" w:cs="Arial"/>
        </w:rPr>
        <w:t xml:space="preserve">a </w:t>
      </w:r>
      <w:r w:rsidRPr="008D7DBA">
        <w:rPr>
          <w:rFonts w:ascii="Arial" w:hAnsi="Arial" w:cs="Arial"/>
        </w:rPr>
        <w:t>serious financial burden.</w:t>
      </w:r>
    </w:p>
    <w:p w14:paraId="66366783" w14:textId="23E412D1" w:rsidR="0082692D" w:rsidRPr="008D7DBA" w:rsidRDefault="0082692D" w:rsidP="0082692D">
      <w:pPr>
        <w:rPr>
          <w:rFonts w:ascii="Arial" w:hAnsi="Arial" w:cs="Arial"/>
        </w:rPr>
      </w:pPr>
      <w:r w:rsidRPr="008D7DBA">
        <w:rPr>
          <w:rFonts w:ascii="Arial" w:hAnsi="Arial" w:cs="Arial"/>
          <w:i/>
          <w:iCs/>
        </w:rPr>
        <w:t>Receivable Turnover</w:t>
      </w:r>
      <w:r w:rsidR="008C0803" w:rsidRPr="008D7DBA">
        <w:rPr>
          <w:rFonts w:ascii="Arial" w:hAnsi="Arial" w:cs="Arial"/>
          <w:i/>
          <w:iCs/>
        </w:rPr>
        <w:t>:</w:t>
      </w:r>
      <w:r w:rsidR="008C0803" w:rsidRPr="008D7DBA">
        <w:rPr>
          <w:rFonts w:ascii="Arial" w:hAnsi="Arial" w:cs="Arial"/>
        </w:rPr>
        <w:t xml:space="preserve"> </w:t>
      </w:r>
      <w:r w:rsidRPr="008D7DBA">
        <w:rPr>
          <w:rFonts w:ascii="Arial" w:hAnsi="Arial" w:cs="Arial"/>
        </w:rPr>
        <w:t>The Receivable Turnover ratio has been decreasing consistently at the rate of 4.75 to 3.48 between the years 2020 and 2024</w:t>
      </w:r>
      <w:r w:rsidR="0095452D" w:rsidRPr="008D7DBA">
        <w:rPr>
          <w:rFonts w:ascii="Arial" w:hAnsi="Arial" w:cs="Arial"/>
        </w:rPr>
        <w:t>,</w:t>
      </w:r>
      <w:r w:rsidRPr="008D7DBA">
        <w:rPr>
          <w:rFonts w:ascii="Arial" w:hAnsi="Arial" w:cs="Arial"/>
        </w:rPr>
        <w:t xml:space="preserve"> respectively</w:t>
      </w:r>
      <w:r w:rsidR="0095452D" w:rsidRPr="008D7DBA">
        <w:rPr>
          <w:rFonts w:ascii="Arial" w:hAnsi="Arial" w:cs="Arial"/>
        </w:rPr>
        <w:t>,</w:t>
      </w:r>
      <w:r w:rsidRPr="008D7DBA">
        <w:rPr>
          <w:rFonts w:ascii="Arial" w:hAnsi="Arial" w:cs="Arial"/>
        </w:rPr>
        <w:t xml:space="preserve"> and it is an indication of the rising average collection period of the receivables. Reduced collection period may put strain on the cash flow</w:t>
      </w:r>
      <w:r w:rsidR="0095452D" w:rsidRPr="008D7DBA">
        <w:rPr>
          <w:rFonts w:ascii="Arial" w:hAnsi="Arial" w:cs="Arial"/>
        </w:rPr>
        <w:t>,</w:t>
      </w:r>
      <w:r w:rsidRPr="008D7DBA">
        <w:rPr>
          <w:rFonts w:ascii="Arial" w:hAnsi="Arial" w:cs="Arial"/>
        </w:rPr>
        <w:t xml:space="preserve"> which may warn of problems in customer payment patterns, credit policies, or inefficiencies in the accounts receivable department.</w:t>
      </w:r>
    </w:p>
    <w:p w14:paraId="0C3B7825" w14:textId="14236780" w:rsidR="0082692D" w:rsidRPr="008D7DBA" w:rsidRDefault="0082692D" w:rsidP="0082692D">
      <w:pPr>
        <w:rPr>
          <w:rFonts w:ascii="Arial" w:hAnsi="Arial" w:cs="Arial"/>
          <w:b/>
          <w:bCs/>
        </w:rPr>
      </w:pPr>
      <w:r w:rsidRPr="008D7DBA">
        <w:rPr>
          <w:rFonts w:ascii="Arial" w:hAnsi="Arial" w:cs="Arial"/>
          <w:b/>
          <w:bCs/>
        </w:rPr>
        <w:t>Gearing Ratios</w:t>
      </w:r>
    </w:p>
    <w:p w14:paraId="7A960BCF" w14:textId="77777777" w:rsidR="00466EEA" w:rsidRPr="008D7DBA" w:rsidRDefault="00466EEA" w:rsidP="00466EEA">
      <w:pPr>
        <w:keepNext/>
        <w:jc w:val="center"/>
        <w:rPr>
          <w:rFonts w:ascii="Arial" w:hAnsi="Arial" w:cs="Arial"/>
        </w:rPr>
      </w:pPr>
      <w:r w:rsidRPr="008D7DBA">
        <w:rPr>
          <w:rFonts w:ascii="Arial" w:hAnsi="Arial" w:cs="Arial"/>
          <w:noProof/>
        </w:rPr>
        <w:lastRenderedPageBreak/>
        <w:drawing>
          <wp:inline distT="0" distB="0" distL="0" distR="0" wp14:anchorId="147912AF" wp14:editId="03CE7209">
            <wp:extent cx="3352800" cy="2165350"/>
            <wp:effectExtent l="0" t="0" r="0" b="6350"/>
            <wp:docPr id="1448892911" name="Chart 1">
              <a:extLst xmlns:a="http://schemas.openxmlformats.org/drawingml/2006/main">
                <a:ext uri="{FF2B5EF4-FFF2-40B4-BE49-F238E27FC236}">
                  <a16:creationId xmlns:a16="http://schemas.microsoft.com/office/drawing/2014/main" id="{9D79BF4A-F9FE-F43E-92E9-AAF7CAD90A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D3F0192" w14:textId="00DF1C99" w:rsidR="00466EEA" w:rsidRPr="008D7DBA" w:rsidRDefault="00466EEA" w:rsidP="00466EEA">
      <w:pPr>
        <w:pStyle w:val="Caption"/>
        <w:jc w:val="center"/>
        <w:rPr>
          <w:rFonts w:ascii="Arial" w:hAnsi="Arial" w:cs="Arial"/>
          <w:color w:val="auto"/>
        </w:rPr>
      </w:pPr>
      <w:bookmarkStart w:id="10" w:name="_Toc216380448"/>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00FC1C62" w:rsidRPr="008D7DBA">
        <w:rPr>
          <w:rFonts w:ascii="Arial" w:hAnsi="Arial" w:cs="Arial"/>
          <w:noProof/>
          <w:color w:val="auto"/>
        </w:rPr>
        <w:t>4</w:t>
      </w:r>
      <w:r w:rsidRPr="008D7DBA">
        <w:rPr>
          <w:rFonts w:ascii="Arial" w:hAnsi="Arial" w:cs="Arial"/>
          <w:color w:val="auto"/>
        </w:rPr>
        <w:fldChar w:fldCharType="end"/>
      </w:r>
      <w:r w:rsidRPr="008D7DBA">
        <w:rPr>
          <w:rFonts w:ascii="Arial" w:hAnsi="Arial" w:cs="Arial"/>
          <w:color w:val="auto"/>
        </w:rPr>
        <w:t>: Gearing</w:t>
      </w:r>
      <w:bookmarkEnd w:id="10"/>
    </w:p>
    <w:tbl>
      <w:tblPr>
        <w:tblStyle w:val="PlainTable1"/>
        <w:tblW w:w="4764" w:type="pct"/>
        <w:tblLook w:val="04A0" w:firstRow="1" w:lastRow="0" w:firstColumn="1" w:lastColumn="0" w:noHBand="0" w:noVBand="1"/>
      </w:tblPr>
      <w:tblGrid>
        <w:gridCol w:w="2516"/>
        <w:gridCol w:w="1024"/>
        <w:gridCol w:w="1162"/>
        <w:gridCol w:w="1162"/>
        <w:gridCol w:w="1162"/>
        <w:gridCol w:w="1162"/>
        <w:gridCol w:w="1162"/>
      </w:tblGrid>
      <w:tr w:rsidR="00A80E41" w:rsidRPr="008D7DBA" w14:paraId="6D1FB486" w14:textId="77777777" w:rsidTr="00AA2DD0">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4B5519F5"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Debt-Equity Ratio</w:t>
            </w:r>
          </w:p>
        </w:tc>
      </w:tr>
      <w:tr w:rsidR="00A80E41" w:rsidRPr="008D7DBA" w14:paraId="68B7176B"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745D5942"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549" w:type="pct"/>
            <w:noWrap/>
            <w:hideMark/>
          </w:tcPr>
          <w:p w14:paraId="3C363E6D"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22" w:type="pct"/>
            <w:noWrap/>
            <w:hideMark/>
          </w:tcPr>
          <w:p w14:paraId="0805A269"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22" w:type="pct"/>
            <w:noWrap/>
            <w:hideMark/>
          </w:tcPr>
          <w:p w14:paraId="5B343C3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22" w:type="pct"/>
            <w:noWrap/>
            <w:hideMark/>
          </w:tcPr>
          <w:p w14:paraId="7DF6A194"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22" w:type="pct"/>
            <w:noWrap/>
            <w:hideMark/>
          </w:tcPr>
          <w:p w14:paraId="79A1B348"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22" w:type="pct"/>
            <w:noWrap/>
            <w:hideMark/>
          </w:tcPr>
          <w:p w14:paraId="4B67CF8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6AD96065"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530A5E27"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Total Debt</w:t>
            </w:r>
          </w:p>
        </w:tc>
        <w:tc>
          <w:tcPr>
            <w:tcW w:w="549" w:type="pct"/>
            <w:vMerge w:val="restart"/>
            <w:hideMark/>
          </w:tcPr>
          <w:p w14:paraId="4FCAE8CA"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Total Debt/ Total Equity</w:t>
            </w:r>
          </w:p>
        </w:tc>
        <w:tc>
          <w:tcPr>
            <w:tcW w:w="622" w:type="pct"/>
            <w:noWrap/>
            <w:hideMark/>
          </w:tcPr>
          <w:p w14:paraId="3651796E"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170,249</w:t>
            </w:r>
          </w:p>
        </w:tc>
        <w:tc>
          <w:tcPr>
            <w:tcW w:w="622" w:type="pct"/>
            <w:noWrap/>
            <w:hideMark/>
          </w:tcPr>
          <w:p w14:paraId="6EAC47F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176,952</w:t>
            </w:r>
          </w:p>
        </w:tc>
        <w:tc>
          <w:tcPr>
            <w:tcW w:w="622" w:type="pct"/>
            <w:noWrap/>
            <w:hideMark/>
          </w:tcPr>
          <w:p w14:paraId="6251310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235,757</w:t>
            </w:r>
          </w:p>
        </w:tc>
        <w:tc>
          <w:tcPr>
            <w:tcW w:w="622" w:type="pct"/>
            <w:noWrap/>
            <w:hideMark/>
          </w:tcPr>
          <w:p w14:paraId="5FD3E8F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234,399</w:t>
            </w:r>
          </w:p>
        </w:tc>
        <w:tc>
          <w:tcPr>
            <w:tcW w:w="622" w:type="pct"/>
            <w:noWrap/>
            <w:hideMark/>
          </w:tcPr>
          <w:p w14:paraId="5F9DF1E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196,989</w:t>
            </w:r>
          </w:p>
        </w:tc>
      </w:tr>
      <w:tr w:rsidR="00A80E41" w:rsidRPr="008D7DBA" w14:paraId="2F739353"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3053E838"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Total Equity</w:t>
            </w:r>
          </w:p>
        </w:tc>
        <w:tc>
          <w:tcPr>
            <w:tcW w:w="549" w:type="pct"/>
            <w:vMerge/>
            <w:hideMark/>
          </w:tcPr>
          <w:p w14:paraId="1E008AFB"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22" w:type="pct"/>
            <w:noWrap/>
            <w:hideMark/>
          </w:tcPr>
          <w:p w14:paraId="15E08279"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153,105</w:t>
            </w:r>
          </w:p>
        </w:tc>
        <w:tc>
          <w:tcPr>
            <w:tcW w:w="622" w:type="pct"/>
            <w:noWrap/>
            <w:hideMark/>
          </w:tcPr>
          <w:p w14:paraId="60FA13C7"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178,920</w:t>
            </w:r>
          </w:p>
        </w:tc>
        <w:tc>
          <w:tcPr>
            <w:tcW w:w="622" w:type="pct"/>
            <w:noWrap/>
            <w:hideMark/>
          </w:tcPr>
          <w:p w14:paraId="74D59F7E"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268,406</w:t>
            </w:r>
          </w:p>
        </w:tc>
        <w:tc>
          <w:tcPr>
            <w:tcW w:w="622" w:type="pct"/>
            <w:noWrap/>
            <w:hideMark/>
          </w:tcPr>
          <w:p w14:paraId="42549BAF"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275,949</w:t>
            </w:r>
          </w:p>
        </w:tc>
        <w:tc>
          <w:tcPr>
            <w:tcW w:w="622" w:type="pct"/>
            <w:noWrap/>
            <w:hideMark/>
          </w:tcPr>
          <w:p w14:paraId="42E56C9B"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313,301</w:t>
            </w:r>
          </w:p>
        </w:tc>
      </w:tr>
      <w:tr w:rsidR="00A80E41" w:rsidRPr="008D7DBA" w14:paraId="556606B6"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7FE7974A"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Debt-Equity Ratio</w:t>
            </w:r>
          </w:p>
        </w:tc>
        <w:tc>
          <w:tcPr>
            <w:tcW w:w="549" w:type="pct"/>
            <w:vMerge/>
            <w:hideMark/>
          </w:tcPr>
          <w:p w14:paraId="72A3DE4D"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22" w:type="pct"/>
            <w:noWrap/>
            <w:hideMark/>
          </w:tcPr>
          <w:p w14:paraId="139429E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1.11</w:t>
            </w:r>
          </w:p>
        </w:tc>
        <w:tc>
          <w:tcPr>
            <w:tcW w:w="622" w:type="pct"/>
            <w:noWrap/>
            <w:hideMark/>
          </w:tcPr>
          <w:p w14:paraId="36178AF5"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0.99</w:t>
            </w:r>
          </w:p>
        </w:tc>
        <w:tc>
          <w:tcPr>
            <w:tcW w:w="622" w:type="pct"/>
            <w:noWrap/>
            <w:hideMark/>
          </w:tcPr>
          <w:p w14:paraId="403ABA4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0.88</w:t>
            </w:r>
          </w:p>
        </w:tc>
        <w:tc>
          <w:tcPr>
            <w:tcW w:w="622" w:type="pct"/>
            <w:noWrap/>
            <w:hideMark/>
          </w:tcPr>
          <w:p w14:paraId="28086D57"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0.85</w:t>
            </w:r>
          </w:p>
        </w:tc>
        <w:tc>
          <w:tcPr>
            <w:tcW w:w="622" w:type="pct"/>
            <w:noWrap/>
            <w:hideMark/>
          </w:tcPr>
          <w:p w14:paraId="665763A4"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0.63</w:t>
            </w:r>
          </w:p>
        </w:tc>
      </w:tr>
      <w:tr w:rsidR="00A80E41" w:rsidRPr="008D7DBA" w14:paraId="593B0D95"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461C4EA1" w14:textId="77777777" w:rsidR="00AA2DD0" w:rsidRPr="008D7DBA" w:rsidRDefault="00AA2DD0" w:rsidP="00DA07CE">
            <w:pPr>
              <w:spacing w:line="240" w:lineRule="auto"/>
              <w:jc w:val="left"/>
              <w:rPr>
                <w:rFonts w:ascii="Arial" w:eastAsia="Times New Roman" w:hAnsi="Arial" w:cs="Arial"/>
                <w:kern w:val="0"/>
                <w:sz w:val="20"/>
                <w:szCs w:val="20"/>
                <w14:ligatures w14:val="none"/>
              </w:rPr>
            </w:pPr>
          </w:p>
        </w:tc>
        <w:tc>
          <w:tcPr>
            <w:tcW w:w="549" w:type="pct"/>
            <w:noWrap/>
            <w:hideMark/>
          </w:tcPr>
          <w:p w14:paraId="4701608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1AE05C4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2C3FFB3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2D95190A"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4BEE66FB"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13F1769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A80E41" w:rsidRPr="008D7DBA" w14:paraId="66FB92BD"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4984F461"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Interest Coverage Ratio</w:t>
            </w:r>
          </w:p>
        </w:tc>
      </w:tr>
      <w:tr w:rsidR="00A80E41" w:rsidRPr="008D7DBA" w14:paraId="7735029E"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5C393E4A"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549" w:type="pct"/>
            <w:noWrap/>
            <w:hideMark/>
          </w:tcPr>
          <w:p w14:paraId="1B1790B9"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22" w:type="pct"/>
            <w:noWrap/>
            <w:hideMark/>
          </w:tcPr>
          <w:p w14:paraId="7217DC00"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22" w:type="pct"/>
            <w:noWrap/>
            <w:hideMark/>
          </w:tcPr>
          <w:p w14:paraId="185FE13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22" w:type="pct"/>
            <w:noWrap/>
            <w:hideMark/>
          </w:tcPr>
          <w:p w14:paraId="314ECB9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22" w:type="pct"/>
            <w:noWrap/>
            <w:hideMark/>
          </w:tcPr>
          <w:p w14:paraId="36E497C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22" w:type="pct"/>
            <w:noWrap/>
            <w:hideMark/>
          </w:tcPr>
          <w:p w14:paraId="7A9F6AC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3F96163B"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47B24DFA"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EBIT</w:t>
            </w:r>
          </w:p>
        </w:tc>
        <w:tc>
          <w:tcPr>
            <w:tcW w:w="549" w:type="pct"/>
            <w:vMerge w:val="restart"/>
            <w:hideMark/>
          </w:tcPr>
          <w:p w14:paraId="1E663CED"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EBIT/ Interest Expense</w:t>
            </w:r>
          </w:p>
        </w:tc>
        <w:tc>
          <w:tcPr>
            <w:tcW w:w="622" w:type="pct"/>
            <w:noWrap/>
            <w:hideMark/>
          </w:tcPr>
          <w:p w14:paraId="533C000D"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-15,297</w:t>
            </w:r>
          </w:p>
        </w:tc>
        <w:tc>
          <w:tcPr>
            <w:tcW w:w="622" w:type="pct"/>
            <w:noWrap/>
            <w:hideMark/>
          </w:tcPr>
          <w:p w14:paraId="3FDAD627"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-85,301</w:t>
            </w:r>
          </w:p>
        </w:tc>
        <w:tc>
          <w:tcPr>
            <w:tcW w:w="622" w:type="pct"/>
            <w:noWrap/>
            <w:hideMark/>
          </w:tcPr>
          <w:p w14:paraId="4956716E"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14,548</w:t>
            </w:r>
          </w:p>
        </w:tc>
        <w:tc>
          <w:tcPr>
            <w:tcW w:w="622" w:type="pct"/>
            <w:noWrap/>
            <w:hideMark/>
          </w:tcPr>
          <w:p w14:paraId="144A6BF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23,253</w:t>
            </w:r>
          </w:p>
        </w:tc>
        <w:tc>
          <w:tcPr>
            <w:tcW w:w="622" w:type="pct"/>
            <w:noWrap/>
            <w:hideMark/>
          </w:tcPr>
          <w:p w14:paraId="061BD45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37,267</w:t>
            </w:r>
          </w:p>
        </w:tc>
      </w:tr>
      <w:tr w:rsidR="00A80E41" w:rsidRPr="008D7DBA" w14:paraId="1802B3FF"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7BDF9B30"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Interest Expense</w:t>
            </w:r>
          </w:p>
        </w:tc>
        <w:tc>
          <w:tcPr>
            <w:tcW w:w="549" w:type="pct"/>
            <w:vMerge/>
            <w:hideMark/>
          </w:tcPr>
          <w:p w14:paraId="4C5184C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22" w:type="pct"/>
            <w:noWrap/>
            <w:hideMark/>
          </w:tcPr>
          <w:p w14:paraId="6E5EFE49"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3,361</w:t>
            </w:r>
          </w:p>
        </w:tc>
        <w:tc>
          <w:tcPr>
            <w:tcW w:w="622" w:type="pct"/>
            <w:noWrap/>
            <w:hideMark/>
          </w:tcPr>
          <w:p w14:paraId="4D4E215E"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4,332</w:t>
            </w:r>
          </w:p>
        </w:tc>
        <w:tc>
          <w:tcPr>
            <w:tcW w:w="622" w:type="pct"/>
            <w:noWrap/>
            <w:hideMark/>
          </w:tcPr>
          <w:p w14:paraId="4962EDE3"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2,200</w:t>
            </w:r>
          </w:p>
        </w:tc>
        <w:tc>
          <w:tcPr>
            <w:tcW w:w="622" w:type="pct"/>
            <w:noWrap/>
            <w:hideMark/>
          </w:tcPr>
          <w:p w14:paraId="734CF607"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566</w:t>
            </w:r>
          </w:p>
        </w:tc>
        <w:tc>
          <w:tcPr>
            <w:tcW w:w="622" w:type="pct"/>
            <w:noWrap/>
            <w:hideMark/>
          </w:tcPr>
          <w:p w14:paraId="6A875F34"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1,422</w:t>
            </w:r>
          </w:p>
        </w:tc>
      </w:tr>
      <w:tr w:rsidR="00A80E41" w:rsidRPr="008D7DBA" w14:paraId="4A5F214E"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3AC00F16"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Interest Coverage Ratio</w:t>
            </w:r>
          </w:p>
        </w:tc>
        <w:tc>
          <w:tcPr>
            <w:tcW w:w="549" w:type="pct"/>
            <w:vMerge/>
            <w:hideMark/>
          </w:tcPr>
          <w:p w14:paraId="750F8379"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22" w:type="pct"/>
            <w:noWrap/>
            <w:hideMark/>
          </w:tcPr>
          <w:p w14:paraId="6F33B9E8"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-4.55</w:t>
            </w:r>
          </w:p>
        </w:tc>
        <w:tc>
          <w:tcPr>
            <w:tcW w:w="622" w:type="pct"/>
            <w:noWrap/>
            <w:hideMark/>
          </w:tcPr>
          <w:p w14:paraId="2E6FEA59"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-19.69</w:t>
            </w:r>
          </w:p>
        </w:tc>
        <w:tc>
          <w:tcPr>
            <w:tcW w:w="622" w:type="pct"/>
            <w:noWrap/>
            <w:hideMark/>
          </w:tcPr>
          <w:p w14:paraId="167E35E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6.61</w:t>
            </w:r>
          </w:p>
        </w:tc>
        <w:tc>
          <w:tcPr>
            <w:tcW w:w="622" w:type="pct"/>
            <w:noWrap/>
            <w:hideMark/>
          </w:tcPr>
          <w:p w14:paraId="02E74D3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41.08</w:t>
            </w:r>
          </w:p>
        </w:tc>
        <w:tc>
          <w:tcPr>
            <w:tcW w:w="622" w:type="pct"/>
            <w:noWrap/>
            <w:hideMark/>
          </w:tcPr>
          <w:p w14:paraId="7E891BF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26.21</w:t>
            </w:r>
          </w:p>
        </w:tc>
      </w:tr>
      <w:tr w:rsidR="00A80E41" w:rsidRPr="008D7DBA" w14:paraId="6F63D5AA"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39" w:type="pct"/>
            <w:noWrap/>
            <w:hideMark/>
          </w:tcPr>
          <w:p w14:paraId="3E8D7C76" w14:textId="77777777" w:rsidR="00AA2DD0" w:rsidRPr="008D7DBA" w:rsidRDefault="00AA2DD0" w:rsidP="00466EEA">
            <w:pPr>
              <w:spacing w:line="240" w:lineRule="auto"/>
              <w:jc w:val="center"/>
              <w:rPr>
                <w:rFonts w:ascii="Arial" w:eastAsia="Times New Roman" w:hAnsi="Arial" w:cs="Arial"/>
                <w:kern w:val="0"/>
                <w:sz w:val="20"/>
                <w:szCs w:val="20"/>
                <w14:ligatures w14:val="none"/>
              </w:rPr>
            </w:pPr>
          </w:p>
        </w:tc>
        <w:tc>
          <w:tcPr>
            <w:tcW w:w="549" w:type="pct"/>
            <w:noWrap/>
            <w:hideMark/>
          </w:tcPr>
          <w:p w14:paraId="54EC8D83" w14:textId="77777777" w:rsidR="00AA2DD0" w:rsidRPr="008D7DBA" w:rsidRDefault="00AA2DD0" w:rsidP="00466EEA">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11FDC1D8" w14:textId="77777777" w:rsidR="00AA2DD0" w:rsidRPr="008D7DBA" w:rsidRDefault="00AA2DD0" w:rsidP="00466EEA">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4F023A7C" w14:textId="77777777" w:rsidR="00AA2DD0" w:rsidRPr="008D7DBA" w:rsidRDefault="00AA2DD0" w:rsidP="00466EEA">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238A77AC" w14:textId="77777777" w:rsidR="00AA2DD0" w:rsidRPr="008D7DBA" w:rsidRDefault="00AA2DD0" w:rsidP="00466EEA">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121DC60C" w14:textId="77777777" w:rsidR="00AA2DD0" w:rsidRPr="008D7DBA" w:rsidRDefault="00AA2DD0" w:rsidP="00466EEA">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22" w:type="pct"/>
            <w:noWrap/>
            <w:hideMark/>
          </w:tcPr>
          <w:p w14:paraId="1B43758E" w14:textId="77777777" w:rsidR="00AA2DD0" w:rsidRPr="008D7DBA" w:rsidRDefault="00AA2DD0" w:rsidP="00466EEA">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bl>
    <w:p w14:paraId="75374CF1" w14:textId="534D60DC" w:rsidR="00466EEA" w:rsidRPr="008D7DBA" w:rsidRDefault="00466EEA" w:rsidP="00466EEA">
      <w:pPr>
        <w:pStyle w:val="Caption"/>
        <w:jc w:val="center"/>
        <w:rPr>
          <w:rFonts w:ascii="Arial" w:hAnsi="Arial" w:cs="Arial"/>
          <w:color w:val="auto"/>
        </w:rPr>
      </w:pPr>
      <w:bookmarkStart w:id="11" w:name="_Toc216380440"/>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4</w:t>
      </w:r>
      <w:r w:rsidRPr="008D7DBA">
        <w:rPr>
          <w:rFonts w:ascii="Arial" w:hAnsi="Arial" w:cs="Arial"/>
          <w:color w:val="auto"/>
        </w:rPr>
        <w:fldChar w:fldCharType="end"/>
      </w:r>
      <w:r w:rsidRPr="008D7DBA">
        <w:rPr>
          <w:rFonts w:ascii="Arial" w:hAnsi="Arial" w:cs="Arial"/>
          <w:color w:val="auto"/>
        </w:rPr>
        <w:t>: Gearing Calculation</w:t>
      </w:r>
      <w:bookmarkEnd w:id="11"/>
    </w:p>
    <w:p w14:paraId="153A6778" w14:textId="0B43C1E3" w:rsidR="0082692D" w:rsidRPr="008D7DBA" w:rsidRDefault="0082692D" w:rsidP="0082692D">
      <w:pPr>
        <w:rPr>
          <w:rFonts w:ascii="Arial" w:hAnsi="Arial" w:cs="Arial"/>
        </w:rPr>
      </w:pPr>
      <w:r w:rsidRPr="008D7DBA">
        <w:rPr>
          <w:rFonts w:ascii="Arial" w:hAnsi="Arial" w:cs="Arial"/>
          <w:i/>
          <w:iCs/>
        </w:rPr>
        <w:t>Debt-Equity Ratio</w:t>
      </w:r>
      <w:r w:rsidR="008C0803" w:rsidRPr="008D7DBA">
        <w:rPr>
          <w:rFonts w:ascii="Arial" w:hAnsi="Arial" w:cs="Arial"/>
        </w:rPr>
        <w:t xml:space="preserve">: </w:t>
      </w:r>
      <w:r w:rsidR="0095452D" w:rsidRPr="008D7DBA">
        <w:rPr>
          <w:rFonts w:ascii="Arial" w:hAnsi="Arial" w:cs="Arial"/>
        </w:rPr>
        <w:t xml:space="preserve">The </w:t>
      </w:r>
      <w:r w:rsidRPr="008D7DBA">
        <w:rPr>
          <w:rFonts w:ascii="Arial" w:hAnsi="Arial" w:cs="Arial"/>
        </w:rPr>
        <w:t>Debt-Equity ratio has drastically increased to 1.11 in 2024 compared to 0.63 in the year 2020. This growth implies that General Electronics is increasingly depending on debt to fund its operations, which is a concern as to the sustainability of its capital structure</w:t>
      </w:r>
      <w:r w:rsidR="0058089E" w:rsidRPr="008D7DBA">
        <w:rPr>
          <w:rFonts w:ascii="Arial" w:hAnsi="Arial" w:cs="Arial"/>
        </w:rPr>
        <w:t xml:space="preserve"> </w:t>
      </w:r>
      <w:r w:rsidR="0058089E" w:rsidRPr="008D7DBA">
        <w:rPr>
          <w:rFonts w:ascii="Arial" w:hAnsi="Arial" w:cs="Arial"/>
          <w:shd w:val="clear" w:color="auto" w:fill="FFFFFF"/>
        </w:rPr>
        <w:t>(Dicu et al., 2019)</w:t>
      </w:r>
      <w:r w:rsidRPr="008D7DBA">
        <w:rPr>
          <w:rFonts w:ascii="Arial" w:hAnsi="Arial" w:cs="Arial"/>
        </w:rPr>
        <w:t>. There may be a bigger risk of financial risk that may arise as the debt load increases in case the profits are not made.</w:t>
      </w:r>
    </w:p>
    <w:p w14:paraId="5777435A" w14:textId="68F9BF67" w:rsidR="0082692D" w:rsidRPr="008D7DBA" w:rsidRDefault="0082692D" w:rsidP="0082692D">
      <w:pPr>
        <w:rPr>
          <w:rFonts w:ascii="Arial" w:hAnsi="Arial" w:cs="Arial"/>
        </w:rPr>
      </w:pPr>
      <w:r w:rsidRPr="008D7DBA">
        <w:rPr>
          <w:rFonts w:ascii="Arial" w:hAnsi="Arial" w:cs="Arial"/>
          <w:i/>
          <w:iCs/>
        </w:rPr>
        <w:t>Interest Coverage Ratio</w:t>
      </w:r>
      <w:r w:rsidR="008C0803" w:rsidRPr="008D7DBA">
        <w:rPr>
          <w:rFonts w:ascii="Arial" w:hAnsi="Arial" w:cs="Arial"/>
        </w:rPr>
        <w:t xml:space="preserve">: </w:t>
      </w:r>
      <w:r w:rsidRPr="008D7DBA">
        <w:rPr>
          <w:rFonts w:ascii="Arial" w:hAnsi="Arial" w:cs="Arial"/>
        </w:rPr>
        <w:t xml:space="preserve">The Interest Coverage Ratio has also revealed a drastic decrease of 26.21 in 2020 to -4.55 in 2024, which means that the earnings before interest and tax (EBIT) portion of the company is not enough to meet the interests. This low ratio </w:t>
      </w:r>
      <w:r w:rsidRPr="008D7DBA">
        <w:rPr>
          <w:rFonts w:ascii="Arial" w:hAnsi="Arial" w:cs="Arial"/>
        </w:rPr>
        <w:lastRenderedPageBreak/>
        <w:t>sends out one of the biggest of red flags</w:t>
      </w:r>
      <w:r w:rsidR="0095452D" w:rsidRPr="008D7DBA">
        <w:rPr>
          <w:rFonts w:ascii="Arial" w:hAnsi="Arial" w:cs="Arial"/>
        </w:rPr>
        <w:t>,</w:t>
      </w:r>
      <w:r w:rsidRPr="008D7DBA">
        <w:rPr>
          <w:rFonts w:ascii="Arial" w:hAnsi="Arial" w:cs="Arial"/>
        </w:rPr>
        <w:t xml:space="preserve"> i.e. General Electronics is not making adequate operational profit to service its interests</w:t>
      </w:r>
      <w:r w:rsidR="0095452D" w:rsidRPr="008D7DBA">
        <w:rPr>
          <w:rFonts w:ascii="Arial" w:hAnsi="Arial" w:cs="Arial"/>
        </w:rPr>
        <w:t>,</w:t>
      </w:r>
      <w:r w:rsidRPr="008D7DBA">
        <w:rPr>
          <w:rFonts w:ascii="Arial" w:hAnsi="Arial" w:cs="Arial"/>
        </w:rPr>
        <w:t xml:space="preserve"> nor is it likely to service its debt. </w:t>
      </w:r>
    </w:p>
    <w:p w14:paraId="14C1B93A" w14:textId="4DEE7808" w:rsidR="0082692D" w:rsidRPr="008D7DBA" w:rsidRDefault="0082692D" w:rsidP="0082692D">
      <w:pPr>
        <w:rPr>
          <w:rFonts w:ascii="Arial" w:hAnsi="Arial" w:cs="Arial"/>
          <w:b/>
          <w:bCs/>
        </w:rPr>
      </w:pPr>
      <w:r w:rsidRPr="008D7DBA">
        <w:rPr>
          <w:rFonts w:ascii="Arial" w:hAnsi="Arial" w:cs="Arial"/>
          <w:b/>
          <w:bCs/>
        </w:rPr>
        <w:t>Investment Ratios</w:t>
      </w:r>
    </w:p>
    <w:p w14:paraId="1CFAD371" w14:textId="77777777" w:rsidR="00AA6EC2" w:rsidRPr="008D7DBA" w:rsidRDefault="00AA6EC2" w:rsidP="00AA6EC2">
      <w:pPr>
        <w:keepNext/>
        <w:jc w:val="center"/>
        <w:rPr>
          <w:rFonts w:ascii="Arial" w:hAnsi="Arial" w:cs="Arial"/>
        </w:rPr>
      </w:pPr>
      <w:r w:rsidRPr="008D7DBA">
        <w:rPr>
          <w:rFonts w:ascii="Arial" w:hAnsi="Arial" w:cs="Arial"/>
          <w:noProof/>
        </w:rPr>
        <w:drawing>
          <wp:inline distT="0" distB="0" distL="0" distR="0" wp14:anchorId="236C0765" wp14:editId="7C7763E7">
            <wp:extent cx="3200400" cy="1828800"/>
            <wp:effectExtent l="0" t="0" r="0" b="0"/>
            <wp:docPr id="197425054" name="Chart 1">
              <a:extLst xmlns:a="http://schemas.openxmlformats.org/drawingml/2006/main">
                <a:ext uri="{FF2B5EF4-FFF2-40B4-BE49-F238E27FC236}">
                  <a16:creationId xmlns:a16="http://schemas.microsoft.com/office/drawing/2014/main" id="{3E0DD21B-148A-9F31-3D82-E1A12ED278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41A5B5" w14:textId="0E9DDF42" w:rsidR="00AA6EC2" w:rsidRPr="008D7DBA" w:rsidRDefault="00AA6EC2" w:rsidP="00AA6EC2">
      <w:pPr>
        <w:pStyle w:val="Caption"/>
        <w:jc w:val="center"/>
        <w:rPr>
          <w:rFonts w:ascii="Arial" w:hAnsi="Arial" w:cs="Arial"/>
          <w:color w:val="auto"/>
        </w:rPr>
      </w:pPr>
      <w:bookmarkStart w:id="12" w:name="_Toc216380449"/>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00FC1C62" w:rsidRPr="008D7DBA">
        <w:rPr>
          <w:rFonts w:ascii="Arial" w:hAnsi="Arial" w:cs="Arial"/>
          <w:noProof/>
          <w:color w:val="auto"/>
        </w:rPr>
        <w:t>5</w:t>
      </w:r>
      <w:r w:rsidRPr="008D7DBA">
        <w:rPr>
          <w:rFonts w:ascii="Arial" w:hAnsi="Arial" w:cs="Arial"/>
          <w:color w:val="auto"/>
        </w:rPr>
        <w:fldChar w:fldCharType="end"/>
      </w:r>
      <w:r w:rsidRPr="008D7DBA">
        <w:rPr>
          <w:rFonts w:ascii="Arial" w:hAnsi="Arial" w:cs="Arial"/>
          <w:color w:val="auto"/>
        </w:rPr>
        <w:t>: Investment</w:t>
      </w:r>
      <w:bookmarkEnd w:id="12"/>
    </w:p>
    <w:tbl>
      <w:tblPr>
        <w:tblStyle w:val="PlainTable1"/>
        <w:tblW w:w="4764" w:type="pct"/>
        <w:tblLook w:val="04A0" w:firstRow="1" w:lastRow="0" w:firstColumn="1" w:lastColumn="0" w:noHBand="0" w:noVBand="1"/>
      </w:tblPr>
      <w:tblGrid>
        <w:gridCol w:w="2212"/>
        <w:gridCol w:w="1448"/>
        <w:gridCol w:w="1138"/>
        <w:gridCol w:w="1138"/>
        <w:gridCol w:w="1138"/>
        <w:gridCol w:w="1138"/>
        <w:gridCol w:w="1138"/>
      </w:tblGrid>
      <w:tr w:rsidR="00A80E41" w:rsidRPr="008D7DBA" w14:paraId="62B0533C" w14:textId="77777777" w:rsidTr="00AA2DD0">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6697EE16"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Earnings Per Share</w:t>
            </w:r>
          </w:p>
        </w:tc>
      </w:tr>
      <w:tr w:rsidR="00A80E41" w:rsidRPr="008D7DBA" w14:paraId="03DAC0FA"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2176041C"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773" w:type="pct"/>
            <w:noWrap/>
            <w:hideMark/>
          </w:tcPr>
          <w:p w14:paraId="47885B72"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10" w:type="pct"/>
            <w:noWrap/>
            <w:hideMark/>
          </w:tcPr>
          <w:p w14:paraId="552903D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10" w:type="pct"/>
            <w:noWrap/>
            <w:hideMark/>
          </w:tcPr>
          <w:p w14:paraId="21866B9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10" w:type="pct"/>
            <w:noWrap/>
            <w:hideMark/>
          </w:tcPr>
          <w:p w14:paraId="3CDA30B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10" w:type="pct"/>
            <w:noWrap/>
            <w:hideMark/>
          </w:tcPr>
          <w:p w14:paraId="198B7A14"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10" w:type="pct"/>
            <w:noWrap/>
            <w:hideMark/>
          </w:tcPr>
          <w:p w14:paraId="16D7217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0B10ACD4"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7A29D623"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Profit</w:t>
            </w:r>
          </w:p>
        </w:tc>
        <w:tc>
          <w:tcPr>
            <w:tcW w:w="773" w:type="pct"/>
            <w:vMerge w:val="restart"/>
            <w:hideMark/>
          </w:tcPr>
          <w:p w14:paraId="3208FA12"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Profit/ Num of Shares</w:t>
            </w:r>
          </w:p>
        </w:tc>
        <w:tc>
          <w:tcPr>
            <w:tcW w:w="610" w:type="pct"/>
            <w:noWrap/>
            <w:hideMark/>
          </w:tcPr>
          <w:p w14:paraId="1D6E5A09"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-24,029</w:t>
            </w:r>
          </w:p>
        </w:tc>
        <w:tc>
          <w:tcPr>
            <w:tcW w:w="610" w:type="pct"/>
            <w:noWrap/>
            <w:hideMark/>
          </w:tcPr>
          <w:p w14:paraId="2D80C86A"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-98,238</w:t>
            </w:r>
          </w:p>
        </w:tc>
        <w:tc>
          <w:tcPr>
            <w:tcW w:w="610" w:type="pct"/>
            <w:noWrap/>
            <w:hideMark/>
          </w:tcPr>
          <w:p w14:paraId="4095466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407</w:t>
            </w:r>
          </w:p>
        </w:tc>
        <w:tc>
          <w:tcPr>
            <w:tcW w:w="610" w:type="pct"/>
            <w:noWrap/>
            <w:hideMark/>
          </w:tcPr>
          <w:p w14:paraId="39B9AFB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5,301</w:t>
            </w:r>
          </w:p>
        </w:tc>
        <w:tc>
          <w:tcPr>
            <w:tcW w:w="610" w:type="pct"/>
            <w:noWrap/>
            <w:hideMark/>
          </w:tcPr>
          <w:p w14:paraId="2397977D"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38,572</w:t>
            </w:r>
          </w:p>
        </w:tc>
      </w:tr>
      <w:tr w:rsidR="00A80E41" w:rsidRPr="008D7DBA" w14:paraId="02961952"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19C2E728"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Num of Shares</w:t>
            </w:r>
          </w:p>
        </w:tc>
        <w:tc>
          <w:tcPr>
            <w:tcW w:w="773" w:type="pct"/>
            <w:vMerge/>
            <w:hideMark/>
          </w:tcPr>
          <w:p w14:paraId="652AAE77"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10" w:type="pct"/>
            <w:noWrap/>
            <w:hideMark/>
          </w:tcPr>
          <w:p w14:paraId="3173E944"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12,959</w:t>
            </w:r>
          </w:p>
        </w:tc>
        <w:tc>
          <w:tcPr>
            <w:tcW w:w="610" w:type="pct"/>
            <w:noWrap/>
            <w:hideMark/>
          </w:tcPr>
          <w:p w14:paraId="46C8ADF8"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12,855</w:t>
            </w:r>
          </w:p>
        </w:tc>
        <w:tc>
          <w:tcPr>
            <w:tcW w:w="610" w:type="pct"/>
            <w:noWrap/>
            <w:hideMark/>
          </w:tcPr>
          <w:p w14:paraId="1BC6DBE3"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12,703</w:t>
            </w:r>
          </w:p>
        </w:tc>
        <w:tc>
          <w:tcPr>
            <w:tcW w:w="610" w:type="pct"/>
            <w:noWrap/>
            <w:hideMark/>
          </w:tcPr>
          <w:p w14:paraId="36EE504F"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13,465</w:t>
            </w:r>
          </w:p>
        </w:tc>
        <w:tc>
          <w:tcPr>
            <w:tcW w:w="610" w:type="pct"/>
            <w:noWrap/>
            <w:hideMark/>
          </w:tcPr>
          <w:p w14:paraId="6F8BAD0E"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13,893</w:t>
            </w:r>
          </w:p>
        </w:tc>
      </w:tr>
      <w:tr w:rsidR="00A80E41" w:rsidRPr="008D7DBA" w14:paraId="58C835C8"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53561D5A"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Earnings Per Share</w:t>
            </w:r>
          </w:p>
        </w:tc>
        <w:tc>
          <w:tcPr>
            <w:tcW w:w="773" w:type="pct"/>
            <w:vMerge/>
            <w:hideMark/>
          </w:tcPr>
          <w:p w14:paraId="29B0F93D"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10" w:type="pct"/>
            <w:noWrap/>
            <w:hideMark/>
          </w:tcPr>
          <w:p w14:paraId="05566717"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-1.85</w:t>
            </w:r>
          </w:p>
        </w:tc>
        <w:tc>
          <w:tcPr>
            <w:tcW w:w="610" w:type="pct"/>
            <w:noWrap/>
            <w:hideMark/>
          </w:tcPr>
          <w:p w14:paraId="5EBD8D3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-7.64</w:t>
            </w:r>
          </w:p>
        </w:tc>
        <w:tc>
          <w:tcPr>
            <w:tcW w:w="610" w:type="pct"/>
            <w:noWrap/>
            <w:hideMark/>
          </w:tcPr>
          <w:p w14:paraId="28E01343"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0.03</w:t>
            </w:r>
          </w:p>
        </w:tc>
        <w:tc>
          <w:tcPr>
            <w:tcW w:w="610" w:type="pct"/>
            <w:noWrap/>
            <w:hideMark/>
          </w:tcPr>
          <w:p w14:paraId="374FAA5C"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0.39</w:t>
            </w:r>
          </w:p>
        </w:tc>
        <w:tc>
          <w:tcPr>
            <w:tcW w:w="610" w:type="pct"/>
            <w:noWrap/>
            <w:hideMark/>
          </w:tcPr>
          <w:p w14:paraId="06476E08"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2.78</w:t>
            </w:r>
          </w:p>
        </w:tc>
      </w:tr>
      <w:tr w:rsidR="00A80E41" w:rsidRPr="008D7DBA" w14:paraId="569DE41D"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13C41D50" w14:textId="77777777" w:rsidR="00AA2DD0" w:rsidRPr="008D7DBA" w:rsidRDefault="00AA2DD0" w:rsidP="00DA07CE">
            <w:pPr>
              <w:spacing w:line="240" w:lineRule="auto"/>
              <w:jc w:val="left"/>
              <w:rPr>
                <w:rFonts w:ascii="Arial" w:eastAsia="Times New Roman" w:hAnsi="Arial" w:cs="Arial"/>
                <w:kern w:val="0"/>
                <w:sz w:val="20"/>
                <w:szCs w:val="20"/>
                <w14:ligatures w14:val="none"/>
              </w:rPr>
            </w:pPr>
          </w:p>
        </w:tc>
        <w:tc>
          <w:tcPr>
            <w:tcW w:w="773" w:type="pct"/>
            <w:noWrap/>
            <w:hideMark/>
          </w:tcPr>
          <w:p w14:paraId="65A54FDD"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10" w:type="pct"/>
            <w:noWrap/>
            <w:hideMark/>
          </w:tcPr>
          <w:p w14:paraId="11F5CE4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10" w:type="pct"/>
            <w:noWrap/>
            <w:hideMark/>
          </w:tcPr>
          <w:p w14:paraId="1DF6DFA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10" w:type="pct"/>
            <w:noWrap/>
            <w:hideMark/>
          </w:tcPr>
          <w:p w14:paraId="22EE87B9"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10" w:type="pct"/>
            <w:noWrap/>
            <w:hideMark/>
          </w:tcPr>
          <w:p w14:paraId="33D98253"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610" w:type="pct"/>
            <w:noWrap/>
            <w:hideMark/>
          </w:tcPr>
          <w:p w14:paraId="3A6973E2"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A80E41" w:rsidRPr="008D7DBA" w14:paraId="67B73EB7"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0245228D"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Return On Equity</w:t>
            </w:r>
          </w:p>
        </w:tc>
      </w:tr>
      <w:tr w:rsidR="00A80E41" w:rsidRPr="008D7DBA" w14:paraId="1F3BC068"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7BEDEE1C"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773" w:type="pct"/>
            <w:noWrap/>
            <w:hideMark/>
          </w:tcPr>
          <w:p w14:paraId="71D49D22"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610" w:type="pct"/>
            <w:noWrap/>
            <w:hideMark/>
          </w:tcPr>
          <w:p w14:paraId="049D100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610" w:type="pct"/>
            <w:noWrap/>
            <w:hideMark/>
          </w:tcPr>
          <w:p w14:paraId="187C7499"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610" w:type="pct"/>
            <w:noWrap/>
            <w:hideMark/>
          </w:tcPr>
          <w:p w14:paraId="7991D0D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610" w:type="pct"/>
            <w:noWrap/>
            <w:hideMark/>
          </w:tcPr>
          <w:p w14:paraId="6A04EDD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610" w:type="pct"/>
            <w:noWrap/>
            <w:hideMark/>
          </w:tcPr>
          <w:p w14:paraId="5A24498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699427C4"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52512654"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Profit</w:t>
            </w:r>
          </w:p>
        </w:tc>
        <w:tc>
          <w:tcPr>
            <w:tcW w:w="773" w:type="pct"/>
            <w:vMerge w:val="restart"/>
            <w:hideMark/>
          </w:tcPr>
          <w:p w14:paraId="0E384879"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(Net Profit ÷ Shareholders’ Equity)*100</w:t>
            </w:r>
          </w:p>
        </w:tc>
        <w:tc>
          <w:tcPr>
            <w:tcW w:w="610" w:type="pct"/>
            <w:noWrap/>
            <w:hideMark/>
          </w:tcPr>
          <w:p w14:paraId="2041094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-24,029</w:t>
            </w:r>
          </w:p>
        </w:tc>
        <w:tc>
          <w:tcPr>
            <w:tcW w:w="610" w:type="pct"/>
            <w:noWrap/>
            <w:hideMark/>
          </w:tcPr>
          <w:p w14:paraId="7A0D888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-98,238</w:t>
            </w:r>
          </w:p>
        </w:tc>
        <w:tc>
          <w:tcPr>
            <w:tcW w:w="610" w:type="pct"/>
            <w:noWrap/>
            <w:hideMark/>
          </w:tcPr>
          <w:p w14:paraId="743CD6C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407</w:t>
            </w:r>
          </w:p>
        </w:tc>
        <w:tc>
          <w:tcPr>
            <w:tcW w:w="610" w:type="pct"/>
            <w:noWrap/>
            <w:hideMark/>
          </w:tcPr>
          <w:p w14:paraId="5D0766E1"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5,301</w:t>
            </w:r>
          </w:p>
        </w:tc>
        <w:tc>
          <w:tcPr>
            <w:tcW w:w="610" w:type="pct"/>
            <w:noWrap/>
            <w:hideMark/>
          </w:tcPr>
          <w:p w14:paraId="0002AB9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38,572</w:t>
            </w:r>
          </w:p>
        </w:tc>
      </w:tr>
      <w:tr w:rsidR="00A80E41" w:rsidRPr="008D7DBA" w14:paraId="02200C57"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73C67D2E"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Shareholders’ Equity</w:t>
            </w:r>
          </w:p>
        </w:tc>
        <w:tc>
          <w:tcPr>
            <w:tcW w:w="773" w:type="pct"/>
            <w:vMerge/>
            <w:hideMark/>
          </w:tcPr>
          <w:p w14:paraId="20BD3052"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610" w:type="pct"/>
            <w:noWrap/>
            <w:hideMark/>
          </w:tcPr>
          <w:p w14:paraId="14F36EC4"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153,105</w:t>
            </w:r>
          </w:p>
        </w:tc>
        <w:tc>
          <w:tcPr>
            <w:tcW w:w="610" w:type="pct"/>
            <w:noWrap/>
            <w:hideMark/>
          </w:tcPr>
          <w:p w14:paraId="59ED18CA"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178,920</w:t>
            </w:r>
          </w:p>
        </w:tc>
        <w:tc>
          <w:tcPr>
            <w:tcW w:w="610" w:type="pct"/>
            <w:noWrap/>
            <w:hideMark/>
          </w:tcPr>
          <w:p w14:paraId="77DCD113"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268,406</w:t>
            </w:r>
          </w:p>
        </w:tc>
        <w:tc>
          <w:tcPr>
            <w:tcW w:w="610" w:type="pct"/>
            <w:noWrap/>
            <w:hideMark/>
          </w:tcPr>
          <w:p w14:paraId="6D4DC1FB"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275,949</w:t>
            </w:r>
          </w:p>
        </w:tc>
        <w:tc>
          <w:tcPr>
            <w:tcW w:w="610" w:type="pct"/>
            <w:noWrap/>
            <w:hideMark/>
          </w:tcPr>
          <w:p w14:paraId="5B17B298"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313,301</w:t>
            </w:r>
          </w:p>
        </w:tc>
      </w:tr>
      <w:tr w:rsidR="00A80E41" w:rsidRPr="008D7DBA" w14:paraId="5338E570"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179" w:type="pct"/>
            <w:noWrap/>
            <w:hideMark/>
          </w:tcPr>
          <w:p w14:paraId="2286205A"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Return On Equity</w:t>
            </w:r>
          </w:p>
        </w:tc>
        <w:tc>
          <w:tcPr>
            <w:tcW w:w="773" w:type="pct"/>
            <w:vMerge/>
            <w:hideMark/>
          </w:tcPr>
          <w:p w14:paraId="0E93DFC3"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610" w:type="pct"/>
            <w:noWrap/>
            <w:hideMark/>
          </w:tcPr>
          <w:p w14:paraId="59FBF5C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-15.69%</w:t>
            </w:r>
          </w:p>
        </w:tc>
        <w:tc>
          <w:tcPr>
            <w:tcW w:w="610" w:type="pct"/>
            <w:noWrap/>
            <w:hideMark/>
          </w:tcPr>
          <w:p w14:paraId="320FFCFA"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-54.91%</w:t>
            </w:r>
          </w:p>
        </w:tc>
        <w:tc>
          <w:tcPr>
            <w:tcW w:w="610" w:type="pct"/>
            <w:noWrap/>
            <w:hideMark/>
          </w:tcPr>
          <w:p w14:paraId="2A68D31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0.15%</w:t>
            </w:r>
          </w:p>
        </w:tc>
        <w:tc>
          <w:tcPr>
            <w:tcW w:w="610" w:type="pct"/>
            <w:noWrap/>
            <w:hideMark/>
          </w:tcPr>
          <w:p w14:paraId="127621A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1.92%</w:t>
            </w:r>
          </w:p>
        </w:tc>
        <w:tc>
          <w:tcPr>
            <w:tcW w:w="610" w:type="pct"/>
            <w:noWrap/>
            <w:hideMark/>
          </w:tcPr>
          <w:p w14:paraId="58F4A08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12.31%</w:t>
            </w:r>
          </w:p>
        </w:tc>
      </w:tr>
    </w:tbl>
    <w:p w14:paraId="2F05E181" w14:textId="44594390" w:rsidR="00AA6EC2" w:rsidRPr="008D7DBA" w:rsidRDefault="00AA6EC2" w:rsidP="00AA6EC2">
      <w:pPr>
        <w:pStyle w:val="Caption"/>
        <w:jc w:val="center"/>
        <w:rPr>
          <w:rFonts w:ascii="Arial" w:hAnsi="Arial" w:cs="Arial"/>
          <w:color w:val="auto"/>
        </w:rPr>
      </w:pPr>
      <w:bookmarkStart w:id="13" w:name="_Toc216380441"/>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5</w:t>
      </w:r>
      <w:r w:rsidRPr="008D7DBA">
        <w:rPr>
          <w:rFonts w:ascii="Arial" w:hAnsi="Arial" w:cs="Arial"/>
          <w:color w:val="auto"/>
        </w:rPr>
        <w:fldChar w:fldCharType="end"/>
      </w:r>
      <w:r w:rsidRPr="008D7DBA">
        <w:rPr>
          <w:rFonts w:ascii="Arial" w:hAnsi="Arial" w:cs="Arial"/>
          <w:color w:val="auto"/>
        </w:rPr>
        <w:t>: Investment Calculation</w:t>
      </w:r>
      <w:bookmarkEnd w:id="13"/>
    </w:p>
    <w:p w14:paraId="6C67277F" w14:textId="43055598" w:rsidR="0082692D" w:rsidRPr="008D7DBA" w:rsidRDefault="0082692D" w:rsidP="0082692D">
      <w:pPr>
        <w:rPr>
          <w:rFonts w:ascii="Arial" w:hAnsi="Arial" w:cs="Arial"/>
        </w:rPr>
      </w:pPr>
      <w:r w:rsidRPr="008D7DBA">
        <w:rPr>
          <w:rFonts w:ascii="Arial" w:hAnsi="Arial" w:cs="Arial"/>
          <w:i/>
          <w:iCs/>
        </w:rPr>
        <w:t>Earnings Per Share</w:t>
      </w:r>
      <w:r w:rsidR="008C0803" w:rsidRPr="008D7DBA">
        <w:rPr>
          <w:rFonts w:ascii="Arial" w:hAnsi="Arial" w:cs="Arial"/>
        </w:rPr>
        <w:t xml:space="preserve">: </w:t>
      </w:r>
      <w:r w:rsidRPr="008D7DBA">
        <w:rPr>
          <w:rFonts w:ascii="Arial" w:hAnsi="Arial" w:cs="Arial"/>
        </w:rPr>
        <w:t>EPS has shown a decreasing trend</w:t>
      </w:r>
      <w:r w:rsidR="0095452D" w:rsidRPr="008D7DBA">
        <w:rPr>
          <w:rFonts w:ascii="Arial" w:hAnsi="Arial" w:cs="Arial"/>
        </w:rPr>
        <w:t>,</w:t>
      </w:r>
      <w:r w:rsidRPr="008D7DBA">
        <w:rPr>
          <w:rFonts w:ascii="Arial" w:hAnsi="Arial" w:cs="Arial"/>
        </w:rPr>
        <w:t xml:space="preserve"> where it was 2.78 in 2020 and -1.85 in 2024. This negative EPS shows that the company ceased to make </w:t>
      </w:r>
      <w:r w:rsidR="0095452D" w:rsidRPr="008D7DBA">
        <w:rPr>
          <w:rFonts w:ascii="Arial" w:hAnsi="Arial" w:cs="Arial"/>
        </w:rPr>
        <w:t xml:space="preserve">a </w:t>
      </w:r>
      <w:r w:rsidRPr="008D7DBA">
        <w:rPr>
          <w:rFonts w:ascii="Arial" w:hAnsi="Arial" w:cs="Arial"/>
        </w:rPr>
        <w:t xml:space="preserve">profit </w:t>
      </w:r>
      <w:r w:rsidR="0095452D" w:rsidRPr="008D7DBA">
        <w:rPr>
          <w:rFonts w:ascii="Arial" w:hAnsi="Arial" w:cs="Arial"/>
        </w:rPr>
        <w:t>for</w:t>
      </w:r>
      <w:r w:rsidRPr="008D7DBA">
        <w:rPr>
          <w:rFonts w:ascii="Arial" w:hAnsi="Arial" w:cs="Arial"/>
        </w:rPr>
        <w:t xml:space="preserve"> the stockholders and is in a state of high losses. Negative EPS is a big threat to investors</w:t>
      </w:r>
      <w:r w:rsidR="0095452D" w:rsidRPr="008D7DBA">
        <w:rPr>
          <w:rFonts w:ascii="Arial" w:hAnsi="Arial" w:cs="Arial"/>
        </w:rPr>
        <w:t>,</w:t>
      </w:r>
      <w:r w:rsidRPr="008D7DBA">
        <w:rPr>
          <w:rFonts w:ascii="Arial" w:hAnsi="Arial" w:cs="Arial"/>
        </w:rPr>
        <w:t xml:space="preserve"> which may result in discouragement of future investment or weakening of stock prices.</w:t>
      </w:r>
    </w:p>
    <w:p w14:paraId="60571C4D" w14:textId="323035CB" w:rsidR="0082692D" w:rsidRPr="008D7DBA" w:rsidRDefault="0082692D" w:rsidP="0082692D">
      <w:pPr>
        <w:rPr>
          <w:rFonts w:ascii="Arial" w:hAnsi="Arial" w:cs="Arial"/>
        </w:rPr>
      </w:pPr>
      <w:r w:rsidRPr="008D7DBA">
        <w:rPr>
          <w:rFonts w:ascii="Arial" w:hAnsi="Arial" w:cs="Arial"/>
          <w:i/>
          <w:iCs/>
        </w:rPr>
        <w:lastRenderedPageBreak/>
        <w:t>Return on Equit</w:t>
      </w:r>
      <w:r w:rsidR="008C0803" w:rsidRPr="008D7DBA">
        <w:rPr>
          <w:rFonts w:ascii="Arial" w:hAnsi="Arial" w:cs="Arial"/>
          <w:i/>
          <w:iCs/>
        </w:rPr>
        <w:t>y:</w:t>
      </w:r>
      <w:r w:rsidR="008C0803" w:rsidRPr="008D7DBA">
        <w:rPr>
          <w:rFonts w:ascii="Arial" w:hAnsi="Arial" w:cs="Arial"/>
        </w:rPr>
        <w:t xml:space="preserve"> </w:t>
      </w:r>
      <w:r w:rsidRPr="008D7DBA">
        <w:rPr>
          <w:rFonts w:ascii="Arial" w:hAnsi="Arial" w:cs="Arial"/>
        </w:rPr>
        <w:t>There has also been a sharp decrease in ROE, which was 12.31 in 2020</w:t>
      </w:r>
      <w:r w:rsidR="0095452D" w:rsidRPr="008D7DBA">
        <w:rPr>
          <w:rFonts w:ascii="Arial" w:hAnsi="Arial" w:cs="Arial"/>
        </w:rPr>
        <w:t>,</w:t>
      </w:r>
      <w:r w:rsidRPr="008D7DBA">
        <w:rPr>
          <w:rFonts w:ascii="Arial" w:hAnsi="Arial" w:cs="Arial"/>
        </w:rPr>
        <w:t xml:space="preserve"> but this year, it has been negative at -15.69. A negative ROE implies that the business is losing shareholders</w:t>
      </w:r>
      <w:r w:rsidR="0095452D" w:rsidRPr="008D7DBA">
        <w:rPr>
          <w:rFonts w:ascii="Arial" w:hAnsi="Arial" w:cs="Arial"/>
        </w:rPr>
        <w:t>'</w:t>
      </w:r>
      <w:r w:rsidRPr="008D7DBA">
        <w:rPr>
          <w:rFonts w:ascii="Arial" w:hAnsi="Arial" w:cs="Arial"/>
        </w:rPr>
        <w:t xml:space="preserve"> wealth, as it cannot make a profit </w:t>
      </w:r>
      <w:r w:rsidR="0095452D" w:rsidRPr="008D7DBA">
        <w:rPr>
          <w:rFonts w:ascii="Arial" w:hAnsi="Arial" w:cs="Arial"/>
        </w:rPr>
        <w:t>from</w:t>
      </w:r>
      <w:r w:rsidRPr="008D7DBA">
        <w:rPr>
          <w:rFonts w:ascii="Arial" w:hAnsi="Arial" w:cs="Arial"/>
        </w:rPr>
        <w:t xml:space="preserve"> its invested capital</w:t>
      </w:r>
      <w:r w:rsidR="0058089E" w:rsidRPr="008D7DBA">
        <w:rPr>
          <w:rFonts w:ascii="Arial" w:hAnsi="Arial" w:cs="Arial"/>
        </w:rPr>
        <w:t xml:space="preserve"> </w:t>
      </w:r>
      <w:r w:rsidR="0058089E" w:rsidRPr="008D7DBA">
        <w:rPr>
          <w:rFonts w:ascii="Arial" w:hAnsi="Arial" w:cs="Arial"/>
          <w:shd w:val="clear" w:color="auto" w:fill="FFFFFF"/>
        </w:rPr>
        <w:t>(Dicu et al., 2019)</w:t>
      </w:r>
      <w:r w:rsidRPr="008D7DBA">
        <w:rPr>
          <w:rFonts w:ascii="Arial" w:hAnsi="Arial" w:cs="Arial"/>
        </w:rPr>
        <w:t xml:space="preserve">. This is a blow to the management </w:t>
      </w:r>
      <w:r w:rsidR="0095452D" w:rsidRPr="008D7DBA">
        <w:rPr>
          <w:rFonts w:ascii="Arial" w:hAnsi="Arial" w:cs="Arial"/>
        </w:rPr>
        <w:t>for</w:t>
      </w:r>
      <w:r w:rsidRPr="008D7DBA">
        <w:rPr>
          <w:rFonts w:ascii="Arial" w:hAnsi="Arial" w:cs="Arial"/>
        </w:rPr>
        <w:t xml:space="preserve"> its failure to provide returns to the investors and poses a risk to the shareholders.</w:t>
      </w:r>
    </w:p>
    <w:p w14:paraId="6A7D2837" w14:textId="49186761" w:rsidR="0082692D" w:rsidRPr="008D7DBA" w:rsidRDefault="0082692D" w:rsidP="0082692D">
      <w:pPr>
        <w:rPr>
          <w:rFonts w:ascii="Arial" w:hAnsi="Arial" w:cs="Arial"/>
          <w:b/>
          <w:bCs/>
        </w:rPr>
      </w:pPr>
      <w:r w:rsidRPr="008D7DBA">
        <w:rPr>
          <w:rFonts w:ascii="Arial" w:hAnsi="Arial" w:cs="Arial"/>
          <w:b/>
          <w:bCs/>
        </w:rPr>
        <w:t>Cash Flow Ratios</w:t>
      </w:r>
    </w:p>
    <w:p w14:paraId="1ECEEB79" w14:textId="77777777" w:rsidR="00D17AE3" w:rsidRPr="008D7DBA" w:rsidRDefault="00D17AE3" w:rsidP="00D17AE3">
      <w:pPr>
        <w:keepNext/>
        <w:jc w:val="center"/>
        <w:rPr>
          <w:rFonts w:ascii="Arial" w:hAnsi="Arial" w:cs="Arial"/>
        </w:rPr>
      </w:pPr>
      <w:r w:rsidRPr="008D7DBA">
        <w:rPr>
          <w:rFonts w:ascii="Arial" w:hAnsi="Arial" w:cs="Arial"/>
          <w:noProof/>
        </w:rPr>
        <w:drawing>
          <wp:inline distT="0" distB="0" distL="0" distR="0" wp14:anchorId="2EDE041A" wp14:editId="165017A3">
            <wp:extent cx="3613150" cy="1905000"/>
            <wp:effectExtent l="0" t="0" r="6350" b="0"/>
            <wp:docPr id="1687763700" name="Chart 1">
              <a:extLst xmlns:a="http://schemas.openxmlformats.org/drawingml/2006/main">
                <a:ext uri="{FF2B5EF4-FFF2-40B4-BE49-F238E27FC236}">
                  <a16:creationId xmlns:a16="http://schemas.microsoft.com/office/drawing/2014/main" id="{893CDE38-1F50-E0BE-C8C3-46037084EF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F71FC2" w14:textId="6763DC9F" w:rsidR="00AA6EC2" w:rsidRPr="008D7DBA" w:rsidRDefault="00D17AE3" w:rsidP="00D17AE3">
      <w:pPr>
        <w:pStyle w:val="Caption"/>
        <w:jc w:val="center"/>
        <w:rPr>
          <w:rFonts w:ascii="Arial" w:hAnsi="Arial" w:cs="Arial"/>
          <w:color w:val="auto"/>
        </w:rPr>
      </w:pPr>
      <w:bookmarkStart w:id="14" w:name="_Toc216380450"/>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00FC1C62" w:rsidRPr="008D7DBA">
        <w:rPr>
          <w:rFonts w:ascii="Arial" w:hAnsi="Arial" w:cs="Arial"/>
          <w:noProof/>
          <w:color w:val="auto"/>
        </w:rPr>
        <w:t>6</w:t>
      </w:r>
      <w:r w:rsidRPr="008D7DBA">
        <w:rPr>
          <w:rFonts w:ascii="Arial" w:hAnsi="Arial" w:cs="Arial"/>
          <w:color w:val="auto"/>
        </w:rPr>
        <w:fldChar w:fldCharType="end"/>
      </w:r>
      <w:r w:rsidRPr="008D7DBA">
        <w:rPr>
          <w:rFonts w:ascii="Arial" w:hAnsi="Arial" w:cs="Arial"/>
          <w:color w:val="auto"/>
        </w:rPr>
        <w:t>: Cash Flow</w:t>
      </w:r>
      <w:bookmarkEnd w:id="14"/>
    </w:p>
    <w:tbl>
      <w:tblPr>
        <w:tblStyle w:val="PlainTable1"/>
        <w:tblW w:w="5000" w:type="pct"/>
        <w:tblLook w:val="04A0" w:firstRow="1" w:lastRow="0" w:firstColumn="1" w:lastColumn="0" w:noHBand="0" w:noVBand="1"/>
      </w:tblPr>
      <w:tblGrid>
        <w:gridCol w:w="2704"/>
        <w:gridCol w:w="1071"/>
        <w:gridCol w:w="1115"/>
        <w:gridCol w:w="1115"/>
        <w:gridCol w:w="1115"/>
        <w:gridCol w:w="1115"/>
        <w:gridCol w:w="1115"/>
      </w:tblGrid>
      <w:tr w:rsidR="00A80E41" w:rsidRPr="008D7DBA" w14:paraId="79DD8B0D" w14:textId="77777777" w:rsidTr="00AA2DD0">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6BC079F9"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Operating Cash Flow Ratio</w:t>
            </w:r>
          </w:p>
        </w:tc>
      </w:tr>
      <w:tr w:rsidR="00A80E41" w:rsidRPr="008D7DBA" w14:paraId="1B6405E5"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432C5E25"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770" w:type="pct"/>
            <w:noWrap/>
            <w:hideMark/>
          </w:tcPr>
          <w:p w14:paraId="182484FD"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596" w:type="pct"/>
            <w:noWrap/>
            <w:hideMark/>
          </w:tcPr>
          <w:p w14:paraId="4C0EA5B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596" w:type="pct"/>
            <w:noWrap/>
            <w:hideMark/>
          </w:tcPr>
          <w:p w14:paraId="68F75196"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596" w:type="pct"/>
            <w:noWrap/>
            <w:hideMark/>
          </w:tcPr>
          <w:p w14:paraId="7301E2F9"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596" w:type="pct"/>
            <w:noWrap/>
            <w:hideMark/>
          </w:tcPr>
          <w:p w14:paraId="2A6D517C"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596" w:type="pct"/>
            <w:noWrap/>
            <w:hideMark/>
          </w:tcPr>
          <w:p w14:paraId="3EDBD298"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575BFEDD"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6742D644"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Operating Cash Flow</w:t>
            </w:r>
          </w:p>
        </w:tc>
        <w:tc>
          <w:tcPr>
            <w:tcW w:w="770" w:type="pct"/>
            <w:vMerge w:val="restart"/>
            <w:hideMark/>
          </w:tcPr>
          <w:p w14:paraId="0A22D1C3"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Operating Cash Flow ÷ Current Liabilities</w:t>
            </w:r>
          </w:p>
        </w:tc>
        <w:tc>
          <w:tcPr>
            <w:tcW w:w="596" w:type="pct"/>
            <w:noWrap/>
            <w:hideMark/>
          </w:tcPr>
          <w:p w14:paraId="74D5DE4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14,822</w:t>
            </w:r>
          </w:p>
        </w:tc>
        <w:tc>
          <w:tcPr>
            <w:tcW w:w="596" w:type="pct"/>
            <w:noWrap/>
            <w:hideMark/>
          </w:tcPr>
          <w:p w14:paraId="4BBC819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25,190</w:t>
            </w:r>
          </w:p>
        </w:tc>
        <w:tc>
          <w:tcPr>
            <w:tcW w:w="596" w:type="pct"/>
            <w:noWrap/>
            <w:hideMark/>
          </w:tcPr>
          <w:p w14:paraId="19C34742"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10,926</w:t>
            </w:r>
          </w:p>
        </w:tc>
        <w:tc>
          <w:tcPr>
            <w:tcW w:w="596" w:type="pct"/>
            <w:noWrap/>
            <w:hideMark/>
          </w:tcPr>
          <w:p w14:paraId="73916F9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40,283</w:t>
            </w:r>
          </w:p>
        </w:tc>
        <w:tc>
          <w:tcPr>
            <w:tcW w:w="596" w:type="pct"/>
            <w:noWrap/>
            <w:hideMark/>
          </w:tcPr>
          <w:p w14:paraId="2D71D72F"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73,392</w:t>
            </w:r>
          </w:p>
        </w:tc>
      </w:tr>
      <w:tr w:rsidR="00A80E41" w:rsidRPr="008D7DBA" w14:paraId="4EC8EA7C"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7F4D5739"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Current Liabilities</w:t>
            </w:r>
          </w:p>
        </w:tc>
        <w:tc>
          <w:tcPr>
            <w:tcW w:w="770" w:type="pct"/>
            <w:vMerge/>
            <w:hideMark/>
          </w:tcPr>
          <w:p w14:paraId="551817F9"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596" w:type="pct"/>
            <w:noWrap/>
            <w:hideMark/>
          </w:tcPr>
          <w:p w14:paraId="185C8573"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158,291</w:t>
            </w:r>
          </w:p>
        </w:tc>
        <w:tc>
          <w:tcPr>
            <w:tcW w:w="596" w:type="pct"/>
            <w:noWrap/>
            <w:hideMark/>
          </w:tcPr>
          <w:p w14:paraId="30784606"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161,148</w:t>
            </w:r>
          </w:p>
        </w:tc>
        <w:tc>
          <w:tcPr>
            <w:tcW w:w="596" w:type="pct"/>
            <w:noWrap/>
            <w:hideMark/>
          </w:tcPr>
          <w:p w14:paraId="11232555"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216,473</w:t>
            </w:r>
          </w:p>
        </w:tc>
        <w:tc>
          <w:tcPr>
            <w:tcW w:w="596" w:type="pct"/>
            <w:noWrap/>
            <w:hideMark/>
          </w:tcPr>
          <w:p w14:paraId="0C5BD67E"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216,787</w:t>
            </w:r>
          </w:p>
        </w:tc>
        <w:tc>
          <w:tcPr>
            <w:tcW w:w="596" w:type="pct"/>
            <w:noWrap/>
            <w:hideMark/>
          </w:tcPr>
          <w:p w14:paraId="3A40647C"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179,510</w:t>
            </w:r>
          </w:p>
        </w:tc>
      </w:tr>
      <w:tr w:rsidR="00A80E41" w:rsidRPr="008D7DBA" w14:paraId="1687EB56"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0CD884F8"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Operating Cash Flow Ratio</w:t>
            </w:r>
          </w:p>
        </w:tc>
        <w:tc>
          <w:tcPr>
            <w:tcW w:w="770" w:type="pct"/>
            <w:vMerge/>
            <w:hideMark/>
          </w:tcPr>
          <w:p w14:paraId="6971E37A"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596" w:type="pct"/>
            <w:noWrap/>
            <w:hideMark/>
          </w:tcPr>
          <w:p w14:paraId="5130A0CD"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0.09</w:t>
            </w:r>
          </w:p>
        </w:tc>
        <w:tc>
          <w:tcPr>
            <w:tcW w:w="596" w:type="pct"/>
            <w:noWrap/>
            <w:hideMark/>
          </w:tcPr>
          <w:p w14:paraId="5195BE6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0.16</w:t>
            </w:r>
          </w:p>
        </w:tc>
        <w:tc>
          <w:tcPr>
            <w:tcW w:w="596" w:type="pct"/>
            <w:noWrap/>
            <w:hideMark/>
          </w:tcPr>
          <w:p w14:paraId="78B543E9"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0.05</w:t>
            </w:r>
          </w:p>
        </w:tc>
        <w:tc>
          <w:tcPr>
            <w:tcW w:w="596" w:type="pct"/>
            <w:noWrap/>
            <w:hideMark/>
          </w:tcPr>
          <w:p w14:paraId="5CFB3615"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0.19</w:t>
            </w:r>
          </w:p>
        </w:tc>
        <w:tc>
          <w:tcPr>
            <w:tcW w:w="596" w:type="pct"/>
            <w:noWrap/>
            <w:hideMark/>
          </w:tcPr>
          <w:p w14:paraId="2C56A7F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0.41</w:t>
            </w:r>
          </w:p>
        </w:tc>
      </w:tr>
      <w:tr w:rsidR="00A80E41" w:rsidRPr="008D7DBA" w14:paraId="350EDE03"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775BED53" w14:textId="77777777" w:rsidR="00AA2DD0" w:rsidRPr="008D7DBA" w:rsidRDefault="00AA2DD0" w:rsidP="00DA07CE">
            <w:pPr>
              <w:spacing w:line="240" w:lineRule="auto"/>
              <w:jc w:val="left"/>
              <w:rPr>
                <w:rFonts w:ascii="Arial" w:eastAsia="Times New Roman" w:hAnsi="Arial" w:cs="Arial"/>
                <w:kern w:val="0"/>
                <w:sz w:val="20"/>
                <w:szCs w:val="20"/>
                <w14:ligatures w14:val="none"/>
              </w:rPr>
            </w:pPr>
          </w:p>
        </w:tc>
        <w:tc>
          <w:tcPr>
            <w:tcW w:w="770" w:type="pct"/>
            <w:noWrap/>
            <w:hideMark/>
          </w:tcPr>
          <w:p w14:paraId="1CAC740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596" w:type="pct"/>
            <w:noWrap/>
            <w:hideMark/>
          </w:tcPr>
          <w:p w14:paraId="1EEAFEB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596" w:type="pct"/>
            <w:noWrap/>
            <w:hideMark/>
          </w:tcPr>
          <w:p w14:paraId="383B713A"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596" w:type="pct"/>
            <w:noWrap/>
            <w:hideMark/>
          </w:tcPr>
          <w:p w14:paraId="5B738C5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596" w:type="pct"/>
            <w:noWrap/>
            <w:hideMark/>
          </w:tcPr>
          <w:p w14:paraId="7ADCEB3B"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c>
          <w:tcPr>
            <w:tcW w:w="596" w:type="pct"/>
            <w:noWrap/>
            <w:hideMark/>
          </w:tcPr>
          <w:p w14:paraId="083924A8"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14:ligatures w14:val="none"/>
              </w:rPr>
            </w:pPr>
          </w:p>
        </w:tc>
      </w:tr>
      <w:tr w:rsidR="00A80E41" w:rsidRPr="008D7DBA" w14:paraId="37609863"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1667E66B" w14:textId="77777777" w:rsidR="00AA2DD0" w:rsidRPr="008D7DBA" w:rsidRDefault="00AA2DD0" w:rsidP="00DA07CE">
            <w:pPr>
              <w:spacing w:line="240" w:lineRule="auto"/>
              <w:jc w:val="center"/>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Cash Flow to Debt Ratio</w:t>
            </w:r>
          </w:p>
        </w:tc>
      </w:tr>
      <w:tr w:rsidR="00A80E41" w:rsidRPr="008D7DBA" w14:paraId="1EF5A73B"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0FC2E662" w14:textId="77777777" w:rsidR="00AA2DD0" w:rsidRPr="008D7DBA" w:rsidRDefault="00AA2DD0" w:rsidP="00DA07CE">
            <w:pPr>
              <w:spacing w:line="240" w:lineRule="auto"/>
              <w:jc w:val="left"/>
              <w:rPr>
                <w:rFonts w:ascii="Arial" w:eastAsia="Times New Roman" w:hAnsi="Arial" w:cs="Arial"/>
                <w:b w:val="0"/>
                <w:bCs w:val="0"/>
                <w:kern w:val="0"/>
                <w:szCs w:val="24"/>
                <w14:ligatures w14:val="none"/>
              </w:rPr>
            </w:pPr>
            <w:r w:rsidRPr="008D7DBA">
              <w:rPr>
                <w:rFonts w:ascii="Arial" w:eastAsia="Times New Roman" w:hAnsi="Arial" w:cs="Arial"/>
                <w:kern w:val="0"/>
                <w:szCs w:val="24"/>
                <w14:ligatures w14:val="none"/>
              </w:rPr>
              <w:t>Particulars</w:t>
            </w:r>
          </w:p>
        </w:tc>
        <w:tc>
          <w:tcPr>
            <w:tcW w:w="770" w:type="pct"/>
            <w:noWrap/>
            <w:hideMark/>
          </w:tcPr>
          <w:p w14:paraId="430CFDF7" w14:textId="77777777" w:rsidR="00AA2DD0" w:rsidRPr="008D7DBA" w:rsidRDefault="00AA2DD0" w:rsidP="00DA07CE">
            <w:p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Formula</w:t>
            </w:r>
          </w:p>
        </w:tc>
        <w:tc>
          <w:tcPr>
            <w:tcW w:w="596" w:type="pct"/>
            <w:noWrap/>
            <w:hideMark/>
          </w:tcPr>
          <w:p w14:paraId="6477C7B1"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2024 (£m)</w:t>
            </w:r>
          </w:p>
        </w:tc>
        <w:tc>
          <w:tcPr>
            <w:tcW w:w="596" w:type="pct"/>
            <w:noWrap/>
            <w:hideMark/>
          </w:tcPr>
          <w:p w14:paraId="6234BEC5"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2023 (£m)</w:t>
            </w:r>
          </w:p>
        </w:tc>
        <w:tc>
          <w:tcPr>
            <w:tcW w:w="596" w:type="pct"/>
            <w:noWrap/>
            <w:hideMark/>
          </w:tcPr>
          <w:p w14:paraId="1C8773DE"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2022 (£m)</w:t>
            </w:r>
          </w:p>
        </w:tc>
        <w:tc>
          <w:tcPr>
            <w:tcW w:w="596" w:type="pct"/>
            <w:noWrap/>
            <w:hideMark/>
          </w:tcPr>
          <w:p w14:paraId="1374DF7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2021 (£m)</w:t>
            </w:r>
          </w:p>
        </w:tc>
        <w:tc>
          <w:tcPr>
            <w:tcW w:w="596" w:type="pct"/>
            <w:noWrap/>
            <w:hideMark/>
          </w:tcPr>
          <w:p w14:paraId="05AEC86F"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Cs w:val="24"/>
                <w14:ligatures w14:val="none"/>
              </w:rPr>
            </w:pPr>
            <w:r w:rsidRPr="008D7DBA">
              <w:rPr>
                <w:rFonts w:ascii="Arial" w:eastAsia="Times New Roman" w:hAnsi="Arial" w:cs="Arial"/>
                <w:b/>
                <w:bCs/>
                <w:kern w:val="0"/>
                <w:szCs w:val="24"/>
                <w14:ligatures w14:val="none"/>
              </w:rPr>
              <w:t>2020 (£m)</w:t>
            </w:r>
          </w:p>
        </w:tc>
      </w:tr>
      <w:tr w:rsidR="00A80E41" w:rsidRPr="008D7DBA" w14:paraId="522C6772"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511D4D36"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Operating Cash Flow</w:t>
            </w:r>
          </w:p>
        </w:tc>
        <w:tc>
          <w:tcPr>
            <w:tcW w:w="770" w:type="pct"/>
            <w:vMerge w:val="restart"/>
            <w:hideMark/>
          </w:tcPr>
          <w:p w14:paraId="6C27F518" w14:textId="77777777" w:rsidR="00AA2DD0" w:rsidRPr="008D7DBA" w:rsidRDefault="00AA2DD0" w:rsidP="00DA07CE">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Operating Cash Flow ÷ Total Debt</w:t>
            </w:r>
          </w:p>
        </w:tc>
        <w:tc>
          <w:tcPr>
            <w:tcW w:w="596" w:type="pct"/>
            <w:noWrap/>
            <w:hideMark/>
          </w:tcPr>
          <w:p w14:paraId="53F289D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14,822</w:t>
            </w:r>
          </w:p>
        </w:tc>
        <w:tc>
          <w:tcPr>
            <w:tcW w:w="596" w:type="pct"/>
            <w:noWrap/>
            <w:hideMark/>
          </w:tcPr>
          <w:p w14:paraId="1A9DC037"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25,190</w:t>
            </w:r>
          </w:p>
        </w:tc>
        <w:tc>
          <w:tcPr>
            <w:tcW w:w="596" w:type="pct"/>
            <w:noWrap/>
            <w:hideMark/>
          </w:tcPr>
          <w:p w14:paraId="30E3B4AE"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10,926</w:t>
            </w:r>
          </w:p>
        </w:tc>
        <w:tc>
          <w:tcPr>
            <w:tcW w:w="596" w:type="pct"/>
            <w:noWrap/>
            <w:hideMark/>
          </w:tcPr>
          <w:p w14:paraId="2A97419E"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40,283</w:t>
            </w:r>
          </w:p>
        </w:tc>
        <w:tc>
          <w:tcPr>
            <w:tcW w:w="596" w:type="pct"/>
            <w:noWrap/>
            <w:hideMark/>
          </w:tcPr>
          <w:p w14:paraId="07BD0C0A"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73,392</w:t>
            </w:r>
          </w:p>
        </w:tc>
      </w:tr>
      <w:tr w:rsidR="00A80E41" w:rsidRPr="008D7DBA" w14:paraId="42825FC6" w14:textId="77777777" w:rsidTr="00AA2DD0">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0C89730F"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Total Debt</w:t>
            </w:r>
          </w:p>
        </w:tc>
        <w:tc>
          <w:tcPr>
            <w:tcW w:w="770" w:type="pct"/>
            <w:vMerge/>
            <w:hideMark/>
          </w:tcPr>
          <w:p w14:paraId="100FB67B" w14:textId="77777777" w:rsidR="00AA2DD0" w:rsidRPr="008D7DBA" w:rsidRDefault="00AA2DD0" w:rsidP="00DA07CE">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p>
        </w:tc>
        <w:tc>
          <w:tcPr>
            <w:tcW w:w="596" w:type="pct"/>
            <w:noWrap/>
            <w:hideMark/>
          </w:tcPr>
          <w:p w14:paraId="45D850B8"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170,249</w:t>
            </w:r>
          </w:p>
        </w:tc>
        <w:tc>
          <w:tcPr>
            <w:tcW w:w="596" w:type="pct"/>
            <w:noWrap/>
            <w:hideMark/>
          </w:tcPr>
          <w:p w14:paraId="169D79FD"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176,952</w:t>
            </w:r>
          </w:p>
        </w:tc>
        <w:tc>
          <w:tcPr>
            <w:tcW w:w="596" w:type="pct"/>
            <w:noWrap/>
            <w:hideMark/>
          </w:tcPr>
          <w:p w14:paraId="325D9BE7"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235,757</w:t>
            </w:r>
          </w:p>
        </w:tc>
        <w:tc>
          <w:tcPr>
            <w:tcW w:w="596" w:type="pct"/>
            <w:noWrap/>
            <w:hideMark/>
          </w:tcPr>
          <w:p w14:paraId="4C32C136"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234,399</w:t>
            </w:r>
          </w:p>
        </w:tc>
        <w:tc>
          <w:tcPr>
            <w:tcW w:w="596" w:type="pct"/>
            <w:noWrap/>
            <w:hideMark/>
          </w:tcPr>
          <w:p w14:paraId="522B1BB8" w14:textId="77777777" w:rsidR="00AA2DD0" w:rsidRPr="008D7DBA" w:rsidRDefault="00AA2DD0" w:rsidP="00DA07CE">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196,989</w:t>
            </w:r>
          </w:p>
        </w:tc>
      </w:tr>
      <w:tr w:rsidR="00A80E41" w:rsidRPr="008D7DBA" w14:paraId="52D74B1B" w14:textId="77777777" w:rsidTr="00AA2DD0">
        <w:trPr>
          <w:trHeight w:val="310"/>
        </w:trPr>
        <w:tc>
          <w:tcPr>
            <w:cnfStyle w:val="001000000000" w:firstRow="0" w:lastRow="0" w:firstColumn="1" w:lastColumn="0" w:oddVBand="0" w:evenVBand="0" w:oddHBand="0" w:evenHBand="0" w:firstRowFirstColumn="0" w:firstRowLastColumn="0" w:lastRowFirstColumn="0" w:lastRowLastColumn="0"/>
            <w:tcW w:w="1249" w:type="pct"/>
            <w:noWrap/>
            <w:hideMark/>
          </w:tcPr>
          <w:p w14:paraId="1EA1179B" w14:textId="77777777" w:rsidR="00AA2DD0" w:rsidRPr="008D7DBA" w:rsidRDefault="00AA2DD0" w:rsidP="00DA07CE">
            <w:pPr>
              <w:spacing w:line="240" w:lineRule="auto"/>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Cash Flow to Debt Ratio</w:t>
            </w:r>
          </w:p>
        </w:tc>
        <w:tc>
          <w:tcPr>
            <w:tcW w:w="770" w:type="pct"/>
            <w:vMerge/>
            <w:hideMark/>
          </w:tcPr>
          <w:p w14:paraId="251365A2" w14:textId="77777777" w:rsidR="00AA2DD0" w:rsidRPr="008D7DBA" w:rsidRDefault="00AA2DD0" w:rsidP="00DA07CE">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p>
        </w:tc>
        <w:tc>
          <w:tcPr>
            <w:tcW w:w="596" w:type="pct"/>
            <w:noWrap/>
            <w:hideMark/>
          </w:tcPr>
          <w:p w14:paraId="742EC6E6"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0.09</w:t>
            </w:r>
          </w:p>
        </w:tc>
        <w:tc>
          <w:tcPr>
            <w:tcW w:w="596" w:type="pct"/>
            <w:noWrap/>
            <w:hideMark/>
          </w:tcPr>
          <w:p w14:paraId="41915799"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0.14</w:t>
            </w:r>
          </w:p>
        </w:tc>
        <w:tc>
          <w:tcPr>
            <w:tcW w:w="596" w:type="pct"/>
            <w:noWrap/>
            <w:hideMark/>
          </w:tcPr>
          <w:p w14:paraId="7FDA4DBD"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0.05</w:t>
            </w:r>
          </w:p>
        </w:tc>
        <w:tc>
          <w:tcPr>
            <w:tcW w:w="596" w:type="pct"/>
            <w:noWrap/>
            <w:hideMark/>
          </w:tcPr>
          <w:p w14:paraId="74E53E99"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0.17</w:t>
            </w:r>
          </w:p>
        </w:tc>
        <w:tc>
          <w:tcPr>
            <w:tcW w:w="596" w:type="pct"/>
            <w:noWrap/>
            <w:hideMark/>
          </w:tcPr>
          <w:p w14:paraId="199F6600" w14:textId="77777777" w:rsidR="00AA2DD0" w:rsidRPr="008D7DBA" w:rsidRDefault="00AA2DD0" w:rsidP="00DA07CE">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Cs w:val="24"/>
                <w14:ligatures w14:val="none"/>
              </w:rPr>
            </w:pPr>
            <w:r w:rsidRPr="008D7DBA">
              <w:rPr>
                <w:rFonts w:ascii="Arial" w:eastAsia="Times New Roman" w:hAnsi="Arial" w:cs="Arial"/>
                <w:kern w:val="0"/>
                <w:szCs w:val="24"/>
                <w14:ligatures w14:val="none"/>
              </w:rPr>
              <w:t>0.37</w:t>
            </w:r>
          </w:p>
        </w:tc>
      </w:tr>
    </w:tbl>
    <w:p w14:paraId="57FFD6CF" w14:textId="01860E29" w:rsidR="00D17AE3" w:rsidRPr="008D7DBA" w:rsidRDefault="00D17AE3" w:rsidP="00D17AE3">
      <w:pPr>
        <w:pStyle w:val="Caption"/>
        <w:jc w:val="center"/>
        <w:rPr>
          <w:rFonts w:ascii="Arial" w:hAnsi="Arial" w:cs="Arial"/>
          <w:color w:val="auto"/>
        </w:rPr>
      </w:pPr>
      <w:bookmarkStart w:id="15" w:name="_Toc216380442"/>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6</w:t>
      </w:r>
      <w:r w:rsidRPr="008D7DBA">
        <w:rPr>
          <w:rFonts w:ascii="Arial" w:hAnsi="Arial" w:cs="Arial"/>
          <w:color w:val="auto"/>
        </w:rPr>
        <w:fldChar w:fldCharType="end"/>
      </w:r>
      <w:r w:rsidRPr="008D7DBA">
        <w:rPr>
          <w:rFonts w:ascii="Arial" w:hAnsi="Arial" w:cs="Arial"/>
          <w:color w:val="auto"/>
        </w:rPr>
        <w:t>: Cash Flow Calculation</w:t>
      </w:r>
      <w:bookmarkEnd w:id="15"/>
    </w:p>
    <w:p w14:paraId="3D8F9063" w14:textId="0FC4F1ED" w:rsidR="0082692D" w:rsidRPr="008D7DBA" w:rsidRDefault="0082692D" w:rsidP="0082692D">
      <w:pPr>
        <w:rPr>
          <w:rFonts w:ascii="Arial" w:hAnsi="Arial" w:cs="Arial"/>
        </w:rPr>
      </w:pPr>
      <w:r w:rsidRPr="008D7DBA">
        <w:rPr>
          <w:rFonts w:ascii="Arial" w:hAnsi="Arial" w:cs="Arial"/>
          <w:i/>
          <w:iCs/>
        </w:rPr>
        <w:lastRenderedPageBreak/>
        <w:t>Operating Cash Flow Ratio</w:t>
      </w:r>
      <w:r w:rsidR="008C0803" w:rsidRPr="008D7DBA">
        <w:rPr>
          <w:rFonts w:ascii="Arial" w:hAnsi="Arial" w:cs="Arial"/>
          <w:i/>
          <w:iCs/>
        </w:rPr>
        <w:t>:</w:t>
      </w:r>
      <w:r w:rsidR="008C0803" w:rsidRPr="008D7DBA">
        <w:rPr>
          <w:rFonts w:ascii="Arial" w:hAnsi="Arial" w:cs="Arial"/>
        </w:rPr>
        <w:t xml:space="preserve"> </w:t>
      </w:r>
      <w:r w:rsidRPr="008D7DBA">
        <w:rPr>
          <w:rFonts w:ascii="Arial" w:hAnsi="Arial" w:cs="Arial"/>
        </w:rPr>
        <w:t>The Operating Cash Flow Ratio has decreased greatly by a factor of 0.41 in 2020 to 0.09 in 2024. This ratio of less than 1.0 is alarming because it means that this company is not making enough cash flow to meet its existing commitments</w:t>
      </w:r>
      <w:r w:rsidR="0058089E" w:rsidRPr="008D7DBA">
        <w:rPr>
          <w:rFonts w:ascii="Arial" w:hAnsi="Arial" w:cs="Arial"/>
        </w:rPr>
        <w:t xml:space="preserve"> </w:t>
      </w:r>
      <w:r w:rsidR="0058089E" w:rsidRPr="008D7DBA">
        <w:rPr>
          <w:rFonts w:ascii="Arial" w:hAnsi="Arial" w:cs="Arial"/>
          <w:shd w:val="clear" w:color="auto" w:fill="FFFFFF"/>
        </w:rPr>
        <w:t>(Nalurita, 2017)</w:t>
      </w:r>
      <w:r w:rsidRPr="008D7DBA">
        <w:rPr>
          <w:rFonts w:ascii="Arial" w:hAnsi="Arial" w:cs="Arial"/>
        </w:rPr>
        <w:t xml:space="preserve">. This decay indicates the possibility of cash flow issues, thus </w:t>
      </w:r>
      <w:r w:rsidR="0095452D" w:rsidRPr="008D7DBA">
        <w:rPr>
          <w:rFonts w:ascii="Arial" w:hAnsi="Arial" w:cs="Arial"/>
        </w:rPr>
        <w:t>making it</w:t>
      </w:r>
      <w:r w:rsidRPr="008D7DBA">
        <w:rPr>
          <w:rFonts w:ascii="Arial" w:hAnsi="Arial" w:cs="Arial"/>
        </w:rPr>
        <w:t xml:space="preserve"> hard to finance the operations or invest in expansion initiatives.</w:t>
      </w:r>
    </w:p>
    <w:p w14:paraId="55307D01" w14:textId="2E3A243F" w:rsidR="0082692D" w:rsidRPr="008D7DBA" w:rsidRDefault="0082692D" w:rsidP="0082692D">
      <w:pPr>
        <w:rPr>
          <w:rFonts w:ascii="Arial" w:hAnsi="Arial" w:cs="Arial"/>
        </w:rPr>
      </w:pPr>
      <w:r w:rsidRPr="008D7DBA">
        <w:rPr>
          <w:rFonts w:ascii="Arial" w:hAnsi="Arial" w:cs="Arial"/>
          <w:i/>
          <w:iCs/>
        </w:rPr>
        <w:t>Cash Flow to Debt Ratio</w:t>
      </w:r>
      <w:r w:rsidR="008C0803" w:rsidRPr="008D7DBA">
        <w:rPr>
          <w:rFonts w:ascii="Arial" w:hAnsi="Arial" w:cs="Arial"/>
          <w:i/>
          <w:iCs/>
        </w:rPr>
        <w:t>:</w:t>
      </w:r>
      <w:r w:rsidR="008C0803" w:rsidRPr="008D7DBA">
        <w:rPr>
          <w:rFonts w:ascii="Arial" w:hAnsi="Arial" w:cs="Arial"/>
        </w:rPr>
        <w:t xml:space="preserve"> T</w:t>
      </w:r>
      <w:r w:rsidRPr="008D7DBA">
        <w:rPr>
          <w:rFonts w:ascii="Arial" w:hAnsi="Arial" w:cs="Arial"/>
        </w:rPr>
        <w:t>he value of Cash Flow to Debt Ratio has gone down to 0.09 in 2024 compared to 0.37 in 2020, which points to the fact that the cash flow of the company is slowly becoming too little to pay its debts</w:t>
      </w:r>
      <w:r w:rsidR="0058089E" w:rsidRPr="008D7DBA">
        <w:rPr>
          <w:rFonts w:ascii="Arial" w:hAnsi="Arial" w:cs="Arial"/>
        </w:rPr>
        <w:t xml:space="preserve"> </w:t>
      </w:r>
      <w:r w:rsidR="0058089E" w:rsidRPr="008D7DBA">
        <w:rPr>
          <w:rFonts w:ascii="Arial" w:hAnsi="Arial" w:cs="Arial"/>
          <w:shd w:val="clear" w:color="auto" w:fill="FFFFFF"/>
        </w:rPr>
        <w:t>(Lalithchandra and Rajendhiran, 2021)</w:t>
      </w:r>
      <w:r w:rsidRPr="008D7DBA">
        <w:rPr>
          <w:rFonts w:ascii="Arial" w:hAnsi="Arial" w:cs="Arial"/>
        </w:rPr>
        <w:t>. A decreasing ratio indicates that the firm is increasingly relying on external debt to finance its debt obligations to an increased level</w:t>
      </w:r>
      <w:r w:rsidR="0095452D" w:rsidRPr="008D7DBA">
        <w:rPr>
          <w:rFonts w:ascii="Arial" w:hAnsi="Arial" w:cs="Arial"/>
        </w:rPr>
        <w:t>,</w:t>
      </w:r>
      <w:r w:rsidRPr="008D7DBA">
        <w:rPr>
          <w:rFonts w:ascii="Arial" w:hAnsi="Arial" w:cs="Arial"/>
        </w:rPr>
        <w:t xml:space="preserve"> which increases its financial susceptibility.</w:t>
      </w:r>
    </w:p>
    <w:p w14:paraId="40387497" w14:textId="644E1E90" w:rsidR="0082692D" w:rsidRPr="008D7DBA" w:rsidRDefault="0071222E" w:rsidP="0082692D">
      <w:pPr>
        <w:pStyle w:val="Heading2"/>
        <w:rPr>
          <w:rFonts w:ascii="Arial" w:hAnsi="Arial" w:cs="Arial"/>
        </w:rPr>
      </w:pPr>
      <w:bookmarkStart w:id="16" w:name="_Toc216380879"/>
      <w:r w:rsidRPr="008D7DBA">
        <w:rPr>
          <w:rFonts w:ascii="Arial" w:hAnsi="Arial" w:cs="Arial"/>
        </w:rPr>
        <w:t xml:space="preserve">2.2 </w:t>
      </w:r>
      <w:r w:rsidR="0082692D" w:rsidRPr="008D7DBA">
        <w:rPr>
          <w:rFonts w:ascii="Arial" w:hAnsi="Arial" w:cs="Arial"/>
        </w:rPr>
        <w:t>Trends Analysis</w:t>
      </w:r>
      <w:bookmarkEnd w:id="16"/>
    </w:p>
    <w:p w14:paraId="3E6A0EFA" w14:textId="77777777" w:rsidR="0082692D" w:rsidRPr="008D7DBA" w:rsidRDefault="0082692D" w:rsidP="0082692D">
      <w:pPr>
        <w:rPr>
          <w:rFonts w:ascii="Arial" w:hAnsi="Arial" w:cs="Arial"/>
        </w:rPr>
      </w:pPr>
      <w:r w:rsidRPr="008D7DBA">
        <w:rPr>
          <w:rFonts w:ascii="Arial" w:hAnsi="Arial" w:cs="Arial"/>
        </w:rPr>
        <w:t>Trends</w:t>
      </w:r>
    </w:p>
    <w:p w14:paraId="50B5FE3D" w14:textId="72CBDE91" w:rsidR="0082692D" w:rsidRPr="008D7DBA" w:rsidRDefault="0082692D" w:rsidP="0082692D">
      <w:pPr>
        <w:pStyle w:val="ListParagraph"/>
        <w:numPr>
          <w:ilvl w:val="0"/>
          <w:numId w:val="1"/>
        </w:numPr>
        <w:rPr>
          <w:rFonts w:ascii="Arial" w:hAnsi="Arial" w:cs="Arial"/>
        </w:rPr>
      </w:pPr>
      <w:r w:rsidRPr="008D7DBA">
        <w:rPr>
          <w:rFonts w:ascii="Arial" w:hAnsi="Arial" w:cs="Arial"/>
        </w:rPr>
        <w:t>Reduced Profitability: General Electronics has been reporting reduced profitability</w:t>
      </w:r>
      <w:r w:rsidR="0095452D" w:rsidRPr="008D7DBA">
        <w:rPr>
          <w:rFonts w:ascii="Arial" w:hAnsi="Arial" w:cs="Arial"/>
        </w:rPr>
        <w:t>,</w:t>
      </w:r>
      <w:r w:rsidRPr="008D7DBA">
        <w:rPr>
          <w:rFonts w:ascii="Arial" w:hAnsi="Arial" w:cs="Arial"/>
        </w:rPr>
        <w:t xml:space="preserve"> with such key indicators as Gross Profit Margin and Return on Assets recording negative performances. Although the Gross Profit Margin increased a little in 2024, it is still unstable.</w:t>
      </w:r>
    </w:p>
    <w:p w14:paraId="7325A5CC" w14:textId="1282615A" w:rsidR="0082692D" w:rsidRPr="008D7DBA" w:rsidRDefault="0082692D" w:rsidP="0082692D">
      <w:pPr>
        <w:pStyle w:val="ListParagraph"/>
        <w:numPr>
          <w:ilvl w:val="0"/>
          <w:numId w:val="1"/>
        </w:numPr>
        <w:rPr>
          <w:rFonts w:ascii="Arial" w:hAnsi="Arial" w:cs="Arial"/>
        </w:rPr>
      </w:pPr>
      <w:r w:rsidRPr="008D7DBA">
        <w:rPr>
          <w:rFonts w:ascii="Arial" w:hAnsi="Arial" w:cs="Arial"/>
        </w:rPr>
        <w:t>Worsening Liquidity: Current ratio as well as Quick Ratio ha</w:t>
      </w:r>
      <w:r w:rsidR="0095452D" w:rsidRPr="008D7DBA">
        <w:rPr>
          <w:rFonts w:ascii="Arial" w:hAnsi="Arial" w:cs="Arial"/>
        </w:rPr>
        <w:t>ve</w:t>
      </w:r>
      <w:r w:rsidRPr="008D7DBA">
        <w:rPr>
          <w:rFonts w:ascii="Arial" w:hAnsi="Arial" w:cs="Arial"/>
        </w:rPr>
        <w:t xml:space="preserve"> decreased</w:t>
      </w:r>
      <w:r w:rsidR="0095452D" w:rsidRPr="008D7DBA">
        <w:rPr>
          <w:rFonts w:ascii="Arial" w:hAnsi="Arial" w:cs="Arial"/>
        </w:rPr>
        <w:t>,</w:t>
      </w:r>
      <w:r w:rsidRPr="008D7DBA">
        <w:rPr>
          <w:rFonts w:ascii="Arial" w:hAnsi="Arial" w:cs="Arial"/>
        </w:rPr>
        <w:t xml:space="preserve"> meaning that there is a declining capacity </w:t>
      </w:r>
      <w:r w:rsidR="0095452D" w:rsidRPr="008D7DBA">
        <w:rPr>
          <w:rFonts w:ascii="Arial" w:hAnsi="Arial" w:cs="Arial"/>
        </w:rPr>
        <w:t>to fulfil</w:t>
      </w:r>
      <w:r w:rsidRPr="008D7DBA">
        <w:rPr>
          <w:rFonts w:ascii="Arial" w:hAnsi="Arial" w:cs="Arial"/>
        </w:rPr>
        <w:t xml:space="preserve"> the short</w:t>
      </w:r>
      <w:r w:rsidR="0095452D" w:rsidRPr="008D7DBA">
        <w:rPr>
          <w:rFonts w:ascii="Arial" w:hAnsi="Arial" w:cs="Arial"/>
        </w:rPr>
        <w:t>-</w:t>
      </w:r>
      <w:r w:rsidRPr="008D7DBA">
        <w:rPr>
          <w:rFonts w:ascii="Arial" w:hAnsi="Arial" w:cs="Arial"/>
        </w:rPr>
        <w:t>term obligations</w:t>
      </w:r>
      <w:r w:rsidR="0058089E" w:rsidRPr="008D7DBA">
        <w:rPr>
          <w:rFonts w:ascii="Arial" w:hAnsi="Arial" w:cs="Arial"/>
        </w:rPr>
        <w:t xml:space="preserve"> </w:t>
      </w:r>
      <w:r w:rsidR="0058089E" w:rsidRPr="008D7DBA">
        <w:rPr>
          <w:rFonts w:ascii="Arial" w:hAnsi="Arial" w:cs="Arial"/>
          <w:shd w:val="clear" w:color="auto" w:fill="FFFFFF"/>
        </w:rPr>
        <w:t>(Lalithchandra and Rajendhiran, 2021)</w:t>
      </w:r>
      <w:r w:rsidRPr="008D7DBA">
        <w:rPr>
          <w:rFonts w:ascii="Arial" w:hAnsi="Arial" w:cs="Arial"/>
        </w:rPr>
        <w:t>. This implies the liquidity problems, and this might be a burden to operations.</w:t>
      </w:r>
    </w:p>
    <w:p w14:paraId="40881F58" w14:textId="1241A2B5" w:rsidR="0082692D" w:rsidRPr="008D7DBA" w:rsidRDefault="0082692D" w:rsidP="0082692D">
      <w:pPr>
        <w:pStyle w:val="ListParagraph"/>
        <w:numPr>
          <w:ilvl w:val="0"/>
          <w:numId w:val="1"/>
        </w:numPr>
        <w:rPr>
          <w:rFonts w:ascii="Arial" w:hAnsi="Arial" w:cs="Arial"/>
        </w:rPr>
      </w:pPr>
      <w:r w:rsidRPr="008D7DBA">
        <w:rPr>
          <w:rFonts w:ascii="Arial" w:hAnsi="Arial" w:cs="Arial"/>
        </w:rPr>
        <w:t>Rising Debt Load: The Debt-Equity ratio of the company has increased drastically</w:t>
      </w:r>
      <w:r w:rsidR="0095452D" w:rsidRPr="008D7DBA">
        <w:rPr>
          <w:rFonts w:ascii="Arial" w:hAnsi="Arial" w:cs="Arial"/>
        </w:rPr>
        <w:t>,</w:t>
      </w:r>
      <w:r w:rsidRPr="008D7DBA">
        <w:rPr>
          <w:rFonts w:ascii="Arial" w:hAnsi="Arial" w:cs="Arial"/>
        </w:rPr>
        <w:t xml:space="preserve"> which indicates that the company uses more debt. This, together with a falling Interest Coverage Ratio, is an indicator of increasing financial stress.</w:t>
      </w:r>
    </w:p>
    <w:p w14:paraId="1A926032" w14:textId="11FE4D12" w:rsidR="0082692D" w:rsidRPr="008D7DBA" w:rsidRDefault="0082692D" w:rsidP="0082692D">
      <w:pPr>
        <w:rPr>
          <w:rFonts w:ascii="Arial" w:hAnsi="Arial" w:cs="Arial"/>
        </w:rPr>
      </w:pPr>
      <w:r w:rsidRPr="008D7DBA">
        <w:rPr>
          <w:rFonts w:ascii="Arial" w:hAnsi="Arial" w:cs="Arial"/>
        </w:rPr>
        <w:t>Strengths</w:t>
      </w:r>
    </w:p>
    <w:p w14:paraId="7EDC2EC1" w14:textId="5F93E70F" w:rsidR="0082692D" w:rsidRPr="008D7DBA" w:rsidRDefault="0082692D" w:rsidP="000F7F0F">
      <w:pPr>
        <w:pStyle w:val="ListParagraph"/>
        <w:numPr>
          <w:ilvl w:val="0"/>
          <w:numId w:val="2"/>
        </w:numPr>
        <w:rPr>
          <w:rFonts w:ascii="Arial" w:hAnsi="Arial" w:cs="Arial"/>
        </w:rPr>
      </w:pPr>
      <w:r w:rsidRPr="008D7DBA">
        <w:rPr>
          <w:rFonts w:ascii="Arial" w:hAnsi="Arial" w:cs="Arial"/>
        </w:rPr>
        <w:t xml:space="preserve">Revenue Generation: </w:t>
      </w:r>
      <w:r w:rsidR="0095452D" w:rsidRPr="008D7DBA">
        <w:rPr>
          <w:rFonts w:ascii="Arial" w:hAnsi="Arial" w:cs="Arial"/>
        </w:rPr>
        <w:t>Despite</w:t>
      </w:r>
      <w:r w:rsidRPr="008D7DBA">
        <w:rPr>
          <w:rFonts w:ascii="Arial" w:hAnsi="Arial" w:cs="Arial"/>
        </w:rPr>
        <w:t xml:space="preserve"> this, General Electronics continues to bring in high revenue</w:t>
      </w:r>
      <w:r w:rsidR="0095452D" w:rsidRPr="008D7DBA">
        <w:rPr>
          <w:rFonts w:ascii="Arial" w:hAnsi="Arial" w:cs="Arial"/>
        </w:rPr>
        <w:t>,</w:t>
      </w:r>
      <w:r w:rsidRPr="008D7DBA">
        <w:rPr>
          <w:rFonts w:ascii="Arial" w:hAnsi="Arial" w:cs="Arial"/>
        </w:rPr>
        <w:t xml:space="preserve"> and the Gross Profit Margin remains relatively high</w:t>
      </w:r>
      <w:r w:rsidR="0095452D" w:rsidRPr="008D7DBA">
        <w:rPr>
          <w:rFonts w:ascii="Arial" w:hAnsi="Arial" w:cs="Arial"/>
        </w:rPr>
        <w:t>,</w:t>
      </w:r>
      <w:r w:rsidRPr="008D7DBA">
        <w:rPr>
          <w:rFonts w:ascii="Arial" w:hAnsi="Arial" w:cs="Arial"/>
        </w:rPr>
        <w:t xml:space="preserve"> and this may be used in recovery in case </w:t>
      </w:r>
      <w:r w:rsidR="0095452D" w:rsidRPr="008D7DBA">
        <w:rPr>
          <w:rFonts w:ascii="Arial" w:hAnsi="Arial" w:cs="Arial"/>
        </w:rPr>
        <w:t xml:space="preserve">the </w:t>
      </w:r>
      <w:r w:rsidRPr="008D7DBA">
        <w:rPr>
          <w:rFonts w:ascii="Arial" w:hAnsi="Arial" w:cs="Arial"/>
        </w:rPr>
        <w:t>effects of the cost are managed</w:t>
      </w:r>
      <w:r w:rsidR="0058089E" w:rsidRPr="008D7DBA">
        <w:rPr>
          <w:rFonts w:ascii="Arial" w:hAnsi="Arial" w:cs="Arial"/>
        </w:rPr>
        <w:t xml:space="preserve"> </w:t>
      </w:r>
      <w:r w:rsidR="0058089E" w:rsidRPr="008D7DBA">
        <w:rPr>
          <w:rFonts w:ascii="Arial" w:hAnsi="Arial" w:cs="Arial"/>
          <w:shd w:val="clear" w:color="auto" w:fill="FFFFFF"/>
        </w:rPr>
        <w:t>(Soboleva et al., 2018)</w:t>
      </w:r>
      <w:r w:rsidRPr="008D7DBA">
        <w:rPr>
          <w:rFonts w:ascii="Arial" w:hAnsi="Arial" w:cs="Arial"/>
        </w:rPr>
        <w:t>.</w:t>
      </w:r>
    </w:p>
    <w:p w14:paraId="18C53199" w14:textId="6CCA955C" w:rsidR="004A7A34" w:rsidRPr="008D7DBA" w:rsidRDefault="0082692D" w:rsidP="000F7F0F">
      <w:pPr>
        <w:pStyle w:val="ListParagraph"/>
        <w:numPr>
          <w:ilvl w:val="0"/>
          <w:numId w:val="2"/>
        </w:numPr>
        <w:rPr>
          <w:rFonts w:ascii="Arial" w:hAnsi="Arial" w:cs="Arial"/>
        </w:rPr>
      </w:pPr>
      <w:r w:rsidRPr="008D7DBA">
        <w:rPr>
          <w:rFonts w:ascii="Arial" w:hAnsi="Arial" w:cs="Arial"/>
        </w:rPr>
        <w:lastRenderedPageBreak/>
        <w:t xml:space="preserve">Inventory Management Efficiency: The company has performed at an average Inventory Turnover with </w:t>
      </w:r>
      <w:r w:rsidR="0095452D" w:rsidRPr="008D7DBA">
        <w:rPr>
          <w:rFonts w:ascii="Arial" w:hAnsi="Arial" w:cs="Arial"/>
        </w:rPr>
        <w:t>its</w:t>
      </w:r>
      <w:r w:rsidRPr="008D7DBA">
        <w:rPr>
          <w:rFonts w:ascii="Arial" w:hAnsi="Arial" w:cs="Arial"/>
        </w:rPr>
        <w:t xml:space="preserve"> Inventory, in comparison with the industry, although that can be improved.</w:t>
      </w:r>
    </w:p>
    <w:p w14:paraId="017DB437" w14:textId="3FC245D8" w:rsidR="0082692D" w:rsidRPr="008D7DBA" w:rsidRDefault="0082692D" w:rsidP="0082692D">
      <w:pPr>
        <w:rPr>
          <w:rFonts w:ascii="Arial" w:hAnsi="Arial" w:cs="Arial"/>
        </w:rPr>
      </w:pPr>
      <w:r w:rsidRPr="008D7DBA">
        <w:rPr>
          <w:rFonts w:ascii="Arial" w:hAnsi="Arial" w:cs="Arial"/>
        </w:rPr>
        <w:t>Threats</w:t>
      </w:r>
    </w:p>
    <w:p w14:paraId="52F69C99" w14:textId="07B594A8" w:rsidR="0082692D" w:rsidRPr="008D7DBA" w:rsidRDefault="0082692D" w:rsidP="000F7F0F">
      <w:pPr>
        <w:pStyle w:val="ListParagraph"/>
        <w:numPr>
          <w:ilvl w:val="0"/>
          <w:numId w:val="3"/>
        </w:numPr>
        <w:rPr>
          <w:rFonts w:ascii="Arial" w:hAnsi="Arial" w:cs="Arial"/>
        </w:rPr>
      </w:pPr>
      <w:r w:rsidRPr="008D7DBA">
        <w:rPr>
          <w:rFonts w:ascii="Arial" w:hAnsi="Arial" w:cs="Arial"/>
        </w:rPr>
        <w:t>Negative Earnings and Cash Flow: The low cash flow ratios and the Negative Earnings Per Share (EPS) are important concerns that highlight that the company is not in great health, and it is unable to reinvest in its business</w:t>
      </w:r>
      <w:r w:rsidR="0058089E" w:rsidRPr="008D7DBA">
        <w:rPr>
          <w:rFonts w:ascii="Arial" w:hAnsi="Arial" w:cs="Arial"/>
        </w:rPr>
        <w:t xml:space="preserve"> </w:t>
      </w:r>
      <w:r w:rsidR="0058089E" w:rsidRPr="008D7DBA">
        <w:rPr>
          <w:rFonts w:ascii="Arial" w:hAnsi="Arial" w:cs="Arial"/>
          <w:shd w:val="clear" w:color="auto" w:fill="FFFFFF"/>
        </w:rPr>
        <w:t>(Nalurita, 2017)</w:t>
      </w:r>
      <w:r w:rsidRPr="008D7DBA">
        <w:rPr>
          <w:rFonts w:ascii="Arial" w:hAnsi="Arial" w:cs="Arial"/>
        </w:rPr>
        <w:t>.</w:t>
      </w:r>
    </w:p>
    <w:p w14:paraId="6224A8DE" w14:textId="39D484D2" w:rsidR="0082692D" w:rsidRPr="008D7DBA" w:rsidRDefault="0082692D" w:rsidP="000F7F0F">
      <w:pPr>
        <w:pStyle w:val="ListParagraph"/>
        <w:numPr>
          <w:ilvl w:val="0"/>
          <w:numId w:val="3"/>
        </w:numPr>
        <w:rPr>
          <w:rFonts w:ascii="Arial" w:hAnsi="Arial" w:cs="Arial"/>
        </w:rPr>
      </w:pPr>
      <w:r w:rsidRPr="008D7DBA">
        <w:rPr>
          <w:rFonts w:ascii="Arial" w:hAnsi="Arial" w:cs="Arial"/>
        </w:rPr>
        <w:t>Great Debt Risk: The growing debt has combined with negative interest coverage</w:t>
      </w:r>
      <w:r w:rsidR="0095452D" w:rsidRPr="008D7DBA">
        <w:rPr>
          <w:rFonts w:ascii="Arial" w:hAnsi="Arial" w:cs="Arial"/>
        </w:rPr>
        <w:t>,</w:t>
      </w:r>
      <w:r w:rsidRPr="008D7DBA">
        <w:rPr>
          <w:rFonts w:ascii="Arial" w:hAnsi="Arial" w:cs="Arial"/>
        </w:rPr>
        <w:t xml:space="preserve"> which could cause financial insolvency unless resolved</w:t>
      </w:r>
      <w:r w:rsidR="0095452D" w:rsidRPr="008D7DBA">
        <w:rPr>
          <w:rFonts w:ascii="Arial" w:hAnsi="Arial" w:cs="Arial"/>
        </w:rPr>
        <w:t>,</w:t>
      </w:r>
      <w:r w:rsidRPr="008D7DBA">
        <w:rPr>
          <w:rFonts w:ascii="Arial" w:hAnsi="Arial" w:cs="Arial"/>
        </w:rPr>
        <w:t xml:space="preserve"> particularly when it faces continued losses.</w:t>
      </w:r>
    </w:p>
    <w:p w14:paraId="4B550D60" w14:textId="2E778B71" w:rsidR="0082692D" w:rsidRPr="008D7DBA" w:rsidRDefault="0071222E" w:rsidP="009356FA">
      <w:pPr>
        <w:pStyle w:val="Heading2"/>
        <w:rPr>
          <w:rFonts w:ascii="Arial" w:hAnsi="Arial" w:cs="Arial"/>
        </w:rPr>
      </w:pPr>
      <w:bookmarkStart w:id="17" w:name="_Toc216380880"/>
      <w:r w:rsidRPr="008D7DBA">
        <w:rPr>
          <w:rFonts w:ascii="Arial" w:hAnsi="Arial" w:cs="Arial"/>
        </w:rPr>
        <w:t xml:space="preserve">2.3 </w:t>
      </w:r>
      <w:r w:rsidR="009356FA" w:rsidRPr="008D7DBA">
        <w:rPr>
          <w:rFonts w:ascii="Arial" w:hAnsi="Arial" w:cs="Arial"/>
        </w:rPr>
        <w:t>C</w:t>
      </w:r>
      <w:r w:rsidR="0082692D" w:rsidRPr="008D7DBA">
        <w:rPr>
          <w:rFonts w:ascii="Arial" w:hAnsi="Arial" w:cs="Arial"/>
        </w:rPr>
        <w:t xml:space="preserve">orporate </w:t>
      </w:r>
      <w:r w:rsidR="0095452D" w:rsidRPr="008D7DBA">
        <w:rPr>
          <w:rFonts w:ascii="Arial" w:hAnsi="Arial" w:cs="Arial"/>
        </w:rPr>
        <w:t>Failure Prediction M</w:t>
      </w:r>
      <w:r w:rsidR="0082692D" w:rsidRPr="008D7DBA">
        <w:rPr>
          <w:rFonts w:ascii="Arial" w:hAnsi="Arial" w:cs="Arial"/>
        </w:rPr>
        <w:t>odel</w:t>
      </w:r>
      <w:r w:rsidR="00B26E41" w:rsidRPr="008D7DBA">
        <w:rPr>
          <w:rFonts w:ascii="Arial" w:hAnsi="Arial" w:cs="Arial"/>
        </w:rPr>
        <w:t xml:space="preserve"> Analysis</w:t>
      </w:r>
      <w:bookmarkEnd w:id="17"/>
    </w:p>
    <w:p w14:paraId="38148E6A" w14:textId="77777777" w:rsidR="00AC7ED2" w:rsidRPr="008D7DBA" w:rsidRDefault="00AC7ED2" w:rsidP="00AC7ED2">
      <w:pPr>
        <w:spacing w:before="100" w:beforeAutospacing="1" w:after="100" w:afterAutospacing="1"/>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 xml:space="preserve">The </w:t>
      </w:r>
      <w:r w:rsidRPr="008D7DBA">
        <w:rPr>
          <w:rFonts w:ascii="Arial" w:eastAsia="Times New Roman" w:hAnsi="Arial" w:cs="Arial"/>
          <w:b/>
          <w:bCs/>
          <w:kern w:val="0"/>
          <w:szCs w:val="24"/>
          <w14:ligatures w14:val="none"/>
        </w:rPr>
        <w:t>Altman Z-Score model</w:t>
      </w:r>
      <w:r w:rsidRPr="008D7DBA">
        <w:rPr>
          <w:rFonts w:ascii="Arial" w:eastAsia="Times New Roman" w:hAnsi="Arial" w:cs="Arial"/>
          <w:kern w:val="0"/>
          <w:szCs w:val="24"/>
          <w14:ligatures w14:val="none"/>
        </w:rPr>
        <w:t xml:space="preserve"> predicts bankruptcy risk using key financial ratios.</w:t>
      </w:r>
      <w:r w:rsidRPr="008D7DBA">
        <w:rPr>
          <w:rFonts w:ascii="Arial" w:eastAsia="Times New Roman" w:hAnsi="Arial" w:cs="Arial"/>
          <w:kern w:val="0"/>
          <w:szCs w:val="24"/>
          <w14:ligatures w14:val="none"/>
        </w:rPr>
        <w:br/>
        <w:t>For a publicly listed manufacturing/industrial firm:</w:t>
      </w:r>
    </w:p>
    <w:p w14:paraId="07A858DF" w14:textId="77777777" w:rsidR="00AC7ED2" w:rsidRPr="008D7DBA" w:rsidRDefault="00AC7ED2" w:rsidP="00AC7ED2">
      <w:pPr>
        <w:spacing w:after="0"/>
        <w:jc w:val="left"/>
        <w:rPr>
          <w:rFonts w:ascii="Arial" w:eastAsia="Times New Roman" w:hAnsi="Arial" w:cs="Arial"/>
          <w:kern w:val="0"/>
          <w:szCs w:val="24"/>
          <w14:ligatures w14:val="none"/>
        </w:rPr>
      </w:pPr>
      <w:r w:rsidRPr="008D7DBA">
        <w:rPr>
          <w:rStyle w:val="mord"/>
          <w:rFonts w:ascii="Arial" w:hAnsi="Arial" w:cs="Arial"/>
        </w:rPr>
        <w:t>Z</w:t>
      </w:r>
      <w:r w:rsidRPr="008D7DBA">
        <w:rPr>
          <w:rStyle w:val="mrel"/>
          <w:rFonts w:ascii="Arial" w:hAnsi="Arial" w:cs="Arial"/>
        </w:rPr>
        <w:t>=</w:t>
      </w:r>
      <w:r w:rsidRPr="008D7DBA">
        <w:rPr>
          <w:rStyle w:val="mord"/>
          <w:rFonts w:ascii="Arial" w:hAnsi="Arial" w:cs="Arial"/>
        </w:rPr>
        <w:t>1.2X1</w:t>
      </w:r>
      <w:r w:rsidRPr="008D7DBA">
        <w:rPr>
          <w:rStyle w:val="vlist-s"/>
          <w:rFonts w:ascii="Arial" w:hAnsi="Arial" w:cs="Arial"/>
        </w:rPr>
        <w:t>​</w:t>
      </w:r>
      <w:r w:rsidRPr="008D7DBA">
        <w:rPr>
          <w:rStyle w:val="mbin"/>
          <w:rFonts w:ascii="Arial" w:hAnsi="Arial" w:cs="Arial"/>
        </w:rPr>
        <w:t>+</w:t>
      </w:r>
      <w:r w:rsidRPr="008D7DBA">
        <w:rPr>
          <w:rStyle w:val="mord"/>
          <w:rFonts w:ascii="Arial" w:hAnsi="Arial" w:cs="Arial"/>
        </w:rPr>
        <w:t>1.4X2</w:t>
      </w:r>
      <w:r w:rsidRPr="008D7DBA">
        <w:rPr>
          <w:rStyle w:val="vlist-s"/>
          <w:rFonts w:ascii="Arial" w:hAnsi="Arial" w:cs="Arial"/>
        </w:rPr>
        <w:t>​</w:t>
      </w:r>
      <w:r w:rsidRPr="008D7DBA">
        <w:rPr>
          <w:rStyle w:val="mbin"/>
          <w:rFonts w:ascii="Arial" w:hAnsi="Arial" w:cs="Arial"/>
        </w:rPr>
        <w:t>+</w:t>
      </w:r>
      <w:r w:rsidRPr="008D7DBA">
        <w:rPr>
          <w:rStyle w:val="mord"/>
          <w:rFonts w:ascii="Arial" w:hAnsi="Arial" w:cs="Arial"/>
        </w:rPr>
        <w:t>3.3X3</w:t>
      </w:r>
      <w:r w:rsidRPr="008D7DBA">
        <w:rPr>
          <w:rStyle w:val="vlist-s"/>
          <w:rFonts w:ascii="Arial" w:hAnsi="Arial" w:cs="Arial"/>
        </w:rPr>
        <w:t>​</w:t>
      </w:r>
      <w:r w:rsidRPr="008D7DBA">
        <w:rPr>
          <w:rStyle w:val="mbin"/>
          <w:rFonts w:ascii="Arial" w:hAnsi="Arial" w:cs="Arial"/>
        </w:rPr>
        <w:t>+</w:t>
      </w:r>
      <w:r w:rsidRPr="008D7DBA">
        <w:rPr>
          <w:rStyle w:val="mord"/>
          <w:rFonts w:ascii="Arial" w:hAnsi="Arial" w:cs="Arial"/>
        </w:rPr>
        <w:t>0.6X4</w:t>
      </w:r>
      <w:r w:rsidRPr="008D7DBA">
        <w:rPr>
          <w:rStyle w:val="vlist-s"/>
          <w:rFonts w:ascii="Arial" w:hAnsi="Arial" w:cs="Arial"/>
        </w:rPr>
        <w:t>​</w:t>
      </w:r>
      <w:r w:rsidRPr="008D7DBA">
        <w:rPr>
          <w:rStyle w:val="mbin"/>
          <w:rFonts w:ascii="Arial" w:hAnsi="Arial" w:cs="Arial"/>
        </w:rPr>
        <w:t>+</w:t>
      </w:r>
      <w:r w:rsidRPr="008D7DBA">
        <w:rPr>
          <w:rStyle w:val="mord"/>
          <w:rFonts w:ascii="Arial" w:hAnsi="Arial" w:cs="Arial"/>
        </w:rPr>
        <w:t>1.0X5</w:t>
      </w:r>
      <w:r w:rsidRPr="008D7DBA">
        <w:rPr>
          <w:rStyle w:val="vlist-s"/>
          <w:rFonts w:ascii="Arial" w:hAnsi="Arial" w:cs="Arial"/>
        </w:rPr>
        <w:t>​</w:t>
      </w:r>
      <w:r w:rsidRPr="008D7DBA">
        <w:rPr>
          <w:rFonts w:ascii="Arial" w:eastAsia="Times New Roman" w:hAnsi="Arial" w:cs="Arial"/>
          <w:kern w:val="0"/>
          <w:szCs w:val="24"/>
          <w14:ligatures w14:val="none"/>
        </w:rPr>
        <w:t xml:space="preserve"> </w:t>
      </w:r>
    </w:p>
    <w:p w14:paraId="606606C0" w14:textId="77777777" w:rsidR="00AC7ED2" w:rsidRPr="008D7DBA" w:rsidRDefault="00AC7ED2" w:rsidP="00AC7ED2">
      <w:pPr>
        <w:spacing w:before="100" w:beforeAutospacing="1" w:after="100" w:afterAutospacing="1"/>
        <w:jc w:val="left"/>
        <w:rPr>
          <w:rFonts w:ascii="Arial" w:eastAsia="Times New Roman" w:hAnsi="Arial" w:cs="Arial"/>
          <w:kern w:val="0"/>
          <w:szCs w:val="24"/>
          <w14:ligatures w14:val="none"/>
        </w:rPr>
      </w:pPr>
      <w:r w:rsidRPr="008D7DBA">
        <w:rPr>
          <w:rFonts w:ascii="Arial" w:eastAsia="Times New Roman" w:hAnsi="Arial" w:cs="Arial"/>
          <w:kern w:val="0"/>
          <w:szCs w:val="24"/>
          <w14:ligatures w14:val="none"/>
        </w:rPr>
        <w:t>Where:</w:t>
      </w:r>
    </w:p>
    <w:p w14:paraId="46BD08AE" w14:textId="5E542B7B" w:rsidR="00AC7ED2" w:rsidRPr="008D7DBA" w:rsidRDefault="00AC7ED2" w:rsidP="00AC7ED2">
      <w:pPr>
        <w:rPr>
          <w:rFonts w:ascii="Arial" w:hAnsi="Arial" w:cs="Arial"/>
        </w:rPr>
      </w:pPr>
      <w:r w:rsidRPr="008D7DBA">
        <w:rPr>
          <w:rFonts w:ascii="Arial" w:hAnsi="Arial" w:cs="Arial"/>
          <w:noProof/>
        </w:rPr>
        <w:drawing>
          <wp:inline distT="0" distB="0" distL="0" distR="0" wp14:anchorId="5E14F42F" wp14:editId="1971E903">
            <wp:extent cx="2724150" cy="1091627"/>
            <wp:effectExtent l="0" t="0" r="0" b="0"/>
            <wp:docPr id="1328777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77078" name=""/>
                    <pic:cNvPicPr/>
                  </pic:nvPicPr>
                  <pic:blipFill>
                    <a:blip r:embed="rId16"/>
                    <a:stretch>
                      <a:fillRect/>
                    </a:stretch>
                  </pic:blipFill>
                  <pic:spPr>
                    <a:xfrm>
                      <a:off x="0" y="0"/>
                      <a:ext cx="2735053" cy="1095996"/>
                    </a:xfrm>
                    <a:prstGeom prst="rect">
                      <a:avLst/>
                    </a:prstGeom>
                  </pic:spPr>
                </pic:pic>
              </a:graphicData>
            </a:graphic>
          </wp:inline>
        </w:drawing>
      </w:r>
    </w:p>
    <w:tbl>
      <w:tblPr>
        <w:tblStyle w:val="PlainTable1"/>
        <w:tblW w:w="5000" w:type="pct"/>
        <w:tblLayout w:type="fixed"/>
        <w:tblLook w:val="04A0" w:firstRow="1" w:lastRow="0" w:firstColumn="1" w:lastColumn="0" w:noHBand="0" w:noVBand="1"/>
      </w:tblPr>
      <w:tblGrid>
        <w:gridCol w:w="1003"/>
        <w:gridCol w:w="962"/>
        <w:gridCol w:w="889"/>
        <w:gridCol w:w="1110"/>
        <w:gridCol w:w="730"/>
        <w:gridCol w:w="1061"/>
        <w:gridCol w:w="742"/>
        <w:gridCol w:w="699"/>
        <w:gridCol w:w="2154"/>
      </w:tblGrid>
      <w:tr w:rsidR="00A80E41" w:rsidRPr="008D7DBA" w14:paraId="69E662D6" w14:textId="77777777" w:rsidTr="00AC7ED2">
        <w:trPr>
          <w:cnfStyle w:val="100000000000" w:firstRow="1" w:lastRow="0" w:firstColumn="0" w:lastColumn="0" w:oddVBand="0" w:evenVBand="0" w:oddHBand="0"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536" w:type="pct"/>
            <w:hideMark/>
          </w:tcPr>
          <w:p w14:paraId="5AF3F88F" w14:textId="77777777" w:rsidR="00AC7ED2" w:rsidRPr="00AC7ED2" w:rsidRDefault="00AC7ED2" w:rsidP="00AC7ED2">
            <w:pPr>
              <w:spacing w:line="240" w:lineRule="auto"/>
              <w:jc w:val="center"/>
              <w:rPr>
                <w:rFonts w:ascii="Arial" w:eastAsia="Times New Roman" w:hAnsi="Arial" w:cs="Arial"/>
                <w:kern w:val="0"/>
                <w:sz w:val="22"/>
                <w14:ligatures w14:val="none"/>
              </w:rPr>
            </w:pPr>
            <w:r w:rsidRPr="00AC7ED2">
              <w:rPr>
                <w:rFonts w:ascii="Arial" w:eastAsia="Times New Roman" w:hAnsi="Arial" w:cs="Arial"/>
                <w:kern w:val="0"/>
                <w:sz w:val="22"/>
                <w14:ligatures w14:val="none"/>
              </w:rPr>
              <w:t>Year</w:t>
            </w:r>
          </w:p>
        </w:tc>
        <w:tc>
          <w:tcPr>
            <w:tcW w:w="514" w:type="pct"/>
            <w:hideMark/>
          </w:tcPr>
          <w:p w14:paraId="5C936E79" w14:textId="77777777" w:rsidR="00AC7ED2" w:rsidRPr="00AC7ED2" w:rsidRDefault="00AC7ED2" w:rsidP="00AC7ED2">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X</w:t>
            </w:r>
            <w:r w:rsidRPr="00AC7ED2">
              <w:rPr>
                <w:rFonts w:ascii="Cambria Math" w:eastAsia="Times New Roman" w:hAnsi="Cambria Math" w:cs="Cambria Math"/>
                <w:kern w:val="0"/>
                <w:sz w:val="22"/>
                <w14:ligatures w14:val="none"/>
              </w:rPr>
              <w:t>₁</w:t>
            </w:r>
            <w:r w:rsidRPr="00AC7ED2">
              <w:rPr>
                <w:rFonts w:ascii="Arial" w:eastAsia="Times New Roman" w:hAnsi="Arial" w:cs="Arial"/>
                <w:kern w:val="0"/>
                <w:sz w:val="22"/>
                <w14:ligatures w14:val="none"/>
              </w:rPr>
              <w:t xml:space="preserve"> = WC/TA</w:t>
            </w:r>
          </w:p>
        </w:tc>
        <w:tc>
          <w:tcPr>
            <w:tcW w:w="475" w:type="pct"/>
            <w:hideMark/>
          </w:tcPr>
          <w:p w14:paraId="1F0200B6" w14:textId="77777777" w:rsidR="00AC7ED2" w:rsidRPr="00AC7ED2" w:rsidRDefault="00AC7ED2" w:rsidP="00AC7ED2">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X</w:t>
            </w:r>
            <w:r w:rsidRPr="00AC7ED2">
              <w:rPr>
                <w:rFonts w:ascii="Cambria Math" w:eastAsia="Times New Roman" w:hAnsi="Cambria Math" w:cs="Cambria Math"/>
                <w:kern w:val="0"/>
                <w:sz w:val="22"/>
                <w14:ligatures w14:val="none"/>
              </w:rPr>
              <w:t>₂</w:t>
            </w:r>
            <w:r w:rsidRPr="00AC7ED2">
              <w:rPr>
                <w:rFonts w:ascii="Arial" w:eastAsia="Times New Roman" w:hAnsi="Arial" w:cs="Arial"/>
                <w:kern w:val="0"/>
                <w:sz w:val="22"/>
                <w14:ligatures w14:val="none"/>
              </w:rPr>
              <w:t xml:space="preserve"> = RE/TA</w:t>
            </w:r>
          </w:p>
        </w:tc>
        <w:tc>
          <w:tcPr>
            <w:tcW w:w="593" w:type="pct"/>
            <w:hideMark/>
          </w:tcPr>
          <w:p w14:paraId="2AE1F70C" w14:textId="77777777" w:rsidR="00AC7ED2" w:rsidRPr="00AC7ED2" w:rsidRDefault="00AC7ED2" w:rsidP="00AC7ED2">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X</w:t>
            </w:r>
            <w:r w:rsidRPr="00AC7ED2">
              <w:rPr>
                <w:rFonts w:ascii="Cambria Math" w:eastAsia="Times New Roman" w:hAnsi="Cambria Math" w:cs="Cambria Math"/>
                <w:kern w:val="0"/>
                <w:sz w:val="22"/>
                <w14:ligatures w14:val="none"/>
              </w:rPr>
              <w:t>₃</w:t>
            </w:r>
            <w:r w:rsidRPr="00AC7ED2">
              <w:rPr>
                <w:rFonts w:ascii="Arial" w:eastAsia="Times New Roman" w:hAnsi="Arial" w:cs="Arial"/>
                <w:kern w:val="0"/>
                <w:sz w:val="22"/>
                <w14:ligatures w14:val="none"/>
              </w:rPr>
              <w:t xml:space="preserve"> = EBIT/TA</w:t>
            </w:r>
          </w:p>
        </w:tc>
        <w:tc>
          <w:tcPr>
            <w:tcW w:w="390" w:type="pct"/>
            <w:hideMark/>
          </w:tcPr>
          <w:p w14:paraId="39CF524A" w14:textId="77777777" w:rsidR="00AC7ED2" w:rsidRPr="00AC7ED2" w:rsidRDefault="00AC7ED2" w:rsidP="00AC7ED2">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X</w:t>
            </w:r>
            <w:r w:rsidRPr="00AC7ED2">
              <w:rPr>
                <w:rFonts w:ascii="Cambria Math" w:eastAsia="Times New Roman" w:hAnsi="Cambria Math" w:cs="Cambria Math"/>
                <w:kern w:val="0"/>
                <w:sz w:val="22"/>
                <w14:ligatures w14:val="none"/>
              </w:rPr>
              <w:t>₄</w:t>
            </w:r>
            <w:r w:rsidRPr="00AC7ED2">
              <w:rPr>
                <w:rFonts w:ascii="Arial" w:eastAsia="Times New Roman" w:hAnsi="Arial" w:cs="Arial"/>
                <w:kern w:val="0"/>
                <w:sz w:val="22"/>
                <w14:ligatures w14:val="none"/>
              </w:rPr>
              <w:t xml:space="preserve"> = E/TD</w:t>
            </w:r>
          </w:p>
        </w:tc>
        <w:tc>
          <w:tcPr>
            <w:tcW w:w="567" w:type="pct"/>
            <w:hideMark/>
          </w:tcPr>
          <w:p w14:paraId="6194ACEF" w14:textId="77777777" w:rsidR="00AC7ED2" w:rsidRPr="00AC7ED2" w:rsidRDefault="00AC7ED2" w:rsidP="00AC7ED2">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X</w:t>
            </w:r>
            <w:r w:rsidRPr="00AC7ED2">
              <w:rPr>
                <w:rFonts w:ascii="Cambria Math" w:eastAsia="Times New Roman" w:hAnsi="Cambria Math" w:cs="Cambria Math"/>
                <w:kern w:val="0"/>
                <w:sz w:val="22"/>
                <w14:ligatures w14:val="none"/>
              </w:rPr>
              <w:t>₅</w:t>
            </w:r>
            <w:r w:rsidRPr="00AC7ED2">
              <w:rPr>
                <w:rFonts w:ascii="Arial" w:eastAsia="Times New Roman" w:hAnsi="Arial" w:cs="Arial"/>
                <w:kern w:val="0"/>
                <w:sz w:val="22"/>
                <w14:ligatures w14:val="none"/>
              </w:rPr>
              <w:t xml:space="preserve"> = Sales/TA</w:t>
            </w:r>
          </w:p>
        </w:tc>
        <w:tc>
          <w:tcPr>
            <w:tcW w:w="397" w:type="pct"/>
            <w:hideMark/>
          </w:tcPr>
          <w:p w14:paraId="1FBB34AD" w14:textId="77777777" w:rsidR="00AC7ED2" w:rsidRPr="00AC7ED2" w:rsidRDefault="00AC7ED2" w:rsidP="00AC7ED2">
            <w:pPr>
              <w:spacing w:line="240" w:lineRule="auto"/>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Z-Score</w:t>
            </w:r>
          </w:p>
        </w:tc>
        <w:tc>
          <w:tcPr>
            <w:tcW w:w="374" w:type="pct"/>
            <w:hideMark/>
          </w:tcPr>
          <w:p w14:paraId="6BE0A13E" w14:textId="77777777" w:rsidR="00AC7ED2" w:rsidRPr="00AC7ED2" w:rsidRDefault="00AC7ED2" w:rsidP="00AC7ED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Component</w:t>
            </w:r>
          </w:p>
        </w:tc>
        <w:tc>
          <w:tcPr>
            <w:tcW w:w="1152" w:type="pct"/>
            <w:hideMark/>
          </w:tcPr>
          <w:p w14:paraId="2396C3E8" w14:textId="77777777" w:rsidR="00AC7ED2" w:rsidRPr="00AC7ED2" w:rsidRDefault="00AC7ED2" w:rsidP="00AC7ED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Formula</w:t>
            </w:r>
          </w:p>
        </w:tc>
      </w:tr>
      <w:tr w:rsidR="00A80E41" w:rsidRPr="008D7DBA" w14:paraId="39E1A0A1" w14:textId="77777777" w:rsidTr="00AC7ED2">
        <w:trPr>
          <w:cnfStyle w:val="000000100000" w:firstRow="0" w:lastRow="0" w:firstColumn="0" w:lastColumn="0" w:oddVBand="0" w:evenVBand="0" w:oddHBand="1"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36" w:type="pct"/>
            <w:hideMark/>
          </w:tcPr>
          <w:p w14:paraId="466A977D" w14:textId="77777777" w:rsidR="00AC7ED2" w:rsidRPr="00AC7ED2" w:rsidRDefault="00AC7ED2" w:rsidP="00AC7ED2">
            <w:pPr>
              <w:spacing w:line="240" w:lineRule="auto"/>
              <w:jc w:val="right"/>
              <w:rPr>
                <w:rFonts w:ascii="Arial" w:eastAsia="Times New Roman" w:hAnsi="Arial" w:cs="Arial"/>
                <w:kern w:val="0"/>
                <w:sz w:val="22"/>
                <w14:ligatures w14:val="none"/>
              </w:rPr>
            </w:pPr>
            <w:r w:rsidRPr="00AC7ED2">
              <w:rPr>
                <w:rFonts w:ascii="Arial" w:eastAsia="Times New Roman" w:hAnsi="Arial" w:cs="Arial"/>
                <w:kern w:val="0"/>
                <w:sz w:val="22"/>
                <w14:ligatures w14:val="none"/>
              </w:rPr>
              <w:t>2020</w:t>
            </w:r>
          </w:p>
        </w:tc>
        <w:tc>
          <w:tcPr>
            <w:tcW w:w="514" w:type="pct"/>
            <w:hideMark/>
          </w:tcPr>
          <w:p w14:paraId="024277E5"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0.29</w:t>
            </w:r>
          </w:p>
        </w:tc>
        <w:tc>
          <w:tcPr>
            <w:tcW w:w="475" w:type="pct"/>
            <w:hideMark/>
          </w:tcPr>
          <w:p w14:paraId="4AFE4BBB"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0.64</w:t>
            </w:r>
          </w:p>
        </w:tc>
        <w:tc>
          <w:tcPr>
            <w:tcW w:w="593" w:type="pct"/>
            <w:hideMark/>
          </w:tcPr>
          <w:p w14:paraId="18AC1FFA"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0.07</w:t>
            </w:r>
          </w:p>
        </w:tc>
        <w:tc>
          <w:tcPr>
            <w:tcW w:w="390" w:type="pct"/>
            <w:hideMark/>
          </w:tcPr>
          <w:p w14:paraId="1E53788A"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1.59</w:t>
            </w:r>
          </w:p>
        </w:tc>
        <w:tc>
          <w:tcPr>
            <w:tcW w:w="567" w:type="pct"/>
            <w:hideMark/>
          </w:tcPr>
          <w:p w14:paraId="0343FAE3"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1.2</w:t>
            </w:r>
          </w:p>
        </w:tc>
        <w:tc>
          <w:tcPr>
            <w:tcW w:w="397" w:type="pct"/>
            <w:hideMark/>
          </w:tcPr>
          <w:p w14:paraId="61FC8525"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3.64</w:t>
            </w:r>
          </w:p>
        </w:tc>
        <w:tc>
          <w:tcPr>
            <w:tcW w:w="374" w:type="pct"/>
            <w:hideMark/>
          </w:tcPr>
          <w:p w14:paraId="2F8CBC81" w14:textId="77777777" w:rsidR="00AC7ED2" w:rsidRPr="00AC7ED2" w:rsidRDefault="00AC7ED2" w:rsidP="00AC7ED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X</w:t>
            </w:r>
            <w:r w:rsidRPr="00AC7ED2">
              <w:rPr>
                <w:rFonts w:ascii="Cambria Math" w:eastAsia="Times New Roman" w:hAnsi="Cambria Math" w:cs="Cambria Math"/>
                <w:b/>
                <w:bCs/>
                <w:kern w:val="0"/>
                <w:sz w:val="22"/>
                <w14:ligatures w14:val="none"/>
              </w:rPr>
              <w:t>₁</w:t>
            </w:r>
          </w:p>
        </w:tc>
        <w:tc>
          <w:tcPr>
            <w:tcW w:w="1152" w:type="pct"/>
            <w:hideMark/>
          </w:tcPr>
          <w:p w14:paraId="45286619" w14:textId="77777777" w:rsidR="00AC7ED2" w:rsidRPr="00AC7ED2" w:rsidRDefault="00AC7ED2" w:rsidP="00AC7ED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(Current Assets – Current Liabilities) / Total Assets</w:t>
            </w:r>
          </w:p>
        </w:tc>
      </w:tr>
      <w:tr w:rsidR="00A80E41" w:rsidRPr="008D7DBA" w14:paraId="4C2B3FDB" w14:textId="77777777" w:rsidTr="00AC7ED2">
        <w:trPr>
          <w:trHeight w:val="580"/>
        </w:trPr>
        <w:tc>
          <w:tcPr>
            <w:cnfStyle w:val="001000000000" w:firstRow="0" w:lastRow="0" w:firstColumn="1" w:lastColumn="0" w:oddVBand="0" w:evenVBand="0" w:oddHBand="0" w:evenHBand="0" w:firstRowFirstColumn="0" w:firstRowLastColumn="0" w:lastRowFirstColumn="0" w:lastRowLastColumn="0"/>
            <w:tcW w:w="536" w:type="pct"/>
            <w:hideMark/>
          </w:tcPr>
          <w:p w14:paraId="1FDC0846" w14:textId="77777777" w:rsidR="00AC7ED2" w:rsidRPr="00AC7ED2" w:rsidRDefault="00AC7ED2" w:rsidP="00AC7ED2">
            <w:pPr>
              <w:spacing w:line="240" w:lineRule="auto"/>
              <w:jc w:val="right"/>
              <w:rPr>
                <w:rFonts w:ascii="Arial" w:eastAsia="Times New Roman" w:hAnsi="Arial" w:cs="Arial"/>
                <w:kern w:val="0"/>
                <w:sz w:val="22"/>
                <w14:ligatures w14:val="none"/>
              </w:rPr>
            </w:pPr>
            <w:r w:rsidRPr="00AC7ED2">
              <w:rPr>
                <w:rFonts w:ascii="Arial" w:eastAsia="Times New Roman" w:hAnsi="Arial" w:cs="Arial"/>
                <w:kern w:val="0"/>
                <w:sz w:val="22"/>
                <w14:ligatures w14:val="none"/>
              </w:rPr>
              <w:t>2021</w:t>
            </w:r>
          </w:p>
        </w:tc>
        <w:tc>
          <w:tcPr>
            <w:tcW w:w="514" w:type="pct"/>
            <w:hideMark/>
          </w:tcPr>
          <w:p w14:paraId="5736195B"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0.24</w:t>
            </w:r>
          </w:p>
        </w:tc>
        <w:tc>
          <w:tcPr>
            <w:tcW w:w="475" w:type="pct"/>
            <w:hideMark/>
          </w:tcPr>
          <w:p w14:paraId="51778D2D"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0.65</w:t>
            </w:r>
          </w:p>
        </w:tc>
        <w:tc>
          <w:tcPr>
            <w:tcW w:w="593" w:type="pct"/>
            <w:hideMark/>
          </w:tcPr>
          <w:p w14:paraId="726FDE5F"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0.05</w:t>
            </w:r>
          </w:p>
        </w:tc>
        <w:tc>
          <w:tcPr>
            <w:tcW w:w="390" w:type="pct"/>
            <w:hideMark/>
          </w:tcPr>
          <w:p w14:paraId="48B2D959"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1.18</w:t>
            </w:r>
          </w:p>
        </w:tc>
        <w:tc>
          <w:tcPr>
            <w:tcW w:w="567" w:type="pct"/>
            <w:hideMark/>
          </w:tcPr>
          <w:p w14:paraId="10490879"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1.18</w:t>
            </w:r>
          </w:p>
        </w:tc>
        <w:tc>
          <w:tcPr>
            <w:tcW w:w="397" w:type="pct"/>
            <w:hideMark/>
          </w:tcPr>
          <w:p w14:paraId="5CD6B4F7"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3.22</w:t>
            </w:r>
          </w:p>
        </w:tc>
        <w:tc>
          <w:tcPr>
            <w:tcW w:w="374" w:type="pct"/>
            <w:hideMark/>
          </w:tcPr>
          <w:p w14:paraId="33E94B9C" w14:textId="77777777" w:rsidR="00AC7ED2" w:rsidRPr="00AC7ED2" w:rsidRDefault="00AC7ED2" w:rsidP="00AC7ED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X</w:t>
            </w:r>
            <w:r w:rsidRPr="00AC7ED2">
              <w:rPr>
                <w:rFonts w:ascii="Cambria Math" w:eastAsia="Times New Roman" w:hAnsi="Cambria Math" w:cs="Cambria Math"/>
                <w:b/>
                <w:bCs/>
                <w:kern w:val="0"/>
                <w:sz w:val="22"/>
                <w14:ligatures w14:val="none"/>
              </w:rPr>
              <w:t>₂</w:t>
            </w:r>
          </w:p>
        </w:tc>
        <w:tc>
          <w:tcPr>
            <w:tcW w:w="1152" w:type="pct"/>
            <w:hideMark/>
          </w:tcPr>
          <w:p w14:paraId="18067E62" w14:textId="77777777" w:rsidR="00AC7ED2" w:rsidRPr="00AC7ED2" w:rsidRDefault="00AC7ED2" w:rsidP="00AC7ED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Retained Earnings / Total Assets</w:t>
            </w:r>
          </w:p>
        </w:tc>
      </w:tr>
      <w:tr w:rsidR="00A80E41" w:rsidRPr="008D7DBA" w14:paraId="4F2ED1E8" w14:textId="77777777" w:rsidTr="00AC7ED2">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536" w:type="pct"/>
            <w:hideMark/>
          </w:tcPr>
          <w:p w14:paraId="323D8EA0" w14:textId="77777777" w:rsidR="00AC7ED2" w:rsidRPr="00AC7ED2" w:rsidRDefault="00AC7ED2" w:rsidP="00AC7ED2">
            <w:pPr>
              <w:spacing w:line="240" w:lineRule="auto"/>
              <w:jc w:val="right"/>
              <w:rPr>
                <w:rFonts w:ascii="Arial" w:eastAsia="Times New Roman" w:hAnsi="Arial" w:cs="Arial"/>
                <w:kern w:val="0"/>
                <w:sz w:val="22"/>
                <w14:ligatures w14:val="none"/>
              </w:rPr>
            </w:pPr>
            <w:r w:rsidRPr="00AC7ED2">
              <w:rPr>
                <w:rFonts w:ascii="Arial" w:eastAsia="Times New Roman" w:hAnsi="Arial" w:cs="Arial"/>
                <w:kern w:val="0"/>
                <w:sz w:val="22"/>
                <w14:ligatures w14:val="none"/>
              </w:rPr>
              <w:t>2022</w:t>
            </w:r>
          </w:p>
        </w:tc>
        <w:tc>
          <w:tcPr>
            <w:tcW w:w="514" w:type="pct"/>
            <w:hideMark/>
          </w:tcPr>
          <w:p w14:paraId="7E955056"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0.24</w:t>
            </w:r>
          </w:p>
        </w:tc>
        <w:tc>
          <w:tcPr>
            <w:tcW w:w="475" w:type="pct"/>
            <w:hideMark/>
          </w:tcPr>
          <w:p w14:paraId="4137E6A2"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0.66</w:t>
            </w:r>
          </w:p>
        </w:tc>
        <w:tc>
          <w:tcPr>
            <w:tcW w:w="593" w:type="pct"/>
            <w:hideMark/>
          </w:tcPr>
          <w:p w14:paraId="1897A434"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0.03</w:t>
            </w:r>
          </w:p>
        </w:tc>
        <w:tc>
          <w:tcPr>
            <w:tcW w:w="390" w:type="pct"/>
            <w:hideMark/>
          </w:tcPr>
          <w:p w14:paraId="0C832015"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1.14</w:t>
            </w:r>
          </w:p>
        </w:tc>
        <w:tc>
          <w:tcPr>
            <w:tcW w:w="567" w:type="pct"/>
            <w:hideMark/>
          </w:tcPr>
          <w:p w14:paraId="1D727A28"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1.08</w:t>
            </w:r>
          </w:p>
        </w:tc>
        <w:tc>
          <w:tcPr>
            <w:tcW w:w="397" w:type="pct"/>
            <w:hideMark/>
          </w:tcPr>
          <w:p w14:paraId="4BC510AB"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3.06</w:t>
            </w:r>
          </w:p>
        </w:tc>
        <w:tc>
          <w:tcPr>
            <w:tcW w:w="374" w:type="pct"/>
            <w:hideMark/>
          </w:tcPr>
          <w:p w14:paraId="621D5C8A" w14:textId="77777777" w:rsidR="00AC7ED2" w:rsidRPr="00AC7ED2" w:rsidRDefault="00AC7ED2" w:rsidP="00AC7ED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X</w:t>
            </w:r>
            <w:r w:rsidRPr="00AC7ED2">
              <w:rPr>
                <w:rFonts w:ascii="Cambria Math" w:eastAsia="Times New Roman" w:hAnsi="Cambria Math" w:cs="Cambria Math"/>
                <w:b/>
                <w:bCs/>
                <w:kern w:val="0"/>
                <w:sz w:val="22"/>
                <w14:ligatures w14:val="none"/>
              </w:rPr>
              <w:t>₃</w:t>
            </w:r>
          </w:p>
        </w:tc>
        <w:tc>
          <w:tcPr>
            <w:tcW w:w="1152" w:type="pct"/>
            <w:hideMark/>
          </w:tcPr>
          <w:p w14:paraId="1B7413F8" w14:textId="77777777" w:rsidR="00AC7ED2" w:rsidRPr="00AC7ED2" w:rsidRDefault="00AC7ED2" w:rsidP="00AC7ED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EBIT / Total Assets</w:t>
            </w:r>
          </w:p>
        </w:tc>
      </w:tr>
      <w:tr w:rsidR="00A80E41" w:rsidRPr="008D7DBA" w14:paraId="6E593797" w14:textId="77777777" w:rsidTr="00AC7ED2">
        <w:trPr>
          <w:trHeight w:val="560"/>
        </w:trPr>
        <w:tc>
          <w:tcPr>
            <w:cnfStyle w:val="001000000000" w:firstRow="0" w:lastRow="0" w:firstColumn="1" w:lastColumn="0" w:oddVBand="0" w:evenVBand="0" w:oddHBand="0" w:evenHBand="0" w:firstRowFirstColumn="0" w:firstRowLastColumn="0" w:lastRowFirstColumn="0" w:lastRowLastColumn="0"/>
            <w:tcW w:w="536" w:type="pct"/>
            <w:hideMark/>
          </w:tcPr>
          <w:p w14:paraId="52378FB1" w14:textId="77777777" w:rsidR="00AC7ED2" w:rsidRPr="00AC7ED2" w:rsidRDefault="00AC7ED2" w:rsidP="00AC7ED2">
            <w:pPr>
              <w:spacing w:line="240" w:lineRule="auto"/>
              <w:jc w:val="right"/>
              <w:rPr>
                <w:rFonts w:ascii="Arial" w:eastAsia="Times New Roman" w:hAnsi="Arial" w:cs="Arial"/>
                <w:kern w:val="0"/>
                <w:sz w:val="22"/>
                <w14:ligatures w14:val="none"/>
              </w:rPr>
            </w:pPr>
            <w:r w:rsidRPr="00AC7ED2">
              <w:rPr>
                <w:rFonts w:ascii="Arial" w:eastAsia="Times New Roman" w:hAnsi="Arial" w:cs="Arial"/>
                <w:kern w:val="0"/>
                <w:sz w:val="22"/>
                <w14:ligatures w14:val="none"/>
              </w:rPr>
              <w:lastRenderedPageBreak/>
              <w:t>2023</w:t>
            </w:r>
          </w:p>
        </w:tc>
        <w:tc>
          <w:tcPr>
            <w:tcW w:w="514" w:type="pct"/>
            <w:hideMark/>
          </w:tcPr>
          <w:p w14:paraId="38904E0C"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0.27</w:t>
            </w:r>
          </w:p>
        </w:tc>
        <w:tc>
          <w:tcPr>
            <w:tcW w:w="475" w:type="pct"/>
            <w:hideMark/>
          </w:tcPr>
          <w:p w14:paraId="130EE68C"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0.65</w:t>
            </w:r>
          </w:p>
        </w:tc>
        <w:tc>
          <w:tcPr>
            <w:tcW w:w="593" w:type="pct"/>
            <w:hideMark/>
          </w:tcPr>
          <w:p w14:paraId="3DAF4793"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-0.24</w:t>
            </w:r>
          </w:p>
        </w:tc>
        <w:tc>
          <w:tcPr>
            <w:tcW w:w="390" w:type="pct"/>
            <w:hideMark/>
          </w:tcPr>
          <w:p w14:paraId="0859AD85"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1.01</w:t>
            </w:r>
          </w:p>
        </w:tc>
        <w:tc>
          <w:tcPr>
            <w:tcW w:w="567" w:type="pct"/>
            <w:hideMark/>
          </w:tcPr>
          <w:p w14:paraId="736275FE"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1.18</w:t>
            </w:r>
          </w:p>
        </w:tc>
        <w:tc>
          <w:tcPr>
            <w:tcW w:w="397" w:type="pct"/>
            <w:hideMark/>
          </w:tcPr>
          <w:p w14:paraId="235597B2" w14:textId="77777777" w:rsidR="00AC7ED2" w:rsidRPr="00AC7ED2" w:rsidRDefault="00AC7ED2" w:rsidP="00AC7ED2">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2.24</w:t>
            </w:r>
          </w:p>
        </w:tc>
        <w:tc>
          <w:tcPr>
            <w:tcW w:w="374" w:type="pct"/>
            <w:hideMark/>
          </w:tcPr>
          <w:p w14:paraId="25A95C69" w14:textId="77777777" w:rsidR="00AC7ED2" w:rsidRPr="00AC7ED2" w:rsidRDefault="00AC7ED2" w:rsidP="00AC7ED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X</w:t>
            </w:r>
            <w:r w:rsidRPr="00AC7ED2">
              <w:rPr>
                <w:rFonts w:ascii="Cambria Math" w:eastAsia="Times New Roman" w:hAnsi="Cambria Math" w:cs="Cambria Math"/>
                <w:b/>
                <w:bCs/>
                <w:kern w:val="0"/>
                <w:sz w:val="22"/>
                <w14:ligatures w14:val="none"/>
              </w:rPr>
              <w:t>₄</w:t>
            </w:r>
          </w:p>
        </w:tc>
        <w:tc>
          <w:tcPr>
            <w:tcW w:w="1152" w:type="pct"/>
            <w:hideMark/>
          </w:tcPr>
          <w:p w14:paraId="6D4AEC54" w14:textId="77777777" w:rsidR="00AC7ED2" w:rsidRPr="00AC7ED2" w:rsidRDefault="00AC7ED2" w:rsidP="00AC7ED2">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Equity / Total Liabilities</w:t>
            </w:r>
          </w:p>
        </w:tc>
      </w:tr>
      <w:tr w:rsidR="00A80E41" w:rsidRPr="008D7DBA" w14:paraId="26B76348" w14:textId="77777777" w:rsidTr="00AC7ED2">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536" w:type="pct"/>
            <w:hideMark/>
          </w:tcPr>
          <w:p w14:paraId="6FB69D67" w14:textId="77777777" w:rsidR="00AC7ED2" w:rsidRPr="00AC7ED2" w:rsidRDefault="00AC7ED2" w:rsidP="00AC7ED2">
            <w:pPr>
              <w:spacing w:line="240" w:lineRule="auto"/>
              <w:jc w:val="right"/>
              <w:rPr>
                <w:rFonts w:ascii="Arial" w:eastAsia="Times New Roman" w:hAnsi="Arial" w:cs="Arial"/>
                <w:kern w:val="0"/>
                <w:sz w:val="22"/>
                <w14:ligatures w14:val="none"/>
              </w:rPr>
            </w:pPr>
            <w:r w:rsidRPr="00AC7ED2">
              <w:rPr>
                <w:rFonts w:ascii="Arial" w:eastAsia="Times New Roman" w:hAnsi="Arial" w:cs="Arial"/>
                <w:kern w:val="0"/>
                <w:sz w:val="22"/>
                <w14:ligatures w14:val="none"/>
              </w:rPr>
              <w:t>2024</w:t>
            </w:r>
          </w:p>
        </w:tc>
        <w:tc>
          <w:tcPr>
            <w:tcW w:w="514" w:type="pct"/>
            <w:hideMark/>
          </w:tcPr>
          <w:p w14:paraId="4BC17ADE"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0.26</w:t>
            </w:r>
          </w:p>
        </w:tc>
        <w:tc>
          <w:tcPr>
            <w:tcW w:w="475" w:type="pct"/>
            <w:hideMark/>
          </w:tcPr>
          <w:p w14:paraId="589379A1"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0.64</w:t>
            </w:r>
          </w:p>
        </w:tc>
        <w:tc>
          <w:tcPr>
            <w:tcW w:w="593" w:type="pct"/>
            <w:hideMark/>
          </w:tcPr>
          <w:p w14:paraId="2CADED4E"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-0.05</w:t>
            </w:r>
          </w:p>
        </w:tc>
        <w:tc>
          <w:tcPr>
            <w:tcW w:w="390" w:type="pct"/>
            <w:hideMark/>
          </w:tcPr>
          <w:p w14:paraId="27759EAE"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0.9</w:t>
            </w:r>
          </w:p>
        </w:tc>
        <w:tc>
          <w:tcPr>
            <w:tcW w:w="567" w:type="pct"/>
            <w:hideMark/>
          </w:tcPr>
          <w:p w14:paraId="66554EC7"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1.22</w:t>
            </w:r>
          </w:p>
        </w:tc>
        <w:tc>
          <w:tcPr>
            <w:tcW w:w="397" w:type="pct"/>
            <w:hideMark/>
          </w:tcPr>
          <w:p w14:paraId="71BC12C3" w14:textId="77777777" w:rsidR="00AC7ED2" w:rsidRPr="00AC7ED2" w:rsidRDefault="00AC7ED2" w:rsidP="00AC7ED2">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2.82</w:t>
            </w:r>
          </w:p>
        </w:tc>
        <w:tc>
          <w:tcPr>
            <w:tcW w:w="374" w:type="pct"/>
            <w:hideMark/>
          </w:tcPr>
          <w:p w14:paraId="5728C750" w14:textId="77777777" w:rsidR="00AC7ED2" w:rsidRPr="00AC7ED2" w:rsidRDefault="00AC7ED2" w:rsidP="00AC7ED2">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0"/>
                <w:sz w:val="22"/>
                <w14:ligatures w14:val="none"/>
              </w:rPr>
            </w:pPr>
            <w:r w:rsidRPr="00AC7ED2">
              <w:rPr>
                <w:rFonts w:ascii="Arial" w:eastAsia="Times New Roman" w:hAnsi="Arial" w:cs="Arial"/>
                <w:b/>
                <w:bCs/>
                <w:kern w:val="0"/>
                <w:sz w:val="22"/>
                <w14:ligatures w14:val="none"/>
              </w:rPr>
              <w:t>X</w:t>
            </w:r>
            <w:r w:rsidRPr="00AC7ED2">
              <w:rPr>
                <w:rFonts w:ascii="Cambria Math" w:eastAsia="Times New Roman" w:hAnsi="Cambria Math" w:cs="Cambria Math"/>
                <w:b/>
                <w:bCs/>
                <w:kern w:val="0"/>
                <w:sz w:val="22"/>
                <w14:ligatures w14:val="none"/>
              </w:rPr>
              <w:t>₅</w:t>
            </w:r>
          </w:p>
        </w:tc>
        <w:tc>
          <w:tcPr>
            <w:tcW w:w="1152" w:type="pct"/>
            <w:hideMark/>
          </w:tcPr>
          <w:p w14:paraId="5273274C" w14:textId="77777777" w:rsidR="00AC7ED2" w:rsidRPr="00AC7ED2" w:rsidRDefault="00AC7ED2" w:rsidP="00AC7ED2">
            <w:pPr>
              <w:keepNext/>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14:ligatures w14:val="none"/>
              </w:rPr>
            </w:pPr>
            <w:r w:rsidRPr="00AC7ED2">
              <w:rPr>
                <w:rFonts w:ascii="Arial" w:eastAsia="Times New Roman" w:hAnsi="Arial" w:cs="Arial"/>
                <w:kern w:val="0"/>
                <w:sz w:val="22"/>
                <w14:ligatures w14:val="none"/>
              </w:rPr>
              <w:t>Sales / Total Assets</w:t>
            </w:r>
          </w:p>
        </w:tc>
      </w:tr>
    </w:tbl>
    <w:p w14:paraId="4C391466" w14:textId="255A45C3" w:rsidR="00AC7ED2" w:rsidRPr="008D7DBA" w:rsidRDefault="00AC7ED2" w:rsidP="00AC7ED2">
      <w:pPr>
        <w:pStyle w:val="Caption"/>
        <w:jc w:val="center"/>
        <w:rPr>
          <w:rFonts w:ascii="Arial" w:hAnsi="Arial" w:cs="Arial"/>
          <w:color w:val="auto"/>
        </w:rPr>
      </w:pPr>
      <w:bookmarkStart w:id="18" w:name="_Toc216380443"/>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00CD4FE0" w:rsidRPr="008D7DBA">
        <w:rPr>
          <w:rFonts w:ascii="Arial" w:hAnsi="Arial" w:cs="Arial"/>
          <w:noProof/>
          <w:color w:val="auto"/>
        </w:rPr>
        <w:t>7</w:t>
      </w:r>
      <w:r w:rsidRPr="008D7DBA">
        <w:rPr>
          <w:rFonts w:ascii="Arial" w:hAnsi="Arial" w:cs="Arial"/>
          <w:color w:val="auto"/>
        </w:rPr>
        <w:fldChar w:fldCharType="end"/>
      </w:r>
      <w:r w:rsidRPr="008D7DBA">
        <w:rPr>
          <w:rFonts w:ascii="Arial" w:hAnsi="Arial" w:cs="Arial"/>
          <w:color w:val="auto"/>
        </w:rPr>
        <w:t>: Altman Z Score Calculation</w:t>
      </w:r>
      <w:bookmarkEnd w:id="18"/>
    </w:p>
    <w:p w14:paraId="133F458D" w14:textId="34EF2A9D" w:rsidR="00B26E41" w:rsidRPr="008D7DBA" w:rsidRDefault="0082692D" w:rsidP="0082692D">
      <w:pPr>
        <w:rPr>
          <w:rFonts w:ascii="Arial" w:hAnsi="Arial" w:cs="Arial"/>
        </w:rPr>
      </w:pPr>
      <w:r w:rsidRPr="008D7DBA">
        <w:rPr>
          <w:rFonts w:ascii="Arial" w:hAnsi="Arial" w:cs="Arial"/>
        </w:rPr>
        <w:t>The Altman Z-Score is one of the models of corporate failure which determines the possible chance of the corporation going bankrupt</w:t>
      </w:r>
      <w:r w:rsidR="0058089E" w:rsidRPr="008D7DBA">
        <w:rPr>
          <w:rFonts w:ascii="Arial" w:hAnsi="Arial" w:cs="Arial"/>
        </w:rPr>
        <w:t xml:space="preserve"> </w:t>
      </w:r>
      <w:r w:rsidR="0058089E" w:rsidRPr="008D7DBA">
        <w:rPr>
          <w:rFonts w:ascii="Arial" w:hAnsi="Arial" w:cs="Arial"/>
          <w:shd w:val="clear" w:color="auto" w:fill="FFFFFF"/>
        </w:rPr>
        <w:t>(Altman et al., 2017)</w:t>
      </w:r>
      <w:r w:rsidRPr="008D7DBA">
        <w:rPr>
          <w:rFonts w:ascii="Arial" w:hAnsi="Arial" w:cs="Arial"/>
        </w:rPr>
        <w:t>. It is a combination of financial ratios which are used to determine the financial health of a business. A score that is below 1.8, by and large, indicates high risks of bankruptcy</w:t>
      </w:r>
      <w:r w:rsidR="0095452D" w:rsidRPr="008D7DBA">
        <w:rPr>
          <w:rFonts w:ascii="Arial" w:hAnsi="Arial" w:cs="Arial"/>
        </w:rPr>
        <w:t>,</w:t>
      </w:r>
      <w:r w:rsidRPr="008D7DBA">
        <w:rPr>
          <w:rFonts w:ascii="Arial" w:hAnsi="Arial" w:cs="Arial"/>
        </w:rPr>
        <w:t xml:space="preserve"> whereas a score that is greater than 3 only indicates that they are financially stable.</w:t>
      </w:r>
    </w:p>
    <w:p w14:paraId="36EC8296" w14:textId="57E404C2" w:rsidR="0082692D" w:rsidRPr="008D7DBA" w:rsidRDefault="0082692D" w:rsidP="0082692D">
      <w:pPr>
        <w:rPr>
          <w:rFonts w:ascii="Arial" w:hAnsi="Arial" w:cs="Arial"/>
        </w:rPr>
      </w:pPr>
      <w:r w:rsidRPr="008D7DBA">
        <w:rPr>
          <w:rFonts w:ascii="Arial" w:hAnsi="Arial" w:cs="Arial"/>
        </w:rPr>
        <w:t xml:space="preserve">In </w:t>
      </w:r>
      <w:r w:rsidR="0095452D" w:rsidRPr="008D7DBA">
        <w:rPr>
          <w:rFonts w:ascii="Arial" w:hAnsi="Arial" w:cs="Arial"/>
        </w:rPr>
        <w:t xml:space="preserve">the </w:t>
      </w:r>
      <w:r w:rsidRPr="008D7DBA">
        <w:rPr>
          <w:rFonts w:ascii="Arial" w:hAnsi="Arial" w:cs="Arial"/>
        </w:rPr>
        <w:t>case of General Electronics, the Z-</w:t>
      </w:r>
      <w:r w:rsidR="0095452D" w:rsidRPr="008D7DBA">
        <w:rPr>
          <w:rFonts w:ascii="Arial" w:hAnsi="Arial" w:cs="Arial"/>
        </w:rPr>
        <w:t>s</w:t>
      </w:r>
      <w:r w:rsidRPr="008D7DBA">
        <w:rPr>
          <w:rFonts w:ascii="Arial" w:hAnsi="Arial" w:cs="Arial"/>
        </w:rPr>
        <w:t>core has been decreasing since 2020</w:t>
      </w:r>
      <w:r w:rsidR="0095452D" w:rsidRPr="008D7DBA">
        <w:rPr>
          <w:rFonts w:ascii="Arial" w:hAnsi="Arial" w:cs="Arial"/>
        </w:rPr>
        <w:t>,</w:t>
      </w:r>
      <w:r w:rsidRPr="008D7DBA">
        <w:rPr>
          <w:rFonts w:ascii="Arial" w:hAnsi="Arial" w:cs="Arial"/>
        </w:rPr>
        <w:t xml:space="preserve"> when it </w:t>
      </w:r>
      <w:r w:rsidR="0095452D" w:rsidRPr="008D7DBA">
        <w:rPr>
          <w:rFonts w:ascii="Arial" w:hAnsi="Arial" w:cs="Arial"/>
        </w:rPr>
        <w:t>went</w:t>
      </w:r>
      <w:r w:rsidRPr="008D7DBA">
        <w:rPr>
          <w:rFonts w:ascii="Arial" w:hAnsi="Arial" w:cs="Arial"/>
        </w:rPr>
        <w:t xml:space="preserve"> down to 2.82. The Z-</w:t>
      </w:r>
      <w:r w:rsidR="0095452D" w:rsidRPr="008D7DBA">
        <w:rPr>
          <w:rFonts w:ascii="Arial" w:hAnsi="Arial" w:cs="Arial"/>
        </w:rPr>
        <w:t>s</w:t>
      </w:r>
      <w:r w:rsidRPr="008D7DBA">
        <w:rPr>
          <w:rFonts w:ascii="Arial" w:hAnsi="Arial" w:cs="Arial"/>
        </w:rPr>
        <w:t xml:space="preserve">core of 2024 remains above the critical value of 1.8, and it would indicate that the company is not on the brink of bankruptcy. Nonetheless, the decrease in the score </w:t>
      </w:r>
      <w:r w:rsidR="0095452D" w:rsidRPr="008D7DBA">
        <w:rPr>
          <w:rFonts w:ascii="Arial" w:hAnsi="Arial" w:cs="Arial"/>
        </w:rPr>
        <w:t>over</w:t>
      </w:r>
      <w:r w:rsidRPr="008D7DBA">
        <w:rPr>
          <w:rFonts w:ascii="Arial" w:hAnsi="Arial" w:cs="Arial"/>
        </w:rPr>
        <w:t xml:space="preserve"> the years is an indicator of increasing financial distress.</w:t>
      </w:r>
      <w:r w:rsidR="00B26E41" w:rsidRPr="008D7DBA">
        <w:rPr>
          <w:rFonts w:ascii="Arial" w:hAnsi="Arial" w:cs="Arial"/>
        </w:rPr>
        <w:t xml:space="preserve"> </w:t>
      </w:r>
      <w:r w:rsidRPr="008D7DBA">
        <w:rPr>
          <w:rFonts w:ascii="Arial" w:hAnsi="Arial" w:cs="Arial"/>
        </w:rPr>
        <w:t>The rating indicates that the company is becoming less financially stable</w:t>
      </w:r>
      <w:r w:rsidR="0095452D" w:rsidRPr="008D7DBA">
        <w:rPr>
          <w:rFonts w:ascii="Arial" w:hAnsi="Arial" w:cs="Arial"/>
        </w:rPr>
        <w:t>,</w:t>
      </w:r>
      <w:r w:rsidRPr="008D7DBA">
        <w:rPr>
          <w:rFonts w:ascii="Arial" w:hAnsi="Arial" w:cs="Arial"/>
        </w:rPr>
        <w:t xml:space="preserve"> as a 2.82 score in 2024 indicates that the risk of default is used up, but not at present</w:t>
      </w:r>
      <w:r w:rsidR="0058089E" w:rsidRPr="008D7DBA">
        <w:rPr>
          <w:rFonts w:ascii="Arial" w:hAnsi="Arial" w:cs="Arial"/>
        </w:rPr>
        <w:t xml:space="preserve"> </w:t>
      </w:r>
      <w:r w:rsidR="0058089E" w:rsidRPr="008D7DBA">
        <w:rPr>
          <w:rFonts w:ascii="Arial" w:hAnsi="Arial" w:cs="Arial"/>
          <w:shd w:val="clear" w:color="auto" w:fill="FFFFFF"/>
        </w:rPr>
        <w:t>(Altman et al., 2017)</w:t>
      </w:r>
      <w:r w:rsidRPr="008D7DBA">
        <w:rPr>
          <w:rFonts w:ascii="Arial" w:hAnsi="Arial" w:cs="Arial"/>
        </w:rPr>
        <w:t>. This downward trend shows the necessity of a detailed financial restructuring plan to prevent additional degradation and to improve its rating among the default risk.</w:t>
      </w:r>
    </w:p>
    <w:p w14:paraId="6BA66BFE" w14:textId="1CA2CAC7" w:rsidR="0082692D" w:rsidRPr="008D7DBA" w:rsidRDefault="0071222E" w:rsidP="000738C4">
      <w:pPr>
        <w:pStyle w:val="Heading1"/>
        <w:rPr>
          <w:rFonts w:ascii="Arial" w:hAnsi="Arial" w:cs="Arial"/>
          <w:color w:val="auto"/>
        </w:rPr>
      </w:pPr>
      <w:bookmarkStart w:id="19" w:name="_Toc216380881"/>
      <w:r w:rsidRPr="008D7DBA">
        <w:rPr>
          <w:rFonts w:ascii="Arial" w:hAnsi="Arial" w:cs="Arial"/>
          <w:color w:val="auto"/>
        </w:rPr>
        <w:t xml:space="preserve">3. </w:t>
      </w:r>
      <w:r w:rsidR="0082692D" w:rsidRPr="008D7DBA">
        <w:rPr>
          <w:rFonts w:ascii="Arial" w:hAnsi="Arial" w:cs="Arial"/>
          <w:color w:val="auto"/>
        </w:rPr>
        <w:t>General Electric Working Capital Management Analysis</w:t>
      </w:r>
      <w:bookmarkEnd w:id="19"/>
    </w:p>
    <w:p w14:paraId="4747DD6B" w14:textId="415CCD2D" w:rsidR="0082692D" w:rsidRPr="008D7DBA" w:rsidRDefault="0082692D" w:rsidP="0082692D">
      <w:pPr>
        <w:rPr>
          <w:rFonts w:ascii="Arial" w:hAnsi="Arial" w:cs="Arial"/>
        </w:rPr>
      </w:pPr>
      <w:r w:rsidRPr="008D7DBA">
        <w:rPr>
          <w:rFonts w:ascii="Arial" w:hAnsi="Arial" w:cs="Arial"/>
        </w:rPr>
        <w:t>The daily operations of any business can hardly pass without working capital management. It deals with the appropriate management of the short</w:t>
      </w:r>
      <w:r w:rsidR="0095452D" w:rsidRPr="008D7DBA">
        <w:rPr>
          <w:rFonts w:ascii="Arial" w:hAnsi="Arial" w:cs="Arial"/>
        </w:rPr>
        <w:t>-term</w:t>
      </w:r>
      <w:r w:rsidRPr="008D7DBA">
        <w:rPr>
          <w:rFonts w:ascii="Arial" w:hAnsi="Arial" w:cs="Arial"/>
        </w:rPr>
        <w:t xml:space="preserve"> and long</w:t>
      </w:r>
      <w:r w:rsidR="0095452D" w:rsidRPr="008D7DBA">
        <w:rPr>
          <w:rFonts w:ascii="Arial" w:hAnsi="Arial" w:cs="Arial"/>
        </w:rPr>
        <w:t>-</w:t>
      </w:r>
      <w:r w:rsidRPr="008D7DBA">
        <w:rPr>
          <w:rFonts w:ascii="Arial" w:hAnsi="Arial" w:cs="Arial"/>
        </w:rPr>
        <w:t>term assets and liabilities of a company so that adequate liquidity can be available to cover the operating requirements of the company. In this analysis, we evaluate the cash operating cycle of General Electronics as well as our recommendation of liquidity improvement strategies by conducting working capital reforms, and short</w:t>
      </w:r>
      <w:r w:rsidR="0095452D" w:rsidRPr="008D7DBA">
        <w:rPr>
          <w:rFonts w:ascii="Arial" w:hAnsi="Arial" w:cs="Arial"/>
        </w:rPr>
        <w:t>-</w:t>
      </w:r>
      <w:r w:rsidRPr="008D7DBA">
        <w:rPr>
          <w:rFonts w:ascii="Arial" w:hAnsi="Arial" w:cs="Arial"/>
        </w:rPr>
        <w:t>term versus long</w:t>
      </w:r>
      <w:r w:rsidR="0095452D" w:rsidRPr="008D7DBA">
        <w:rPr>
          <w:rFonts w:ascii="Arial" w:hAnsi="Arial" w:cs="Arial"/>
        </w:rPr>
        <w:t>-</w:t>
      </w:r>
      <w:r w:rsidRPr="008D7DBA">
        <w:rPr>
          <w:rFonts w:ascii="Arial" w:hAnsi="Arial" w:cs="Arial"/>
        </w:rPr>
        <w:t>term financing judgment based on the data available.</w:t>
      </w:r>
    </w:p>
    <w:p w14:paraId="24A86F3C" w14:textId="37D0F9E5" w:rsidR="0082692D" w:rsidRPr="008D7DBA" w:rsidRDefault="0071222E" w:rsidP="000738C4">
      <w:pPr>
        <w:pStyle w:val="Heading2"/>
        <w:rPr>
          <w:rFonts w:ascii="Arial" w:hAnsi="Arial" w:cs="Arial"/>
        </w:rPr>
      </w:pPr>
      <w:bookmarkStart w:id="20" w:name="_Toc216380882"/>
      <w:r w:rsidRPr="008D7DBA">
        <w:rPr>
          <w:rFonts w:ascii="Arial" w:hAnsi="Arial" w:cs="Arial"/>
        </w:rPr>
        <w:t xml:space="preserve">3.1 </w:t>
      </w:r>
      <w:r w:rsidR="0082692D" w:rsidRPr="008D7DBA">
        <w:rPr>
          <w:rFonts w:ascii="Arial" w:hAnsi="Arial" w:cs="Arial"/>
        </w:rPr>
        <w:t>Cash Operating Cycle Evaluation</w:t>
      </w:r>
      <w:bookmarkEnd w:id="20"/>
    </w:p>
    <w:p w14:paraId="1F1D0FD6" w14:textId="7C621F9C" w:rsidR="0082692D" w:rsidRPr="008D7DBA" w:rsidRDefault="0082692D" w:rsidP="0082692D">
      <w:pPr>
        <w:rPr>
          <w:rFonts w:ascii="Arial" w:hAnsi="Arial" w:cs="Arial"/>
        </w:rPr>
      </w:pPr>
      <w:r w:rsidRPr="008D7DBA">
        <w:rPr>
          <w:rFonts w:ascii="Arial" w:hAnsi="Arial" w:cs="Arial"/>
        </w:rPr>
        <w:t>The Cash Operating Cycle (COC) is an important indicator that comprises the duration during which a company can utili</w:t>
      </w:r>
      <w:r w:rsidR="0095452D" w:rsidRPr="008D7DBA">
        <w:rPr>
          <w:rFonts w:ascii="Arial" w:hAnsi="Arial" w:cs="Arial"/>
        </w:rPr>
        <w:t>s</w:t>
      </w:r>
      <w:r w:rsidRPr="008D7DBA">
        <w:rPr>
          <w:rFonts w:ascii="Arial" w:hAnsi="Arial" w:cs="Arial"/>
        </w:rPr>
        <w:t>e its investment in inventory and accounts receivable to get funds. It is calculated as:</w:t>
      </w:r>
    </w:p>
    <w:p w14:paraId="6DEF6A5B" w14:textId="2728B356" w:rsidR="0082692D" w:rsidRPr="008D7DBA" w:rsidRDefault="0082692D" w:rsidP="0082692D">
      <w:pPr>
        <w:rPr>
          <w:rFonts w:ascii="Arial" w:hAnsi="Arial" w:cs="Arial"/>
        </w:rPr>
      </w:pPr>
      <w:r w:rsidRPr="008D7DBA">
        <w:rPr>
          <w:rFonts w:ascii="Arial" w:hAnsi="Arial" w:cs="Arial"/>
        </w:rPr>
        <w:lastRenderedPageBreak/>
        <w:t>Cash Operating Cycle</w:t>
      </w:r>
      <w:r w:rsidR="000738C4" w:rsidRPr="008D7DBA">
        <w:rPr>
          <w:rFonts w:ascii="Arial" w:hAnsi="Arial" w:cs="Arial"/>
        </w:rPr>
        <w:t xml:space="preserve"> </w:t>
      </w:r>
      <w:r w:rsidRPr="008D7DBA">
        <w:rPr>
          <w:rFonts w:ascii="Arial" w:hAnsi="Arial" w:cs="Arial"/>
        </w:rPr>
        <w:t>=</w:t>
      </w:r>
      <w:r w:rsidR="000738C4" w:rsidRPr="008D7DBA">
        <w:rPr>
          <w:rFonts w:ascii="Arial" w:hAnsi="Arial" w:cs="Arial"/>
        </w:rPr>
        <w:t xml:space="preserve"> </w:t>
      </w:r>
      <w:r w:rsidRPr="008D7DBA">
        <w:rPr>
          <w:rFonts w:ascii="Arial" w:hAnsi="Arial" w:cs="Arial"/>
        </w:rPr>
        <w:t>Inventory Days</w:t>
      </w:r>
      <w:r w:rsidR="0095452D" w:rsidRPr="008D7DBA">
        <w:rPr>
          <w:rFonts w:ascii="Arial" w:hAnsi="Arial" w:cs="Arial"/>
        </w:rPr>
        <w:t xml:space="preserve"> </w:t>
      </w:r>
      <w:r w:rsidR="000738C4" w:rsidRPr="008D7DBA">
        <w:rPr>
          <w:rFonts w:ascii="Arial" w:hAnsi="Arial" w:cs="Arial"/>
        </w:rPr>
        <w:t xml:space="preserve">+ </w:t>
      </w:r>
      <w:r w:rsidRPr="008D7DBA">
        <w:rPr>
          <w:rFonts w:ascii="Arial" w:hAnsi="Arial" w:cs="Arial"/>
        </w:rPr>
        <w:t>Receivables Days−Payables Days</w:t>
      </w:r>
    </w:p>
    <w:p w14:paraId="14D00532" w14:textId="529C2F25" w:rsidR="0082692D" w:rsidRPr="008D7DBA" w:rsidRDefault="0082692D" w:rsidP="0082692D">
      <w:pPr>
        <w:rPr>
          <w:rFonts w:ascii="Arial" w:hAnsi="Arial" w:cs="Arial"/>
        </w:rPr>
      </w:pPr>
      <w:r w:rsidRPr="008D7DBA">
        <w:rPr>
          <w:rFonts w:ascii="Arial" w:hAnsi="Arial" w:cs="Arial"/>
        </w:rPr>
        <w:t xml:space="preserve">The Inventory Turnover ratio provides information on how the </w:t>
      </w:r>
      <w:r w:rsidR="0095452D" w:rsidRPr="008D7DBA">
        <w:rPr>
          <w:rFonts w:ascii="Arial" w:hAnsi="Arial" w:cs="Arial"/>
        </w:rPr>
        <w:t>company</w:t>
      </w:r>
      <w:r w:rsidRPr="008D7DBA">
        <w:rPr>
          <w:rFonts w:ascii="Arial" w:hAnsi="Arial" w:cs="Arial"/>
        </w:rPr>
        <w:t xml:space="preserve"> utili</w:t>
      </w:r>
      <w:r w:rsidR="0095452D" w:rsidRPr="008D7DBA">
        <w:rPr>
          <w:rFonts w:ascii="Arial" w:hAnsi="Arial" w:cs="Arial"/>
        </w:rPr>
        <w:t>s</w:t>
      </w:r>
      <w:r w:rsidRPr="008D7DBA">
        <w:rPr>
          <w:rFonts w:ascii="Arial" w:hAnsi="Arial" w:cs="Arial"/>
        </w:rPr>
        <w:t xml:space="preserve">es the range of events regarding the company selling and replacing its inventory </w:t>
      </w:r>
      <w:r w:rsidR="0095452D" w:rsidRPr="008D7DBA">
        <w:rPr>
          <w:rFonts w:ascii="Arial" w:hAnsi="Arial" w:cs="Arial"/>
        </w:rPr>
        <w:t>yearly</w:t>
      </w:r>
      <w:r w:rsidRPr="008D7DBA">
        <w:rPr>
          <w:rFonts w:ascii="Arial" w:hAnsi="Arial" w:cs="Arial"/>
        </w:rPr>
        <w:t>. The Inventory Turnover ratio of General Electronics has decreas</w:t>
      </w:r>
      <w:r w:rsidR="0095452D" w:rsidRPr="008D7DBA">
        <w:rPr>
          <w:rFonts w:ascii="Arial" w:hAnsi="Arial" w:cs="Arial"/>
        </w:rPr>
        <w:t>ed</w:t>
      </w:r>
      <w:r w:rsidRPr="008D7DBA">
        <w:rPr>
          <w:rFonts w:ascii="Arial" w:hAnsi="Arial" w:cs="Arial"/>
        </w:rPr>
        <w:t xml:space="preserve">, but </w:t>
      </w:r>
      <w:r w:rsidR="0095452D" w:rsidRPr="008D7DBA">
        <w:rPr>
          <w:rFonts w:ascii="Arial" w:hAnsi="Arial" w:cs="Arial"/>
        </w:rPr>
        <w:t>it is still</w:t>
      </w:r>
      <w:r w:rsidRPr="008D7DBA">
        <w:rPr>
          <w:rFonts w:ascii="Arial" w:hAnsi="Arial" w:cs="Arial"/>
        </w:rPr>
        <w:t xml:space="preserve"> high in the year 2024 </w:t>
      </w:r>
      <w:r w:rsidR="0095452D" w:rsidRPr="008D7DBA">
        <w:rPr>
          <w:rFonts w:ascii="Arial" w:hAnsi="Arial" w:cs="Arial"/>
        </w:rPr>
        <w:t>at</w:t>
      </w:r>
      <w:r w:rsidRPr="008D7DBA">
        <w:rPr>
          <w:rFonts w:ascii="Arial" w:hAnsi="Arial" w:cs="Arial"/>
        </w:rPr>
        <w:t xml:space="preserve"> 3.35 compared to 3.64 in 2020. It is an indication that the company is moving at a lower rate of inventory</w:t>
      </w:r>
      <w:r w:rsidR="0095452D" w:rsidRPr="008D7DBA">
        <w:rPr>
          <w:rFonts w:ascii="Arial" w:hAnsi="Arial" w:cs="Arial"/>
        </w:rPr>
        <w:t>,</w:t>
      </w:r>
      <w:r w:rsidRPr="008D7DBA">
        <w:rPr>
          <w:rFonts w:ascii="Arial" w:hAnsi="Arial" w:cs="Arial"/>
        </w:rPr>
        <w:t xml:space="preserve"> which will result in stock holding in their possession that can be utili</w:t>
      </w:r>
      <w:r w:rsidR="0095452D" w:rsidRPr="008D7DBA">
        <w:rPr>
          <w:rFonts w:ascii="Arial" w:hAnsi="Arial" w:cs="Arial"/>
        </w:rPr>
        <w:t>s</w:t>
      </w:r>
      <w:r w:rsidRPr="008D7DBA">
        <w:rPr>
          <w:rFonts w:ascii="Arial" w:hAnsi="Arial" w:cs="Arial"/>
        </w:rPr>
        <w:t>ed more effectively</w:t>
      </w:r>
      <w:r w:rsidR="0058089E" w:rsidRPr="008D7DBA">
        <w:rPr>
          <w:rFonts w:ascii="Arial" w:hAnsi="Arial" w:cs="Arial"/>
        </w:rPr>
        <w:t xml:space="preserve"> </w:t>
      </w:r>
      <w:r w:rsidR="0058089E" w:rsidRPr="008D7DBA">
        <w:rPr>
          <w:rFonts w:ascii="Arial" w:hAnsi="Arial" w:cs="Arial"/>
          <w:shd w:val="clear" w:color="auto" w:fill="FFFFFF"/>
        </w:rPr>
        <w:t>(Singh et al., 2017)</w:t>
      </w:r>
      <w:r w:rsidRPr="008D7DBA">
        <w:rPr>
          <w:rFonts w:ascii="Arial" w:hAnsi="Arial" w:cs="Arial"/>
        </w:rPr>
        <w:t>. The company is also improving in the Receivable Turnover ratio</w:t>
      </w:r>
      <w:r w:rsidR="0095452D" w:rsidRPr="008D7DBA">
        <w:rPr>
          <w:rFonts w:ascii="Arial" w:hAnsi="Arial" w:cs="Arial"/>
        </w:rPr>
        <w:t>,</w:t>
      </w:r>
      <w:r w:rsidRPr="008D7DBA">
        <w:rPr>
          <w:rFonts w:ascii="Arial" w:hAnsi="Arial" w:cs="Arial"/>
        </w:rPr>
        <w:t xml:space="preserve"> which was at 4.75 in 2020 but </w:t>
      </w:r>
      <w:r w:rsidR="0095452D" w:rsidRPr="008D7DBA">
        <w:rPr>
          <w:rFonts w:ascii="Arial" w:hAnsi="Arial" w:cs="Arial"/>
        </w:rPr>
        <w:t>is now</w:t>
      </w:r>
      <w:r w:rsidRPr="008D7DBA">
        <w:rPr>
          <w:rFonts w:ascii="Arial" w:hAnsi="Arial" w:cs="Arial"/>
        </w:rPr>
        <w:t xml:space="preserve"> at 3.48 in 2024, which shows that the company is making efforts to collect higher payments.</w:t>
      </w:r>
    </w:p>
    <w:p w14:paraId="2043A105" w14:textId="1866FDE5" w:rsidR="0082692D" w:rsidRPr="008D7DBA" w:rsidRDefault="0082692D" w:rsidP="0082692D">
      <w:pPr>
        <w:rPr>
          <w:rFonts w:ascii="Arial" w:hAnsi="Arial" w:cs="Arial"/>
        </w:rPr>
      </w:pPr>
      <w:r w:rsidRPr="008D7DBA">
        <w:rPr>
          <w:rFonts w:ascii="Arial" w:hAnsi="Arial" w:cs="Arial"/>
        </w:rPr>
        <w:t>Both these ratios indicate that the working capital is being mismanaged</w:t>
      </w:r>
      <w:r w:rsidR="0095452D" w:rsidRPr="008D7DBA">
        <w:rPr>
          <w:rFonts w:ascii="Arial" w:hAnsi="Arial" w:cs="Arial"/>
        </w:rPr>
        <w:t>,</w:t>
      </w:r>
      <w:r w:rsidRPr="008D7DBA">
        <w:rPr>
          <w:rFonts w:ascii="Arial" w:hAnsi="Arial" w:cs="Arial"/>
        </w:rPr>
        <w:t xml:space="preserve"> and in effect, this raises the operating cycle of the cash. A longer cycle would indicate that General Electronics is taking a longer time to liquidate investments</w:t>
      </w:r>
      <w:r w:rsidR="0095452D" w:rsidRPr="008D7DBA">
        <w:rPr>
          <w:rFonts w:ascii="Arial" w:hAnsi="Arial" w:cs="Arial"/>
        </w:rPr>
        <w:t>,</w:t>
      </w:r>
      <w:r w:rsidRPr="008D7DBA">
        <w:rPr>
          <w:rFonts w:ascii="Arial" w:hAnsi="Arial" w:cs="Arial"/>
        </w:rPr>
        <w:t xml:space="preserve"> and as such, it might face the problem of liquidity. The company is failing to achieve efficient conversion of its current assets into cash or revenue</w:t>
      </w:r>
      <w:r w:rsidR="0095452D" w:rsidRPr="008D7DBA">
        <w:rPr>
          <w:rFonts w:ascii="Arial" w:hAnsi="Arial" w:cs="Arial"/>
        </w:rPr>
        <w:t>,</w:t>
      </w:r>
      <w:r w:rsidRPr="008D7DBA">
        <w:rPr>
          <w:rFonts w:ascii="Arial" w:hAnsi="Arial" w:cs="Arial"/>
        </w:rPr>
        <w:t xml:space="preserve"> and this puts pressure on its ability to settle short</w:t>
      </w:r>
      <w:r w:rsidR="0095452D" w:rsidRPr="008D7DBA">
        <w:rPr>
          <w:rFonts w:ascii="Arial" w:hAnsi="Arial" w:cs="Arial"/>
        </w:rPr>
        <w:t>-</w:t>
      </w:r>
      <w:r w:rsidRPr="008D7DBA">
        <w:rPr>
          <w:rFonts w:ascii="Arial" w:hAnsi="Arial" w:cs="Arial"/>
        </w:rPr>
        <w:t>term liabilities.</w:t>
      </w:r>
    </w:p>
    <w:p w14:paraId="4F9EA372" w14:textId="565A0B92" w:rsidR="0082692D" w:rsidRPr="008D7DBA" w:rsidRDefault="0071222E" w:rsidP="000738C4">
      <w:pPr>
        <w:pStyle w:val="Heading2"/>
        <w:rPr>
          <w:rFonts w:ascii="Arial" w:hAnsi="Arial" w:cs="Arial"/>
        </w:rPr>
      </w:pPr>
      <w:bookmarkStart w:id="21" w:name="_Toc216380883"/>
      <w:r w:rsidRPr="008D7DBA">
        <w:rPr>
          <w:rFonts w:ascii="Arial" w:hAnsi="Arial" w:cs="Arial"/>
        </w:rPr>
        <w:t xml:space="preserve">3.2 </w:t>
      </w:r>
      <w:r w:rsidR="0082692D" w:rsidRPr="008D7DBA">
        <w:rPr>
          <w:rFonts w:ascii="Arial" w:hAnsi="Arial" w:cs="Arial"/>
        </w:rPr>
        <w:t>Plan to Enhance Liquidity using Reforms to the Working Capital</w:t>
      </w:r>
      <w:r w:rsidR="0095452D" w:rsidRPr="008D7DBA">
        <w:rPr>
          <w:rFonts w:ascii="Arial" w:hAnsi="Arial" w:cs="Arial"/>
        </w:rPr>
        <w:t>.</w:t>
      </w:r>
      <w:bookmarkEnd w:id="21"/>
    </w:p>
    <w:p w14:paraId="23E28DF8" w14:textId="277E80BB" w:rsidR="0082692D" w:rsidRPr="008D7DBA" w:rsidRDefault="0082692D" w:rsidP="0082692D">
      <w:pPr>
        <w:rPr>
          <w:rFonts w:ascii="Arial" w:hAnsi="Arial" w:cs="Arial"/>
        </w:rPr>
      </w:pPr>
      <w:r w:rsidRPr="008D7DBA">
        <w:rPr>
          <w:rFonts w:ascii="Arial" w:hAnsi="Arial" w:cs="Arial"/>
        </w:rPr>
        <w:t xml:space="preserve">Since the liquidity is in its present condition, General Electronics can implement </w:t>
      </w:r>
      <w:r w:rsidR="0095452D" w:rsidRPr="008D7DBA">
        <w:rPr>
          <w:rFonts w:ascii="Arial" w:hAnsi="Arial" w:cs="Arial"/>
        </w:rPr>
        <w:t>some</w:t>
      </w:r>
      <w:r w:rsidRPr="008D7DBA">
        <w:rPr>
          <w:rFonts w:ascii="Arial" w:hAnsi="Arial" w:cs="Arial"/>
        </w:rPr>
        <w:t xml:space="preserve"> strategies to better manage its working capital and to improve its liquidity position:</w:t>
      </w:r>
    </w:p>
    <w:p w14:paraId="715A643F" w14:textId="145AB159" w:rsidR="0082692D" w:rsidRPr="008D7DBA" w:rsidRDefault="0082692D" w:rsidP="0082692D">
      <w:pPr>
        <w:rPr>
          <w:rFonts w:ascii="Arial" w:hAnsi="Arial" w:cs="Arial"/>
        </w:rPr>
      </w:pPr>
      <w:r w:rsidRPr="008D7DBA">
        <w:rPr>
          <w:rFonts w:ascii="Arial" w:hAnsi="Arial" w:cs="Arial"/>
          <w:b/>
          <w:bCs/>
          <w:i/>
          <w:iCs/>
        </w:rPr>
        <w:t>Inventory Management Optimi</w:t>
      </w:r>
      <w:r w:rsidR="0095452D" w:rsidRPr="008D7DBA">
        <w:rPr>
          <w:rFonts w:ascii="Arial" w:hAnsi="Arial" w:cs="Arial"/>
          <w:b/>
          <w:bCs/>
          <w:i/>
          <w:iCs/>
        </w:rPr>
        <w:t>s</w:t>
      </w:r>
      <w:r w:rsidRPr="008D7DBA">
        <w:rPr>
          <w:rFonts w:ascii="Arial" w:hAnsi="Arial" w:cs="Arial"/>
          <w:b/>
          <w:bCs/>
          <w:i/>
          <w:iCs/>
        </w:rPr>
        <w:t>ation</w:t>
      </w:r>
      <w:r w:rsidR="000738C4" w:rsidRPr="008D7DBA">
        <w:rPr>
          <w:rFonts w:ascii="Arial" w:hAnsi="Arial" w:cs="Arial"/>
          <w:b/>
          <w:bCs/>
          <w:i/>
          <w:iCs/>
        </w:rPr>
        <w:t>:</w:t>
      </w:r>
      <w:r w:rsidR="000738C4" w:rsidRPr="008D7DBA">
        <w:rPr>
          <w:rFonts w:ascii="Arial" w:hAnsi="Arial" w:cs="Arial"/>
        </w:rPr>
        <w:t xml:space="preserve"> </w:t>
      </w:r>
      <w:r w:rsidRPr="008D7DBA">
        <w:rPr>
          <w:rFonts w:ascii="Arial" w:hAnsi="Arial" w:cs="Arial"/>
        </w:rPr>
        <w:t>The decreasing Inventory Turnover ratio implies that there is slowness in the movement of inventory. Too much inventory is a waste of cash, more storage is required</w:t>
      </w:r>
      <w:r w:rsidR="0095452D" w:rsidRPr="008D7DBA">
        <w:rPr>
          <w:rFonts w:ascii="Arial" w:hAnsi="Arial" w:cs="Arial"/>
        </w:rPr>
        <w:t>,</w:t>
      </w:r>
      <w:r w:rsidRPr="008D7DBA">
        <w:rPr>
          <w:rFonts w:ascii="Arial" w:hAnsi="Arial" w:cs="Arial"/>
        </w:rPr>
        <w:t xml:space="preserve"> and there is a risk of potential</w:t>
      </w:r>
      <w:r w:rsidR="0095452D" w:rsidRPr="008D7DBA">
        <w:rPr>
          <w:rFonts w:ascii="Arial" w:hAnsi="Arial" w:cs="Arial"/>
        </w:rPr>
        <w:t>ly</w:t>
      </w:r>
      <w:r w:rsidRPr="008D7DBA">
        <w:rPr>
          <w:rFonts w:ascii="Arial" w:hAnsi="Arial" w:cs="Arial"/>
        </w:rPr>
        <w:t xml:space="preserve"> obsolete products. General Electronics should:</w:t>
      </w:r>
    </w:p>
    <w:p w14:paraId="1E203CA9" w14:textId="00B60105" w:rsidR="0082692D" w:rsidRPr="008D7DBA" w:rsidRDefault="0082692D" w:rsidP="000738C4">
      <w:pPr>
        <w:pStyle w:val="ListParagraph"/>
        <w:numPr>
          <w:ilvl w:val="0"/>
          <w:numId w:val="4"/>
        </w:numPr>
        <w:rPr>
          <w:rFonts w:ascii="Arial" w:hAnsi="Arial" w:cs="Arial"/>
        </w:rPr>
      </w:pPr>
      <w:r w:rsidRPr="008D7DBA">
        <w:rPr>
          <w:rFonts w:ascii="Arial" w:hAnsi="Arial" w:cs="Arial"/>
        </w:rPr>
        <w:t>Introduce Just-in-Time (JIT) inventory systems: Just-in-time containers can be employed to curb the wasteful inventory through synchroni</w:t>
      </w:r>
      <w:r w:rsidR="0095452D" w:rsidRPr="008D7DBA">
        <w:rPr>
          <w:rFonts w:ascii="Arial" w:hAnsi="Arial" w:cs="Arial"/>
        </w:rPr>
        <w:t>s</w:t>
      </w:r>
      <w:r w:rsidRPr="008D7DBA">
        <w:rPr>
          <w:rFonts w:ascii="Arial" w:hAnsi="Arial" w:cs="Arial"/>
        </w:rPr>
        <w:t>ation of production and demand, lower quantities of stock and lower storage expenditure</w:t>
      </w:r>
      <w:r w:rsidR="0058089E" w:rsidRPr="008D7DBA">
        <w:rPr>
          <w:rFonts w:ascii="Arial" w:hAnsi="Arial" w:cs="Arial"/>
        </w:rPr>
        <w:t xml:space="preserve"> </w:t>
      </w:r>
      <w:r w:rsidR="0058089E" w:rsidRPr="008D7DBA">
        <w:rPr>
          <w:rFonts w:ascii="Arial" w:hAnsi="Arial" w:cs="Arial"/>
          <w:shd w:val="clear" w:color="auto" w:fill="FFFFFF"/>
        </w:rPr>
        <w:t>(Singh et al., 2017)</w:t>
      </w:r>
      <w:r w:rsidRPr="008D7DBA">
        <w:rPr>
          <w:rFonts w:ascii="Arial" w:hAnsi="Arial" w:cs="Arial"/>
        </w:rPr>
        <w:t>.</w:t>
      </w:r>
    </w:p>
    <w:p w14:paraId="565D9116" w14:textId="501B14EF" w:rsidR="0082692D" w:rsidRPr="008D7DBA" w:rsidRDefault="0082692D" w:rsidP="000738C4">
      <w:pPr>
        <w:pStyle w:val="ListParagraph"/>
        <w:numPr>
          <w:ilvl w:val="0"/>
          <w:numId w:val="4"/>
        </w:numPr>
        <w:rPr>
          <w:rFonts w:ascii="Arial" w:hAnsi="Arial" w:cs="Arial"/>
        </w:rPr>
      </w:pPr>
      <w:r w:rsidRPr="008D7DBA">
        <w:rPr>
          <w:rFonts w:ascii="Arial" w:hAnsi="Arial" w:cs="Arial"/>
        </w:rPr>
        <w:t>Excel demand forecasting: The company should refine the accuracy of demand forecasts to enable the company to be in accordance with the real production and production to actual demand</w:t>
      </w:r>
      <w:r w:rsidR="0095452D" w:rsidRPr="008D7DBA">
        <w:rPr>
          <w:rFonts w:ascii="Arial" w:hAnsi="Arial" w:cs="Arial"/>
        </w:rPr>
        <w:t>,</w:t>
      </w:r>
      <w:r w:rsidRPr="008D7DBA">
        <w:rPr>
          <w:rFonts w:ascii="Arial" w:hAnsi="Arial" w:cs="Arial"/>
        </w:rPr>
        <w:t xml:space="preserve"> thereby minimi</w:t>
      </w:r>
      <w:r w:rsidR="0095452D" w:rsidRPr="008D7DBA">
        <w:rPr>
          <w:rFonts w:ascii="Arial" w:hAnsi="Arial" w:cs="Arial"/>
        </w:rPr>
        <w:t>s</w:t>
      </w:r>
      <w:r w:rsidRPr="008D7DBA">
        <w:rPr>
          <w:rFonts w:ascii="Arial" w:hAnsi="Arial" w:cs="Arial"/>
        </w:rPr>
        <w:t>ing the chances of overstocking.</w:t>
      </w:r>
    </w:p>
    <w:p w14:paraId="3FC996D4" w14:textId="52A6CE3A" w:rsidR="0082692D" w:rsidRPr="008D7DBA" w:rsidRDefault="000738C4" w:rsidP="0082692D">
      <w:pPr>
        <w:rPr>
          <w:rFonts w:ascii="Arial" w:hAnsi="Arial" w:cs="Arial"/>
        </w:rPr>
      </w:pPr>
      <w:r w:rsidRPr="008D7DBA">
        <w:rPr>
          <w:rFonts w:ascii="Arial" w:hAnsi="Arial" w:cs="Arial"/>
          <w:b/>
          <w:bCs/>
          <w:i/>
          <w:iCs/>
        </w:rPr>
        <w:lastRenderedPageBreak/>
        <w:t>Negotiating Better Payables Terms:</w:t>
      </w:r>
      <w:r w:rsidRPr="008D7DBA">
        <w:rPr>
          <w:rFonts w:ascii="Arial" w:hAnsi="Arial" w:cs="Arial"/>
        </w:rPr>
        <w:t xml:space="preserve"> </w:t>
      </w:r>
      <w:r w:rsidR="0082692D" w:rsidRPr="008D7DBA">
        <w:rPr>
          <w:rFonts w:ascii="Arial" w:hAnsi="Arial" w:cs="Arial"/>
        </w:rPr>
        <w:t xml:space="preserve">Even though General Electronics is geared towards enhancement of its receivables, it </w:t>
      </w:r>
      <w:r w:rsidR="009D511F" w:rsidRPr="008D7DBA">
        <w:rPr>
          <w:rFonts w:ascii="Arial" w:hAnsi="Arial" w:cs="Arial"/>
        </w:rPr>
        <w:t>must</w:t>
      </w:r>
      <w:r w:rsidR="0082692D" w:rsidRPr="008D7DBA">
        <w:rPr>
          <w:rFonts w:ascii="Arial" w:hAnsi="Arial" w:cs="Arial"/>
        </w:rPr>
        <w:t xml:space="preserve"> maintain its own Accounts Payable efficiently as well</w:t>
      </w:r>
      <w:r w:rsidR="0058089E" w:rsidRPr="008D7DBA">
        <w:rPr>
          <w:rFonts w:ascii="Arial" w:hAnsi="Arial" w:cs="Arial"/>
        </w:rPr>
        <w:t xml:space="preserve"> </w:t>
      </w:r>
      <w:r w:rsidR="0058089E" w:rsidRPr="008D7DBA">
        <w:rPr>
          <w:rFonts w:ascii="Arial" w:hAnsi="Arial" w:cs="Arial"/>
          <w:shd w:val="clear" w:color="auto" w:fill="FFFFFF"/>
        </w:rPr>
        <w:t>(Prasad et al., 2019)</w:t>
      </w:r>
      <w:r w:rsidR="0082692D" w:rsidRPr="008D7DBA">
        <w:rPr>
          <w:rFonts w:ascii="Arial" w:hAnsi="Arial" w:cs="Arial"/>
        </w:rPr>
        <w:t>. Prolonging the payment dates to suppliers will provide more time to the company to retain cash and improve liquidity. Key strategies include:</w:t>
      </w:r>
    </w:p>
    <w:p w14:paraId="6ECFF8BA" w14:textId="07C2B725" w:rsidR="0082692D" w:rsidRPr="008D7DBA" w:rsidRDefault="0082692D" w:rsidP="000738C4">
      <w:pPr>
        <w:pStyle w:val="ListParagraph"/>
        <w:numPr>
          <w:ilvl w:val="0"/>
          <w:numId w:val="5"/>
        </w:numPr>
        <w:rPr>
          <w:rFonts w:ascii="Arial" w:hAnsi="Arial" w:cs="Arial"/>
        </w:rPr>
      </w:pPr>
      <w:r w:rsidRPr="008D7DBA">
        <w:rPr>
          <w:rFonts w:ascii="Arial" w:hAnsi="Arial" w:cs="Arial"/>
        </w:rPr>
        <w:t>Exchanging extended terms of payment: This would provide the company with extra space to clear its accounts payable</w:t>
      </w:r>
      <w:r w:rsidR="0095452D" w:rsidRPr="008D7DBA">
        <w:rPr>
          <w:rFonts w:ascii="Arial" w:hAnsi="Arial" w:cs="Arial"/>
        </w:rPr>
        <w:t>,</w:t>
      </w:r>
      <w:r w:rsidRPr="008D7DBA">
        <w:rPr>
          <w:rFonts w:ascii="Arial" w:hAnsi="Arial" w:cs="Arial"/>
        </w:rPr>
        <w:t xml:space="preserve"> thus enhancing </w:t>
      </w:r>
      <w:r w:rsidR="0095452D" w:rsidRPr="008D7DBA">
        <w:rPr>
          <w:rFonts w:ascii="Arial" w:hAnsi="Arial" w:cs="Arial"/>
        </w:rPr>
        <w:t xml:space="preserve">the </w:t>
      </w:r>
      <w:r w:rsidRPr="008D7DBA">
        <w:rPr>
          <w:rFonts w:ascii="Arial" w:hAnsi="Arial" w:cs="Arial"/>
        </w:rPr>
        <w:t>cash operating cycle.</w:t>
      </w:r>
    </w:p>
    <w:p w14:paraId="7485635C" w14:textId="3D2FC341" w:rsidR="0082692D" w:rsidRPr="008D7DBA" w:rsidRDefault="0082692D" w:rsidP="0082692D">
      <w:pPr>
        <w:rPr>
          <w:rFonts w:ascii="Arial" w:hAnsi="Arial" w:cs="Arial"/>
        </w:rPr>
      </w:pPr>
      <w:r w:rsidRPr="008D7DBA">
        <w:rPr>
          <w:rFonts w:ascii="Arial" w:hAnsi="Arial" w:cs="Arial"/>
          <w:b/>
          <w:bCs/>
          <w:i/>
          <w:iCs/>
        </w:rPr>
        <w:t>Cash Financial Investigations and Searching</w:t>
      </w:r>
      <w:r w:rsidR="000738C4" w:rsidRPr="008D7DBA">
        <w:rPr>
          <w:rFonts w:ascii="Arial" w:hAnsi="Arial" w:cs="Arial"/>
          <w:b/>
          <w:bCs/>
          <w:i/>
          <w:iCs/>
        </w:rPr>
        <w:t>:</w:t>
      </w:r>
      <w:r w:rsidR="000738C4" w:rsidRPr="008D7DBA">
        <w:rPr>
          <w:rFonts w:ascii="Arial" w:hAnsi="Arial" w:cs="Arial"/>
        </w:rPr>
        <w:t xml:space="preserve"> </w:t>
      </w:r>
      <w:r w:rsidRPr="008D7DBA">
        <w:rPr>
          <w:rFonts w:ascii="Arial" w:hAnsi="Arial" w:cs="Arial"/>
        </w:rPr>
        <w:t>Cash flow forecasting on a regular basis can assist General Electronics to be able to anticipate liquidity constraints and device how to finance its operations upfront</w:t>
      </w:r>
      <w:r w:rsidR="0058089E" w:rsidRPr="008D7DBA">
        <w:rPr>
          <w:rFonts w:ascii="Arial" w:hAnsi="Arial" w:cs="Arial"/>
        </w:rPr>
        <w:t xml:space="preserve"> </w:t>
      </w:r>
      <w:r w:rsidR="0058089E" w:rsidRPr="008D7DBA">
        <w:rPr>
          <w:rFonts w:ascii="Arial" w:hAnsi="Arial" w:cs="Arial"/>
          <w:shd w:val="clear" w:color="auto" w:fill="FFFFFF"/>
        </w:rPr>
        <w:t>(Boisjoly et al., 2020)</w:t>
      </w:r>
      <w:r w:rsidRPr="008D7DBA">
        <w:rPr>
          <w:rFonts w:ascii="Arial" w:hAnsi="Arial" w:cs="Arial"/>
        </w:rPr>
        <w:t>. The stringent management of cash flows</w:t>
      </w:r>
      <w:r w:rsidR="0095452D" w:rsidRPr="008D7DBA">
        <w:rPr>
          <w:rFonts w:ascii="Arial" w:hAnsi="Arial" w:cs="Arial"/>
        </w:rPr>
        <w:t>,</w:t>
      </w:r>
      <w:r w:rsidRPr="008D7DBA">
        <w:rPr>
          <w:rFonts w:ascii="Arial" w:hAnsi="Arial" w:cs="Arial"/>
        </w:rPr>
        <w:t xml:space="preserve"> together with close attention to the working parts of the cash flows</w:t>
      </w:r>
      <w:r w:rsidR="0095452D" w:rsidRPr="008D7DBA">
        <w:rPr>
          <w:rFonts w:ascii="Arial" w:hAnsi="Arial" w:cs="Arial"/>
        </w:rPr>
        <w:t>,</w:t>
      </w:r>
      <w:r w:rsidRPr="008D7DBA">
        <w:rPr>
          <w:rFonts w:ascii="Arial" w:hAnsi="Arial" w:cs="Arial"/>
        </w:rPr>
        <w:t xml:space="preserve"> will enable the firm to </w:t>
      </w:r>
      <w:r w:rsidR="0095452D" w:rsidRPr="008D7DBA">
        <w:rPr>
          <w:rFonts w:ascii="Arial" w:hAnsi="Arial" w:cs="Arial"/>
        </w:rPr>
        <w:t>t</w:t>
      </w:r>
      <w:r w:rsidRPr="008D7DBA">
        <w:rPr>
          <w:rFonts w:ascii="Arial" w:hAnsi="Arial" w:cs="Arial"/>
        </w:rPr>
        <w:t>ake corrective measures prior to the occurrence of cash flow problems.</w:t>
      </w:r>
    </w:p>
    <w:p w14:paraId="3FBE805C" w14:textId="51FA1678" w:rsidR="0082692D" w:rsidRPr="008D7DBA" w:rsidRDefault="0071222E" w:rsidP="000738C4">
      <w:pPr>
        <w:pStyle w:val="Heading2"/>
        <w:rPr>
          <w:rFonts w:ascii="Arial" w:hAnsi="Arial" w:cs="Arial"/>
        </w:rPr>
      </w:pPr>
      <w:bookmarkStart w:id="22" w:name="_Toc216380884"/>
      <w:r w:rsidRPr="008D7DBA">
        <w:rPr>
          <w:rFonts w:ascii="Arial" w:hAnsi="Arial" w:cs="Arial"/>
        </w:rPr>
        <w:t xml:space="preserve">3.3 </w:t>
      </w:r>
      <w:r w:rsidR="000738C4" w:rsidRPr="008D7DBA">
        <w:rPr>
          <w:rFonts w:ascii="Arial" w:hAnsi="Arial" w:cs="Arial"/>
        </w:rPr>
        <w:t xml:space="preserve">Short-Term vs Long-Term Financing </w:t>
      </w:r>
      <w:r w:rsidR="0095452D" w:rsidRPr="008D7DBA">
        <w:rPr>
          <w:rFonts w:ascii="Arial" w:hAnsi="Arial" w:cs="Arial"/>
        </w:rPr>
        <w:t>C</w:t>
      </w:r>
      <w:r w:rsidR="000738C4" w:rsidRPr="008D7DBA">
        <w:rPr>
          <w:rFonts w:ascii="Arial" w:hAnsi="Arial" w:cs="Arial"/>
        </w:rPr>
        <w:t>omparison</w:t>
      </w:r>
      <w:bookmarkEnd w:id="22"/>
    </w:p>
    <w:p w14:paraId="196D2E7D" w14:textId="4FC24FB6" w:rsidR="0082692D" w:rsidRPr="008D7DBA" w:rsidRDefault="0082692D" w:rsidP="0082692D">
      <w:pPr>
        <w:rPr>
          <w:rFonts w:ascii="Arial" w:hAnsi="Arial" w:cs="Arial"/>
        </w:rPr>
      </w:pPr>
      <w:r w:rsidRPr="008D7DBA">
        <w:rPr>
          <w:rFonts w:ascii="Arial" w:hAnsi="Arial" w:cs="Arial"/>
        </w:rPr>
        <w:t>General Electronics is already experiencing liquidity due to the deteriorating Operating Cash Flow Ratio and Cash Flow to Debt Ratio, both of which have been decreasing, and are low</w:t>
      </w:r>
      <w:r w:rsidR="0058089E" w:rsidRPr="008D7DBA">
        <w:rPr>
          <w:rFonts w:ascii="Arial" w:hAnsi="Arial" w:cs="Arial"/>
        </w:rPr>
        <w:t xml:space="preserve"> </w:t>
      </w:r>
      <w:r w:rsidR="0058089E" w:rsidRPr="008D7DBA">
        <w:rPr>
          <w:rFonts w:ascii="Arial" w:hAnsi="Arial" w:cs="Arial"/>
          <w:shd w:val="clear" w:color="auto" w:fill="FFFFFF"/>
        </w:rPr>
        <w:t>(Boisjoly et al., 2020)</w:t>
      </w:r>
      <w:r w:rsidRPr="008D7DBA">
        <w:rPr>
          <w:rFonts w:ascii="Arial" w:hAnsi="Arial" w:cs="Arial"/>
        </w:rPr>
        <w:t>. The company needs to give serious consideration to its financing methods so that it meets its financial requirements.</w:t>
      </w:r>
    </w:p>
    <w:p w14:paraId="04ED3B02" w14:textId="254A1320" w:rsidR="0082692D" w:rsidRPr="008D7DBA" w:rsidRDefault="0082692D" w:rsidP="0082692D">
      <w:pPr>
        <w:rPr>
          <w:rFonts w:ascii="Arial" w:hAnsi="Arial" w:cs="Arial"/>
          <w:b/>
          <w:bCs/>
          <w:i/>
          <w:iCs/>
        </w:rPr>
      </w:pPr>
      <w:r w:rsidRPr="008D7DBA">
        <w:rPr>
          <w:rFonts w:ascii="Arial" w:hAnsi="Arial" w:cs="Arial"/>
          <w:b/>
          <w:bCs/>
          <w:i/>
          <w:iCs/>
        </w:rPr>
        <w:t>Short-Term Financing</w:t>
      </w:r>
    </w:p>
    <w:p w14:paraId="6709F3C1" w14:textId="0092FE17" w:rsidR="0082692D" w:rsidRPr="008D7DBA" w:rsidRDefault="0082692D" w:rsidP="0082692D">
      <w:pPr>
        <w:rPr>
          <w:rFonts w:ascii="Arial" w:hAnsi="Arial" w:cs="Arial"/>
        </w:rPr>
      </w:pPr>
      <w:r w:rsidRPr="008D7DBA">
        <w:rPr>
          <w:rFonts w:ascii="Arial" w:hAnsi="Arial" w:cs="Arial"/>
        </w:rPr>
        <w:t>Short</w:t>
      </w:r>
      <w:r w:rsidR="0095452D" w:rsidRPr="008D7DBA">
        <w:rPr>
          <w:rFonts w:ascii="Arial" w:hAnsi="Arial" w:cs="Arial"/>
        </w:rPr>
        <w:t>-</w:t>
      </w:r>
      <w:r w:rsidRPr="008D7DBA">
        <w:rPr>
          <w:rFonts w:ascii="Arial" w:hAnsi="Arial" w:cs="Arial"/>
        </w:rPr>
        <w:t>term financing products are generally utili</w:t>
      </w:r>
      <w:r w:rsidR="0095452D" w:rsidRPr="008D7DBA">
        <w:rPr>
          <w:rFonts w:ascii="Arial" w:hAnsi="Arial" w:cs="Arial"/>
        </w:rPr>
        <w:t>s</w:t>
      </w:r>
      <w:r w:rsidRPr="008D7DBA">
        <w:rPr>
          <w:rFonts w:ascii="Arial" w:hAnsi="Arial" w:cs="Arial"/>
        </w:rPr>
        <w:t>ed to deal with urgent needs of working capital. They are good in businesses that have short-term liquidity issues or cash flow over</w:t>
      </w:r>
      <w:r w:rsidR="0095452D" w:rsidRPr="008D7DBA">
        <w:rPr>
          <w:rFonts w:ascii="Arial" w:hAnsi="Arial" w:cs="Arial"/>
        </w:rPr>
        <w:t>matche</w:t>
      </w:r>
      <w:r w:rsidRPr="008D7DBA">
        <w:rPr>
          <w:rFonts w:ascii="Arial" w:hAnsi="Arial" w:cs="Arial"/>
        </w:rPr>
        <w:t>s. Some of the critical short-term options are:</w:t>
      </w:r>
    </w:p>
    <w:p w14:paraId="3DF46336" w14:textId="35530B79" w:rsidR="0082692D" w:rsidRPr="008D7DBA" w:rsidRDefault="0082692D" w:rsidP="0082692D">
      <w:pPr>
        <w:rPr>
          <w:rFonts w:ascii="Arial" w:hAnsi="Arial" w:cs="Arial"/>
        </w:rPr>
      </w:pPr>
      <w:r w:rsidRPr="008D7DBA">
        <w:rPr>
          <w:rFonts w:ascii="Arial" w:hAnsi="Arial" w:cs="Arial"/>
        </w:rPr>
        <w:t>Lines of Credit (LoC): This is another versatile element of financing</w:t>
      </w:r>
      <w:r w:rsidR="0095452D" w:rsidRPr="008D7DBA">
        <w:rPr>
          <w:rFonts w:ascii="Arial" w:hAnsi="Arial" w:cs="Arial"/>
        </w:rPr>
        <w:t>,</w:t>
      </w:r>
      <w:r w:rsidRPr="008D7DBA">
        <w:rPr>
          <w:rFonts w:ascii="Arial" w:hAnsi="Arial" w:cs="Arial"/>
        </w:rPr>
        <w:t xml:space="preserve"> which enables General Electronics to borrow in accordance with the requirement and offset short</w:t>
      </w:r>
      <w:r w:rsidR="0095452D" w:rsidRPr="008D7DBA">
        <w:rPr>
          <w:rFonts w:ascii="Arial" w:hAnsi="Arial" w:cs="Arial"/>
        </w:rPr>
        <w:t>-</w:t>
      </w:r>
      <w:r w:rsidRPr="008D7DBA">
        <w:rPr>
          <w:rFonts w:ascii="Arial" w:hAnsi="Arial" w:cs="Arial"/>
        </w:rPr>
        <w:t>term fluctuations in working capital</w:t>
      </w:r>
      <w:r w:rsidR="0058089E" w:rsidRPr="008D7DBA">
        <w:rPr>
          <w:rFonts w:ascii="Arial" w:hAnsi="Arial" w:cs="Arial"/>
        </w:rPr>
        <w:t xml:space="preserve"> </w:t>
      </w:r>
      <w:r w:rsidR="0058089E" w:rsidRPr="008D7DBA">
        <w:rPr>
          <w:rFonts w:ascii="Arial" w:hAnsi="Arial" w:cs="Arial"/>
          <w:shd w:val="clear" w:color="auto" w:fill="FFFFFF"/>
        </w:rPr>
        <w:t>(Prasad et al., 2019)</w:t>
      </w:r>
      <w:r w:rsidRPr="008D7DBA">
        <w:rPr>
          <w:rFonts w:ascii="Arial" w:hAnsi="Arial" w:cs="Arial"/>
        </w:rPr>
        <w:t>. A LoC would act as a safety net</w:t>
      </w:r>
      <w:r w:rsidR="0095452D" w:rsidRPr="008D7DBA">
        <w:rPr>
          <w:rFonts w:ascii="Arial" w:hAnsi="Arial" w:cs="Arial"/>
        </w:rPr>
        <w:t>,</w:t>
      </w:r>
      <w:r w:rsidRPr="008D7DBA">
        <w:rPr>
          <w:rFonts w:ascii="Arial" w:hAnsi="Arial" w:cs="Arial"/>
        </w:rPr>
        <w:t xml:space="preserve"> as the liquidity ratios would be reduced, meaning that the company would simply be able to fulfil the short-term liabilities without the necessity of selling its long-term assets.</w:t>
      </w:r>
    </w:p>
    <w:p w14:paraId="7BE04907" w14:textId="4E84930B" w:rsidR="0082692D" w:rsidRPr="008D7DBA" w:rsidRDefault="0082692D" w:rsidP="0082692D">
      <w:pPr>
        <w:rPr>
          <w:rFonts w:ascii="Arial" w:hAnsi="Arial" w:cs="Arial"/>
        </w:rPr>
      </w:pPr>
      <w:r w:rsidRPr="008D7DBA">
        <w:rPr>
          <w:rFonts w:ascii="Arial" w:hAnsi="Arial" w:cs="Arial"/>
        </w:rPr>
        <w:t>Trade Credit: This is also a way available so that the company can be able to pay at the end of the day while in the meantime to save its cash. Although this may enhance liquidity</w:t>
      </w:r>
      <w:r w:rsidR="0095452D" w:rsidRPr="008D7DBA">
        <w:rPr>
          <w:rFonts w:ascii="Arial" w:hAnsi="Arial" w:cs="Arial"/>
        </w:rPr>
        <w:t>,</w:t>
      </w:r>
      <w:r w:rsidRPr="008D7DBA">
        <w:rPr>
          <w:rFonts w:ascii="Arial" w:hAnsi="Arial" w:cs="Arial"/>
        </w:rPr>
        <w:t xml:space="preserve"> </w:t>
      </w:r>
      <w:r w:rsidRPr="008D7DBA">
        <w:rPr>
          <w:rFonts w:ascii="Arial" w:hAnsi="Arial" w:cs="Arial"/>
        </w:rPr>
        <w:lastRenderedPageBreak/>
        <w:t>it is important to balance it with supplier relations to prevent the latter straining of the partnership</w:t>
      </w:r>
      <w:r w:rsidR="0058089E" w:rsidRPr="008D7DBA">
        <w:rPr>
          <w:rFonts w:ascii="Arial" w:hAnsi="Arial" w:cs="Arial"/>
        </w:rPr>
        <w:t xml:space="preserve"> </w:t>
      </w:r>
      <w:r w:rsidR="0058089E" w:rsidRPr="008D7DBA">
        <w:rPr>
          <w:rFonts w:ascii="Arial" w:hAnsi="Arial" w:cs="Arial"/>
          <w:shd w:val="clear" w:color="auto" w:fill="FFFFFF"/>
        </w:rPr>
        <w:t>(Nguyen et al., 2020)</w:t>
      </w:r>
      <w:r w:rsidRPr="008D7DBA">
        <w:rPr>
          <w:rFonts w:ascii="Arial" w:hAnsi="Arial" w:cs="Arial"/>
        </w:rPr>
        <w:t>.</w:t>
      </w:r>
    </w:p>
    <w:p w14:paraId="53359323" w14:textId="19C7738B" w:rsidR="0082692D" w:rsidRPr="008D7DBA" w:rsidRDefault="0082692D" w:rsidP="0082692D">
      <w:pPr>
        <w:rPr>
          <w:rFonts w:ascii="Arial" w:hAnsi="Arial" w:cs="Arial"/>
        </w:rPr>
      </w:pPr>
      <w:r w:rsidRPr="008D7DBA">
        <w:rPr>
          <w:rFonts w:ascii="Arial" w:hAnsi="Arial" w:cs="Arial"/>
        </w:rPr>
        <w:t xml:space="preserve">Short-Term Loans: In the case the firm requires urgent finances, it may think of </w:t>
      </w:r>
      <w:r w:rsidR="0095452D" w:rsidRPr="008D7DBA">
        <w:rPr>
          <w:rFonts w:ascii="Arial" w:hAnsi="Arial" w:cs="Arial"/>
        </w:rPr>
        <w:t xml:space="preserve">a </w:t>
      </w:r>
      <w:r w:rsidRPr="008D7DBA">
        <w:rPr>
          <w:rFonts w:ascii="Arial" w:hAnsi="Arial" w:cs="Arial"/>
        </w:rPr>
        <w:t>short</w:t>
      </w:r>
      <w:r w:rsidR="0095452D" w:rsidRPr="008D7DBA">
        <w:rPr>
          <w:rFonts w:ascii="Arial" w:hAnsi="Arial" w:cs="Arial"/>
        </w:rPr>
        <w:t>-</w:t>
      </w:r>
      <w:r w:rsidRPr="008D7DBA">
        <w:rPr>
          <w:rFonts w:ascii="Arial" w:hAnsi="Arial" w:cs="Arial"/>
        </w:rPr>
        <w:t>term loan</w:t>
      </w:r>
      <w:r w:rsidR="0095452D" w:rsidRPr="008D7DBA">
        <w:rPr>
          <w:rFonts w:ascii="Arial" w:hAnsi="Arial" w:cs="Arial"/>
        </w:rPr>
        <w:t>,</w:t>
      </w:r>
      <w:r w:rsidRPr="008D7DBA">
        <w:rPr>
          <w:rFonts w:ascii="Arial" w:hAnsi="Arial" w:cs="Arial"/>
        </w:rPr>
        <w:t xml:space="preserve"> but this comes at the cost of interest</w:t>
      </w:r>
      <w:r w:rsidR="0058089E" w:rsidRPr="008D7DBA">
        <w:rPr>
          <w:rFonts w:ascii="Arial" w:hAnsi="Arial" w:cs="Arial"/>
        </w:rPr>
        <w:t xml:space="preserve"> </w:t>
      </w:r>
      <w:r w:rsidR="0058089E" w:rsidRPr="008D7DBA">
        <w:rPr>
          <w:rFonts w:ascii="Arial" w:hAnsi="Arial" w:cs="Arial"/>
          <w:shd w:val="clear" w:color="auto" w:fill="FFFFFF"/>
        </w:rPr>
        <w:t>(AGUILAR et al., 2019)</w:t>
      </w:r>
      <w:r w:rsidRPr="008D7DBA">
        <w:rPr>
          <w:rFonts w:ascii="Arial" w:hAnsi="Arial" w:cs="Arial"/>
        </w:rPr>
        <w:t>. This alternative may be feasible in case liquidity problems in the company are short</w:t>
      </w:r>
      <w:r w:rsidR="0095452D" w:rsidRPr="008D7DBA">
        <w:rPr>
          <w:rFonts w:ascii="Arial" w:hAnsi="Arial" w:cs="Arial"/>
        </w:rPr>
        <w:t>-</w:t>
      </w:r>
      <w:r w:rsidRPr="008D7DBA">
        <w:rPr>
          <w:rFonts w:ascii="Arial" w:hAnsi="Arial" w:cs="Arial"/>
        </w:rPr>
        <w:t>term.</w:t>
      </w:r>
    </w:p>
    <w:p w14:paraId="32B93B48" w14:textId="4A17C42D" w:rsidR="0082692D" w:rsidRPr="008D7DBA" w:rsidRDefault="0082692D" w:rsidP="0082692D">
      <w:pPr>
        <w:rPr>
          <w:rFonts w:ascii="Arial" w:hAnsi="Arial" w:cs="Arial"/>
          <w:b/>
          <w:bCs/>
          <w:i/>
          <w:iCs/>
        </w:rPr>
      </w:pPr>
      <w:r w:rsidRPr="008D7DBA">
        <w:rPr>
          <w:rFonts w:ascii="Arial" w:hAnsi="Arial" w:cs="Arial"/>
          <w:b/>
          <w:bCs/>
          <w:i/>
          <w:iCs/>
        </w:rPr>
        <w:t>Long-Term Financing</w:t>
      </w:r>
    </w:p>
    <w:p w14:paraId="0BA68D15" w14:textId="5E3D0834" w:rsidR="0082692D" w:rsidRPr="008D7DBA" w:rsidRDefault="0082692D" w:rsidP="0082692D">
      <w:pPr>
        <w:rPr>
          <w:rFonts w:ascii="Arial" w:hAnsi="Arial" w:cs="Arial"/>
        </w:rPr>
      </w:pPr>
      <w:r w:rsidRPr="008D7DBA">
        <w:rPr>
          <w:rFonts w:ascii="Arial" w:hAnsi="Arial" w:cs="Arial"/>
        </w:rPr>
        <w:t xml:space="preserve">Equity Financing: Issuing new stock will </w:t>
      </w:r>
      <w:r w:rsidR="0095452D" w:rsidRPr="008D7DBA">
        <w:rPr>
          <w:rFonts w:ascii="Arial" w:hAnsi="Arial" w:cs="Arial"/>
        </w:rPr>
        <w:t>allow the compan</w:t>
      </w:r>
      <w:r w:rsidRPr="008D7DBA">
        <w:rPr>
          <w:rFonts w:ascii="Arial" w:hAnsi="Arial" w:cs="Arial"/>
        </w:rPr>
        <w:t>y to capitali</w:t>
      </w:r>
      <w:r w:rsidR="0095452D" w:rsidRPr="008D7DBA">
        <w:rPr>
          <w:rFonts w:ascii="Arial" w:hAnsi="Arial" w:cs="Arial"/>
        </w:rPr>
        <w:t>s</w:t>
      </w:r>
      <w:r w:rsidRPr="008D7DBA">
        <w:rPr>
          <w:rFonts w:ascii="Arial" w:hAnsi="Arial" w:cs="Arial"/>
        </w:rPr>
        <w:t>e without resorting to debt. Nevertheless, equity financing will dilute the ownership of the existing shareholders and their profits.</w:t>
      </w:r>
    </w:p>
    <w:p w14:paraId="0A508023" w14:textId="150853AA" w:rsidR="001357F8" w:rsidRPr="008D7DBA" w:rsidRDefault="0082692D">
      <w:pPr>
        <w:rPr>
          <w:rFonts w:ascii="Arial" w:hAnsi="Arial" w:cs="Arial"/>
        </w:rPr>
      </w:pPr>
      <w:r w:rsidRPr="008D7DBA">
        <w:rPr>
          <w:rFonts w:ascii="Arial" w:hAnsi="Arial" w:cs="Arial"/>
        </w:rPr>
        <w:t>Long-Term Debt: It can look to issue long</w:t>
      </w:r>
      <w:r w:rsidR="0095452D" w:rsidRPr="008D7DBA">
        <w:rPr>
          <w:rFonts w:ascii="Arial" w:hAnsi="Arial" w:cs="Arial"/>
        </w:rPr>
        <w:t>-</w:t>
      </w:r>
      <w:r w:rsidRPr="008D7DBA">
        <w:rPr>
          <w:rFonts w:ascii="Arial" w:hAnsi="Arial" w:cs="Arial"/>
        </w:rPr>
        <w:t xml:space="preserve">term bonds or borrow at good credit in </w:t>
      </w:r>
      <w:r w:rsidR="0095452D" w:rsidRPr="008D7DBA">
        <w:rPr>
          <w:rFonts w:ascii="Arial" w:hAnsi="Arial" w:cs="Arial"/>
        </w:rPr>
        <w:t xml:space="preserve">the </w:t>
      </w:r>
      <w:r w:rsidRPr="008D7DBA">
        <w:rPr>
          <w:rFonts w:ascii="Arial" w:hAnsi="Arial" w:cs="Arial"/>
        </w:rPr>
        <w:t>long term</w:t>
      </w:r>
      <w:r w:rsidR="0058089E" w:rsidRPr="008D7DBA">
        <w:rPr>
          <w:rFonts w:ascii="Arial" w:hAnsi="Arial" w:cs="Arial"/>
        </w:rPr>
        <w:t xml:space="preserve"> </w:t>
      </w:r>
      <w:r w:rsidR="0058089E" w:rsidRPr="008D7DBA">
        <w:rPr>
          <w:rFonts w:ascii="Arial" w:hAnsi="Arial" w:cs="Arial"/>
          <w:shd w:val="clear" w:color="auto" w:fill="FFFFFF"/>
        </w:rPr>
        <w:t>(Mustafina et al., 2020)</w:t>
      </w:r>
      <w:r w:rsidRPr="008D7DBA">
        <w:rPr>
          <w:rFonts w:ascii="Arial" w:hAnsi="Arial" w:cs="Arial"/>
        </w:rPr>
        <w:t xml:space="preserve">. This would enable General Electronics to get capital tied up </w:t>
      </w:r>
      <w:r w:rsidR="0095452D" w:rsidRPr="008D7DBA">
        <w:rPr>
          <w:rFonts w:ascii="Arial" w:hAnsi="Arial" w:cs="Arial"/>
        </w:rPr>
        <w:t>i</w:t>
      </w:r>
      <w:r w:rsidRPr="008D7DBA">
        <w:rPr>
          <w:rFonts w:ascii="Arial" w:hAnsi="Arial" w:cs="Arial"/>
        </w:rPr>
        <w:t xml:space="preserve">n expansion or restructuring initiatives and diversify the repayment of the said capital. </w:t>
      </w:r>
    </w:p>
    <w:p w14:paraId="35CBEEC6" w14:textId="1B8224E9" w:rsidR="00605D5D" w:rsidRPr="008D7DBA" w:rsidRDefault="0071222E" w:rsidP="0024462C">
      <w:pPr>
        <w:pStyle w:val="Heading1"/>
        <w:rPr>
          <w:rFonts w:ascii="Arial" w:hAnsi="Arial" w:cs="Arial"/>
          <w:color w:val="auto"/>
        </w:rPr>
      </w:pPr>
      <w:bookmarkStart w:id="23" w:name="_Toc216380885"/>
      <w:r w:rsidRPr="008D7DBA">
        <w:rPr>
          <w:rFonts w:ascii="Arial" w:hAnsi="Arial" w:cs="Arial"/>
          <w:color w:val="auto"/>
        </w:rPr>
        <w:t xml:space="preserve">4. </w:t>
      </w:r>
      <w:r w:rsidR="0024462C" w:rsidRPr="008D7DBA">
        <w:rPr>
          <w:rFonts w:ascii="Arial" w:hAnsi="Arial" w:cs="Arial"/>
          <w:color w:val="auto"/>
        </w:rPr>
        <w:t>Strategic Financial Restructuring Plan for General Electronics</w:t>
      </w:r>
      <w:bookmarkEnd w:id="23"/>
    </w:p>
    <w:p w14:paraId="0537080B" w14:textId="11842C00" w:rsidR="00880AD3" w:rsidRPr="008D7DBA" w:rsidRDefault="00880AD3" w:rsidP="00880AD3">
      <w:pPr>
        <w:rPr>
          <w:rFonts w:ascii="Arial" w:hAnsi="Arial" w:cs="Arial"/>
        </w:rPr>
      </w:pPr>
      <w:r w:rsidRPr="008D7DBA">
        <w:rPr>
          <w:rFonts w:ascii="Arial" w:hAnsi="Arial" w:cs="Arial"/>
        </w:rPr>
        <w:t>General Electronics</w:t>
      </w:r>
      <w:r w:rsidR="0095452D" w:rsidRPr="008D7DBA">
        <w:rPr>
          <w:rFonts w:ascii="Arial" w:hAnsi="Arial" w:cs="Arial"/>
        </w:rPr>
        <w:t>,</w:t>
      </w:r>
      <w:r w:rsidRPr="008D7DBA">
        <w:rPr>
          <w:rFonts w:ascii="Arial" w:hAnsi="Arial" w:cs="Arial"/>
        </w:rPr>
        <w:t xml:space="preserve"> wh</w:t>
      </w:r>
      <w:r w:rsidR="0095452D" w:rsidRPr="008D7DBA">
        <w:rPr>
          <w:rFonts w:ascii="Arial" w:hAnsi="Arial" w:cs="Arial"/>
        </w:rPr>
        <w:t>ich</w:t>
      </w:r>
      <w:r w:rsidRPr="008D7DBA">
        <w:rPr>
          <w:rFonts w:ascii="Arial" w:hAnsi="Arial" w:cs="Arial"/>
        </w:rPr>
        <w:t xml:space="preserve"> is facing a problem of poor profitability, debt and lack of liquidity</w:t>
      </w:r>
      <w:r w:rsidR="0095452D" w:rsidRPr="008D7DBA">
        <w:rPr>
          <w:rFonts w:ascii="Arial" w:hAnsi="Arial" w:cs="Arial"/>
        </w:rPr>
        <w:t>,</w:t>
      </w:r>
      <w:r w:rsidRPr="008D7DBA">
        <w:rPr>
          <w:rFonts w:ascii="Arial" w:hAnsi="Arial" w:cs="Arial"/>
        </w:rPr>
        <w:t xml:space="preserve"> needs to act fast and decisively to regain stability in its finances. An effective financial restructuring strategy is vital in trying to resolve such problems</w:t>
      </w:r>
      <w:r w:rsidR="0095452D" w:rsidRPr="008D7DBA">
        <w:rPr>
          <w:rFonts w:ascii="Arial" w:hAnsi="Arial" w:cs="Arial"/>
        </w:rPr>
        <w:t>,</w:t>
      </w:r>
      <w:r w:rsidRPr="008D7DBA">
        <w:rPr>
          <w:rFonts w:ascii="Arial" w:hAnsi="Arial" w:cs="Arial"/>
        </w:rPr>
        <w:t xml:space="preserve"> as well as placing the company in a long</w:t>
      </w:r>
      <w:r w:rsidR="0095452D" w:rsidRPr="008D7DBA">
        <w:rPr>
          <w:rFonts w:ascii="Arial" w:hAnsi="Arial" w:cs="Arial"/>
        </w:rPr>
        <w:t>-</w:t>
      </w:r>
      <w:r w:rsidRPr="008D7DBA">
        <w:rPr>
          <w:rFonts w:ascii="Arial" w:hAnsi="Arial" w:cs="Arial"/>
        </w:rPr>
        <w:t>term survival situation. This section will describe the suggested financi</w:t>
      </w:r>
      <w:r w:rsidR="0095452D" w:rsidRPr="008D7DBA">
        <w:rPr>
          <w:rFonts w:ascii="Arial" w:hAnsi="Arial" w:cs="Arial"/>
        </w:rPr>
        <w:t>al</w:t>
      </w:r>
      <w:r w:rsidRPr="008D7DBA">
        <w:rPr>
          <w:rFonts w:ascii="Arial" w:hAnsi="Arial" w:cs="Arial"/>
        </w:rPr>
        <w:t xml:space="preserve"> structural matter choices and assess </w:t>
      </w:r>
      <w:r w:rsidR="0095452D" w:rsidRPr="008D7DBA">
        <w:rPr>
          <w:rFonts w:ascii="Arial" w:hAnsi="Arial" w:cs="Arial"/>
        </w:rPr>
        <w:t>their</w:t>
      </w:r>
      <w:r w:rsidRPr="008D7DBA">
        <w:rPr>
          <w:rFonts w:ascii="Arial" w:hAnsi="Arial" w:cs="Arial"/>
        </w:rPr>
        <w:t xml:space="preserve"> effects on the shareholder value and debt structure</w:t>
      </w:r>
      <w:r w:rsidR="0095452D" w:rsidRPr="008D7DBA">
        <w:rPr>
          <w:rFonts w:ascii="Arial" w:hAnsi="Arial" w:cs="Arial"/>
        </w:rPr>
        <w:t>,</w:t>
      </w:r>
      <w:r w:rsidRPr="008D7DBA">
        <w:rPr>
          <w:rFonts w:ascii="Arial" w:hAnsi="Arial" w:cs="Arial"/>
        </w:rPr>
        <w:t xml:space="preserve"> operational flexibility, and the international and ethical ramifications in general.</w:t>
      </w:r>
    </w:p>
    <w:p w14:paraId="1B47384A" w14:textId="427CDE9C" w:rsidR="00FA5797" w:rsidRPr="008D7DBA" w:rsidRDefault="0071222E" w:rsidP="00FA5797">
      <w:pPr>
        <w:pStyle w:val="Heading2"/>
        <w:rPr>
          <w:rFonts w:ascii="Arial" w:hAnsi="Arial" w:cs="Arial"/>
        </w:rPr>
      </w:pPr>
      <w:bookmarkStart w:id="24" w:name="_Toc216380886"/>
      <w:r w:rsidRPr="008D7DBA">
        <w:rPr>
          <w:rFonts w:ascii="Arial" w:hAnsi="Arial" w:cs="Arial"/>
        </w:rPr>
        <w:t xml:space="preserve">4.1 </w:t>
      </w:r>
      <w:r w:rsidR="00FA5797" w:rsidRPr="008D7DBA">
        <w:rPr>
          <w:rFonts w:ascii="Arial" w:hAnsi="Arial" w:cs="Arial"/>
        </w:rPr>
        <w:t>Recommended Financial Restructuring Options</w:t>
      </w:r>
      <w:bookmarkEnd w:id="24"/>
    </w:p>
    <w:p w14:paraId="297E9F39" w14:textId="005D1990" w:rsidR="00880AD3" w:rsidRPr="008D7DBA" w:rsidRDefault="00880AD3" w:rsidP="00880AD3">
      <w:pPr>
        <w:rPr>
          <w:rFonts w:ascii="Arial" w:hAnsi="Arial" w:cs="Arial"/>
          <w:b/>
          <w:bCs/>
          <w:i/>
          <w:iCs/>
        </w:rPr>
      </w:pPr>
      <w:r w:rsidRPr="008D7DBA">
        <w:rPr>
          <w:rFonts w:ascii="Arial" w:hAnsi="Arial" w:cs="Arial"/>
          <w:b/>
          <w:bCs/>
          <w:i/>
          <w:iCs/>
        </w:rPr>
        <w:t>Equity Injection</w:t>
      </w:r>
      <w:r w:rsidR="00FA5797" w:rsidRPr="008D7DBA">
        <w:rPr>
          <w:rFonts w:ascii="Arial" w:hAnsi="Arial" w:cs="Arial"/>
          <w:b/>
          <w:bCs/>
          <w:i/>
          <w:iCs/>
        </w:rPr>
        <w:t xml:space="preserve">: </w:t>
      </w:r>
      <w:r w:rsidRPr="008D7DBA">
        <w:rPr>
          <w:rFonts w:ascii="Arial" w:hAnsi="Arial" w:cs="Arial"/>
        </w:rPr>
        <w:t>Equity injection is a capital</w:t>
      </w:r>
      <w:r w:rsidR="0095452D" w:rsidRPr="008D7DBA">
        <w:rPr>
          <w:rFonts w:ascii="Arial" w:hAnsi="Arial" w:cs="Arial"/>
        </w:rPr>
        <w:t>-</w:t>
      </w:r>
      <w:r w:rsidRPr="008D7DBA">
        <w:rPr>
          <w:rFonts w:ascii="Arial" w:hAnsi="Arial" w:cs="Arial"/>
        </w:rPr>
        <w:t xml:space="preserve">raising method that entails the issue of new shares or </w:t>
      </w:r>
      <w:r w:rsidR="0095452D" w:rsidRPr="008D7DBA">
        <w:rPr>
          <w:rFonts w:ascii="Arial" w:hAnsi="Arial" w:cs="Arial"/>
        </w:rPr>
        <w:t xml:space="preserve">the </w:t>
      </w:r>
      <w:r w:rsidRPr="008D7DBA">
        <w:rPr>
          <w:rFonts w:ascii="Arial" w:hAnsi="Arial" w:cs="Arial"/>
        </w:rPr>
        <w:t>introduction of new investors. Since the debt position of General Electronics is on the rise and only low liquidity ratios show the current situation, infusion of equity might give a great cash inflow into the company to stabili</w:t>
      </w:r>
      <w:r w:rsidR="0095452D" w:rsidRPr="008D7DBA">
        <w:rPr>
          <w:rFonts w:ascii="Arial" w:hAnsi="Arial" w:cs="Arial"/>
        </w:rPr>
        <w:t>s</w:t>
      </w:r>
      <w:r w:rsidRPr="008D7DBA">
        <w:rPr>
          <w:rFonts w:ascii="Arial" w:hAnsi="Arial" w:cs="Arial"/>
        </w:rPr>
        <w:t>e operations, deleverage the company and invest it in growth</w:t>
      </w:r>
      <w:r w:rsidR="0058089E" w:rsidRPr="008D7DBA">
        <w:rPr>
          <w:rFonts w:ascii="Arial" w:hAnsi="Arial" w:cs="Arial"/>
        </w:rPr>
        <w:t xml:space="preserve"> </w:t>
      </w:r>
      <w:r w:rsidR="0058089E" w:rsidRPr="008D7DBA">
        <w:rPr>
          <w:rFonts w:ascii="Arial" w:hAnsi="Arial" w:cs="Arial"/>
          <w:shd w:val="clear" w:color="auto" w:fill="FFFFFF"/>
        </w:rPr>
        <w:t>(Mavlutova et al., 2021)</w:t>
      </w:r>
      <w:r w:rsidRPr="008D7DBA">
        <w:rPr>
          <w:rFonts w:ascii="Arial" w:hAnsi="Arial" w:cs="Arial"/>
        </w:rPr>
        <w:t>.</w:t>
      </w:r>
    </w:p>
    <w:p w14:paraId="4DDAEB0F" w14:textId="519783CD" w:rsidR="00880AD3" w:rsidRPr="008D7DBA" w:rsidRDefault="00880AD3" w:rsidP="00880AD3">
      <w:pPr>
        <w:rPr>
          <w:rFonts w:ascii="Arial" w:hAnsi="Arial" w:cs="Arial"/>
        </w:rPr>
      </w:pPr>
      <w:r w:rsidRPr="008D7DBA">
        <w:rPr>
          <w:rFonts w:ascii="Arial" w:hAnsi="Arial" w:cs="Arial"/>
        </w:rPr>
        <w:t>Pros</w:t>
      </w:r>
    </w:p>
    <w:p w14:paraId="43E1F296" w14:textId="3D09B3B0" w:rsidR="00880AD3" w:rsidRPr="008D7DBA" w:rsidRDefault="00880AD3" w:rsidP="00FA5797">
      <w:pPr>
        <w:pStyle w:val="ListParagraph"/>
        <w:numPr>
          <w:ilvl w:val="0"/>
          <w:numId w:val="5"/>
        </w:numPr>
        <w:rPr>
          <w:rFonts w:ascii="Arial" w:hAnsi="Arial" w:cs="Arial"/>
        </w:rPr>
      </w:pPr>
      <w:r w:rsidRPr="008D7DBA">
        <w:rPr>
          <w:rFonts w:ascii="Arial" w:hAnsi="Arial" w:cs="Arial"/>
        </w:rPr>
        <w:lastRenderedPageBreak/>
        <w:t>Debt Reduction: A new issue will enable the company to raise new funds without the need to incur new debts</w:t>
      </w:r>
      <w:r w:rsidR="0058089E" w:rsidRPr="008D7DBA">
        <w:rPr>
          <w:rFonts w:ascii="Arial" w:hAnsi="Arial" w:cs="Arial"/>
        </w:rPr>
        <w:t xml:space="preserve"> </w:t>
      </w:r>
      <w:r w:rsidR="0058089E" w:rsidRPr="008D7DBA">
        <w:rPr>
          <w:rFonts w:ascii="Arial" w:hAnsi="Arial" w:cs="Arial"/>
          <w:shd w:val="clear" w:color="auto" w:fill="FFFFFF"/>
        </w:rPr>
        <w:t>(Zaramella, 2023)</w:t>
      </w:r>
      <w:r w:rsidRPr="008D7DBA">
        <w:rPr>
          <w:rFonts w:ascii="Arial" w:hAnsi="Arial" w:cs="Arial"/>
        </w:rPr>
        <w:t>. This would reduce the Debt-Equity Ratio, financial leverage and interest.</w:t>
      </w:r>
    </w:p>
    <w:p w14:paraId="61B13AF1" w14:textId="06F560FA" w:rsidR="00880AD3" w:rsidRPr="008D7DBA" w:rsidRDefault="00880AD3" w:rsidP="00FA5797">
      <w:pPr>
        <w:pStyle w:val="ListParagraph"/>
        <w:numPr>
          <w:ilvl w:val="0"/>
          <w:numId w:val="5"/>
        </w:numPr>
        <w:rPr>
          <w:rFonts w:ascii="Arial" w:hAnsi="Arial" w:cs="Arial"/>
        </w:rPr>
      </w:pPr>
      <w:r w:rsidRPr="008D7DBA">
        <w:rPr>
          <w:rFonts w:ascii="Arial" w:hAnsi="Arial" w:cs="Arial"/>
        </w:rPr>
        <w:t>Enhanced Liquidity: The equity injection would increase the liquidity of the company</w:t>
      </w:r>
      <w:r w:rsidR="0095452D" w:rsidRPr="008D7DBA">
        <w:rPr>
          <w:rFonts w:ascii="Arial" w:hAnsi="Arial" w:cs="Arial"/>
        </w:rPr>
        <w:t>,</w:t>
      </w:r>
      <w:r w:rsidRPr="008D7DBA">
        <w:rPr>
          <w:rFonts w:ascii="Arial" w:hAnsi="Arial" w:cs="Arial"/>
        </w:rPr>
        <w:t xml:space="preserve"> and they could invest back in areas that will carry significant value to the compan</w:t>
      </w:r>
      <w:r w:rsidR="0095452D" w:rsidRPr="008D7DBA">
        <w:rPr>
          <w:rFonts w:ascii="Arial" w:hAnsi="Arial" w:cs="Arial"/>
        </w:rPr>
        <w:t>y,</w:t>
      </w:r>
      <w:r w:rsidRPr="008D7DBA">
        <w:rPr>
          <w:rFonts w:ascii="Arial" w:hAnsi="Arial" w:cs="Arial"/>
        </w:rPr>
        <w:t xml:space="preserve"> such as research and development, marketing or supply chain optimi</w:t>
      </w:r>
      <w:r w:rsidR="0095452D" w:rsidRPr="008D7DBA">
        <w:rPr>
          <w:rFonts w:ascii="Arial" w:hAnsi="Arial" w:cs="Arial"/>
        </w:rPr>
        <w:t>s</w:t>
      </w:r>
      <w:r w:rsidRPr="008D7DBA">
        <w:rPr>
          <w:rFonts w:ascii="Arial" w:hAnsi="Arial" w:cs="Arial"/>
        </w:rPr>
        <w:t>ation.</w:t>
      </w:r>
    </w:p>
    <w:p w14:paraId="16A9E369" w14:textId="3FDDCAF9" w:rsidR="00880AD3" w:rsidRPr="008D7DBA" w:rsidRDefault="00880AD3" w:rsidP="00880AD3">
      <w:pPr>
        <w:rPr>
          <w:rFonts w:ascii="Arial" w:hAnsi="Arial" w:cs="Arial"/>
        </w:rPr>
      </w:pPr>
      <w:r w:rsidRPr="008D7DBA">
        <w:rPr>
          <w:rFonts w:ascii="Arial" w:hAnsi="Arial" w:cs="Arial"/>
        </w:rPr>
        <w:t>Cons</w:t>
      </w:r>
    </w:p>
    <w:p w14:paraId="448DD52C" w14:textId="07D18288" w:rsidR="00880AD3" w:rsidRPr="008D7DBA" w:rsidRDefault="00880AD3" w:rsidP="00FA5797">
      <w:pPr>
        <w:pStyle w:val="ListParagraph"/>
        <w:numPr>
          <w:ilvl w:val="0"/>
          <w:numId w:val="5"/>
        </w:numPr>
        <w:rPr>
          <w:rFonts w:ascii="Arial" w:hAnsi="Arial" w:cs="Arial"/>
        </w:rPr>
      </w:pPr>
      <w:r w:rsidRPr="008D7DBA">
        <w:rPr>
          <w:rFonts w:ascii="Arial" w:hAnsi="Arial" w:cs="Arial"/>
        </w:rPr>
        <w:t>Dilution of Control: More share issue</w:t>
      </w:r>
      <w:r w:rsidR="0095452D" w:rsidRPr="008D7DBA">
        <w:rPr>
          <w:rFonts w:ascii="Arial" w:hAnsi="Arial" w:cs="Arial"/>
        </w:rPr>
        <w:t>s</w:t>
      </w:r>
      <w:r w:rsidRPr="008D7DBA">
        <w:rPr>
          <w:rFonts w:ascii="Arial" w:hAnsi="Arial" w:cs="Arial"/>
        </w:rPr>
        <w:t xml:space="preserve"> will dilute the present shareholders</w:t>
      </w:r>
      <w:r w:rsidR="0095452D" w:rsidRPr="008D7DBA">
        <w:rPr>
          <w:rFonts w:ascii="Arial" w:hAnsi="Arial" w:cs="Arial"/>
        </w:rPr>
        <w:t>'</w:t>
      </w:r>
      <w:r w:rsidRPr="008D7DBA">
        <w:rPr>
          <w:rFonts w:ascii="Arial" w:hAnsi="Arial" w:cs="Arial"/>
        </w:rPr>
        <w:t xml:space="preserve"> hold</w:t>
      </w:r>
      <w:r w:rsidR="0095452D" w:rsidRPr="008D7DBA">
        <w:rPr>
          <w:rFonts w:ascii="Arial" w:hAnsi="Arial" w:cs="Arial"/>
        </w:rPr>
        <w:t>ings</w:t>
      </w:r>
      <w:r w:rsidRPr="008D7DBA">
        <w:rPr>
          <w:rFonts w:ascii="Arial" w:hAnsi="Arial" w:cs="Arial"/>
        </w:rPr>
        <w:t xml:space="preserve"> in the company. This might spell dissatisfaction </w:t>
      </w:r>
      <w:r w:rsidR="0095452D" w:rsidRPr="008D7DBA">
        <w:rPr>
          <w:rFonts w:ascii="Arial" w:hAnsi="Arial" w:cs="Arial"/>
        </w:rPr>
        <w:t>among</w:t>
      </w:r>
      <w:r w:rsidRPr="008D7DBA">
        <w:rPr>
          <w:rFonts w:ascii="Arial" w:hAnsi="Arial" w:cs="Arial"/>
        </w:rPr>
        <w:t xml:space="preserve"> the present investors as well as an adverse short</w:t>
      </w:r>
      <w:r w:rsidR="0095452D" w:rsidRPr="008D7DBA">
        <w:rPr>
          <w:rFonts w:ascii="Arial" w:hAnsi="Arial" w:cs="Arial"/>
        </w:rPr>
        <w:t>-</w:t>
      </w:r>
      <w:r w:rsidRPr="008D7DBA">
        <w:rPr>
          <w:rFonts w:ascii="Arial" w:hAnsi="Arial" w:cs="Arial"/>
        </w:rPr>
        <w:t>term impact on the stock prices</w:t>
      </w:r>
      <w:r w:rsidR="0058089E" w:rsidRPr="008D7DBA">
        <w:rPr>
          <w:rFonts w:ascii="Arial" w:hAnsi="Arial" w:cs="Arial"/>
        </w:rPr>
        <w:t xml:space="preserve"> </w:t>
      </w:r>
      <w:r w:rsidR="0058089E" w:rsidRPr="008D7DBA">
        <w:rPr>
          <w:rFonts w:ascii="Arial" w:hAnsi="Arial" w:cs="Arial"/>
          <w:shd w:val="clear" w:color="auto" w:fill="FFFFFF"/>
        </w:rPr>
        <w:t>(Mavlutova et al., 2021)</w:t>
      </w:r>
      <w:r w:rsidRPr="008D7DBA">
        <w:rPr>
          <w:rFonts w:ascii="Arial" w:hAnsi="Arial" w:cs="Arial"/>
        </w:rPr>
        <w:t>.</w:t>
      </w:r>
    </w:p>
    <w:p w14:paraId="1037CD22" w14:textId="32000364" w:rsidR="00880AD3" w:rsidRPr="008D7DBA" w:rsidRDefault="00880AD3" w:rsidP="00FA5797">
      <w:pPr>
        <w:pStyle w:val="ListParagraph"/>
        <w:numPr>
          <w:ilvl w:val="0"/>
          <w:numId w:val="5"/>
        </w:numPr>
        <w:rPr>
          <w:rFonts w:ascii="Arial" w:hAnsi="Arial" w:cs="Arial"/>
        </w:rPr>
      </w:pPr>
      <w:r w:rsidRPr="008D7DBA">
        <w:rPr>
          <w:rFonts w:ascii="Arial" w:hAnsi="Arial" w:cs="Arial"/>
        </w:rPr>
        <w:t>Market Reaction:</w:t>
      </w:r>
      <w:r w:rsidR="0095452D" w:rsidRPr="008D7DBA">
        <w:rPr>
          <w:rFonts w:ascii="Arial" w:hAnsi="Arial" w:cs="Arial"/>
        </w:rPr>
        <w:t xml:space="preserve"> </w:t>
      </w:r>
      <w:r w:rsidRPr="008D7DBA">
        <w:rPr>
          <w:rFonts w:ascii="Arial" w:hAnsi="Arial" w:cs="Arial"/>
        </w:rPr>
        <w:t>Depending on the existing market conditions of the company, the equity capital issuance can be perceived as a signal of financial distress</w:t>
      </w:r>
      <w:r w:rsidR="0095452D" w:rsidRPr="008D7DBA">
        <w:rPr>
          <w:rFonts w:ascii="Arial" w:hAnsi="Arial" w:cs="Arial"/>
        </w:rPr>
        <w:t>,</w:t>
      </w:r>
      <w:r w:rsidRPr="008D7DBA">
        <w:rPr>
          <w:rFonts w:ascii="Arial" w:hAnsi="Arial" w:cs="Arial"/>
        </w:rPr>
        <w:t xml:space="preserve"> and this might culminate </w:t>
      </w:r>
      <w:r w:rsidR="0095452D" w:rsidRPr="008D7DBA">
        <w:rPr>
          <w:rFonts w:ascii="Arial" w:hAnsi="Arial" w:cs="Arial"/>
        </w:rPr>
        <w:t>in</w:t>
      </w:r>
      <w:r w:rsidRPr="008D7DBA">
        <w:rPr>
          <w:rFonts w:ascii="Arial" w:hAnsi="Arial" w:cs="Arial"/>
        </w:rPr>
        <w:t xml:space="preserve"> negative effects on shareholder confidence.</w:t>
      </w:r>
    </w:p>
    <w:p w14:paraId="42B2A973" w14:textId="404143BA" w:rsidR="00880AD3" w:rsidRPr="008D7DBA" w:rsidRDefault="00FA5797" w:rsidP="00880AD3">
      <w:pPr>
        <w:rPr>
          <w:rFonts w:ascii="Arial" w:hAnsi="Arial" w:cs="Arial"/>
          <w:b/>
          <w:bCs/>
          <w:i/>
          <w:iCs/>
        </w:rPr>
      </w:pPr>
      <w:r w:rsidRPr="008D7DBA">
        <w:rPr>
          <w:rFonts w:ascii="Arial" w:hAnsi="Arial" w:cs="Arial"/>
          <w:b/>
          <w:bCs/>
          <w:i/>
          <w:iCs/>
        </w:rPr>
        <w:t xml:space="preserve">Divestiture </w:t>
      </w:r>
      <w:r w:rsidR="00880AD3" w:rsidRPr="008D7DBA">
        <w:rPr>
          <w:rFonts w:ascii="Arial" w:hAnsi="Arial" w:cs="Arial"/>
          <w:b/>
          <w:bCs/>
          <w:i/>
          <w:iCs/>
        </w:rPr>
        <w:t>the Non-Core Assets</w:t>
      </w:r>
      <w:r w:rsidRPr="008D7DBA">
        <w:rPr>
          <w:rFonts w:ascii="Arial" w:hAnsi="Arial" w:cs="Arial"/>
          <w:b/>
          <w:bCs/>
          <w:i/>
          <w:iCs/>
        </w:rPr>
        <w:t xml:space="preserve">: </w:t>
      </w:r>
      <w:r w:rsidR="00880AD3" w:rsidRPr="008D7DBA">
        <w:rPr>
          <w:rFonts w:ascii="Arial" w:hAnsi="Arial" w:cs="Arial"/>
        </w:rPr>
        <w:t>Sale of non-core assets is a strategic mechanism of raising cash and concentrating on the core capabilities of the company</w:t>
      </w:r>
      <w:r w:rsidR="0058089E" w:rsidRPr="008D7DBA">
        <w:rPr>
          <w:rFonts w:ascii="Arial" w:hAnsi="Arial" w:cs="Arial"/>
        </w:rPr>
        <w:t xml:space="preserve"> </w:t>
      </w:r>
      <w:r w:rsidR="0058089E" w:rsidRPr="008D7DBA">
        <w:rPr>
          <w:rFonts w:ascii="Arial" w:hAnsi="Arial" w:cs="Arial"/>
          <w:shd w:val="clear" w:color="auto" w:fill="FFFFFF"/>
        </w:rPr>
        <w:t>(Aleksandrova et al., 2021)</w:t>
      </w:r>
      <w:r w:rsidR="00880AD3" w:rsidRPr="008D7DBA">
        <w:rPr>
          <w:rFonts w:ascii="Arial" w:hAnsi="Arial" w:cs="Arial"/>
        </w:rPr>
        <w:t>. General Electronics can also consider selling unproductive or non-strategic business units, product lines or subsidiaries with resource and capital</w:t>
      </w:r>
      <w:r w:rsidR="0095452D" w:rsidRPr="008D7DBA">
        <w:rPr>
          <w:rFonts w:ascii="Arial" w:hAnsi="Arial" w:cs="Arial"/>
        </w:rPr>
        <w:t>-</w:t>
      </w:r>
      <w:r w:rsidR="00880AD3" w:rsidRPr="008D7DBA">
        <w:rPr>
          <w:rFonts w:ascii="Arial" w:hAnsi="Arial" w:cs="Arial"/>
        </w:rPr>
        <w:t>consuming activities.</w:t>
      </w:r>
    </w:p>
    <w:p w14:paraId="5B1B7AB1" w14:textId="002D22BF" w:rsidR="00880AD3" w:rsidRPr="008D7DBA" w:rsidRDefault="00880AD3" w:rsidP="00880AD3">
      <w:pPr>
        <w:rPr>
          <w:rFonts w:ascii="Arial" w:hAnsi="Arial" w:cs="Arial"/>
        </w:rPr>
      </w:pPr>
      <w:r w:rsidRPr="008D7DBA">
        <w:rPr>
          <w:rFonts w:ascii="Arial" w:hAnsi="Arial" w:cs="Arial"/>
        </w:rPr>
        <w:t>Pros</w:t>
      </w:r>
    </w:p>
    <w:p w14:paraId="110860E4" w14:textId="4CFABD3F" w:rsidR="00880AD3" w:rsidRPr="008D7DBA" w:rsidRDefault="00880AD3" w:rsidP="00FA5797">
      <w:pPr>
        <w:pStyle w:val="ListParagraph"/>
        <w:numPr>
          <w:ilvl w:val="0"/>
          <w:numId w:val="6"/>
        </w:numPr>
        <w:rPr>
          <w:rFonts w:ascii="Arial" w:hAnsi="Arial" w:cs="Arial"/>
        </w:rPr>
      </w:pPr>
      <w:r w:rsidRPr="008D7DBA">
        <w:rPr>
          <w:rFonts w:ascii="Arial" w:hAnsi="Arial" w:cs="Arial"/>
        </w:rPr>
        <w:t xml:space="preserve">Better Focus and Efficiency: Shedding off non-core assets enables the company to streamline its operations and focus on the areas with the most profitable </w:t>
      </w:r>
      <w:r w:rsidR="009D511F" w:rsidRPr="008D7DBA">
        <w:rPr>
          <w:rFonts w:ascii="Arial" w:hAnsi="Arial" w:cs="Arial"/>
        </w:rPr>
        <w:t>segments and</w:t>
      </w:r>
      <w:r w:rsidRPr="008D7DBA">
        <w:rPr>
          <w:rFonts w:ascii="Arial" w:hAnsi="Arial" w:cs="Arial"/>
        </w:rPr>
        <w:t xml:space="preserve"> possibly enhance margins and operational efficiency.</w:t>
      </w:r>
    </w:p>
    <w:p w14:paraId="21A2C430" w14:textId="7BA25CC3" w:rsidR="00880AD3" w:rsidRPr="008D7DBA" w:rsidRDefault="00880AD3" w:rsidP="00FA5797">
      <w:pPr>
        <w:pStyle w:val="ListParagraph"/>
        <w:numPr>
          <w:ilvl w:val="0"/>
          <w:numId w:val="6"/>
        </w:numPr>
        <w:rPr>
          <w:rFonts w:ascii="Arial" w:hAnsi="Arial" w:cs="Arial"/>
        </w:rPr>
      </w:pPr>
      <w:r w:rsidRPr="008D7DBA">
        <w:rPr>
          <w:rFonts w:ascii="Arial" w:hAnsi="Arial" w:cs="Arial"/>
        </w:rPr>
        <w:t>Capital Generation: The sale of unnecessary assets might bring about high amounts of capital that may be utili</w:t>
      </w:r>
      <w:r w:rsidR="0095452D" w:rsidRPr="008D7DBA">
        <w:rPr>
          <w:rFonts w:ascii="Arial" w:hAnsi="Arial" w:cs="Arial"/>
        </w:rPr>
        <w:t>s</w:t>
      </w:r>
      <w:r w:rsidRPr="008D7DBA">
        <w:rPr>
          <w:rFonts w:ascii="Arial" w:hAnsi="Arial" w:cs="Arial"/>
        </w:rPr>
        <w:t>ed in debt reduction or better investments in areas that generate high returns</w:t>
      </w:r>
      <w:r w:rsidR="0058089E" w:rsidRPr="008D7DBA">
        <w:rPr>
          <w:rFonts w:ascii="Arial" w:hAnsi="Arial" w:cs="Arial"/>
        </w:rPr>
        <w:t xml:space="preserve"> </w:t>
      </w:r>
      <w:r w:rsidR="0058089E" w:rsidRPr="008D7DBA">
        <w:rPr>
          <w:rFonts w:ascii="Arial" w:hAnsi="Arial" w:cs="Arial"/>
          <w:shd w:val="clear" w:color="auto" w:fill="FFFFFF"/>
        </w:rPr>
        <w:t>(Zaramella, 2023)</w:t>
      </w:r>
      <w:r w:rsidRPr="008D7DBA">
        <w:rPr>
          <w:rFonts w:ascii="Arial" w:hAnsi="Arial" w:cs="Arial"/>
        </w:rPr>
        <w:t>.</w:t>
      </w:r>
    </w:p>
    <w:p w14:paraId="3617AB4A" w14:textId="57F58AC1" w:rsidR="00880AD3" w:rsidRPr="008D7DBA" w:rsidRDefault="00880AD3" w:rsidP="00880AD3">
      <w:pPr>
        <w:rPr>
          <w:rFonts w:ascii="Arial" w:hAnsi="Arial" w:cs="Arial"/>
        </w:rPr>
      </w:pPr>
      <w:r w:rsidRPr="008D7DBA">
        <w:rPr>
          <w:rFonts w:ascii="Arial" w:hAnsi="Arial" w:cs="Arial"/>
        </w:rPr>
        <w:t>Cons</w:t>
      </w:r>
    </w:p>
    <w:p w14:paraId="087FB02D" w14:textId="49A1C6C9" w:rsidR="00880AD3" w:rsidRPr="008D7DBA" w:rsidRDefault="00880AD3" w:rsidP="00FA5797">
      <w:pPr>
        <w:pStyle w:val="ListParagraph"/>
        <w:numPr>
          <w:ilvl w:val="0"/>
          <w:numId w:val="7"/>
        </w:numPr>
        <w:rPr>
          <w:rFonts w:ascii="Arial" w:hAnsi="Arial" w:cs="Arial"/>
        </w:rPr>
      </w:pPr>
      <w:r w:rsidRPr="008D7DBA">
        <w:rPr>
          <w:rFonts w:ascii="Arial" w:hAnsi="Arial" w:cs="Arial"/>
        </w:rPr>
        <w:lastRenderedPageBreak/>
        <w:t>Revenue Streams: Standing to forgo some of the units</w:t>
      </w:r>
      <w:r w:rsidR="0095452D" w:rsidRPr="008D7DBA">
        <w:rPr>
          <w:rFonts w:ascii="Arial" w:hAnsi="Arial" w:cs="Arial"/>
        </w:rPr>
        <w:t>,</w:t>
      </w:r>
      <w:r w:rsidRPr="008D7DBA">
        <w:rPr>
          <w:rFonts w:ascii="Arial" w:hAnsi="Arial" w:cs="Arial"/>
        </w:rPr>
        <w:t xml:space="preserve"> hence resulting in decreased total revenue</w:t>
      </w:r>
      <w:r w:rsidR="0095452D" w:rsidRPr="008D7DBA">
        <w:rPr>
          <w:rFonts w:ascii="Arial" w:hAnsi="Arial" w:cs="Arial"/>
        </w:rPr>
        <w:t>,</w:t>
      </w:r>
      <w:r w:rsidRPr="008D7DBA">
        <w:rPr>
          <w:rFonts w:ascii="Arial" w:hAnsi="Arial" w:cs="Arial"/>
        </w:rPr>
        <w:t xml:space="preserve"> even in these cases</w:t>
      </w:r>
      <w:r w:rsidR="0095452D" w:rsidRPr="008D7DBA">
        <w:rPr>
          <w:rFonts w:ascii="Arial" w:hAnsi="Arial" w:cs="Arial"/>
        </w:rPr>
        <w:t>,</w:t>
      </w:r>
      <w:r w:rsidRPr="008D7DBA">
        <w:rPr>
          <w:rFonts w:ascii="Arial" w:hAnsi="Arial" w:cs="Arial"/>
        </w:rPr>
        <w:t xml:space="preserve"> they are performing poorly</w:t>
      </w:r>
      <w:r w:rsidR="0058089E" w:rsidRPr="008D7DBA">
        <w:rPr>
          <w:rFonts w:ascii="Arial" w:hAnsi="Arial" w:cs="Arial"/>
        </w:rPr>
        <w:t xml:space="preserve"> </w:t>
      </w:r>
      <w:r w:rsidR="0058089E" w:rsidRPr="008D7DBA">
        <w:rPr>
          <w:rFonts w:ascii="Arial" w:hAnsi="Arial" w:cs="Arial"/>
          <w:shd w:val="clear" w:color="auto" w:fill="FFFFFF"/>
        </w:rPr>
        <w:t>(Flickinger and Zschoche, 2018)</w:t>
      </w:r>
      <w:r w:rsidRPr="008D7DBA">
        <w:rPr>
          <w:rFonts w:ascii="Arial" w:hAnsi="Arial" w:cs="Arial"/>
        </w:rPr>
        <w:t xml:space="preserve">. The company will have to determine whether the sale of these assets would result in </w:t>
      </w:r>
      <w:r w:rsidR="0095452D" w:rsidRPr="008D7DBA">
        <w:rPr>
          <w:rFonts w:ascii="Arial" w:hAnsi="Arial" w:cs="Arial"/>
        </w:rPr>
        <w:t xml:space="preserve">a </w:t>
      </w:r>
      <w:r w:rsidRPr="008D7DBA">
        <w:rPr>
          <w:rFonts w:ascii="Arial" w:hAnsi="Arial" w:cs="Arial"/>
        </w:rPr>
        <w:t>net positive outcome in the long run.</w:t>
      </w:r>
    </w:p>
    <w:p w14:paraId="12E947B6" w14:textId="1CFEB831" w:rsidR="00880AD3" w:rsidRPr="008D7DBA" w:rsidRDefault="00880AD3" w:rsidP="00FA5797">
      <w:pPr>
        <w:pStyle w:val="ListParagraph"/>
        <w:numPr>
          <w:ilvl w:val="0"/>
          <w:numId w:val="7"/>
        </w:numPr>
        <w:rPr>
          <w:rFonts w:ascii="Arial" w:hAnsi="Arial" w:cs="Arial"/>
        </w:rPr>
      </w:pPr>
      <w:r w:rsidRPr="008D7DBA">
        <w:rPr>
          <w:rFonts w:ascii="Arial" w:hAnsi="Arial" w:cs="Arial"/>
        </w:rPr>
        <w:t>Employee and Brand Impact: On important segments of the company, emission</w:t>
      </w:r>
      <w:r w:rsidR="0095452D" w:rsidRPr="008D7DBA">
        <w:rPr>
          <w:rFonts w:ascii="Arial" w:hAnsi="Arial" w:cs="Arial"/>
        </w:rPr>
        <w:t>s</w:t>
      </w:r>
      <w:r w:rsidRPr="008D7DBA">
        <w:rPr>
          <w:rFonts w:ascii="Arial" w:hAnsi="Arial" w:cs="Arial"/>
        </w:rPr>
        <w:t xml:space="preserve"> can result in employee layoffs or a diminished brand equity.</w:t>
      </w:r>
    </w:p>
    <w:p w14:paraId="78582881" w14:textId="63C159A5" w:rsidR="00880AD3" w:rsidRPr="008D7DBA" w:rsidRDefault="00880AD3" w:rsidP="00880AD3">
      <w:pPr>
        <w:rPr>
          <w:rFonts w:ascii="Arial" w:hAnsi="Arial" w:cs="Arial"/>
          <w:b/>
          <w:bCs/>
          <w:i/>
          <w:iCs/>
        </w:rPr>
      </w:pPr>
      <w:r w:rsidRPr="008D7DBA">
        <w:rPr>
          <w:rFonts w:ascii="Arial" w:hAnsi="Arial" w:cs="Arial"/>
          <w:b/>
          <w:bCs/>
          <w:i/>
          <w:iCs/>
        </w:rPr>
        <w:t>Merger or Acquisition</w:t>
      </w:r>
      <w:r w:rsidR="00FA5797" w:rsidRPr="008D7DBA">
        <w:rPr>
          <w:rFonts w:ascii="Arial" w:hAnsi="Arial" w:cs="Arial"/>
          <w:b/>
          <w:bCs/>
          <w:i/>
          <w:iCs/>
        </w:rPr>
        <w:t xml:space="preserve">: </w:t>
      </w:r>
      <w:r w:rsidRPr="008D7DBA">
        <w:rPr>
          <w:rFonts w:ascii="Arial" w:hAnsi="Arial" w:cs="Arial"/>
        </w:rPr>
        <w:t>Amalgamation or acquisition of another company</w:t>
      </w:r>
      <w:r w:rsidR="0095452D" w:rsidRPr="008D7DBA">
        <w:rPr>
          <w:rFonts w:ascii="Arial" w:hAnsi="Arial" w:cs="Arial"/>
        </w:rPr>
        <w:t>,</w:t>
      </w:r>
      <w:r w:rsidRPr="008D7DBA">
        <w:rPr>
          <w:rFonts w:ascii="Arial" w:hAnsi="Arial" w:cs="Arial"/>
        </w:rPr>
        <w:t xml:space="preserve"> in some instances</w:t>
      </w:r>
      <w:r w:rsidR="0095452D" w:rsidRPr="008D7DBA">
        <w:rPr>
          <w:rFonts w:ascii="Arial" w:hAnsi="Arial" w:cs="Arial"/>
        </w:rPr>
        <w:t>,</w:t>
      </w:r>
      <w:r w:rsidRPr="008D7DBA">
        <w:rPr>
          <w:rFonts w:ascii="Arial" w:hAnsi="Arial" w:cs="Arial"/>
        </w:rPr>
        <w:t xml:space="preserve"> may offer a major opportunity to consolidate the position of General Electronics</w:t>
      </w:r>
      <w:r w:rsidR="0058089E" w:rsidRPr="008D7DBA">
        <w:rPr>
          <w:rFonts w:ascii="Arial" w:hAnsi="Arial" w:cs="Arial"/>
        </w:rPr>
        <w:t xml:space="preserve"> </w:t>
      </w:r>
      <w:r w:rsidR="0058089E" w:rsidRPr="008D7DBA">
        <w:rPr>
          <w:rFonts w:ascii="Arial" w:hAnsi="Arial" w:cs="Arial"/>
          <w:shd w:val="clear" w:color="auto" w:fill="FFFFFF"/>
        </w:rPr>
        <w:t>(Pham et al., 2021)</w:t>
      </w:r>
      <w:r w:rsidRPr="008D7DBA">
        <w:rPr>
          <w:rFonts w:ascii="Arial" w:hAnsi="Arial" w:cs="Arial"/>
        </w:rPr>
        <w:t>. It may include the merger of a rival to bring about market competition minimi</w:t>
      </w:r>
      <w:r w:rsidR="0095452D" w:rsidRPr="008D7DBA">
        <w:rPr>
          <w:rFonts w:ascii="Arial" w:hAnsi="Arial" w:cs="Arial"/>
        </w:rPr>
        <w:t>s</w:t>
      </w:r>
      <w:r w:rsidRPr="008D7DBA">
        <w:rPr>
          <w:rFonts w:ascii="Arial" w:hAnsi="Arial" w:cs="Arial"/>
        </w:rPr>
        <w:t>ation and resulting synergies</w:t>
      </w:r>
      <w:r w:rsidR="0095452D" w:rsidRPr="008D7DBA">
        <w:rPr>
          <w:rFonts w:ascii="Arial" w:hAnsi="Arial" w:cs="Arial"/>
        </w:rPr>
        <w:t>,</w:t>
      </w:r>
      <w:r w:rsidRPr="008D7DBA">
        <w:rPr>
          <w:rFonts w:ascii="Arial" w:hAnsi="Arial" w:cs="Arial"/>
        </w:rPr>
        <w:t xml:space="preserve"> or </w:t>
      </w:r>
      <w:r w:rsidR="0095452D" w:rsidRPr="008D7DBA">
        <w:rPr>
          <w:rFonts w:ascii="Arial" w:hAnsi="Arial" w:cs="Arial"/>
        </w:rPr>
        <w:t xml:space="preserve">the </w:t>
      </w:r>
      <w:r w:rsidRPr="008D7DBA">
        <w:rPr>
          <w:rFonts w:ascii="Arial" w:hAnsi="Arial" w:cs="Arial"/>
        </w:rPr>
        <w:t>acquisition of a complement</w:t>
      </w:r>
      <w:r w:rsidR="0095452D" w:rsidRPr="008D7DBA">
        <w:rPr>
          <w:rFonts w:ascii="Arial" w:hAnsi="Arial" w:cs="Arial"/>
        </w:rPr>
        <w:t>ary</w:t>
      </w:r>
      <w:r w:rsidRPr="008D7DBA">
        <w:rPr>
          <w:rFonts w:ascii="Arial" w:hAnsi="Arial" w:cs="Arial"/>
        </w:rPr>
        <w:t xml:space="preserve"> company to venture into new markets or product lines.</w:t>
      </w:r>
    </w:p>
    <w:p w14:paraId="29C1CE3D" w14:textId="24EE4419" w:rsidR="00880AD3" w:rsidRPr="008D7DBA" w:rsidRDefault="00880AD3" w:rsidP="00880AD3">
      <w:pPr>
        <w:rPr>
          <w:rFonts w:ascii="Arial" w:hAnsi="Arial" w:cs="Arial"/>
        </w:rPr>
      </w:pPr>
      <w:r w:rsidRPr="008D7DBA">
        <w:rPr>
          <w:rFonts w:ascii="Arial" w:hAnsi="Arial" w:cs="Arial"/>
        </w:rPr>
        <w:t>Pros</w:t>
      </w:r>
    </w:p>
    <w:p w14:paraId="44FF012F" w14:textId="70EA892F" w:rsidR="00880AD3" w:rsidRPr="008D7DBA" w:rsidRDefault="00880AD3" w:rsidP="00FA5797">
      <w:pPr>
        <w:pStyle w:val="ListParagraph"/>
        <w:numPr>
          <w:ilvl w:val="0"/>
          <w:numId w:val="8"/>
        </w:numPr>
        <w:rPr>
          <w:rFonts w:ascii="Arial" w:hAnsi="Arial" w:cs="Arial"/>
        </w:rPr>
      </w:pPr>
      <w:r w:rsidRPr="008D7DBA">
        <w:rPr>
          <w:rFonts w:ascii="Arial" w:hAnsi="Arial" w:cs="Arial"/>
        </w:rPr>
        <w:t xml:space="preserve">Market Expansion: This may be a merger or acquisition which </w:t>
      </w:r>
      <w:r w:rsidR="0095452D" w:rsidRPr="008D7DBA">
        <w:rPr>
          <w:rFonts w:ascii="Arial" w:hAnsi="Arial" w:cs="Arial"/>
        </w:rPr>
        <w:t>gives</w:t>
      </w:r>
      <w:r w:rsidRPr="008D7DBA">
        <w:rPr>
          <w:rFonts w:ascii="Arial" w:hAnsi="Arial" w:cs="Arial"/>
        </w:rPr>
        <w:t xml:space="preserve"> access to new markets, new technologies or access to new parts of the population</w:t>
      </w:r>
      <w:r w:rsidR="0058089E" w:rsidRPr="008D7DBA">
        <w:rPr>
          <w:rFonts w:ascii="Arial" w:hAnsi="Arial" w:cs="Arial"/>
        </w:rPr>
        <w:t xml:space="preserve"> </w:t>
      </w:r>
      <w:r w:rsidR="0058089E" w:rsidRPr="008D7DBA">
        <w:rPr>
          <w:rFonts w:ascii="Arial" w:hAnsi="Arial" w:cs="Arial"/>
          <w:shd w:val="clear" w:color="auto" w:fill="FFFFFF"/>
        </w:rPr>
        <w:t>(Potharla, 2025)</w:t>
      </w:r>
      <w:r w:rsidRPr="008D7DBA">
        <w:rPr>
          <w:rFonts w:ascii="Arial" w:hAnsi="Arial" w:cs="Arial"/>
        </w:rPr>
        <w:t>.</w:t>
      </w:r>
    </w:p>
    <w:p w14:paraId="119E7D8F" w14:textId="146EE2C5" w:rsidR="00880AD3" w:rsidRPr="008D7DBA" w:rsidRDefault="00880AD3" w:rsidP="00FA5797">
      <w:pPr>
        <w:pStyle w:val="ListParagraph"/>
        <w:numPr>
          <w:ilvl w:val="0"/>
          <w:numId w:val="8"/>
        </w:numPr>
        <w:rPr>
          <w:rFonts w:ascii="Arial" w:hAnsi="Arial" w:cs="Arial"/>
        </w:rPr>
      </w:pPr>
      <w:r w:rsidRPr="008D7DBA">
        <w:rPr>
          <w:rFonts w:ascii="Arial" w:hAnsi="Arial" w:cs="Arial"/>
        </w:rPr>
        <w:t>Synergies and cost savings: Mergers lead to economies of scale</w:t>
      </w:r>
      <w:r w:rsidR="0095452D" w:rsidRPr="008D7DBA">
        <w:rPr>
          <w:rFonts w:ascii="Arial" w:hAnsi="Arial" w:cs="Arial"/>
        </w:rPr>
        <w:t>,</w:t>
      </w:r>
      <w:r w:rsidRPr="008D7DBA">
        <w:rPr>
          <w:rFonts w:ascii="Arial" w:hAnsi="Arial" w:cs="Arial"/>
        </w:rPr>
        <w:t xml:space="preserve"> which lead to saving</w:t>
      </w:r>
      <w:r w:rsidR="0095452D" w:rsidRPr="008D7DBA">
        <w:rPr>
          <w:rFonts w:ascii="Arial" w:hAnsi="Arial" w:cs="Arial"/>
        </w:rPr>
        <w:t>s</w:t>
      </w:r>
      <w:r w:rsidRPr="008D7DBA">
        <w:rPr>
          <w:rFonts w:ascii="Arial" w:hAnsi="Arial" w:cs="Arial"/>
        </w:rPr>
        <w:t xml:space="preserve"> on overhead and cost of operations.</w:t>
      </w:r>
    </w:p>
    <w:p w14:paraId="20FFF655" w14:textId="51AFB3BB" w:rsidR="00880AD3" w:rsidRPr="008D7DBA" w:rsidRDefault="00880AD3" w:rsidP="00880AD3">
      <w:pPr>
        <w:rPr>
          <w:rFonts w:ascii="Arial" w:hAnsi="Arial" w:cs="Arial"/>
        </w:rPr>
      </w:pPr>
      <w:r w:rsidRPr="008D7DBA">
        <w:rPr>
          <w:rFonts w:ascii="Arial" w:hAnsi="Arial" w:cs="Arial"/>
        </w:rPr>
        <w:t>Cons</w:t>
      </w:r>
    </w:p>
    <w:p w14:paraId="2A5F7340" w14:textId="4C3E8E27" w:rsidR="00880AD3" w:rsidRPr="008D7DBA" w:rsidRDefault="00880AD3" w:rsidP="00FA5797">
      <w:pPr>
        <w:pStyle w:val="ListParagraph"/>
        <w:numPr>
          <w:ilvl w:val="0"/>
          <w:numId w:val="9"/>
        </w:numPr>
        <w:rPr>
          <w:rFonts w:ascii="Arial" w:hAnsi="Arial" w:cs="Arial"/>
        </w:rPr>
      </w:pPr>
      <w:r w:rsidRPr="008D7DBA">
        <w:rPr>
          <w:rFonts w:ascii="Arial" w:hAnsi="Arial" w:cs="Arial"/>
        </w:rPr>
        <w:t>Integration Risks: Mergers and acquisitions are characteri</w:t>
      </w:r>
      <w:r w:rsidR="0095452D" w:rsidRPr="008D7DBA">
        <w:rPr>
          <w:rFonts w:ascii="Arial" w:hAnsi="Arial" w:cs="Arial"/>
        </w:rPr>
        <w:t>s</w:t>
      </w:r>
      <w:r w:rsidRPr="008D7DBA">
        <w:rPr>
          <w:rFonts w:ascii="Arial" w:hAnsi="Arial" w:cs="Arial"/>
        </w:rPr>
        <w:t xml:space="preserve">ed </w:t>
      </w:r>
      <w:r w:rsidR="0095452D" w:rsidRPr="008D7DBA">
        <w:rPr>
          <w:rFonts w:ascii="Arial" w:hAnsi="Arial" w:cs="Arial"/>
        </w:rPr>
        <w:t>by</w:t>
      </w:r>
      <w:r w:rsidRPr="008D7DBA">
        <w:rPr>
          <w:rFonts w:ascii="Arial" w:hAnsi="Arial" w:cs="Arial"/>
        </w:rPr>
        <w:t xml:space="preserve"> integration risks, such as differences in cultures, inefficiencies in operations, and los</w:t>
      </w:r>
      <w:r w:rsidR="0095452D" w:rsidRPr="008D7DBA">
        <w:rPr>
          <w:rFonts w:ascii="Arial" w:hAnsi="Arial" w:cs="Arial"/>
        </w:rPr>
        <w:t>s</w:t>
      </w:r>
      <w:r w:rsidRPr="008D7DBA">
        <w:rPr>
          <w:rFonts w:ascii="Arial" w:hAnsi="Arial" w:cs="Arial"/>
        </w:rPr>
        <w:t xml:space="preserve"> of key talent.</w:t>
      </w:r>
    </w:p>
    <w:p w14:paraId="5048C25D" w14:textId="60E02413" w:rsidR="00880AD3" w:rsidRPr="008D7DBA" w:rsidRDefault="00880AD3" w:rsidP="00880AD3">
      <w:pPr>
        <w:pStyle w:val="ListParagraph"/>
        <w:numPr>
          <w:ilvl w:val="0"/>
          <w:numId w:val="9"/>
        </w:numPr>
        <w:rPr>
          <w:rFonts w:ascii="Arial" w:hAnsi="Arial" w:cs="Arial"/>
        </w:rPr>
      </w:pPr>
      <w:r w:rsidRPr="008D7DBA">
        <w:rPr>
          <w:rFonts w:ascii="Arial" w:hAnsi="Arial" w:cs="Arial"/>
        </w:rPr>
        <w:t xml:space="preserve">Cultural Clashes: </w:t>
      </w:r>
      <w:r w:rsidR="009D511F" w:rsidRPr="008D7DBA">
        <w:rPr>
          <w:rFonts w:ascii="Arial" w:hAnsi="Arial" w:cs="Arial"/>
        </w:rPr>
        <w:t>If</w:t>
      </w:r>
      <w:r w:rsidRPr="008D7DBA">
        <w:rPr>
          <w:rFonts w:ascii="Arial" w:hAnsi="Arial" w:cs="Arial"/>
        </w:rPr>
        <w:t xml:space="preserve"> the corporate culture of the merger target is very different, it will cause a high turnover rate and difficulties in terms of adopting business strategies</w:t>
      </w:r>
      <w:r w:rsidR="0058089E" w:rsidRPr="008D7DBA">
        <w:rPr>
          <w:rFonts w:ascii="Arial" w:hAnsi="Arial" w:cs="Arial"/>
        </w:rPr>
        <w:t xml:space="preserve"> </w:t>
      </w:r>
      <w:r w:rsidR="0058089E" w:rsidRPr="008D7DBA">
        <w:rPr>
          <w:rFonts w:ascii="Arial" w:hAnsi="Arial" w:cs="Arial"/>
          <w:shd w:val="clear" w:color="auto" w:fill="FFFFFF"/>
        </w:rPr>
        <w:t>(Pham et al., 2021)</w:t>
      </w:r>
      <w:r w:rsidRPr="008D7DBA">
        <w:rPr>
          <w:rFonts w:ascii="Arial" w:hAnsi="Arial" w:cs="Arial"/>
        </w:rPr>
        <w:t>.</w:t>
      </w:r>
    </w:p>
    <w:p w14:paraId="12554D4B" w14:textId="5BDAFE4E" w:rsidR="00880AD3" w:rsidRPr="008D7DBA" w:rsidRDefault="0071222E" w:rsidP="00505862">
      <w:pPr>
        <w:pStyle w:val="Heading2"/>
        <w:rPr>
          <w:rFonts w:ascii="Arial" w:hAnsi="Arial" w:cs="Arial"/>
        </w:rPr>
      </w:pPr>
      <w:bookmarkStart w:id="25" w:name="_Toc216380887"/>
      <w:r w:rsidRPr="008D7DBA">
        <w:rPr>
          <w:rFonts w:ascii="Arial" w:hAnsi="Arial" w:cs="Arial"/>
        </w:rPr>
        <w:t xml:space="preserve">4.2 </w:t>
      </w:r>
      <w:r w:rsidR="00880AD3" w:rsidRPr="008D7DBA">
        <w:rPr>
          <w:rFonts w:ascii="Arial" w:hAnsi="Arial" w:cs="Arial"/>
        </w:rPr>
        <w:t>Effects on Shareholder Value, Debt Structure, and Operating Flexibility</w:t>
      </w:r>
      <w:bookmarkEnd w:id="25"/>
    </w:p>
    <w:p w14:paraId="01382AAB" w14:textId="7C971443" w:rsidR="00880AD3" w:rsidRPr="008D7DBA" w:rsidRDefault="00880AD3" w:rsidP="00880AD3">
      <w:pPr>
        <w:rPr>
          <w:rFonts w:ascii="Arial" w:hAnsi="Arial" w:cs="Arial"/>
        </w:rPr>
      </w:pPr>
      <w:r w:rsidRPr="008D7DBA">
        <w:rPr>
          <w:rFonts w:ascii="Arial" w:hAnsi="Arial" w:cs="Arial"/>
          <w:b/>
          <w:bCs/>
          <w:i/>
          <w:iCs/>
        </w:rPr>
        <w:t>Shareholder Value</w:t>
      </w:r>
      <w:r w:rsidR="00505862" w:rsidRPr="008D7DBA">
        <w:rPr>
          <w:rFonts w:ascii="Arial" w:hAnsi="Arial" w:cs="Arial"/>
          <w:b/>
          <w:bCs/>
          <w:i/>
          <w:iCs/>
        </w:rPr>
        <w:t>:</w:t>
      </w:r>
      <w:r w:rsidR="00505862" w:rsidRPr="008D7DBA">
        <w:rPr>
          <w:rFonts w:ascii="Arial" w:hAnsi="Arial" w:cs="Arial"/>
        </w:rPr>
        <w:t xml:space="preserve"> </w:t>
      </w:r>
      <w:r w:rsidRPr="008D7DBA">
        <w:rPr>
          <w:rFonts w:ascii="Arial" w:hAnsi="Arial" w:cs="Arial"/>
        </w:rPr>
        <w:t>The restructuring alternatives that this research has proposed, especially those involving equity injection and divestiture</w:t>
      </w:r>
      <w:r w:rsidR="0095452D" w:rsidRPr="008D7DBA">
        <w:rPr>
          <w:rFonts w:ascii="Arial" w:hAnsi="Arial" w:cs="Arial"/>
        </w:rPr>
        <w:t>,</w:t>
      </w:r>
      <w:r w:rsidRPr="008D7DBA">
        <w:rPr>
          <w:rFonts w:ascii="Arial" w:hAnsi="Arial" w:cs="Arial"/>
        </w:rPr>
        <w:t xml:space="preserve"> will impact shareholder value will be mixed</w:t>
      </w:r>
      <w:r w:rsidR="0058089E" w:rsidRPr="008D7DBA">
        <w:rPr>
          <w:rFonts w:ascii="Arial" w:hAnsi="Arial" w:cs="Arial"/>
        </w:rPr>
        <w:t xml:space="preserve"> </w:t>
      </w:r>
      <w:r w:rsidR="0058089E" w:rsidRPr="008D7DBA">
        <w:rPr>
          <w:rFonts w:ascii="Arial" w:hAnsi="Arial" w:cs="Arial"/>
          <w:shd w:val="clear" w:color="auto" w:fill="FFFFFF"/>
        </w:rPr>
        <w:t>(Pendar et al., 2019)</w:t>
      </w:r>
      <w:r w:rsidRPr="008D7DBA">
        <w:rPr>
          <w:rFonts w:ascii="Arial" w:hAnsi="Arial" w:cs="Arial"/>
        </w:rPr>
        <w:t>. Although dilution of ownership would occur with an equity injection, the result, which will be a better financial performance of the company, less debt burden, would provide better long-term returns to shareholders</w:t>
      </w:r>
      <w:r w:rsidR="0058089E" w:rsidRPr="008D7DBA">
        <w:rPr>
          <w:rFonts w:ascii="Arial" w:hAnsi="Arial" w:cs="Arial"/>
        </w:rPr>
        <w:t xml:space="preserve"> </w:t>
      </w:r>
      <w:r w:rsidR="0058089E" w:rsidRPr="008D7DBA">
        <w:rPr>
          <w:rFonts w:ascii="Arial" w:hAnsi="Arial" w:cs="Arial"/>
          <w:shd w:val="clear" w:color="auto" w:fill="FFFFFF"/>
        </w:rPr>
        <w:t xml:space="preserve">(Flickinger and </w:t>
      </w:r>
      <w:r w:rsidR="0058089E" w:rsidRPr="008D7DBA">
        <w:rPr>
          <w:rFonts w:ascii="Arial" w:hAnsi="Arial" w:cs="Arial"/>
          <w:shd w:val="clear" w:color="auto" w:fill="FFFFFF"/>
        </w:rPr>
        <w:lastRenderedPageBreak/>
        <w:t>Zschoche, 2018)</w:t>
      </w:r>
      <w:r w:rsidRPr="008D7DBA">
        <w:rPr>
          <w:rFonts w:ascii="Arial" w:hAnsi="Arial" w:cs="Arial"/>
        </w:rPr>
        <w:t>. The sale of non-core assets would also unlock value creation through concentrating on other</w:t>
      </w:r>
      <w:r w:rsidR="0095452D" w:rsidRPr="008D7DBA">
        <w:rPr>
          <w:rFonts w:ascii="Arial" w:hAnsi="Arial" w:cs="Arial"/>
        </w:rPr>
        <w:t>,</w:t>
      </w:r>
      <w:r w:rsidRPr="008D7DBA">
        <w:rPr>
          <w:rFonts w:ascii="Arial" w:hAnsi="Arial" w:cs="Arial"/>
        </w:rPr>
        <w:t xml:space="preserve"> more profitable portions of the business. Nonetheless, the loss of control and the possible decrease of stock prices in the short term can influence the attitude of investors, which should be regulated.</w:t>
      </w:r>
    </w:p>
    <w:p w14:paraId="22AD69FF" w14:textId="5FC7AC7B" w:rsidR="00880AD3" w:rsidRPr="008D7DBA" w:rsidRDefault="00880AD3" w:rsidP="00880AD3">
      <w:pPr>
        <w:rPr>
          <w:rFonts w:ascii="Arial" w:hAnsi="Arial" w:cs="Arial"/>
        </w:rPr>
      </w:pPr>
      <w:r w:rsidRPr="008D7DBA">
        <w:rPr>
          <w:rFonts w:ascii="Arial" w:hAnsi="Arial" w:cs="Arial"/>
          <w:b/>
          <w:bCs/>
          <w:i/>
          <w:iCs/>
        </w:rPr>
        <w:t>Debt Structure</w:t>
      </w:r>
      <w:r w:rsidR="00505862" w:rsidRPr="008D7DBA">
        <w:rPr>
          <w:rFonts w:ascii="Arial" w:hAnsi="Arial" w:cs="Arial"/>
        </w:rPr>
        <w:t xml:space="preserve">: </w:t>
      </w:r>
      <w:r w:rsidRPr="008D7DBA">
        <w:rPr>
          <w:rFonts w:ascii="Arial" w:hAnsi="Arial" w:cs="Arial"/>
        </w:rPr>
        <w:t xml:space="preserve">The advised debt restructuring and equity injection alternatives would have a far-reaching effect on the debt structure of the company. Restructuring of the debt would minimise the financial risk through increasing the repayment plans and through </w:t>
      </w:r>
      <w:r w:rsidR="0095452D" w:rsidRPr="008D7DBA">
        <w:rPr>
          <w:rFonts w:ascii="Arial" w:hAnsi="Arial" w:cs="Arial"/>
        </w:rPr>
        <w:t xml:space="preserve">a </w:t>
      </w:r>
      <w:r w:rsidRPr="008D7DBA">
        <w:rPr>
          <w:rFonts w:ascii="Arial" w:hAnsi="Arial" w:cs="Arial"/>
        </w:rPr>
        <w:t xml:space="preserve">decline </w:t>
      </w:r>
      <w:r w:rsidR="0095452D" w:rsidRPr="008D7DBA">
        <w:rPr>
          <w:rFonts w:ascii="Arial" w:hAnsi="Arial" w:cs="Arial"/>
        </w:rPr>
        <w:t>in</w:t>
      </w:r>
      <w:r w:rsidRPr="008D7DBA">
        <w:rPr>
          <w:rFonts w:ascii="Arial" w:hAnsi="Arial" w:cs="Arial"/>
        </w:rPr>
        <w:t xml:space="preserve"> interest</w:t>
      </w:r>
      <w:r w:rsidR="0095452D" w:rsidRPr="008D7DBA">
        <w:rPr>
          <w:rFonts w:ascii="Arial" w:hAnsi="Arial" w:cs="Arial"/>
        </w:rPr>
        <w:t xml:space="preserve"> rates</w:t>
      </w:r>
      <w:r w:rsidR="0058089E" w:rsidRPr="008D7DBA">
        <w:rPr>
          <w:rFonts w:ascii="Arial" w:hAnsi="Arial" w:cs="Arial"/>
        </w:rPr>
        <w:t xml:space="preserve"> </w:t>
      </w:r>
      <w:r w:rsidR="0058089E" w:rsidRPr="008D7DBA">
        <w:rPr>
          <w:rFonts w:ascii="Arial" w:hAnsi="Arial" w:cs="Arial"/>
          <w:shd w:val="clear" w:color="auto" w:fill="FFFFFF"/>
        </w:rPr>
        <w:t>(Potharla, 2025)</w:t>
      </w:r>
      <w:r w:rsidRPr="008D7DBA">
        <w:rPr>
          <w:rFonts w:ascii="Arial" w:hAnsi="Arial" w:cs="Arial"/>
        </w:rPr>
        <w:t xml:space="preserve">. </w:t>
      </w:r>
      <w:r w:rsidR="0095452D" w:rsidRPr="008D7DBA">
        <w:rPr>
          <w:rFonts w:ascii="Arial" w:hAnsi="Arial" w:cs="Arial"/>
        </w:rPr>
        <w:t>An i</w:t>
      </w:r>
      <w:r w:rsidRPr="008D7DBA">
        <w:rPr>
          <w:rFonts w:ascii="Arial" w:hAnsi="Arial" w:cs="Arial"/>
        </w:rPr>
        <w:t>ncrease in equity injections would also lower the dependence of debt by the business, lower the Debt-Equity Ratio and reduce financial leverage. This would place General Electronics in a better financial position to tap capital markets in the future on more favourable terms.</w:t>
      </w:r>
    </w:p>
    <w:p w14:paraId="45DCFF34" w14:textId="17924315" w:rsidR="00880AD3" w:rsidRPr="008D7DBA" w:rsidRDefault="00880AD3" w:rsidP="00880AD3">
      <w:pPr>
        <w:rPr>
          <w:rFonts w:ascii="Arial" w:hAnsi="Arial" w:cs="Arial"/>
        </w:rPr>
      </w:pPr>
      <w:r w:rsidRPr="008D7DBA">
        <w:rPr>
          <w:rFonts w:ascii="Arial" w:hAnsi="Arial" w:cs="Arial"/>
          <w:b/>
          <w:bCs/>
          <w:i/>
          <w:iCs/>
        </w:rPr>
        <w:t>Operational Flexibility</w:t>
      </w:r>
      <w:r w:rsidR="00505862" w:rsidRPr="008D7DBA">
        <w:rPr>
          <w:rFonts w:ascii="Arial" w:hAnsi="Arial" w:cs="Arial"/>
        </w:rPr>
        <w:t xml:space="preserve">: </w:t>
      </w:r>
      <w:r w:rsidRPr="008D7DBA">
        <w:rPr>
          <w:rFonts w:ascii="Arial" w:hAnsi="Arial" w:cs="Arial"/>
        </w:rPr>
        <w:t xml:space="preserve">There will be an increase </w:t>
      </w:r>
      <w:r w:rsidR="0095452D" w:rsidRPr="008D7DBA">
        <w:rPr>
          <w:rFonts w:ascii="Arial" w:hAnsi="Arial" w:cs="Arial"/>
        </w:rPr>
        <w:t>in</w:t>
      </w:r>
      <w:r w:rsidRPr="008D7DBA">
        <w:rPr>
          <w:rFonts w:ascii="Arial" w:hAnsi="Arial" w:cs="Arial"/>
        </w:rPr>
        <w:t xml:space="preserve"> operational flexibility after the restructuring. The company can sell the non</w:t>
      </w:r>
      <w:r w:rsidR="0095452D" w:rsidRPr="008D7DBA">
        <w:rPr>
          <w:rFonts w:ascii="Arial" w:hAnsi="Arial" w:cs="Arial"/>
        </w:rPr>
        <w:t>-</w:t>
      </w:r>
      <w:r w:rsidRPr="008D7DBA">
        <w:rPr>
          <w:rFonts w:ascii="Arial" w:hAnsi="Arial" w:cs="Arial"/>
        </w:rPr>
        <w:t>core assets</w:t>
      </w:r>
      <w:r w:rsidR="0095452D" w:rsidRPr="008D7DBA">
        <w:rPr>
          <w:rFonts w:ascii="Arial" w:hAnsi="Arial" w:cs="Arial"/>
        </w:rPr>
        <w:t>,</w:t>
      </w:r>
      <w:r w:rsidRPr="008D7DBA">
        <w:rPr>
          <w:rFonts w:ascii="Arial" w:hAnsi="Arial" w:cs="Arial"/>
        </w:rPr>
        <w:t xml:space="preserve"> hence enabling it to concentrate on the best and strategic business units</w:t>
      </w:r>
      <w:r w:rsidR="0095452D" w:rsidRPr="008D7DBA">
        <w:rPr>
          <w:rFonts w:ascii="Arial" w:hAnsi="Arial" w:cs="Arial"/>
        </w:rPr>
        <w:t>,</w:t>
      </w:r>
      <w:r w:rsidRPr="008D7DBA">
        <w:rPr>
          <w:rFonts w:ascii="Arial" w:hAnsi="Arial" w:cs="Arial"/>
        </w:rPr>
        <w:t xml:space="preserve"> which are likely to generate profits. Also, the enhanced liquidity due to equity infusion and lowered cost of serv</w:t>
      </w:r>
      <w:r w:rsidR="0095452D" w:rsidRPr="008D7DBA">
        <w:rPr>
          <w:rFonts w:ascii="Arial" w:hAnsi="Arial" w:cs="Arial"/>
        </w:rPr>
        <w:t>ic</w:t>
      </w:r>
      <w:r w:rsidRPr="008D7DBA">
        <w:rPr>
          <w:rFonts w:ascii="Arial" w:hAnsi="Arial" w:cs="Arial"/>
        </w:rPr>
        <w:t>ing debts will offer the company increased freedom to invest in innovation, enhance operations and adapt to new market conditions</w:t>
      </w:r>
      <w:r w:rsidR="0058089E" w:rsidRPr="008D7DBA">
        <w:rPr>
          <w:rFonts w:ascii="Arial" w:hAnsi="Arial" w:cs="Arial"/>
        </w:rPr>
        <w:t xml:space="preserve"> </w:t>
      </w:r>
      <w:r w:rsidR="0058089E" w:rsidRPr="008D7DBA">
        <w:rPr>
          <w:rFonts w:ascii="Arial" w:hAnsi="Arial" w:cs="Arial"/>
          <w:shd w:val="clear" w:color="auto" w:fill="FFFFFF"/>
        </w:rPr>
        <w:t>(Wang, 2024)</w:t>
      </w:r>
      <w:r w:rsidRPr="008D7DBA">
        <w:rPr>
          <w:rFonts w:ascii="Arial" w:hAnsi="Arial" w:cs="Arial"/>
        </w:rPr>
        <w:t>. The restructuring of debt will relieve financial pressure on the daily operations of the company so that the company is not burdened by interest payments and the repayment of debts.</w:t>
      </w:r>
    </w:p>
    <w:p w14:paraId="4A374A47" w14:textId="666EC3ED" w:rsidR="00880AD3" w:rsidRPr="008D7DBA" w:rsidRDefault="0071222E" w:rsidP="00505862">
      <w:pPr>
        <w:pStyle w:val="Heading2"/>
        <w:rPr>
          <w:rFonts w:ascii="Arial" w:hAnsi="Arial" w:cs="Arial"/>
        </w:rPr>
      </w:pPr>
      <w:bookmarkStart w:id="26" w:name="_Toc216380888"/>
      <w:r w:rsidRPr="008D7DBA">
        <w:rPr>
          <w:rFonts w:ascii="Arial" w:hAnsi="Arial" w:cs="Arial"/>
        </w:rPr>
        <w:t xml:space="preserve">4.3 </w:t>
      </w:r>
      <w:r w:rsidR="00880AD3" w:rsidRPr="008D7DBA">
        <w:rPr>
          <w:rFonts w:ascii="Arial" w:hAnsi="Arial" w:cs="Arial"/>
        </w:rPr>
        <w:t>International and Ethical Issues</w:t>
      </w:r>
      <w:bookmarkEnd w:id="26"/>
    </w:p>
    <w:p w14:paraId="338EB5EA" w14:textId="7D611A52" w:rsidR="00880AD3" w:rsidRPr="008D7DBA" w:rsidRDefault="00880AD3" w:rsidP="00880AD3">
      <w:pPr>
        <w:rPr>
          <w:rFonts w:ascii="Arial" w:hAnsi="Arial" w:cs="Arial"/>
        </w:rPr>
      </w:pPr>
      <w:r w:rsidRPr="008D7DBA">
        <w:rPr>
          <w:rFonts w:ascii="Arial" w:hAnsi="Arial" w:cs="Arial"/>
          <w:b/>
          <w:bCs/>
          <w:i/>
          <w:iCs/>
        </w:rPr>
        <w:t>Taxation and Currency Risk</w:t>
      </w:r>
      <w:r w:rsidR="00505862" w:rsidRPr="008D7DBA">
        <w:rPr>
          <w:rFonts w:ascii="Arial" w:hAnsi="Arial" w:cs="Arial"/>
        </w:rPr>
        <w:t xml:space="preserve">: </w:t>
      </w:r>
      <w:r w:rsidRPr="008D7DBA">
        <w:rPr>
          <w:rFonts w:ascii="Arial" w:hAnsi="Arial" w:cs="Arial"/>
        </w:rPr>
        <w:t xml:space="preserve">General Electronics has a presence in several international markets, and hence, it </w:t>
      </w:r>
      <w:r w:rsidR="009D511F" w:rsidRPr="008D7DBA">
        <w:rPr>
          <w:rFonts w:ascii="Arial" w:hAnsi="Arial" w:cs="Arial"/>
        </w:rPr>
        <w:t>must</w:t>
      </w:r>
      <w:r w:rsidRPr="008D7DBA">
        <w:rPr>
          <w:rFonts w:ascii="Arial" w:hAnsi="Arial" w:cs="Arial"/>
        </w:rPr>
        <w:t xml:space="preserve"> take into consideration taxation implication</w:t>
      </w:r>
      <w:r w:rsidR="0095452D" w:rsidRPr="008D7DBA">
        <w:rPr>
          <w:rFonts w:ascii="Arial" w:hAnsi="Arial" w:cs="Arial"/>
        </w:rPr>
        <w:t>s</w:t>
      </w:r>
      <w:r w:rsidRPr="008D7DBA">
        <w:rPr>
          <w:rFonts w:ascii="Arial" w:hAnsi="Arial" w:cs="Arial"/>
        </w:rPr>
        <w:t xml:space="preserve"> and currency risk when undertaking the restructuring process</w:t>
      </w:r>
      <w:r w:rsidR="0058089E" w:rsidRPr="008D7DBA">
        <w:rPr>
          <w:rFonts w:ascii="Arial" w:hAnsi="Arial" w:cs="Arial"/>
        </w:rPr>
        <w:t xml:space="preserve"> </w:t>
      </w:r>
      <w:r w:rsidR="0058089E" w:rsidRPr="008D7DBA">
        <w:rPr>
          <w:rFonts w:ascii="Arial" w:hAnsi="Arial" w:cs="Arial"/>
          <w:shd w:val="clear" w:color="auto" w:fill="FFFFFF"/>
        </w:rPr>
        <w:t>(Charupat and Sarkar, 2025)</w:t>
      </w:r>
      <w:r w:rsidRPr="008D7DBA">
        <w:rPr>
          <w:rFonts w:ascii="Arial" w:hAnsi="Arial" w:cs="Arial"/>
        </w:rPr>
        <w:t>. Tax advantages may be reali</w:t>
      </w:r>
      <w:r w:rsidR="0095452D" w:rsidRPr="008D7DBA">
        <w:rPr>
          <w:rFonts w:ascii="Arial" w:hAnsi="Arial" w:cs="Arial"/>
        </w:rPr>
        <w:t>s</w:t>
      </w:r>
      <w:r w:rsidRPr="008D7DBA">
        <w:rPr>
          <w:rFonts w:ascii="Arial" w:hAnsi="Arial" w:cs="Arial"/>
        </w:rPr>
        <w:t>ed on debt financing</w:t>
      </w:r>
      <w:r w:rsidR="0095452D" w:rsidRPr="008D7DBA">
        <w:rPr>
          <w:rFonts w:ascii="Arial" w:hAnsi="Arial" w:cs="Arial"/>
        </w:rPr>
        <w:t>,</w:t>
      </w:r>
      <w:r w:rsidRPr="008D7DBA">
        <w:rPr>
          <w:rFonts w:ascii="Arial" w:hAnsi="Arial" w:cs="Arial"/>
        </w:rPr>
        <w:t xml:space="preserve"> whereby payment of interest is deductible. Nonetheless, overdependence on debt might put the company at risk of paying high taxes in case the debt levels are not properly administered. Also, currency risks due to changes in the exchange rate might include profits and asset values, especially when the company has </w:t>
      </w:r>
      <w:r w:rsidR="009D511F" w:rsidRPr="008D7DBA">
        <w:rPr>
          <w:rFonts w:ascii="Arial" w:hAnsi="Arial" w:cs="Arial"/>
        </w:rPr>
        <w:t>many</w:t>
      </w:r>
      <w:r w:rsidRPr="008D7DBA">
        <w:rPr>
          <w:rFonts w:ascii="Arial" w:hAnsi="Arial" w:cs="Arial"/>
        </w:rPr>
        <w:t xml:space="preserve"> activities or assets overseas. One of the ways to reduce such a risk is through hedging.</w:t>
      </w:r>
    </w:p>
    <w:p w14:paraId="10AE2E4F" w14:textId="6A75A93C" w:rsidR="00880AD3" w:rsidRPr="008D7DBA" w:rsidRDefault="00880AD3" w:rsidP="00880AD3">
      <w:pPr>
        <w:rPr>
          <w:rFonts w:ascii="Arial" w:hAnsi="Arial" w:cs="Arial"/>
        </w:rPr>
      </w:pPr>
      <w:r w:rsidRPr="008D7DBA">
        <w:rPr>
          <w:rFonts w:ascii="Arial" w:hAnsi="Arial" w:cs="Arial"/>
          <w:b/>
          <w:bCs/>
          <w:i/>
          <w:iCs/>
        </w:rPr>
        <w:lastRenderedPageBreak/>
        <w:t>Inflation</w:t>
      </w:r>
      <w:r w:rsidR="00505862" w:rsidRPr="008D7DBA">
        <w:rPr>
          <w:rFonts w:ascii="Arial" w:hAnsi="Arial" w:cs="Arial"/>
        </w:rPr>
        <w:t xml:space="preserve">: </w:t>
      </w:r>
      <w:r w:rsidRPr="008D7DBA">
        <w:rPr>
          <w:rFonts w:ascii="Arial" w:hAnsi="Arial" w:cs="Arial"/>
        </w:rPr>
        <w:t>Another important factor to be considered in the process of restructuring is the inflation factor. The increasing inflation might lead to a high expense of raw materials, labo</w:t>
      </w:r>
      <w:r w:rsidR="0095452D" w:rsidRPr="008D7DBA">
        <w:rPr>
          <w:rFonts w:ascii="Arial" w:hAnsi="Arial" w:cs="Arial"/>
        </w:rPr>
        <w:t>u</w:t>
      </w:r>
      <w:r w:rsidRPr="008D7DBA">
        <w:rPr>
          <w:rFonts w:ascii="Arial" w:hAnsi="Arial" w:cs="Arial"/>
        </w:rPr>
        <w:t>r, and other inputs, which might be harmful to profit margins</w:t>
      </w:r>
      <w:r w:rsidR="0058089E" w:rsidRPr="008D7DBA">
        <w:rPr>
          <w:rFonts w:ascii="Arial" w:hAnsi="Arial" w:cs="Arial"/>
        </w:rPr>
        <w:t xml:space="preserve"> </w:t>
      </w:r>
      <w:r w:rsidR="0058089E" w:rsidRPr="008D7DBA">
        <w:rPr>
          <w:rFonts w:ascii="Arial" w:hAnsi="Arial" w:cs="Arial"/>
          <w:shd w:val="clear" w:color="auto" w:fill="FFFFFF"/>
        </w:rPr>
        <w:t>(Ritchken and Wu, 2021)</w:t>
      </w:r>
      <w:r w:rsidRPr="008D7DBA">
        <w:rPr>
          <w:rFonts w:ascii="Arial" w:hAnsi="Arial" w:cs="Arial"/>
        </w:rPr>
        <w:t xml:space="preserve">. General Electronics needs to factor in </w:t>
      </w:r>
      <w:r w:rsidR="0095452D" w:rsidRPr="008D7DBA">
        <w:rPr>
          <w:rFonts w:ascii="Arial" w:hAnsi="Arial" w:cs="Arial"/>
        </w:rPr>
        <w:t xml:space="preserve">the </w:t>
      </w:r>
      <w:r w:rsidRPr="008D7DBA">
        <w:rPr>
          <w:rFonts w:ascii="Arial" w:hAnsi="Arial" w:cs="Arial"/>
        </w:rPr>
        <w:t xml:space="preserve">inflationary pressure of its pricing strategy and supply-chain management. Another opportunity that the firm can </w:t>
      </w:r>
      <w:r w:rsidR="009D511F" w:rsidRPr="008D7DBA">
        <w:rPr>
          <w:rFonts w:ascii="Arial" w:hAnsi="Arial" w:cs="Arial"/>
        </w:rPr>
        <w:t>investigate</w:t>
      </w:r>
      <w:r w:rsidRPr="008D7DBA">
        <w:rPr>
          <w:rFonts w:ascii="Arial" w:hAnsi="Arial" w:cs="Arial"/>
        </w:rPr>
        <w:t xml:space="preserve"> is hedging </w:t>
      </w:r>
      <w:r w:rsidR="009D511F" w:rsidRPr="008D7DBA">
        <w:rPr>
          <w:rFonts w:ascii="Arial" w:hAnsi="Arial" w:cs="Arial"/>
        </w:rPr>
        <w:t>to</w:t>
      </w:r>
      <w:r w:rsidRPr="008D7DBA">
        <w:rPr>
          <w:rFonts w:ascii="Arial" w:hAnsi="Arial" w:cs="Arial"/>
        </w:rPr>
        <w:t xml:space="preserve"> cushion the effect of inflation on the operating expenses.</w:t>
      </w:r>
    </w:p>
    <w:p w14:paraId="7AE2ECBD" w14:textId="3F4C9B09" w:rsidR="00176B53" w:rsidRPr="008D7DBA" w:rsidRDefault="00880AD3" w:rsidP="00880AD3">
      <w:pPr>
        <w:rPr>
          <w:rFonts w:ascii="Arial" w:hAnsi="Arial" w:cs="Arial"/>
        </w:rPr>
      </w:pPr>
      <w:r w:rsidRPr="008D7DBA">
        <w:rPr>
          <w:rFonts w:ascii="Arial" w:hAnsi="Arial" w:cs="Arial"/>
          <w:b/>
          <w:bCs/>
          <w:i/>
          <w:iCs/>
        </w:rPr>
        <w:t>Corporate Social Responsibilit</w:t>
      </w:r>
      <w:r w:rsidR="00505862" w:rsidRPr="008D7DBA">
        <w:rPr>
          <w:rFonts w:ascii="Arial" w:hAnsi="Arial" w:cs="Arial"/>
          <w:b/>
          <w:bCs/>
          <w:i/>
          <w:iCs/>
        </w:rPr>
        <w:t>y:</w:t>
      </w:r>
      <w:r w:rsidR="00505862" w:rsidRPr="008D7DBA">
        <w:rPr>
          <w:rFonts w:ascii="Arial" w:hAnsi="Arial" w:cs="Arial"/>
        </w:rPr>
        <w:t xml:space="preserve"> </w:t>
      </w:r>
      <w:r w:rsidRPr="008D7DBA">
        <w:rPr>
          <w:rFonts w:ascii="Arial" w:hAnsi="Arial" w:cs="Arial"/>
        </w:rPr>
        <w:t xml:space="preserve">Due to growing societal attention to ethical corporate responsibilities, General Electronics </w:t>
      </w:r>
      <w:r w:rsidR="009D511F" w:rsidRPr="008D7DBA">
        <w:rPr>
          <w:rFonts w:ascii="Arial" w:hAnsi="Arial" w:cs="Arial"/>
        </w:rPr>
        <w:t>must</w:t>
      </w:r>
      <w:r w:rsidRPr="008D7DBA">
        <w:rPr>
          <w:rFonts w:ascii="Arial" w:hAnsi="Arial" w:cs="Arial"/>
        </w:rPr>
        <w:t xml:space="preserve"> make sure that its restructuring initiatives do not contradict good Corporate Social Responsibility (CSR). That involves the environmental, social and governance (ESG) effects of the divestitures, mergers and acquisitions</w:t>
      </w:r>
      <w:r w:rsidR="0058089E" w:rsidRPr="008D7DBA">
        <w:rPr>
          <w:rFonts w:ascii="Arial" w:hAnsi="Arial" w:cs="Arial"/>
        </w:rPr>
        <w:t xml:space="preserve"> </w:t>
      </w:r>
      <w:r w:rsidR="0058089E" w:rsidRPr="008D7DBA">
        <w:rPr>
          <w:rFonts w:ascii="Arial" w:hAnsi="Arial" w:cs="Arial"/>
          <w:shd w:val="clear" w:color="auto" w:fill="FFFFFF"/>
        </w:rPr>
        <w:t>(Wang, 2024)</w:t>
      </w:r>
      <w:r w:rsidRPr="008D7DBA">
        <w:rPr>
          <w:rFonts w:ascii="Arial" w:hAnsi="Arial" w:cs="Arial"/>
        </w:rPr>
        <w:t xml:space="preserve">. As an example, the company needs to consider </w:t>
      </w:r>
      <w:r w:rsidR="0095452D" w:rsidRPr="008D7DBA">
        <w:rPr>
          <w:rFonts w:ascii="Arial" w:hAnsi="Arial" w:cs="Arial"/>
        </w:rPr>
        <w:t xml:space="preserve">the </w:t>
      </w:r>
      <w:r w:rsidRPr="008D7DBA">
        <w:rPr>
          <w:rFonts w:ascii="Arial" w:hAnsi="Arial" w:cs="Arial"/>
        </w:rPr>
        <w:t>social and environmental impacts of selling or transferring assets and, in the same regard, make sure that the restructuring process has no adverse effects on employees, communities, or the environment.</w:t>
      </w:r>
    </w:p>
    <w:p w14:paraId="3C584179" w14:textId="052E90C9" w:rsidR="00E86962" w:rsidRPr="008D7DBA" w:rsidRDefault="0071222E" w:rsidP="00D35B30">
      <w:pPr>
        <w:pStyle w:val="Heading1"/>
        <w:rPr>
          <w:rFonts w:ascii="Arial" w:hAnsi="Arial" w:cs="Arial"/>
          <w:color w:val="auto"/>
        </w:rPr>
      </w:pPr>
      <w:bookmarkStart w:id="27" w:name="_Toc216380889"/>
      <w:r w:rsidRPr="008D7DBA">
        <w:rPr>
          <w:rFonts w:ascii="Arial" w:hAnsi="Arial" w:cs="Arial"/>
          <w:color w:val="auto"/>
        </w:rPr>
        <w:t xml:space="preserve">5. </w:t>
      </w:r>
      <w:r w:rsidR="00D35B30" w:rsidRPr="008D7DBA">
        <w:rPr>
          <w:rFonts w:ascii="Arial" w:hAnsi="Arial" w:cs="Arial"/>
          <w:color w:val="auto"/>
        </w:rPr>
        <w:t>Investment Appraisal and Capital Budgeting</w:t>
      </w:r>
      <w:bookmarkEnd w:id="27"/>
    </w:p>
    <w:p w14:paraId="6A1FC061" w14:textId="5E5A3F1B" w:rsidR="00ED2403" w:rsidRPr="008D7DBA" w:rsidRDefault="00ED2403" w:rsidP="00ED2403">
      <w:pPr>
        <w:rPr>
          <w:rFonts w:ascii="Arial" w:hAnsi="Arial" w:cs="Arial"/>
        </w:rPr>
      </w:pPr>
      <w:r w:rsidRPr="008D7DBA">
        <w:rPr>
          <w:rFonts w:ascii="Arial" w:hAnsi="Arial" w:cs="Arial"/>
        </w:rPr>
        <w:t>General Electronics is considering three investment projects and has their financial characteristics. This is aimed at selecting the most optimal investment under the capital rationing</w:t>
      </w:r>
      <w:r w:rsidR="0095452D" w:rsidRPr="008D7DBA">
        <w:rPr>
          <w:rFonts w:ascii="Arial" w:hAnsi="Arial" w:cs="Arial"/>
        </w:rPr>
        <w:t>,</w:t>
      </w:r>
      <w:r w:rsidRPr="008D7DBA">
        <w:rPr>
          <w:rFonts w:ascii="Arial" w:hAnsi="Arial" w:cs="Arial"/>
        </w:rPr>
        <w:t xml:space="preserve"> whereby only £60 million is given the opportunity to invest. In this analysis, the three projects, namely project A, project B, and project C</w:t>
      </w:r>
      <w:r w:rsidR="0095452D" w:rsidRPr="008D7DBA">
        <w:rPr>
          <w:rFonts w:ascii="Arial" w:hAnsi="Arial" w:cs="Arial"/>
        </w:rPr>
        <w:t>,</w:t>
      </w:r>
      <w:r w:rsidRPr="008D7DBA">
        <w:rPr>
          <w:rFonts w:ascii="Arial" w:hAnsi="Arial" w:cs="Arial"/>
        </w:rPr>
        <w:t xml:space="preserve"> will be compared in terms of Payback Period (PBP), Accounting Rate of Return (ARR), Net Present Value (NPV), Profitability Index (PI), and Internal Rate of Return (IRR). The financial performance (profitability and liquidity) as well as project risk characteristics (cash flow volatility) of the company </w:t>
      </w:r>
      <w:r w:rsidR="0095452D" w:rsidRPr="008D7DBA">
        <w:rPr>
          <w:rFonts w:ascii="Arial" w:hAnsi="Arial" w:cs="Arial"/>
        </w:rPr>
        <w:t>are</w:t>
      </w:r>
      <w:r w:rsidRPr="008D7DBA">
        <w:rPr>
          <w:rFonts w:ascii="Arial" w:hAnsi="Arial" w:cs="Arial"/>
        </w:rPr>
        <w:t xml:space="preserve"> also going to be </w:t>
      </w:r>
      <w:r w:rsidR="009D511F" w:rsidRPr="008D7DBA">
        <w:rPr>
          <w:rFonts w:ascii="Arial" w:hAnsi="Arial" w:cs="Arial"/>
        </w:rPr>
        <w:t>considered</w:t>
      </w:r>
      <w:r w:rsidRPr="008D7DBA">
        <w:rPr>
          <w:rFonts w:ascii="Arial" w:hAnsi="Arial" w:cs="Arial"/>
        </w:rPr>
        <w:t xml:space="preserve"> </w:t>
      </w:r>
      <w:r w:rsidR="009D511F" w:rsidRPr="008D7DBA">
        <w:rPr>
          <w:rFonts w:ascii="Arial" w:hAnsi="Arial" w:cs="Arial"/>
        </w:rPr>
        <w:t>to</w:t>
      </w:r>
      <w:r w:rsidRPr="008D7DBA">
        <w:rPr>
          <w:rFonts w:ascii="Arial" w:hAnsi="Arial" w:cs="Arial"/>
        </w:rPr>
        <w:t xml:space="preserve"> make a final investment recommendation.</w:t>
      </w:r>
    </w:p>
    <w:p w14:paraId="11EBB7BF" w14:textId="77777777" w:rsidR="00FC1C62" w:rsidRPr="008D7DBA" w:rsidRDefault="00FC1C62" w:rsidP="00FC1C62">
      <w:pPr>
        <w:keepNext/>
        <w:jc w:val="center"/>
        <w:rPr>
          <w:rFonts w:ascii="Arial" w:hAnsi="Arial" w:cs="Arial"/>
        </w:rPr>
      </w:pPr>
      <w:r w:rsidRPr="008D7DBA">
        <w:rPr>
          <w:rFonts w:ascii="Arial" w:hAnsi="Arial" w:cs="Arial"/>
          <w:noProof/>
        </w:rPr>
        <w:lastRenderedPageBreak/>
        <w:drawing>
          <wp:inline distT="0" distB="0" distL="0" distR="0" wp14:anchorId="029A3ADC" wp14:editId="71D0CABB">
            <wp:extent cx="4572000" cy="2743200"/>
            <wp:effectExtent l="0" t="0" r="0" b="0"/>
            <wp:docPr id="692531521" name="Chart 1">
              <a:extLst xmlns:a="http://schemas.openxmlformats.org/drawingml/2006/main">
                <a:ext uri="{FF2B5EF4-FFF2-40B4-BE49-F238E27FC236}">
                  <a16:creationId xmlns:a16="http://schemas.microsoft.com/office/drawing/2014/main" id="{1990FFD6-AC48-AB52-0E48-698546E6FE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A6B825" w14:textId="150395F9" w:rsidR="00FC1C62" w:rsidRPr="008D7DBA" w:rsidRDefault="00FC1C62" w:rsidP="00FC1C62">
      <w:pPr>
        <w:pStyle w:val="Caption"/>
        <w:jc w:val="center"/>
        <w:rPr>
          <w:rFonts w:ascii="Arial" w:hAnsi="Arial" w:cs="Arial"/>
          <w:color w:val="auto"/>
        </w:rPr>
      </w:pPr>
      <w:bookmarkStart w:id="28" w:name="_Toc216380451"/>
      <w:r w:rsidRPr="008D7DBA">
        <w:rPr>
          <w:rFonts w:ascii="Arial" w:hAnsi="Arial" w:cs="Arial"/>
          <w:color w:val="auto"/>
        </w:rPr>
        <w:t xml:space="preserve">Figure </w:t>
      </w:r>
      <w:r w:rsidRPr="008D7DBA">
        <w:rPr>
          <w:rFonts w:ascii="Arial" w:hAnsi="Arial" w:cs="Arial"/>
          <w:color w:val="auto"/>
        </w:rPr>
        <w:fldChar w:fldCharType="begin"/>
      </w:r>
      <w:r w:rsidRPr="008D7DBA">
        <w:rPr>
          <w:rFonts w:ascii="Arial" w:hAnsi="Arial" w:cs="Arial"/>
          <w:color w:val="auto"/>
        </w:rPr>
        <w:instrText xml:space="preserve"> SEQ Figure \* ARABIC </w:instrText>
      </w:r>
      <w:r w:rsidRPr="008D7DBA">
        <w:rPr>
          <w:rFonts w:ascii="Arial" w:hAnsi="Arial" w:cs="Arial"/>
          <w:color w:val="auto"/>
        </w:rPr>
        <w:fldChar w:fldCharType="separate"/>
      </w:r>
      <w:r w:rsidRPr="008D7DBA">
        <w:rPr>
          <w:rFonts w:ascii="Arial" w:hAnsi="Arial" w:cs="Arial"/>
          <w:noProof/>
          <w:color w:val="auto"/>
        </w:rPr>
        <w:t>7</w:t>
      </w:r>
      <w:r w:rsidRPr="008D7DBA">
        <w:rPr>
          <w:rFonts w:ascii="Arial" w:hAnsi="Arial" w:cs="Arial"/>
          <w:color w:val="auto"/>
        </w:rPr>
        <w:fldChar w:fldCharType="end"/>
      </w:r>
      <w:r w:rsidRPr="008D7DBA">
        <w:rPr>
          <w:rFonts w:ascii="Arial" w:hAnsi="Arial" w:cs="Arial"/>
          <w:color w:val="auto"/>
        </w:rPr>
        <w:t>: Investment Appraisal calculation</w:t>
      </w:r>
      <w:bookmarkEnd w:id="28"/>
    </w:p>
    <w:p w14:paraId="795505CE" w14:textId="01056B40" w:rsidR="00ED2403" w:rsidRPr="008D7DBA" w:rsidRDefault="00ED2403" w:rsidP="00ED2403">
      <w:pPr>
        <w:jc w:val="center"/>
        <w:rPr>
          <w:rFonts w:ascii="Arial" w:hAnsi="Arial" w:cs="Arial"/>
        </w:rPr>
      </w:pPr>
      <w:r w:rsidRPr="008D7DBA">
        <w:rPr>
          <w:rFonts w:ascii="Arial" w:hAnsi="Arial" w:cs="Arial"/>
        </w:rPr>
        <w:t xml:space="preserve">Detailed Calculation given in </w:t>
      </w:r>
      <w:r w:rsidR="0095452D" w:rsidRPr="008D7DBA">
        <w:rPr>
          <w:rFonts w:ascii="Arial" w:hAnsi="Arial" w:cs="Arial"/>
        </w:rPr>
        <w:t xml:space="preserve">the </w:t>
      </w:r>
      <w:r w:rsidRPr="008D7DBA">
        <w:rPr>
          <w:rFonts w:ascii="Arial" w:hAnsi="Arial" w:cs="Arial"/>
        </w:rPr>
        <w:t>appendix</w:t>
      </w:r>
    </w:p>
    <w:tbl>
      <w:tblPr>
        <w:tblStyle w:val="PlainTable1"/>
        <w:tblW w:w="0" w:type="auto"/>
        <w:jc w:val="center"/>
        <w:tblLook w:val="04A0" w:firstRow="1" w:lastRow="0" w:firstColumn="1" w:lastColumn="0" w:noHBand="0" w:noVBand="1"/>
      </w:tblPr>
      <w:tblGrid>
        <w:gridCol w:w="1335"/>
        <w:gridCol w:w="1335"/>
        <w:gridCol w:w="1336"/>
        <w:gridCol w:w="1336"/>
        <w:gridCol w:w="1336"/>
        <w:gridCol w:w="1336"/>
      </w:tblGrid>
      <w:tr w:rsidR="00A80E41" w:rsidRPr="008D7DBA" w14:paraId="3F679020" w14:textId="77777777" w:rsidTr="00CD4FE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35" w:type="dxa"/>
          </w:tcPr>
          <w:p w14:paraId="55FA0284" w14:textId="08ED502F" w:rsidR="00ED2403" w:rsidRPr="008D7DBA" w:rsidRDefault="00ED2403" w:rsidP="00AC073B">
            <w:pPr>
              <w:rPr>
                <w:rFonts w:ascii="Arial" w:hAnsi="Arial" w:cs="Arial"/>
              </w:rPr>
            </w:pPr>
            <w:r w:rsidRPr="008D7DBA">
              <w:rPr>
                <w:rFonts w:ascii="Arial" w:hAnsi="Arial" w:cs="Arial"/>
              </w:rPr>
              <w:t>Project</w:t>
            </w:r>
          </w:p>
        </w:tc>
        <w:tc>
          <w:tcPr>
            <w:tcW w:w="1335" w:type="dxa"/>
          </w:tcPr>
          <w:p w14:paraId="733F6BD3" w14:textId="66C0E230" w:rsidR="00ED2403" w:rsidRPr="008D7DBA" w:rsidRDefault="00ED2403" w:rsidP="00AC073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rPr>
              <w:t>PBP</w:t>
            </w:r>
          </w:p>
        </w:tc>
        <w:tc>
          <w:tcPr>
            <w:tcW w:w="1336" w:type="dxa"/>
          </w:tcPr>
          <w:p w14:paraId="631870BE" w14:textId="7C4CB8CF" w:rsidR="00ED2403" w:rsidRPr="008D7DBA" w:rsidRDefault="00ED2403" w:rsidP="00AC073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rPr>
              <w:t>ARR</w:t>
            </w:r>
          </w:p>
        </w:tc>
        <w:tc>
          <w:tcPr>
            <w:tcW w:w="1336" w:type="dxa"/>
          </w:tcPr>
          <w:p w14:paraId="3BAA02DD" w14:textId="41591E36" w:rsidR="00ED2403" w:rsidRPr="008D7DBA" w:rsidRDefault="00ED2403" w:rsidP="00AC073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rPr>
              <w:t>NPV</w:t>
            </w:r>
          </w:p>
        </w:tc>
        <w:tc>
          <w:tcPr>
            <w:tcW w:w="1336" w:type="dxa"/>
          </w:tcPr>
          <w:p w14:paraId="043CA9F6" w14:textId="43ED279E" w:rsidR="00ED2403" w:rsidRPr="008D7DBA" w:rsidRDefault="00ED2403" w:rsidP="00AC073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rPr>
              <w:t>PI</w:t>
            </w:r>
          </w:p>
        </w:tc>
        <w:tc>
          <w:tcPr>
            <w:tcW w:w="1336" w:type="dxa"/>
          </w:tcPr>
          <w:p w14:paraId="2650F565" w14:textId="46DD33B2" w:rsidR="00ED2403" w:rsidRPr="008D7DBA" w:rsidRDefault="00ED2403" w:rsidP="00AC073B">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rPr>
              <w:t>IRR</w:t>
            </w:r>
          </w:p>
        </w:tc>
      </w:tr>
      <w:tr w:rsidR="00A80E41" w:rsidRPr="008D7DBA" w14:paraId="552258AD" w14:textId="77777777" w:rsidTr="00CD4F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35" w:type="dxa"/>
          </w:tcPr>
          <w:p w14:paraId="0310E79B" w14:textId="1329D2E6" w:rsidR="00ED2403" w:rsidRPr="008D7DBA" w:rsidRDefault="00ED2403" w:rsidP="00ED2403">
            <w:pPr>
              <w:rPr>
                <w:rFonts w:ascii="Arial" w:hAnsi="Arial" w:cs="Arial"/>
              </w:rPr>
            </w:pPr>
            <w:r w:rsidRPr="008D7DBA">
              <w:rPr>
                <w:rFonts w:ascii="Arial" w:hAnsi="Arial" w:cs="Arial"/>
              </w:rPr>
              <w:t>A</w:t>
            </w:r>
          </w:p>
        </w:tc>
        <w:tc>
          <w:tcPr>
            <w:tcW w:w="1335" w:type="dxa"/>
          </w:tcPr>
          <w:p w14:paraId="3A91DFD4" w14:textId="72A380E8"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3.4</w:t>
            </w:r>
          </w:p>
        </w:tc>
        <w:tc>
          <w:tcPr>
            <w:tcW w:w="1336" w:type="dxa"/>
          </w:tcPr>
          <w:p w14:paraId="09449C8A" w14:textId="1801ADAA"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14.00%</w:t>
            </w:r>
          </w:p>
        </w:tc>
        <w:tc>
          <w:tcPr>
            <w:tcW w:w="1336" w:type="dxa"/>
          </w:tcPr>
          <w:p w14:paraId="2836206B" w14:textId="2C9C360B"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£1.324m</w:t>
            </w:r>
          </w:p>
        </w:tc>
        <w:tc>
          <w:tcPr>
            <w:tcW w:w="1336" w:type="dxa"/>
          </w:tcPr>
          <w:p w14:paraId="3F866AE2" w14:textId="3713DA00"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1.033</w:t>
            </w:r>
          </w:p>
        </w:tc>
        <w:tc>
          <w:tcPr>
            <w:tcW w:w="1336" w:type="dxa"/>
          </w:tcPr>
          <w:p w14:paraId="22BF3AEB" w14:textId="5186CB9F"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11.33%</w:t>
            </w:r>
          </w:p>
        </w:tc>
      </w:tr>
      <w:tr w:rsidR="00A80E41" w:rsidRPr="008D7DBA" w14:paraId="4CC556C3" w14:textId="77777777" w:rsidTr="00CD4FE0">
        <w:trPr>
          <w:jc w:val="center"/>
        </w:trPr>
        <w:tc>
          <w:tcPr>
            <w:cnfStyle w:val="001000000000" w:firstRow="0" w:lastRow="0" w:firstColumn="1" w:lastColumn="0" w:oddVBand="0" w:evenVBand="0" w:oddHBand="0" w:evenHBand="0" w:firstRowFirstColumn="0" w:firstRowLastColumn="0" w:lastRowFirstColumn="0" w:lastRowLastColumn="0"/>
            <w:tcW w:w="1335" w:type="dxa"/>
          </w:tcPr>
          <w:p w14:paraId="21B0B7F2" w14:textId="468C8165" w:rsidR="00ED2403" w:rsidRPr="008D7DBA" w:rsidRDefault="00ED2403" w:rsidP="00ED2403">
            <w:pPr>
              <w:rPr>
                <w:rFonts w:ascii="Arial" w:hAnsi="Arial" w:cs="Arial"/>
              </w:rPr>
            </w:pPr>
            <w:r w:rsidRPr="008D7DBA">
              <w:rPr>
                <w:rFonts w:ascii="Arial" w:hAnsi="Arial" w:cs="Arial"/>
              </w:rPr>
              <w:t>B</w:t>
            </w:r>
          </w:p>
        </w:tc>
        <w:tc>
          <w:tcPr>
            <w:tcW w:w="1335" w:type="dxa"/>
          </w:tcPr>
          <w:p w14:paraId="138D8340" w14:textId="05954516" w:rsidR="00ED2403" w:rsidRPr="008D7DBA" w:rsidRDefault="00ED2403" w:rsidP="00ED24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szCs w:val="24"/>
              </w:rPr>
              <w:t>5</w:t>
            </w:r>
          </w:p>
        </w:tc>
        <w:tc>
          <w:tcPr>
            <w:tcW w:w="1336" w:type="dxa"/>
          </w:tcPr>
          <w:p w14:paraId="36F0FAE7" w14:textId="13700723" w:rsidR="00ED2403" w:rsidRPr="008D7DBA" w:rsidRDefault="00ED2403" w:rsidP="00ED24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szCs w:val="24"/>
              </w:rPr>
              <w:t>0.00%</w:t>
            </w:r>
          </w:p>
        </w:tc>
        <w:tc>
          <w:tcPr>
            <w:tcW w:w="1336" w:type="dxa"/>
          </w:tcPr>
          <w:p w14:paraId="55D642CA" w14:textId="7FD2052E" w:rsidR="00ED2403" w:rsidRPr="008D7DBA" w:rsidRDefault="00ED2403" w:rsidP="00ED24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szCs w:val="24"/>
              </w:rPr>
              <w:t>−£7.255m</w:t>
            </w:r>
          </w:p>
        </w:tc>
        <w:tc>
          <w:tcPr>
            <w:tcW w:w="1336" w:type="dxa"/>
          </w:tcPr>
          <w:p w14:paraId="17CD152E" w14:textId="0F9EF5E3" w:rsidR="00ED2403" w:rsidRPr="008D7DBA" w:rsidRDefault="00ED2403" w:rsidP="00ED24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szCs w:val="24"/>
              </w:rPr>
              <w:t>0.758</w:t>
            </w:r>
          </w:p>
        </w:tc>
        <w:tc>
          <w:tcPr>
            <w:tcW w:w="1336" w:type="dxa"/>
          </w:tcPr>
          <w:p w14:paraId="31B2385D" w14:textId="3B3E79B7" w:rsidR="00ED2403" w:rsidRPr="008D7DBA" w:rsidRDefault="00ED2403" w:rsidP="00ED240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D7DBA">
              <w:rPr>
                <w:rFonts w:ascii="Arial" w:hAnsi="Arial" w:cs="Arial"/>
                <w:szCs w:val="24"/>
              </w:rPr>
              <w:t>0.00%</w:t>
            </w:r>
          </w:p>
        </w:tc>
      </w:tr>
      <w:tr w:rsidR="00A80E41" w:rsidRPr="008D7DBA" w14:paraId="020B288B" w14:textId="77777777" w:rsidTr="00CD4F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35" w:type="dxa"/>
          </w:tcPr>
          <w:p w14:paraId="499E674F" w14:textId="174CD03E" w:rsidR="00ED2403" w:rsidRPr="008D7DBA" w:rsidRDefault="00ED2403" w:rsidP="00ED2403">
            <w:pPr>
              <w:rPr>
                <w:rFonts w:ascii="Arial" w:hAnsi="Arial" w:cs="Arial"/>
              </w:rPr>
            </w:pPr>
            <w:r w:rsidRPr="008D7DBA">
              <w:rPr>
                <w:rFonts w:ascii="Arial" w:hAnsi="Arial" w:cs="Arial"/>
              </w:rPr>
              <w:t>C</w:t>
            </w:r>
          </w:p>
        </w:tc>
        <w:tc>
          <w:tcPr>
            <w:tcW w:w="1335" w:type="dxa"/>
          </w:tcPr>
          <w:p w14:paraId="5CEE0DD3" w14:textId="4A8819C2"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3.6</w:t>
            </w:r>
          </w:p>
        </w:tc>
        <w:tc>
          <w:tcPr>
            <w:tcW w:w="1336" w:type="dxa"/>
          </w:tcPr>
          <w:p w14:paraId="33954679" w14:textId="4BCE7BEB"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20.00%</w:t>
            </w:r>
          </w:p>
        </w:tc>
        <w:tc>
          <w:tcPr>
            <w:tcW w:w="1336" w:type="dxa"/>
          </w:tcPr>
          <w:p w14:paraId="00BD5C3D" w14:textId="371DB6F7"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£4.225m</w:t>
            </w:r>
          </w:p>
        </w:tc>
        <w:tc>
          <w:tcPr>
            <w:tcW w:w="1336" w:type="dxa"/>
          </w:tcPr>
          <w:p w14:paraId="7B884030" w14:textId="604BCEAB" w:rsidR="00ED2403" w:rsidRPr="008D7DBA" w:rsidRDefault="00ED2403" w:rsidP="00ED240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1.085</w:t>
            </w:r>
          </w:p>
        </w:tc>
        <w:tc>
          <w:tcPr>
            <w:tcW w:w="1336" w:type="dxa"/>
          </w:tcPr>
          <w:p w14:paraId="35135BD6" w14:textId="66D02AFC" w:rsidR="00ED2403" w:rsidRPr="008D7DBA" w:rsidRDefault="00ED2403" w:rsidP="00CD4FE0">
            <w:pPr>
              <w:keepNext/>
              <w:cnfStyle w:val="000000100000" w:firstRow="0" w:lastRow="0" w:firstColumn="0" w:lastColumn="0" w:oddVBand="0" w:evenVBand="0" w:oddHBand="1" w:evenHBand="0" w:firstRowFirstColumn="0" w:firstRowLastColumn="0" w:lastRowFirstColumn="0" w:lastRowLastColumn="0"/>
              <w:rPr>
                <w:rFonts w:ascii="Arial" w:hAnsi="Arial" w:cs="Arial"/>
              </w:rPr>
            </w:pPr>
            <w:r w:rsidRPr="008D7DBA">
              <w:rPr>
                <w:rFonts w:ascii="Arial" w:hAnsi="Arial" w:cs="Arial"/>
                <w:szCs w:val="24"/>
              </w:rPr>
              <w:t>12.72%</w:t>
            </w:r>
          </w:p>
        </w:tc>
      </w:tr>
    </w:tbl>
    <w:p w14:paraId="67546AB5" w14:textId="04716AF1" w:rsidR="00ED2403" w:rsidRPr="008D7DBA" w:rsidRDefault="00CD4FE0" w:rsidP="00CD4FE0">
      <w:pPr>
        <w:pStyle w:val="Caption"/>
        <w:jc w:val="center"/>
        <w:rPr>
          <w:rFonts w:ascii="Arial" w:hAnsi="Arial" w:cs="Arial"/>
          <w:color w:val="auto"/>
        </w:rPr>
      </w:pPr>
      <w:bookmarkStart w:id="29" w:name="_Toc216380444"/>
      <w:r w:rsidRPr="008D7DBA">
        <w:rPr>
          <w:rFonts w:ascii="Arial" w:hAnsi="Arial" w:cs="Arial"/>
          <w:color w:val="auto"/>
        </w:rPr>
        <w:t xml:space="preserve">Table </w:t>
      </w:r>
      <w:r w:rsidRPr="008D7DBA">
        <w:rPr>
          <w:rFonts w:ascii="Arial" w:hAnsi="Arial" w:cs="Arial"/>
          <w:color w:val="auto"/>
        </w:rPr>
        <w:fldChar w:fldCharType="begin"/>
      </w:r>
      <w:r w:rsidRPr="008D7DBA">
        <w:rPr>
          <w:rFonts w:ascii="Arial" w:hAnsi="Arial" w:cs="Arial"/>
          <w:color w:val="auto"/>
        </w:rPr>
        <w:instrText xml:space="preserve"> SEQ Table \* ARABIC </w:instrText>
      </w:r>
      <w:r w:rsidRPr="008D7DBA">
        <w:rPr>
          <w:rFonts w:ascii="Arial" w:hAnsi="Arial" w:cs="Arial"/>
          <w:color w:val="auto"/>
        </w:rPr>
        <w:fldChar w:fldCharType="separate"/>
      </w:r>
      <w:r w:rsidRPr="008D7DBA">
        <w:rPr>
          <w:rFonts w:ascii="Arial" w:hAnsi="Arial" w:cs="Arial"/>
          <w:noProof/>
          <w:color w:val="auto"/>
        </w:rPr>
        <w:t>8</w:t>
      </w:r>
      <w:r w:rsidRPr="008D7DBA">
        <w:rPr>
          <w:rFonts w:ascii="Arial" w:hAnsi="Arial" w:cs="Arial"/>
          <w:color w:val="auto"/>
        </w:rPr>
        <w:fldChar w:fldCharType="end"/>
      </w:r>
      <w:r w:rsidRPr="008D7DBA">
        <w:rPr>
          <w:rFonts w:ascii="Arial" w:hAnsi="Arial" w:cs="Arial"/>
          <w:color w:val="auto"/>
        </w:rPr>
        <w:t>: Investment Appraisal</w:t>
      </w:r>
      <w:bookmarkEnd w:id="29"/>
    </w:p>
    <w:p w14:paraId="741C45E0" w14:textId="4324BFBB" w:rsidR="00ED2403" w:rsidRPr="008D7DBA" w:rsidRDefault="0071222E" w:rsidP="00D1144A">
      <w:pPr>
        <w:pStyle w:val="Heading2"/>
        <w:rPr>
          <w:rFonts w:ascii="Arial" w:hAnsi="Arial" w:cs="Arial"/>
        </w:rPr>
      </w:pPr>
      <w:bookmarkStart w:id="30" w:name="_Toc216380890"/>
      <w:r w:rsidRPr="008D7DBA">
        <w:rPr>
          <w:rFonts w:ascii="Arial" w:hAnsi="Arial" w:cs="Arial"/>
        </w:rPr>
        <w:t xml:space="preserve">5.1 </w:t>
      </w:r>
      <w:r w:rsidR="00D1144A" w:rsidRPr="008D7DBA">
        <w:rPr>
          <w:rFonts w:ascii="Arial" w:hAnsi="Arial" w:cs="Arial"/>
        </w:rPr>
        <w:t>Final Investment Recommendation</w:t>
      </w:r>
      <w:bookmarkEnd w:id="30"/>
    </w:p>
    <w:p w14:paraId="6732CAE5" w14:textId="47F01AF7" w:rsidR="00ED2403" w:rsidRPr="008D7DBA" w:rsidRDefault="00ED2403" w:rsidP="00ED2403">
      <w:pPr>
        <w:rPr>
          <w:rFonts w:ascii="Arial" w:hAnsi="Arial" w:cs="Arial"/>
        </w:rPr>
      </w:pPr>
      <w:r w:rsidRPr="008D7DBA">
        <w:rPr>
          <w:rFonts w:ascii="Arial" w:hAnsi="Arial" w:cs="Arial"/>
        </w:rPr>
        <w:t>Project C would have been the most important investment that General Electronics should focus on because of the capital rationing constraint of £60 million. It provides the best Net Present Value (NPV) of 4.225m</w:t>
      </w:r>
      <w:r w:rsidR="0095452D" w:rsidRPr="008D7DBA">
        <w:rPr>
          <w:rFonts w:ascii="Arial" w:hAnsi="Arial" w:cs="Arial"/>
        </w:rPr>
        <w:t>,</w:t>
      </w:r>
      <w:r w:rsidRPr="008D7DBA">
        <w:rPr>
          <w:rFonts w:ascii="Arial" w:hAnsi="Arial" w:cs="Arial"/>
        </w:rPr>
        <w:t xml:space="preserve"> meaning that it generates the best value to the company. Also, Project C is the highest in respect of the Internal Rate of Return (IRR) of 12.72, which is significantly higher than the required rate of return of the company (10.0). The Profitability Index (PI) of 1.085 also shows how it is attractive to the initial investment.</w:t>
      </w:r>
    </w:p>
    <w:p w14:paraId="3A699CFD" w14:textId="29E74B7E" w:rsidR="00ED2403" w:rsidRPr="008D7DBA" w:rsidRDefault="00ED2403" w:rsidP="00ED2403">
      <w:pPr>
        <w:rPr>
          <w:rFonts w:ascii="Arial" w:hAnsi="Arial" w:cs="Arial"/>
        </w:rPr>
      </w:pPr>
      <w:r w:rsidRPr="008D7DBA">
        <w:rPr>
          <w:rFonts w:ascii="Arial" w:hAnsi="Arial" w:cs="Arial"/>
        </w:rPr>
        <w:t>Project A has a positive NPV and a decent IRR (11.33%)</w:t>
      </w:r>
      <w:r w:rsidR="0095452D" w:rsidRPr="008D7DBA">
        <w:rPr>
          <w:rFonts w:ascii="Arial" w:hAnsi="Arial" w:cs="Arial"/>
        </w:rPr>
        <w:t>;</w:t>
      </w:r>
      <w:r w:rsidRPr="008D7DBA">
        <w:rPr>
          <w:rFonts w:ascii="Arial" w:hAnsi="Arial" w:cs="Arial"/>
        </w:rPr>
        <w:t xml:space="preserve"> however</w:t>
      </w:r>
      <w:r w:rsidR="0095452D" w:rsidRPr="008D7DBA">
        <w:rPr>
          <w:rFonts w:ascii="Arial" w:hAnsi="Arial" w:cs="Arial"/>
        </w:rPr>
        <w:t>,</w:t>
      </w:r>
      <w:r w:rsidRPr="008D7DBA">
        <w:rPr>
          <w:rFonts w:ascii="Arial" w:hAnsi="Arial" w:cs="Arial"/>
        </w:rPr>
        <w:t xml:space="preserve"> Project C is better than </w:t>
      </w:r>
      <w:r w:rsidR="0095452D" w:rsidRPr="008D7DBA">
        <w:rPr>
          <w:rFonts w:ascii="Arial" w:hAnsi="Arial" w:cs="Arial"/>
        </w:rPr>
        <w:t>P</w:t>
      </w:r>
      <w:r w:rsidRPr="008D7DBA">
        <w:rPr>
          <w:rFonts w:ascii="Arial" w:hAnsi="Arial" w:cs="Arial"/>
        </w:rPr>
        <w:t xml:space="preserve">roject A since it has the highest financial statements, namely NPV, IRR, and ARR (20%). </w:t>
      </w:r>
      <w:r w:rsidR="0095452D" w:rsidRPr="008D7DBA">
        <w:rPr>
          <w:rFonts w:ascii="Arial" w:hAnsi="Arial" w:cs="Arial"/>
        </w:rPr>
        <w:t>Given the</w:t>
      </w:r>
      <w:r w:rsidRPr="008D7DBA">
        <w:rPr>
          <w:rFonts w:ascii="Arial" w:hAnsi="Arial" w:cs="Arial"/>
        </w:rPr>
        <w:t xml:space="preserve"> capital limitations and considering the value-generating and profitable nature of Project C, it is the optimal initiative to grow within the timeframe and maximi</w:t>
      </w:r>
      <w:r w:rsidR="0095452D" w:rsidRPr="008D7DBA">
        <w:rPr>
          <w:rFonts w:ascii="Arial" w:hAnsi="Arial" w:cs="Arial"/>
        </w:rPr>
        <w:t>s</w:t>
      </w:r>
      <w:r w:rsidRPr="008D7DBA">
        <w:rPr>
          <w:rFonts w:ascii="Arial" w:hAnsi="Arial" w:cs="Arial"/>
        </w:rPr>
        <w:t xml:space="preserve">e </w:t>
      </w:r>
      <w:r w:rsidRPr="008D7DBA">
        <w:rPr>
          <w:rFonts w:ascii="Arial" w:hAnsi="Arial" w:cs="Arial"/>
        </w:rPr>
        <w:lastRenderedPageBreak/>
        <w:t xml:space="preserve">its earnings. Hence, Project C is the most financially feasible </w:t>
      </w:r>
      <w:r w:rsidR="009D511F" w:rsidRPr="008D7DBA">
        <w:rPr>
          <w:rFonts w:ascii="Arial" w:hAnsi="Arial" w:cs="Arial"/>
        </w:rPr>
        <w:t>and</w:t>
      </w:r>
      <w:r w:rsidRPr="008D7DBA">
        <w:rPr>
          <w:rFonts w:ascii="Arial" w:hAnsi="Arial" w:cs="Arial"/>
        </w:rPr>
        <w:t xml:space="preserve"> strategically viable investment opportunity.</w:t>
      </w:r>
    </w:p>
    <w:p w14:paraId="3E2B2FDB" w14:textId="6517CF9F" w:rsidR="00ED2403" w:rsidRPr="008D7DBA" w:rsidRDefault="0071222E" w:rsidP="00D1144A">
      <w:pPr>
        <w:pStyle w:val="Heading2"/>
        <w:rPr>
          <w:rFonts w:ascii="Arial" w:hAnsi="Arial" w:cs="Arial"/>
        </w:rPr>
      </w:pPr>
      <w:bookmarkStart w:id="31" w:name="_Toc216380891"/>
      <w:r w:rsidRPr="008D7DBA">
        <w:rPr>
          <w:rFonts w:ascii="Arial" w:hAnsi="Arial" w:cs="Arial"/>
        </w:rPr>
        <w:t xml:space="preserve">5.2 </w:t>
      </w:r>
      <w:r w:rsidR="00ED2403" w:rsidRPr="008D7DBA">
        <w:rPr>
          <w:rFonts w:ascii="Arial" w:hAnsi="Arial" w:cs="Arial"/>
        </w:rPr>
        <w:t>Investment Recommendation Project C Justification</w:t>
      </w:r>
      <w:bookmarkEnd w:id="31"/>
    </w:p>
    <w:p w14:paraId="01D04D4D" w14:textId="20D100B3" w:rsidR="00ED2403" w:rsidRPr="008D7DBA" w:rsidRDefault="00ED2403" w:rsidP="00ED2403">
      <w:pPr>
        <w:rPr>
          <w:rFonts w:ascii="Arial" w:hAnsi="Arial" w:cs="Arial"/>
        </w:rPr>
      </w:pPr>
      <w:r w:rsidRPr="008D7DBA">
        <w:rPr>
          <w:rFonts w:ascii="Arial" w:hAnsi="Arial" w:cs="Arial"/>
        </w:rPr>
        <w:t xml:space="preserve">According to the current financial performance of General Electronics, the nature of the applicable projects, Project C will be the best option. </w:t>
      </w:r>
      <w:r w:rsidR="0095452D" w:rsidRPr="008D7DBA">
        <w:rPr>
          <w:rFonts w:ascii="Arial" w:hAnsi="Arial" w:cs="Arial"/>
        </w:rPr>
        <w:t>T</w:t>
      </w:r>
      <w:r w:rsidRPr="008D7DBA">
        <w:rPr>
          <w:rFonts w:ascii="Arial" w:hAnsi="Arial" w:cs="Arial"/>
        </w:rPr>
        <w:t>his recommendation by looking at the profitability and liquidity of the company and risks of the projects</w:t>
      </w:r>
      <w:r w:rsidR="0095452D" w:rsidRPr="008D7DBA">
        <w:rPr>
          <w:rFonts w:ascii="Arial" w:hAnsi="Arial" w:cs="Arial"/>
        </w:rPr>
        <w:t>,</w:t>
      </w:r>
      <w:r w:rsidRPr="008D7DBA">
        <w:rPr>
          <w:rFonts w:ascii="Arial" w:hAnsi="Arial" w:cs="Arial"/>
        </w:rPr>
        <w:t xml:space="preserve"> especially in terms of the volatility of the cash flows and sustainable growth potential.</w:t>
      </w:r>
    </w:p>
    <w:p w14:paraId="35FAB8F5" w14:textId="37C5542B" w:rsidR="00ED2403" w:rsidRPr="008D7DBA" w:rsidRDefault="00ED2403" w:rsidP="00ED2403">
      <w:pPr>
        <w:rPr>
          <w:rFonts w:ascii="Arial" w:hAnsi="Arial" w:cs="Arial"/>
          <w:b/>
          <w:bCs/>
          <w:i/>
          <w:iCs/>
        </w:rPr>
      </w:pPr>
      <w:r w:rsidRPr="008D7DBA">
        <w:rPr>
          <w:rFonts w:ascii="Arial" w:hAnsi="Arial" w:cs="Arial"/>
          <w:b/>
          <w:bCs/>
          <w:i/>
          <w:iCs/>
        </w:rPr>
        <w:t>Profitability Considerations</w:t>
      </w:r>
    </w:p>
    <w:p w14:paraId="1C8E6924" w14:textId="515B1429" w:rsidR="00ED2403" w:rsidRPr="008D7DBA" w:rsidRDefault="00ED2403" w:rsidP="00ED2403">
      <w:pPr>
        <w:rPr>
          <w:rFonts w:ascii="Arial" w:hAnsi="Arial" w:cs="Arial"/>
        </w:rPr>
      </w:pPr>
      <w:r w:rsidRPr="008D7DBA">
        <w:rPr>
          <w:rFonts w:ascii="Arial" w:hAnsi="Arial" w:cs="Arial"/>
        </w:rPr>
        <w:t>The trend recorded at General Electronics has been poor profitability</w:t>
      </w:r>
      <w:r w:rsidR="0095452D" w:rsidRPr="008D7DBA">
        <w:rPr>
          <w:rFonts w:ascii="Arial" w:hAnsi="Arial" w:cs="Arial"/>
        </w:rPr>
        <w:t>,</w:t>
      </w:r>
      <w:r w:rsidRPr="008D7DBA">
        <w:rPr>
          <w:rFonts w:ascii="Arial" w:hAnsi="Arial" w:cs="Arial"/>
        </w:rPr>
        <w:t xml:space="preserve"> as indicated by the key financial ratios like the gross profit margin and the return on equity (ROE). It is</w:t>
      </w:r>
      <w:r w:rsidR="0058089E" w:rsidRPr="008D7DBA">
        <w:rPr>
          <w:rFonts w:ascii="Arial" w:hAnsi="Arial" w:cs="Arial"/>
        </w:rPr>
        <w:t xml:space="preserve"> </w:t>
      </w:r>
      <w:r w:rsidRPr="008D7DBA">
        <w:rPr>
          <w:rFonts w:ascii="Arial" w:hAnsi="Arial" w:cs="Arial"/>
        </w:rPr>
        <w:t>crucial that the company s</w:t>
      </w:r>
      <w:r w:rsidR="0095452D" w:rsidRPr="008D7DBA">
        <w:rPr>
          <w:rFonts w:ascii="Arial" w:hAnsi="Arial" w:cs="Arial"/>
        </w:rPr>
        <w:t>elects</w:t>
      </w:r>
      <w:r w:rsidRPr="008D7DBA">
        <w:rPr>
          <w:rFonts w:ascii="Arial" w:hAnsi="Arial" w:cs="Arial"/>
        </w:rPr>
        <w:t xml:space="preserve"> the sort of investments that would bring good returns as well as boost profitability in the long</w:t>
      </w:r>
      <w:r w:rsidR="0095452D" w:rsidRPr="008D7DBA">
        <w:rPr>
          <w:rFonts w:ascii="Arial" w:hAnsi="Arial" w:cs="Arial"/>
        </w:rPr>
        <w:t xml:space="preserve"> </w:t>
      </w:r>
      <w:r w:rsidRPr="008D7DBA">
        <w:rPr>
          <w:rFonts w:ascii="Arial" w:hAnsi="Arial" w:cs="Arial"/>
        </w:rPr>
        <w:t>term</w:t>
      </w:r>
      <w:r w:rsidR="0058089E" w:rsidRPr="008D7DBA">
        <w:rPr>
          <w:rFonts w:ascii="Arial" w:hAnsi="Arial" w:cs="Arial"/>
        </w:rPr>
        <w:t xml:space="preserve"> </w:t>
      </w:r>
      <w:r w:rsidR="0058089E" w:rsidRPr="008D7DBA">
        <w:rPr>
          <w:rFonts w:ascii="Arial" w:hAnsi="Arial" w:cs="Arial"/>
          <w:shd w:val="clear" w:color="auto" w:fill="FFFFFF"/>
        </w:rPr>
        <w:t>(Michelon et al., 2020)</w:t>
      </w:r>
      <w:r w:rsidRPr="008D7DBA">
        <w:rPr>
          <w:rFonts w:ascii="Arial" w:hAnsi="Arial" w:cs="Arial"/>
        </w:rPr>
        <w:t>.</w:t>
      </w:r>
    </w:p>
    <w:p w14:paraId="6E885004" w14:textId="72B6538F" w:rsidR="00ED2403" w:rsidRPr="008D7DBA" w:rsidRDefault="00ED2403" w:rsidP="00ED2403">
      <w:pPr>
        <w:rPr>
          <w:rFonts w:ascii="Arial" w:hAnsi="Arial" w:cs="Arial"/>
        </w:rPr>
      </w:pPr>
      <w:r w:rsidRPr="008D7DBA">
        <w:rPr>
          <w:rFonts w:ascii="Arial" w:hAnsi="Arial" w:cs="Arial"/>
        </w:rPr>
        <w:t>Project C is the most lucrative project, and it has a Net Present Value (NPV) of the highest value of 4.225 million</w:t>
      </w:r>
      <w:r w:rsidR="0095452D" w:rsidRPr="008D7DBA">
        <w:rPr>
          <w:rFonts w:ascii="Arial" w:hAnsi="Arial" w:cs="Arial"/>
        </w:rPr>
        <w:t>,</w:t>
      </w:r>
      <w:r w:rsidRPr="008D7DBA">
        <w:rPr>
          <w:rFonts w:ascii="Arial" w:hAnsi="Arial" w:cs="Arial"/>
        </w:rPr>
        <w:t xml:space="preserve"> </w:t>
      </w:r>
      <w:r w:rsidR="0095452D" w:rsidRPr="008D7DBA">
        <w:rPr>
          <w:rFonts w:ascii="Arial" w:hAnsi="Arial" w:cs="Arial"/>
        </w:rPr>
        <w:t>which</w:t>
      </w:r>
      <w:r w:rsidRPr="008D7DBA">
        <w:rPr>
          <w:rFonts w:ascii="Arial" w:hAnsi="Arial" w:cs="Arial"/>
        </w:rPr>
        <w:t xml:space="preserve"> shows it is the one that will bring the maximum value to shareholders</w:t>
      </w:r>
      <w:r w:rsidR="0058089E" w:rsidRPr="008D7DBA">
        <w:rPr>
          <w:rFonts w:ascii="Arial" w:hAnsi="Arial" w:cs="Arial"/>
        </w:rPr>
        <w:t xml:space="preserve"> </w:t>
      </w:r>
      <w:r w:rsidR="0058089E" w:rsidRPr="008D7DBA">
        <w:rPr>
          <w:rFonts w:ascii="Arial" w:hAnsi="Arial" w:cs="Arial"/>
          <w:shd w:val="clear" w:color="auto" w:fill="FFFFFF"/>
        </w:rPr>
        <w:t>(Alles et al., 2020)</w:t>
      </w:r>
      <w:r w:rsidRPr="008D7DBA">
        <w:rPr>
          <w:rFonts w:ascii="Arial" w:hAnsi="Arial" w:cs="Arial"/>
        </w:rPr>
        <w:t>. It has the highest Internal Rate of Return (IRR) of 12.72% compared to the other two projects</w:t>
      </w:r>
      <w:r w:rsidR="0095452D" w:rsidRPr="008D7DBA">
        <w:rPr>
          <w:rFonts w:ascii="Arial" w:hAnsi="Arial" w:cs="Arial"/>
        </w:rPr>
        <w:t>,</w:t>
      </w:r>
      <w:r w:rsidRPr="008D7DBA">
        <w:rPr>
          <w:rFonts w:ascii="Arial" w:hAnsi="Arial" w:cs="Arial"/>
        </w:rPr>
        <w:t xml:space="preserve"> whereas this is far higher than the required rate of return of the company is 10%. Also, have the Accounting Rate of Return (ARR) of Project C</w:t>
      </w:r>
      <w:r w:rsidR="0095452D" w:rsidRPr="008D7DBA">
        <w:rPr>
          <w:rFonts w:ascii="Arial" w:hAnsi="Arial" w:cs="Arial"/>
        </w:rPr>
        <w:t>,</w:t>
      </w:r>
      <w:r w:rsidRPr="008D7DBA">
        <w:rPr>
          <w:rFonts w:ascii="Arial" w:hAnsi="Arial" w:cs="Arial"/>
        </w:rPr>
        <w:t xml:space="preserve"> which stands at 20, </w:t>
      </w:r>
      <w:r w:rsidR="0095452D" w:rsidRPr="008D7DBA">
        <w:rPr>
          <w:rFonts w:ascii="Arial" w:hAnsi="Arial" w:cs="Arial"/>
        </w:rPr>
        <w:t xml:space="preserve">the </w:t>
      </w:r>
      <w:r w:rsidRPr="008D7DBA">
        <w:rPr>
          <w:rFonts w:ascii="Arial" w:hAnsi="Arial" w:cs="Arial"/>
        </w:rPr>
        <w:t>highest amongst all the appended projects and which further ratifies the fact that it has a good potential of yielding good returns compared to the cost involved towards the initiation of the project</w:t>
      </w:r>
      <w:r w:rsidR="0058089E" w:rsidRPr="008D7DBA">
        <w:rPr>
          <w:rFonts w:ascii="Arial" w:hAnsi="Arial" w:cs="Arial"/>
        </w:rPr>
        <w:t xml:space="preserve"> </w:t>
      </w:r>
      <w:r w:rsidR="0058089E" w:rsidRPr="008D7DBA">
        <w:rPr>
          <w:rFonts w:ascii="Arial" w:hAnsi="Arial" w:cs="Arial"/>
          <w:shd w:val="clear" w:color="auto" w:fill="FFFFFF"/>
        </w:rPr>
        <w:t>(Bierman, 2020)</w:t>
      </w:r>
      <w:r w:rsidRPr="008D7DBA">
        <w:rPr>
          <w:rFonts w:ascii="Arial" w:hAnsi="Arial" w:cs="Arial"/>
        </w:rPr>
        <w:t>.</w:t>
      </w:r>
      <w:r w:rsidR="00D1144A" w:rsidRPr="008D7DBA">
        <w:rPr>
          <w:rFonts w:ascii="Arial" w:hAnsi="Arial" w:cs="Arial"/>
        </w:rPr>
        <w:t xml:space="preserve"> </w:t>
      </w:r>
      <w:r w:rsidRPr="008D7DBA">
        <w:rPr>
          <w:rFonts w:ascii="Arial" w:hAnsi="Arial" w:cs="Arial"/>
        </w:rPr>
        <w:t xml:space="preserve">Project A, in its turn, is a good suggestion with </w:t>
      </w:r>
      <w:r w:rsidR="0095452D" w:rsidRPr="008D7DBA">
        <w:rPr>
          <w:rFonts w:ascii="Arial" w:hAnsi="Arial" w:cs="Arial"/>
        </w:rPr>
        <w:t xml:space="preserve">an </w:t>
      </w:r>
      <w:r w:rsidRPr="008D7DBA">
        <w:rPr>
          <w:rFonts w:ascii="Arial" w:hAnsi="Arial" w:cs="Arial"/>
        </w:rPr>
        <w:t>IRR of 11.33</w:t>
      </w:r>
      <w:r w:rsidR="0095452D" w:rsidRPr="008D7DBA">
        <w:rPr>
          <w:rFonts w:ascii="Arial" w:hAnsi="Arial" w:cs="Arial"/>
        </w:rPr>
        <w:t>,</w:t>
      </w:r>
      <w:r w:rsidRPr="008D7DBA">
        <w:rPr>
          <w:rFonts w:ascii="Arial" w:hAnsi="Arial" w:cs="Arial"/>
        </w:rPr>
        <w:t xml:space="preserve"> but not as good as Project C, and Project B is a disaster with a 0% IRR and an NPV of -7.255 million, which is not even profitable.</w:t>
      </w:r>
      <w:r w:rsidR="00D1144A" w:rsidRPr="008D7DBA">
        <w:rPr>
          <w:rFonts w:ascii="Arial" w:hAnsi="Arial" w:cs="Arial"/>
        </w:rPr>
        <w:t xml:space="preserve"> </w:t>
      </w:r>
      <w:r w:rsidRPr="008D7DBA">
        <w:rPr>
          <w:rFonts w:ascii="Arial" w:hAnsi="Arial" w:cs="Arial"/>
        </w:rPr>
        <w:t>Therefore, Project C offers the greatest opportunities in boosting profitability</w:t>
      </w:r>
      <w:r w:rsidR="0095452D" w:rsidRPr="008D7DBA">
        <w:rPr>
          <w:rFonts w:ascii="Arial" w:hAnsi="Arial" w:cs="Arial"/>
        </w:rPr>
        <w:t>,</w:t>
      </w:r>
      <w:r w:rsidRPr="008D7DBA">
        <w:rPr>
          <w:rFonts w:ascii="Arial" w:hAnsi="Arial" w:cs="Arial"/>
        </w:rPr>
        <w:t xml:space="preserve"> </w:t>
      </w:r>
      <w:r w:rsidR="0095452D" w:rsidRPr="008D7DBA">
        <w:rPr>
          <w:rFonts w:ascii="Arial" w:hAnsi="Arial" w:cs="Arial"/>
        </w:rPr>
        <w:t>which</w:t>
      </w:r>
      <w:r w:rsidRPr="008D7DBA">
        <w:rPr>
          <w:rFonts w:ascii="Arial" w:hAnsi="Arial" w:cs="Arial"/>
        </w:rPr>
        <w:t xml:space="preserve"> is badly needed by General Electronics to restore its health in terms of financial performance and shareholder trust.</w:t>
      </w:r>
    </w:p>
    <w:p w14:paraId="0CCFC737" w14:textId="5A119901" w:rsidR="00ED2403" w:rsidRPr="008D7DBA" w:rsidRDefault="00ED2403" w:rsidP="00ED2403">
      <w:pPr>
        <w:rPr>
          <w:rFonts w:ascii="Arial" w:hAnsi="Arial" w:cs="Arial"/>
          <w:b/>
          <w:bCs/>
          <w:i/>
          <w:iCs/>
        </w:rPr>
      </w:pPr>
      <w:r w:rsidRPr="008D7DBA">
        <w:rPr>
          <w:rFonts w:ascii="Arial" w:hAnsi="Arial" w:cs="Arial"/>
          <w:b/>
          <w:bCs/>
          <w:i/>
          <w:iCs/>
        </w:rPr>
        <w:t>Liquidity and Cash Flow Issues</w:t>
      </w:r>
    </w:p>
    <w:p w14:paraId="7F093E15" w14:textId="67E54316" w:rsidR="00ED2403" w:rsidRPr="008D7DBA" w:rsidRDefault="00ED2403" w:rsidP="00ED2403">
      <w:pPr>
        <w:rPr>
          <w:rFonts w:ascii="Arial" w:hAnsi="Arial" w:cs="Arial"/>
        </w:rPr>
      </w:pPr>
      <w:r w:rsidRPr="008D7DBA">
        <w:rPr>
          <w:rFonts w:ascii="Arial" w:hAnsi="Arial" w:cs="Arial"/>
        </w:rPr>
        <w:t>Another important consideration in the decision-making process is liquidity, in view of the liquidity difficulties that General Electronics is currently facing</w:t>
      </w:r>
      <w:r w:rsidR="0095452D" w:rsidRPr="008D7DBA">
        <w:rPr>
          <w:rFonts w:ascii="Arial" w:hAnsi="Arial" w:cs="Arial"/>
        </w:rPr>
        <w:t>,</w:t>
      </w:r>
      <w:r w:rsidRPr="008D7DBA">
        <w:rPr>
          <w:rFonts w:ascii="Arial" w:hAnsi="Arial" w:cs="Arial"/>
        </w:rPr>
        <w:t xml:space="preserve"> as indicated by its decreasing quick ratio and operating cash flow ratio</w:t>
      </w:r>
      <w:r w:rsidR="0058089E" w:rsidRPr="008D7DBA">
        <w:rPr>
          <w:rFonts w:ascii="Arial" w:hAnsi="Arial" w:cs="Arial"/>
        </w:rPr>
        <w:t xml:space="preserve"> </w:t>
      </w:r>
      <w:r w:rsidR="0058089E" w:rsidRPr="008D7DBA">
        <w:rPr>
          <w:rFonts w:ascii="Arial" w:hAnsi="Arial" w:cs="Arial"/>
          <w:shd w:val="clear" w:color="auto" w:fill="FFFFFF"/>
        </w:rPr>
        <w:t>(Bierman, 2020)</w:t>
      </w:r>
      <w:r w:rsidRPr="008D7DBA">
        <w:rPr>
          <w:rFonts w:ascii="Arial" w:hAnsi="Arial" w:cs="Arial"/>
        </w:rPr>
        <w:t xml:space="preserve">. The firm requires </w:t>
      </w:r>
      <w:r w:rsidRPr="008D7DBA">
        <w:rPr>
          <w:rFonts w:ascii="Arial" w:hAnsi="Arial" w:cs="Arial"/>
        </w:rPr>
        <w:lastRenderedPageBreak/>
        <w:t>initiatives that would enhance its liquidity status in the short term</w:t>
      </w:r>
      <w:r w:rsidR="0095452D" w:rsidRPr="008D7DBA">
        <w:rPr>
          <w:rFonts w:ascii="Arial" w:hAnsi="Arial" w:cs="Arial"/>
        </w:rPr>
        <w:t>,</w:t>
      </w:r>
      <w:r w:rsidRPr="008D7DBA">
        <w:rPr>
          <w:rFonts w:ascii="Arial" w:hAnsi="Arial" w:cs="Arial"/>
        </w:rPr>
        <w:t xml:space="preserve"> as well as guarantee its financial stability in the long term.</w:t>
      </w:r>
    </w:p>
    <w:p w14:paraId="79DB7B88" w14:textId="123A91E9" w:rsidR="00ED2403" w:rsidRPr="008D7DBA" w:rsidRDefault="00ED2403" w:rsidP="00ED2403">
      <w:pPr>
        <w:rPr>
          <w:rFonts w:ascii="Arial" w:hAnsi="Arial" w:cs="Arial"/>
        </w:rPr>
      </w:pPr>
      <w:r w:rsidRPr="008D7DBA">
        <w:rPr>
          <w:rFonts w:ascii="Arial" w:hAnsi="Arial" w:cs="Arial"/>
        </w:rPr>
        <w:t xml:space="preserve">Project C is favourable in terms of the cash flow and the capital expenditure. It has the highest initial investment </w:t>
      </w:r>
      <w:r w:rsidR="0095452D" w:rsidRPr="008D7DBA">
        <w:rPr>
          <w:rFonts w:ascii="Arial" w:hAnsi="Arial" w:cs="Arial"/>
        </w:rPr>
        <w:t>of</w:t>
      </w:r>
      <w:r w:rsidRPr="008D7DBA">
        <w:rPr>
          <w:rFonts w:ascii="Arial" w:hAnsi="Arial" w:cs="Arial"/>
        </w:rPr>
        <w:t xml:space="preserve"> the three projects (</w:t>
      </w:r>
      <w:r w:rsidR="0095452D" w:rsidRPr="008D7DBA">
        <w:rPr>
          <w:rFonts w:ascii="Arial" w:hAnsi="Arial" w:cs="Arial"/>
        </w:rPr>
        <w:t>£</w:t>
      </w:r>
      <w:r w:rsidRPr="008D7DBA">
        <w:rPr>
          <w:rFonts w:ascii="Arial" w:hAnsi="Arial" w:cs="Arial"/>
        </w:rPr>
        <w:t>50 million), but its cash inflows are quite good, especially in the later years. The cash inflows of Project C on a year-by-year basis are £5m, 10m, 20m, 25m and 15m and therefore ha</w:t>
      </w:r>
      <w:r w:rsidR="0095452D" w:rsidRPr="008D7DBA">
        <w:rPr>
          <w:rFonts w:ascii="Arial" w:hAnsi="Arial" w:cs="Arial"/>
        </w:rPr>
        <w:t>ve</w:t>
      </w:r>
      <w:r w:rsidRPr="008D7DBA">
        <w:rPr>
          <w:rFonts w:ascii="Arial" w:hAnsi="Arial" w:cs="Arial"/>
        </w:rPr>
        <w:t xml:space="preserve"> a very good potential of enhancing cash flow</w:t>
      </w:r>
      <w:r w:rsidR="0058089E" w:rsidRPr="008D7DBA">
        <w:rPr>
          <w:rFonts w:ascii="Arial" w:hAnsi="Arial" w:cs="Arial"/>
        </w:rPr>
        <w:t xml:space="preserve"> </w:t>
      </w:r>
      <w:r w:rsidR="0058089E" w:rsidRPr="008D7DBA">
        <w:rPr>
          <w:rFonts w:ascii="Arial" w:hAnsi="Arial" w:cs="Arial"/>
          <w:shd w:val="clear" w:color="auto" w:fill="FFFFFF"/>
        </w:rPr>
        <w:t>(Michelon et al., 2020)</w:t>
      </w:r>
      <w:r w:rsidRPr="008D7DBA">
        <w:rPr>
          <w:rFonts w:ascii="Arial" w:hAnsi="Arial" w:cs="Arial"/>
        </w:rPr>
        <w:t>. These inflows do not just serve the purpose of repaying the starting investment</w:t>
      </w:r>
      <w:r w:rsidR="0095452D" w:rsidRPr="008D7DBA">
        <w:rPr>
          <w:rFonts w:ascii="Arial" w:hAnsi="Arial" w:cs="Arial"/>
        </w:rPr>
        <w:t>,</w:t>
      </w:r>
      <w:r w:rsidRPr="008D7DBA">
        <w:rPr>
          <w:rFonts w:ascii="Arial" w:hAnsi="Arial" w:cs="Arial"/>
        </w:rPr>
        <w:t xml:space="preserve"> but they also generate surplus cash to be reinvested in other strategic projects.</w:t>
      </w:r>
      <w:r w:rsidR="00D1144A" w:rsidRPr="008D7DBA">
        <w:rPr>
          <w:rFonts w:ascii="Arial" w:hAnsi="Arial" w:cs="Arial"/>
        </w:rPr>
        <w:t xml:space="preserve"> </w:t>
      </w:r>
      <w:r w:rsidRPr="008D7DBA">
        <w:rPr>
          <w:rFonts w:ascii="Arial" w:hAnsi="Arial" w:cs="Arial"/>
        </w:rPr>
        <w:t xml:space="preserve">By contrast, project A has moderate cash flows within the 5-year timeframe (£10m, 12m, 14m, 10m, 8m). </w:t>
      </w:r>
      <w:r w:rsidR="009D511F" w:rsidRPr="008D7DBA">
        <w:rPr>
          <w:rFonts w:ascii="Arial" w:hAnsi="Arial" w:cs="Arial"/>
        </w:rPr>
        <w:t>It’s</w:t>
      </w:r>
      <w:r w:rsidRPr="008D7DBA">
        <w:rPr>
          <w:rFonts w:ascii="Arial" w:hAnsi="Arial" w:cs="Arial"/>
        </w:rPr>
        <w:t xml:space="preserve"> payback period is not that long (approximately 3.4 years), but its general cash flow is not as high as the returns in Project C, particularly in the years </w:t>
      </w:r>
      <w:r w:rsidR="0095452D" w:rsidRPr="008D7DBA">
        <w:rPr>
          <w:rFonts w:ascii="Arial" w:hAnsi="Arial" w:cs="Arial"/>
        </w:rPr>
        <w:t>during</w:t>
      </w:r>
      <w:r w:rsidRPr="008D7DBA">
        <w:rPr>
          <w:rFonts w:ascii="Arial" w:hAnsi="Arial" w:cs="Arial"/>
        </w:rPr>
        <w:t xml:space="preserve"> which the project is considered. Project B</w:t>
      </w:r>
      <w:r w:rsidR="0095452D" w:rsidRPr="008D7DBA">
        <w:rPr>
          <w:rFonts w:ascii="Arial" w:hAnsi="Arial" w:cs="Arial"/>
        </w:rPr>
        <w:t>,</w:t>
      </w:r>
      <w:r w:rsidRPr="008D7DBA">
        <w:rPr>
          <w:rFonts w:ascii="Arial" w:hAnsi="Arial" w:cs="Arial"/>
        </w:rPr>
        <w:t xml:space="preserve"> due to its stable cash flow of £6m per year</w:t>
      </w:r>
      <w:r w:rsidR="0095452D" w:rsidRPr="008D7DBA">
        <w:rPr>
          <w:rFonts w:ascii="Arial" w:hAnsi="Arial" w:cs="Arial"/>
        </w:rPr>
        <w:t>,</w:t>
      </w:r>
      <w:r w:rsidRPr="008D7DBA">
        <w:rPr>
          <w:rFonts w:ascii="Arial" w:hAnsi="Arial" w:cs="Arial"/>
        </w:rPr>
        <w:t xml:space="preserve"> is not likely to give adequate liquidity to enhance the financial position of General </w:t>
      </w:r>
      <w:r w:rsidR="0095452D" w:rsidRPr="008D7DBA">
        <w:rPr>
          <w:rFonts w:ascii="Arial" w:hAnsi="Arial" w:cs="Arial"/>
        </w:rPr>
        <w:t>E</w:t>
      </w:r>
      <w:r w:rsidRPr="008D7DBA">
        <w:rPr>
          <w:rFonts w:ascii="Arial" w:hAnsi="Arial" w:cs="Arial"/>
        </w:rPr>
        <w:t>lectronics with its negative NPV and zero IRR.</w:t>
      </w:r>
      <w:r w:rsidR="00D1144A" w:rsidRPr="008D7DBA">
        <w:rPr>
          <w:rFonts w:ascii="Arial" w:hAnsi="Arial" w:cs="Arial"/>
        </w:rPr>
        <w:t xml:space="preserve"> </w:t>
      </w:r>
      <w:r w:rsidRPr="008D7DBA">
        <w:rPr>
          <w:rFonts w:ascii="Arial" w:hAnsi="Arial" w:cs="Arial"/>
        </w:rPr>
        <w:t>Consequently, Project C is the most viable mix in terms of increasing liquidity</w:t>
      </w:r>
      <w:r w:rsidR="0095452D" w:rsidRPr="008D7DBA">
        <w:rPr>
          <w:rFonts w:ascii="Arial" w:hAnsi="Arial" w:cs="Arial"/>
        </w:rPr>
        <w:t>,</w:t>
      </w:r>
      <w:r w:rsidRPr="008D7DBA">
        <w:rPr>
          <w:rFonts w:ascii="Arial" w:hAnsi="Arial" w:cs="Arial"/>
        </w:rPr>
        <w:t xml:space="preserve"> not only </w:t>
      </w:r>
      <w:r w:rsidR="0095452D" w:rsidRPr="008D7DBA">
        <w:rPr>
          <w:rFonts w:ascii="Arial" w:hAnsi="Arial" w:cs="Arial"/>
        </w:rPr>
        <w:t>in</w:t>
      </w:r>
      <w:r w:rsidRPr="008D7DBA">
        <w:rPr>
          <w:rFonts w:ascii="Arial" w:hAnsi="Arial" w:cs="Arial"/>
        </w:rPr>
        <w:t xml:space="preserve"> the short term, but equally so </w:t>
      </w:r>
      <w:r w:rsidR="0095452D" w:rsidRPr="008D7DBA">
        <w:rPr>
          <w:rFonts w:ascii="Arial" w:hAnsi="Arial" w:cs="Arial"/>
        </w:rPr>
        <w:t>in</w:t>
      </w:r>
      <w:r w:rsidRPr="008D7DBA">
        <w:rPr>
          <w:rFonts w:ascii="Arial" w:hAnsi="Arial" w:cs="Arial"/>
        </w:rPr>
        <w:t xml:space="preserve"> the long term in t</w:t>
      </w:r>
      <w:r w:rsidR="0095452D" w:rsidRPr="008D7DBA">
        <w:rPr>
          <w:rFonts w:ascii="Arial" w:hAnsi="Arial" w:cs="Arial"/>
        </w:rPr>
        <w:t>erms</w:t>
      </w:r>
      <w:r w:rsidRPr="008D7DBA">
        <w:rPr>
          <w:rFonts w:ascii="Arial" w:hAnsi="Arial" w:cs="Arial"/>
        </w:rPr>
        <w:t xml:space="preserve"> of profitability.</w:t>
      </w:r>
    </w:p>
    <w:p w14:paraId="65D8AD7C" w14:textId="38E01DE5" w:rsidR="00ED2403" w:rsidRPr="008D7DBA" w:rsidRDefault="00ED2403" w:rsidP="00ED2403">
      <w:pPr>
        <w:rPr>
          <w:rFonts w:ascii="Arial" w:hAnsi="Arial" w:cs="Arial"/>
          <w:b/>
          <w:bCs/>
          <w:i/>
          <w:iCs/>
        </w:rPr>
      </w:pPr>
      <w:r w:rsidRPr="008D7DBA">
        <w:rPr>
          <w:rFonts w:ascii="Arial" w:hAnsi="Arial" w:cs="Arial"/>
          <w:b/>
          <w:bCs/>
          <w:i/>
          <w:iCs/>
        </w:rPr>
        <w:t>Project Risk Characteristics: Cash Flow Volatility</w:t>
      </w:r>
    </w:p>
    <w:p w14:paraId="6AEFF788" w14:textId="7A461320" w:rsidR="00ED2403" w:rsidRPr="008D7DBA" w:rsidRDefault="00ED2403" w:rsidP="00ED2403">
      <w:pPr>
        <w:rPr>
          <w:rFonts w:ascii="Arial" w:hAnsi="Arial" w:cs="Arial"/>
        </w:rPr>
      </w:pPr>
      <w:r w:rsidRPr="008D7DBA">
        <w:rPr>
          <w:rFonts w:ascii="Arial" w:hAnsi="Arial" w:cs="Arial"/>
        </w:rPr>
        <w:t>Since the company requires stability, it is of great importance to evaluate the volatility of each project in terms of cash flow. One major risk to bear is the possible uncertainty in future cash flows</w:t>
      </w:r>
      <w:r w:rsidR="0095452D" w:rsidRPr="008D7DBA">
        <w:rPr>
          <w:rFonts w:ascii="Arial" w:hAnsi="Arial" w:cs="Arial"/>
        </w:rPr>
        <w:t>,</w:t>
      </w:r>
      <w:r w:rsidRPr="008D7DBA">
        <w:rPr>
          <w:rFonts w:ascii="Arial" w:hAnsi="Arial" w:cs="Arial"/>
        </w:rPr>
        <w:t xml:space="preserve"> especially </w:t>
      </w:r>
      <w:r w:rsidR="0095452D" w:rsidRPr="008D7DBA">
        <w:rPr>
          <w:rFonts w:ascii="Arial" w:hAnsi="Arial" w:cs="Arial"/>
        </w:rPr>
        <w:t>i</w:t>
      </w:r>
      <w:r w:rsidRPr="008D7DBA">
        <w:rPr>
          <w:rFonts w:ascii="Arial" w:hAnsi="Arial" w:cs="Arial"/>
        </w:rPr>
        <w:t>n their capability to achieve financial requirements and remain profitable</w:t>
      </w:r>
      <w:r w:rsidR="0058089E" w:rsidRPr="008D7DBA">
        <w:rPr>
          <w:rFonts w:ascii="Arial" w:hAnsi="Arial" w:cs="Arial"/>
        </w:rPr>
        <w:t xml:space="preserve"> </w:t>
      </w:r>
      <w:r w:rsidR="0058089E" w:rsidRPr="008D7DBA">
        <w:rPr>
          <w:rFonts w:ascii="Arial" w:hAnsi="Arial" w:cs="Arial"/>
          <w:shd w:val="clear" w:color="auto" w:fill="FFFFFF"/>
        </w:rPr>
        <w:t>(Babu et al., 2019)</w:t>
      </w:r>
      <w:r w:rsidRPr="008D7DBA">
        <w:rPr>
          <w:rFonts w:ascii="Arial" w:hAnsi="Arial" w:cs="Arial"/>
        </w:rPr>
        <w:t>.</w:t>
      </w:r>
      <w:r w:rsidR="00D1144A" w:rsidRPr="008D7DBA">
        <w:rPr>
          <w:rFonts w:ascii="Arial" w:hAnsi="Arial" w:cs="Arial"/>
        </w:rPr>
        <w:t xml:space="preserve"> </w:t>
      </w:r>
      <w:r w:rsidRPr="008D7DBA">
        <w:rPr>
          <w:rFonts w:ascii="Arial" w:hAnsi="Arial" w:cs="Arial"/>
        </w:rPr>
        <w:t>Project C has more volatility of cash flow than Project A and Project B. The volatility is</w:t>
      </w:r>
      <w:r w:rsidR="0095452D" w:rsidRPr="008D7DBA">
        <w:rPr>
          <w:rFonts w:ascii="Arial" w:hAnsi="Arial" w:cs="Arial"/>
        </w:rPr>
        <w:t xml:space="preserve"> </w:t>
      </w:r>
      <w:r w:rsidRPr="008D7DBA">
        <w:rPr>
          <w:rFonts w:ascii="Arial" w:hAnsi="Arial" w:cs="Arial"/>
        </w:rPr>
        <w:t>addressed by the diversified nature of the cash inflows</w:t>
      </w:r>
      <w:r w:rsidR="0095452D" w:rsidRPr="008D7DBA">
        <w:rPr>
          <w:rFonts w:ascii="Arial" w:hAnsi="Arial" w:cs="Arial"/>
        </w:rPr>
        <w:t>,</w:t>
      </w:r>
      <w:r w:rsidRPr="008D7DBA">
        <w:rPr>
          <w:rFonts w:ascii="Arial" w:hAnsi="Arial" w:cs="Arial"/>
        </w:rPr>
        <w:t xml:space="preserve"> which rise in years 3 and 4. To be more specific, the project experiences huge inflows of £20m in year 3, 25m in year 4 and 15m in year 5 that offset the smaller 5m and 10m inflows in the first two years. This increases the cash flows slowly with time</w:t>
      </w:r>
      <w:r w:rsidR="0095452D" w:rsidRPr="008D7DBA">
        <w:rPr>
          <w:rFonts w:ascii="Arial" w:hAnsi="Arial" w:cs="Arial"/>
        </w:rPr>
        <w:t>,</w:t>
      </w:r>
      <w:r w:rsidRPr="008D7DBA">
        <w:rPr>
          <w:rFonts w:ascii="Arial" w:hAnsi="Arial" w:cs="Arial"/>
        </w:rPr>
        <w:t xml:space="preserve"> forming a more balanced cash flow profile</w:t>
      </w:r>
      <w:r w:rsidR="0095452D" w:rsidRPr="008D7DBA">
        <w:rPr>
          <w:rFonts w:ascii="Arial" w:hAnsi="Arial" w:cs="Arial"/>
        </w:rPr>
        <w:t>,</w:t>
      </w:r>
      <w:r w:rsidRPr="008D7DBA">
        <w:rPr>
          <w:rFonts w:ascii="Arial" w:hAnsi="Arial" w:cs="Arial"/>
        </w:rPr>
        <w:t xml:space="preserve"> and this assist</w:t>
      </w:r>
      <w:r w:rsidR="0095452D" w:rsidRPr="008D7DBA">
        <w:rPr>
          <w:rFonts w:ascii="Arial" w:hAnsi="Arial" w:cs="Arial"/>
        </w:rPr>
        <w:t>s</w:t>
      </w:r>
      <w:r w:rsidRPr="008D7DBA">
        <w:rPr>
          <w:rFonts w:ascii="Arial" w:hAnsi="Arial" w:cs="Arial"/>
        </w:rPr>
        <w:t xml:space="preserve"> the company </w:t>
      </w:r>
      <w:r w:rsidR="0095452D" w:rsidRPr="008D7DBA">
        <w:rPr>
          <w:rFonts w:ascii="Arial" w:hAnsi="Arial" w:cs="Arial"/>
        </w:rPr>
        <w:t>in absorbing</w:t>
      </w:r>
      <w:r w:rsidRPr="008D7DBA">
        <w:rPr>
          <w:rFonts w:ascii="Arial" w:hAnsi="Arial" w:cs="Arial"/>
        </w:rPr>
        <w:t xml:space="preserve"> any shock</w:t>
      </w:r>
      <w:r w:rsidR="0095452D" w:rsidRPr="008D7DBA">
        <w:rPr>
          <w:rFonts w:ascii="Arial" w:hAnsi="Arial" w:cs="Arial"/>
        </w:rPr>
        <w:t>s</w:t>
      </w:r>
      <w:r w:rsidRPr="008D7DBA">
        <w:rPr>
          <w:rFonts w:ascii="Arial" w:hAnsi="Arial" w:cs="Arial"/>
        </w:rPr>
        <w:t xml:space="preserve"> or market fluctuations that could occur outside the company</w:t>
      </w:r>
      <w:r w:rsidR="0058089E" w:rsidRPr="008D7DBA">
        <w:rPr>
          <w:rFonts w:ascii="Arial" w:hAnsi="Arial" w:cs="Arial"/>
        </w:rPr>
        <w:t xml:space="preserve"> </w:t>
      </w:r>
      <w:r w:rsidR="0058089E" w:rsidRPr="008D7DBA">
        <w:rPr>
          <w:rFonts w:ascii="Arial" w:hAnsi="Arial" w:cs="Arial"/>
          <w:shd w:val="clear" w:color="auto" w:fill="FFFFFF"/>
        </w:rPr>
        <w:t>(Nunden et al., 2022)</w:t>
      </w:r>
      <w:r w:rsidRPr="008D7DBA">
        <w:rPr>
          <w:rFonts w:ascii="Arial" w:hAnsi="Arial" w:cs="Arial"/>
        </w:rPr>
        <w:t>. Project C is in a good position to address the volatility that could possibly follow in the future</w:t>
      </w:r>
      <w:r w:rsidR="0095452D" w:rsidRPr="008D7DBA">
        <w:rPr>
          <w:rFonts w:ascii="Arial" w:hAnsi="Arial" w:cs="Arial"/>
        </w:rPr>
        <w:t>,</w:t>
      </w:r>
      <w:r w:rsidRPr="008D7DBA">
        <w:rPr>
          <w:rFonts w:ascii="Arial" w:hAnsi="Arial" w:cs="Arial"/>
        </w:rPr>
        <w:t xml:space="preserve"> as the growth rate is projected to be insulated by increased cash flow in the later years.</w:t>
      </w:r>
      <w:r w:rsidR="00D1144A" w:rsidRPr="008D7DBA">
        <w:rPr>
          <w:rFonts w:ascii="Arial" w:hAnsi="Arial" w:cs="Arial"/>
        </w:rPr>
        <w:t xml:space="preserve"> </w:t>
      </w:r>
      <w:r w:rsidRPr="008D7DBA">
        <w:rPr>
          <w:rFonts w:ascii="Arial" w:hAnsi="Arial" w:cs="Arial"/>
        </w:rPr>
        <w:t xml:space="preserve">Contrary to that, there is a stable cash flow profile but with a lower amount as compared </w:t>
      </w:r>
      <w:r w:rsidRPr="008D7DBA">
        <w:rPr>
          <w:rFonts w:ascii="Arial" w:hAnsi="Arial" w:cs="Arial"/>
        </w:rPr>
        <w:lastRenderedPageBreak/>
        <w:t>to Project A</w:t>
      </w:r>
      <w:r w:rsidR="0095452D" w:rsidRPr="008D7DBA">
        <w:rPr>
          <w:rFonts w:ascii="Arial" w:hAnsi="Arial" w:cs="Arial"/>
        </w:rPr>
        <w:t>,</w:t>
      </w:r>
      <w:r w:rsidRPr="008D7DBA">
        <w:rPr>
          <w:rFonts w:ascii="Arial" w:hAnsi="Arial" w:cs="Arial"/>
        </w:rPr>
        <w:t xml:space="preserve"> wh</w:t>
      </w:r>
      <w:r w:rsidR="0095452D" w:rsidRPr="008D7DBA">
        <w:rPr>
          <w:rFonts w:ascii="Arial" w:hAnsi="Arial" w:cs="Arial"/>
        </w:rPr>
        <w:t>ich</w:t>
      </w:r>
      <w:r w:rsidRPr="008D7DBA">
        <w:rPr>
          <w:rFonts w:ascii="Arial" w:hAnsi="Arial" w:cs="Arial"/>
        </w:rPr>
        <w:t xml:space="preserve"> has an average annual cash inflow of between 10m and 14m</w:t>
      </w:r>
      <w:r w:rsidR="0058089E" w:rsidRPr="008D7DBA">
        <w:rPr>
          <w:rFonts w:ascii="Arial" w:hAnsi="Arial" w:cs="Arial"/>
        </w:rPr>
        <w:t xml:space="preserve"> </w:t>
      </w:r>
      <w:r w:rsidR="0058089E" w:rsidRPr="008D7DBA">
        <w:rPr>
          <w:rFonts w:ascii="Arial" w:hAnsi="Arial" w:cs="Arial"/>
          <w:shd w:val="clear" w:color="auto" w:fill="FFFFFF"/>
        </w:rPr>
        <w:t>(Lima et al., 2017)</w:t>
      </w:r>
      <w:r w:rsidRPr="008D7DBA">
        <w:rPr>
          <w:rFonts w:ascii="Arial" w:hAnsi="Arial" w:cs="Arial"/>
        </w:rPr>
        <w:t>. This can decrease the volatility of the cash flow, but in the process</w:t>
      </w:r>
      <w:r w:rsidR="0095452D" w:rsidRPr="008D7DBA">
        <w:rPr>
          <w:rFonts w:ascii="Arial" w:hAnsi="Arial" w:cs="Arial"/>
        </w:rPr>
        <w:t>,</w:t>
      </w:r>
      <w:r w:rsidRPr="008D7DBA">
        <w:rPr>
          <w:rFonts w:ascii="Arial" w:hAnsi="Arial" w:cs="Arial"/>
        </w:rPr>
        <w:t xml:space="preserve"> it restricts the growth potential of the project and the capability to contribute to a high level of profitability. The cash flows of project B are most predictable and stable ( £6m annually).</w:t>
      </w:r>
    </w:p>
    <w:p w14:paraId="6AF77AC4" w14:textId="1870A953" w:rsidR="00ED2403" w:rsidRPr="008D7DBA" w:rsidRDefault="00ED2403" w:rsidP="00ED2403">
      <w:pPr>
        <w:rPr>
          <w:rFonts w:ascii="Arial" w:hAnsi="Arial" w:cs="Arial"/>
        </w:rPr>
      </w:pPr>
      <w:r w:rsidRPr="008D7DBA">
        <w:rPr>
          <w:rFonts w:ascii="Arial" w:hAnsi="Arial" w:cs="Arial"/>
        </w:rPr>
        <w:t>Generally</w:t>
      </w:r>
      <w:r w:rsidR="0095452D" w:rsidRPr="008D7DBA">
        <w:rPr>
          <w:rFonts w:ascii="Arial" w:hAnsi="Arial" w:cs="Arial"/>
        </w:rPr>
        <w:t xml:space="preserve">, </w:t>
      </w:r>
      <w:r w:rsidRPr="008D7DBA">
        <w:rPr>
          <w:rFonts w:ascii="Arial" w:hAnsi="Arial" w:cs="Arial"/>
        </w:rPr>
        <w:t>though Project C is more volatile in the short term, long</w:t>
      </w:r>
      <w:r w:rsidR="0095452D" w:rsidRPr="008D7DBA">
        <w:rPr>
          <w:rFonts w:ascii="Arial" w:hAnsi="Arial" w:cs="Arial"/>
        </w:rPr>
        <w:t>-</w:t>
      </w:r>
      <w:r w:rsidRPr="008D7DBA">
        <w:rPr>
          <w:rFonts w:ascii="Arial" w:hAnsi="Arial" w:cs="Arial"/>
        </w:rPr>
        <w:t>term cash flow potential in the project is much more lucrative in profitability, as well as in terms of management of risk in total, mak</w:t>
      </w:r>
      <w:r w:rsidR="0095452D" w:rsidRPr="008D7DBA">
        <w:rPr>
          <w:rFonts w:ascii="Arial" w:hAnsi="Arial" w:cs="Arial"/>
        </w:rPr>
        <w:t>ing</w:t>
      </w:r>
      <w:r w:rsidRPr="008D7DBA">
        <w:rPr>
          <w:rFonts w:ascii="Arial" w:hAnsi="Arial" w:cs="Arial"/>
        </w:rPr>
        <w:t xml:space="preserve"> it the preferred choice of General Electronics.</w:t>
      </w:r>
    </w:p>
    <w:p w14:paraId="4BF8F764" w14:textId="14B2D1CB" w:rsidR="00034434" w:rsidRPr="008D7DBA" w:rsidRDefault="00034434" w:rsidP="00034434">
      <w:pPr>
        <w:rPr>
          <w:rFonts w:ascii="Arial" w:hAnsi="Arial" w:cs="Arial"/>
          <w:b/>
          <w:bCs/>
          <w:i/>
          <w:iCs/>
        </w:rPr>
      </w:pPr>
      <w:r w:rsidRPr="008D7DBA">
        <w:rPr>
          <w:rFonts w:ascii="Arial" w:hAnsi="Arial" w:cs="Arial"/>
          <w:b/>
          <w:bCs/>
          <w:i/>
          <w:iCs/>
        </w:rPr>
        <w:t>Financial Flexibility and Efficiency in Capital</w:t>
      </w:r>
    </w:p>
    <w:p w14:paraId="293799DC" w14:textId="00BAF291" w:rsidR="00034434" w:rsidRPr="008D7DBA" w:rsidRDefault="00034434" w:rsidP="00034434">
      <w:pPr>
        <w:rPr>
          <w:rFonts w:ascii="Arial" w:hAnsi="Arial" w:cs="Arial"/>
        </w:rPr>
      </w:pPr>
      <w:r w:rsidRPr="008D7DBA">
        <w:rPr>
          <w:rFonts w:ascii="Arial" w:hAnsi="Arial" w:cs="Arial"/>
        </w:rPr>
        <w:t xml:space="preserve">Capital efficiency available and </w:t>
      </w:r>
      <w:r w:rsidR="0095452D" w:rsidRPr="008D7DBA">
        <w:rPr>
          <w:rFonts w:ascii="Arial" w:hAnsi="Arial" w:cs="Arial"/>
        </w:rPr>
        <w:t xml:space="preserve">the </w:t>
      </w:r>
      <w:r w:rsidRPr="008D7DBA">
        <w:rPr>
          <w:rFonts w:ascii="Arial" w:hAnsi="Arial" w:cs="Arial"/>
        </w:rPr>
        <w:t xml:space="preserve">financial flexibility of a project </w:t>
      </w:r>
      <w:r w:rsidR="0095452D" w:rsidRPr="008D7DBA">
        <w:rPr>
          <w:rFonts w:ascii="Arial" w:hAnsi="Arial" w:cs="Arial"/>
        </w:rPr>
        <w:t>are</w:t>
      </w:r>
      <w:r w:rsidRPr="008D7DBA">
        <w:rPr>
          <w:rFonts w:ascii="Arial" w:hAnsi="Arial" w:cs="Arial"/>
        </w:rPr>
        <w:t xml:space="preserve"> other important factor</w:t>
      </w:r>
      <w:r w:rsidR="0095452D" w:rsidRPr="008D7DBA">
        <w:rPr>
          <w:rFonts w:ascii="Arial" w:hAnsi="Arial" w:cs="Arial"/>
        </w:rPr>
        <w:t>s</w:t>
      </w:r>
      <w:r w:rsidRPr="008D7DBA">
        <w:rPr>
          <w:rFonts w:ascii="Arial" w:hAnsi="Arial" w:cs="Arial"/>
        </w:rPr>
        <w:t xml:space="preserve">, particularly where there is a constraint on capital rationing. General Electronics has a constraint on funds (£60 million), and it is essential to choose the projects which will give the highest </w:t>
      </w:r>
      <w:r w:rsidR="0095452D" w:rsidRPr="008D7DBA">
        <w:rPr>
          <w:rFonts w:ascii="Arial" w:hAnsi="Arial" w:cs="Arial"/>
        </w:rPr>
        <w:t>retur</w:t>
      </w:r>
      <w:r w:rsidRPr="008D7DBA">
        <w:rPr>
          <w:rFonts w:ascii="Arial" w:hAnsi="Arial" w:cs="Arial"/>
        </w:rPr>
        <w:t>n on investment and flexibility</w:t>
      </w:r>
      <w:r w:rsidR="0058089E" w:rsidRPr="008D7DBA">
        <w:rPr>
          <w:rFonts w:ascii="Arial" w:hAnsi="Arial" w:cs="Arial"/>
        </w:rPr>
        <w:t xml:space="preserve"> </w:t>
      </w:r>
      <w:r w:rsidR="0058089E" w:rsidRPr="008D7DBA">
        <w:rPr>
          <w:rFonts w:ascii="Arial" w:hAnsi="Arial" w:cs="Arial"/>
          <w:shd w:val="clear" w:color="auto" w:fill="FFFFFF"/>
        </w:rPr>
        <w:t>(Babu et al., 2019)</w:t>
      </w:r>
      <w:r w:rsidRPr="008D7DBA">
        <w:rPr>
          <w:rFonts w:ascii="Arial" w:hAnsi="Arial" w:cs="Arial"/>
        </w:rPr>
        <w:t>.</w:t>
      </w:r>
    </w:p>
    <w:p w14:paraId="5CE5B603" w14:textId="24A93DAA" w:rsidR="00034434" w:rsidRPr="008D7DBA" w:rsidRDefault="00034434" w:rsidP="00034434">
      <w:pPr>
        <w:rPr>
          <w:rFonts w:ascii="Arial" w:hAnsi="Arial" w:cs="Arial"/>
        </w:rPr>
      </w:pPr>
      <w:r w:rsidRPr="008D7DBA">
        <w:rPr>
          <w:rFonts w:ascii="Arial" w:hAnsi="Arial" w:cs="Arial"/>
        </w:rPr>
        <w:t xml:space="preserve">Project C is the most profitable with its PI of 1.085 as compared to other projects. The PI ratio shows that the company will get a stronger payoff in terms of the amount of money </w:t>
      </w:r>
      <w:r w:rsidR="0095452D" w:rsidRPr="008D7DBA">
        <w:rPr>
          <w:rFonts w:ascii="Arial" w:hAnsi="Arial" w:cs="Arial"/>
        </w:rPr>
        <w:t>the</w:t>
      </w:r>
      <w:r w:rsidRPr="008D7DBA">
        <w:rPr>
          <w:rFonts w:ascii="Arial" w:hAnsi="Arial" w:cs="Arial"/>
        </w:rPr>
        <w:t xml:space="preserve"> firm invests. This productivity enables General Electronics to divide the capital at its disposal to the maximum. Also, the NPV of 4.225m will give a greater financial flexibility since it will generate extra value over and above the necessary investment.</w:t>
      </w:r>
      <w:r w:rsidR="00D1144A" w:rsidRPr="008D7DBA">
        <w:rPr>
          <w:rFonts w:ascii="Arial" w:hAnsi="Arial" w:cs="Arial"/>
        </w:rPr>
        <w:t xml:space="preserve"> </w:t>
      </w:r>
      <w:r w:rsidRPr="008D7DBA">
        <w:rPr>
          <w:rFonts w:ascii="Arial" w:hAnsi="Arial" w:cs="Arial"/>
        </w:rPr>
        <w:t>By contrast, Project A has the PI of 1.033, which is also positive and, however, not quite as good as Project C</w:t>
      </w:r>
      <w:r w:rsidR="0058089E" w:rsidRPr="008D7DBA">
        <w:rPr>
          <w:rFonts w:ascii="Arial" w:hAnsi="Arial" w:cs="Arial"/>
        </w:rPr>
        <w:t xml:space="preserve"> </w:t>
      </w:r>
      <w:r w:rsidR="0058089E" w:rsidRPr="008D7DBA">
        <w:rPr>
          <w:rFonts w:ascii="Arial" w:hAnsi="Arial" w:cs="Arial"/>
          <w:shd w:val="clear" w:color="auto" w:fill="FFFFFF"/>
        </w:rPr>
        <w:t>(Lima et al., 2017)</w:t>
      </w:r>
      <w:r w:rsidRPr="008D7DBA">
        <w:rPr>
          <w:rFonts w:ascii="Arial" w:hAnsi="Arial" w:cs="Arial"/>
        </w:rPr>
        <w:t xml:space="preserve">. It is not as efficient in terms of capital as Project C </w:t>
      </w:r>
      <w:r w:rsidR="009D511F" w:rsidRPr="008D7DBA">
        <w:rPr>
          <w:rFonts w:ascii="Arial" w:hAnsi="Arial" w:cs="Arial"/>
        </w:rPr>
        <w:t>is</w:t>
      </w:r>
      <w:r w:rsidRPr="008D7DBA">
        <w:rPr>
          <w:rFonts w:ascii="Arial" w:hAnsi="Arial" w:cs="Arial"/>
        </w:rPr>
        <w:t xml:space="preserve"> however, the negative NPV and low PI of 0.758 give Project B the lowest capital efficiency, and value is not created but eliminated.</w:t>
      </w:r>
      <w:r w:rsidR="00D1144A" w:rsidRPr="008D7DBA">
        <w:rPr>
          <w:rFonts w:ascii="Arial" w:hAnsi="Arial" w:cs="Arial"/>
        </w:rPr>
        <w:t xml:space="preserve"> </w:t>
      </w:r>
      <w:r w:rsidRPr="008D7DBA">
        <w:rPr>
          <w:rFonts w:ascii="Arial" w:hAnsi="Arial" w:cs="Arial"/>
        </w:rPr>
        <w:t xml:space="preserve">As such, Project C has better capital efficiency and is able to make the most out of the available capital </w:t>
      </w:r>
      <w:r w:rsidR="009D511F" w:rsidRPr="008D7DBA">
        <w:rPr>
          <w:rFonts w:ascii="Arial" w:hAnsi="Arial" w:cs="Arial"/>
        </w:rPr>
        <w:t>to</w:t>
      </w:r>
      <w:r w:rsidRPr="008D7DBA">
        <w:rPr>
          <w:rFonts w:ascii="Arial" w:hAnsi="Arial" w:cs="Arial"/>
        </w:rPr>
        <w:t xml:space="preserve"> drive the value of the shareholders and financial flexibility.</w:t>
      </w:r>
    </w:p>
    <w:p w14:paraId="27AB1668" w14:textId="77777777" w:rsidR="00034434" w:rsidRPr="008D7DBA" w:rsidRDefault="00034434">
      <w:pPr>
        <w:spacing w:line="259" w:lineRule="auto"/>
        <w:jc w:val="left"/>
        <w:rPr>
          <w:rFonts w:ascii="Arial" w:hAnsi="Arial" w:cs="Arial"/>
        </w:rPr>
      </w:pPr>
      <w:r w:rsidRPr="008D7DBA">
        <w:rPr>
          <w:rFonts w:ascii="Arial" w:hAnsi="Arial" w:cs="Arial"/>
        </w:rPr>
        <w:br w:type="page"/>
      </w:r>
    </w:p>
    <w:p w14:paraId="30C7A544" w14:textId="599889BD" w:rsidR="00034434" w:rsidRPr="008D7DBA" w:rsidRDefault="0071222E" w:rsidP="00034434">
      <w:pPr>
        <w:pStyle w:val="Heading1"/>
        <w:rPr>
          <w:rFonts w:ascii="Arial" w:hAnsi="Arial" w:cs="Arial"/>
          <w:color w:val="auto"/>
        </w:rPr>
      </w:pPr>
      <w:bookmarkStart w:id="32" w:name="_Toc216380892"/>
      <w:r w:rsidRPr="008D7DBA">
        <w:rPr>
          <w:rFonts w:ascii="Arial" w:hAnsi="Arial" w:cs="Arial"/>
          <w:color w:val="auto"/>
        </w:rPr>
        <w:lastRenderedPageBreak/>
        <w:t xml:space="preserve">6. </w:t>
      </w:r>
      <w:r w:rsidR="00034434" w:rsidRPr="008D7DBA">
        <w:rPr>
          <w:rFonts w:ascii="Arial" w:hAnsi="Arial" w:cs="Arial"/>
          <w:color w:val="auto"/>
        </w:rPr>
        <w:t>Conclusion</w:t>
      </w:r>
      <w:bookmarkEnd w:id="32"/>
    </w:p>
    <w:p w14:paraId="2E9998FA" w14:textId="63776BD8" w:rsidR="006742AA" w:rsidRPr="008D7DBA" w:rsidRDefault="009F18A8" w:rsidP="00034434">
      <w:pPr>
        <w:rPr>
          <w:rFonts w:ascii="Arial" w:hAnsi="Arial" w:cs="Arial"/>
        </w:rPr>
      </w:pPr>
      <w:r w:rsidRPr="008D7DBA">
        <w:rPr>
          <w:rFonts w:ascii="Arial" w:hAnsi="Arial" w:cs="Arial"/>
        </w:rPr>
        <w:t>General Electronic financial analysis shows that the company is facing serious challenges</w:t>
      </w:r>
      <w:r w:rsidR="0095452D" w:rsidRPr="008D7DBA">
        <w:rPr>
          <w:rFonts w:ascii="Arial" w:hAnsi="Arial" w:cs="Arial"/>
        </w:rPr>
        <w:t>,</w:t>
      </w:r>
      <w:r w:rsidRPr="008D7DBA">
        <w:rPr>
          <w:rFonts w:ascii="Arial" w:hAnsi="Arial" w:cs="Arial"/>
        </w:rPr>
        <w:t xml:space="preserve"> especially </w:t>
      </w:r>
      <w:r w:rsidR="0095452D" w:rsidRPr="008D7DBA">
        <w:rPr>
          <w:rFonts w:ascii="Arial" w:hAnsi="Arial" w:cs="Arial"/>
        </w:rPr>
        <w:t>i</w:t>
      </w:r>
      <w:r w:rsidRPr="008D7DBA">
        <w:rPr>
          <w:rFonts w:ascii="Arial" w:hAnsi="Arial" w:cs="Arial"/>
        </w:rPr>
        <w:t xml:space="preserve">n profitability, liquidity and debt management. The appraisal of the investments notwithstanding, </w:t>
      </w:r>
      <w:r w:rsidR="009D511F" w:rsidRPr="008D7DBA">
        <w:rPr>
          <w:rFonts w:ascii="Arial" w:hAnsi="Arial" w:cs="Arial"/>
        </w:rPr>
        <w:t>Project</w:t>
      </w:r>
      <w:r w:rsidRPr="008D7DBA">
        <w:rPr>
          <w:rFonts w:ascii="Arial" w:hAnsi="Arial" w:cs="Arial"/>
        </w:rPr>
        <w:t xml:space="preserve"> C presents the best returns, as it has the highest NPV, IRR and ARR compared to the other projects considered in the study. The prospects of its cash flow</w:t>
      </w:r>
      <w:r w:rsidR="0095452D" w:rsidRPr="008D7DBA">
        <w:rPr>
          <w:rFonts w:ascii="Arial" w:hAnsi="Arial" w:cs="Arial"/>
        </w:rPr>
        <w:t>,</w:t>
      </w:r>
      <w:r w:rsidRPr="008D7DBA">
        <w:rPr>
          <w:rFonts w:ascii="Arial" w:hAnsi="Arial" w:cs="Arial"/>
        </w:rPr>
        <w:t xml:space="preserve"> though somewhat volatile</w:t>
      </w:r>
      <w:r w:rsidR="0095452D" w:rsidRPr="008D7DBA">
        <w:rPr>
          <w:rFonts w:ascii="Arial" w:hAnsi="Arial" w:cs="Arial"/>
        </w:rPr>
        <w:t>,</w:t>
      </w:r>
      <w:r w:rsidRPr="008D7DBA">
        <w:rPr>
          <w:rFonts w:ascii="Arial" w:hAnsi="Arial" w:cs="Arial"/>
        </w:rPr>
        <w:t xml:space="preserve"> give it the best chance of creating both short and long-term liquidity and profitability. Also, Project C is more capital efficient and complies with the strategic vision of restoring the financial stability and achieving growth of the company. Thus, Project C is the best investment in the capital rationing limit of £60 million</w:t>
      </w:r>
      <w:r w:rsidR="00D07D74" w:rsidRPr="008D7DBA">
        <w:rPr>
          <w:rFonts w:ascii="Arial" w:hAnsi="Arial" w:cs="Arial"/>
        </w:rPr>
        <w:t>,</w:t>
      </w:r>
      <w:r w:rsidRPr="008D7DBA">
        <w:rPr>
          <w:rFonts w:ascii="Arial" w:hAnsi="Arial" w:cs="Arial"/>
        </w:rPr>
        <w:t xml:space="preserve"> specifically because it offers the highest prospects of value addition and sustainable development to General Electronics.</w:t>
      </w:r>
    </w:p>
    <w:p w14:paraId="24232EBD" w14:textId="77777777" w:rsidR="006742AA" w:rsidRPr="008D7DBA" w:rsidRDefault="006742AA">
      <w:pPr>
        <w:spacing w:line="259" w:lineRule="auto"/>
        <w:jc w:val="left"/>
        <w:rPr>
          <w:rFonts w:ascii="Arial" w:hAnsi="Arial" w:cs="Arial"/>
        </w:rPr>
      </w:pPr>
      <w:r w:rsidRPr="008D7DBA">
        <w:rPr>
          <w:rFonts w:ascii="Arial" w:hAnsi="Arial" w:cs="Arial"/>
        </w:rPr>
        <w:br w:type="page"/>
      </w:r>
    </w:p>
    <w:p w14:paraId="1D62734E" w14:textId="33FFEF04" w:rsidR="00034434" w:rsidRPr="008D7DBA" w:rsidRDefault="0071222E" w:rsidP="006742AA">
      <w:pPr>
        <w:pStyle w:val="Heading1"/>
        <w:rPr>
          <w:rFonts w:ascii="Arial" w:hAnsi="Arial" w:cs="Arial"/>
          <w:color w:val="auto"/>
        </w:rPr>
      </w:pPr>
      <w:bookmarkStart w:id="33" w:name="_Toc216380893"/>
      <w:r w:rsidRPr="008D7DBA">
        <w:rPr>
          <w:rFonts w:ascii="Arial" w:hAnsi="Arial" w:cs="Arial"/>
          <w:color w:val="auto"/>
        </w:rPr>
        <w:lastRenderedPageBreak/>
        <w:t xml:space="preserve">7. </w:t>
      </w:r>
      <w:r w:rsidR="006742AA" w:rsidRPr="008D7DBA">
        <w:rPr>
          <w:rFonts w:ascii="Arial" w:hAnsi="Arial" w:cs="Arial"/>
          <w:color w:val="auto"/>
        </w:rPr>
        <w:t>Reference</w:t>
      </w:r>
      <w:bookmarkEnd w:id="33"/>
    </w:p>
    <w:p w14:paraId="4E8E76CF"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AGUILAR, B., JAIN, A. and NEAVES, K. (2019) Short-Term Funding and Financing Alternatives. </w:t>
      </w:r>
      <w:r w:rsidRPr="008D7DBA">
        <w:rPr>
          <w:rFonts w:ascii="Arial" w:hAnsi="Arial" w:cs="Arial"/>
          <w:i/>
          <w:iCs/>
          <w:shd w:val="clear" w:color="auto" w:fill="FFFFFF"/>
        </w:rPr>
        <w:t>Debt Markets and Investments</w:t>
      </w:r>
      <w:r w:rsidRPr="008D7DBA">
        <w:rPr>
          <w:rFonts w:ascii="Arial" w:hAnsi="Arial" w:cs="Arial"/>
          <w:shd w:val="clear" w:color="auto" w:fill="FFFFFF"/>
        </w:rPr>
        <w:t xml:space="preserve">, p.167.  </w:t>
      </w:r>
    </w:p>
    <w:p w14:paraId="4A70CD72"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Aleksandrova, I., Gubernatorov, A., Khripunova, M. and Stelmashenko, N. (2021) Current Methods of Cash Flow Forecasting Based on the Cash Flow Statement. In </w:t>
      </w:r>
      <w:r w:rsidRPr="008D7DBA">
        <w:rPr>
          <w:rFonts w:ascii="Arial" w:hAnsi="Arial" w:cs="Arial"/>
          <w:i/>
          <w:iCs/>
          <w:shd w:val="clear" w:color="auto" w:fill="FFFFFF"/>
        </w:rPr>
        <w:t>IV International Scientific and Practical Conference</w:t>
      </w:r>
      <w:r w:rsidRPr="008D7DBA">
        <w:rPr>
          <w:rFonts w:ascii="Arial" w:hAnsi="Arial" w:cs="Arial"/>
          <w:shd w:val="clear" w:color="auto" w:fill="FFFFFF"/>
        </w:rPr>
        <w:t xml:space="preserve"> (pp. 1-6).  </w:t>
      </w:r>
    </w:p>
    <w:p w14:paraId="64867DFB"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 xml:space="preserve">Alles, L., Jayathilaka, R., Kumari, N., Malalathunga, T., Obeyesekera, H. and Sharmila, S. (2020) An investigation of the usage of capital budgeting techniques by small and medium enterprises.  </w:t>
      </w:r>
    </w:p>
    <w:p w14:paraId="169BF1C9"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Altman, E.I., Iwanicz</w:t>
      </w:r>
      <w:r w:rsidRPr="008D7DBA">
        <w:rPr>
          <w:rFonts w:ascii="Cambria Math" w:hAnsi="Cambria Math" w:cs="Cambria Math"/>
          <w:shd w:val="clear" w:color="auto" w:fill="FFFFFF"/>
        </w:rPr>
        <w:t>‐</w:t>
      </w:r>
      <w:r w:rsidRPr="008D7DBA">
        <w:rPr>
          <w:rFonts w:ascii="Arial" w:hAnsi="Arial" w:cs="Arial"/>
          <w:shd w:val="clear" w:color="auto" w:fill="FFFFFF"/>
        </w:rPr>
        <w:t>Drozdowska, M., Laitinen, E.K. and Suvas, A. (2017) Financial distress prediction in an international context: A review and empirical analysis of Altman's Z</w:t>
      </w:r>
      <w:r w:rsidRPr="008D7DBA">
        <w:rPr>
          <w:rFonts w:ascii="Cambria Math" w:hAnsi="Cambria Math" w:cs="Cambria Math"/>
          <w:shd w:val="clear" w:color="auto" w:fill="FFFFFF"/>
        </w:rPr>
        <w:t>‐</w:t>
      </w:r>
      <w:r w:rsidRPr="008D7DBA">
        <w:rPr>
          <w:rFonts w:ascii="Arial" w:hAnsi="Arial" w:cs="Arial"/>
          <w:shd w:val="clear" w:color="auto" w:fill="FFFFFF"/>
        </w:rPr>
        <w:t>score model. </w:t>
      </w:r>
      <w:r w:rsidRPr="008D7DBA">
        <w:rPr>
          <w:rFonts w:ascii="Arial" w:hAnsi="Arial" w:cs="Arial"/>
          <w:i/>
          <w:iCs/>
          <w:shd w:val="clear" w:color="auto" w:fill="FFFFFF"/>
        </w:rPr>
        <w:t>Journal of international financial management &amp; accounting</w:t>
      </w:r>
      <w:r w:rsidRPr="008D7DBA">
        <w:rPr>
          <w:rFonts w:ascii="Arial" w:hAnsi="Arial" w:cs="Arial"/>
          <w:shd w:val="clear" w:color="auto" w:fill="FFFFFF"/>
        </w:rPr>
        <w:t>, </w:t>
      </w:r>
      <w:r w:rsidRPr="008D7DBA">
        <w:rPr>
          <w:rFonts w:ascii="Arial" w:hAnsi="Arial" w:cs="Arial"/>
          <w:i/>
          <w:iCs/>
          <w:shd w:val="clear" w:color="auto" w:fill="FFFFFF"/>
        </w:rPr>
        <w:t>28</w:t>
      </w:r>
      <w:r w:rsidRPr="008D7DBA">
        <w:rPr>
          <w:rFonts w:ascii="Arial" w:hAnsi="Arial" w:cs="Arial"/>
          <w:shd w:val="clear" w:color="auto" w:fill="FFFFFF"/>
        </w:rPr>
        <w:t xml:space="preserve">(2), pp.131-171.  </w:t>
      </w:r>
    </w:p>
    <w:p w14:paraId="77975933"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Babu, D.R., Thaheer, T. and Vanaja, P. (2019) Overview of capital budgeting. In </w:t>
      </w:r>
      <w:r w:rsidRPr="008D7DBA">
        <w:rPr>
          <w:rFonts w:ascii="Arial" w:hAnsi="Arial" w:cs="Arial"/>
          <w:i/>
          <w:iCs/>
          <w:shd w:val="clear" w:color="auto" w:fill="FFFFFF"/>
        </w:rPr>
        <w:t>International Conference on Science, Technology and Management (ICSTM-19), Guru Gobind Singh Polytechnic, Nashik, Maharashtra(India), ISBN</w:t>
      </w:r>
      <w:r w:rsidRPr="008D7DBA">
        <w:rPr>
          <w:rFonts w:ascii="Arial" w:hAnsi="Arial" w:cs="Arial"/>
          <w:shd w:val="clear" w:color="auto" w:fill="FFFFFF"/>
        </w:rPr>
        <w:t xml:space="preserve"> (pp. 978-93).  </w:t>
      </w:r>
    </w:p>
    <w:p w14:paraId="0445E7AD"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Bierman, H. (2020) Capital budgeting. </w:t>
      </w:r>
      <w:r w:rsidRPr="008D7DBA">
        <w:rPr>
          <w:rFonts w:ascii="Arial" w:hAnsi="Arial" w:cs="Arial"/>
          <w:i/>
          <w:iCs/>
          <w:shd w:val="clear" w:color="auto" w:fill="FFFFFF"/>
        </w:rPr>
        <w:t>Handbook of financial planning and control</w:t>
      </w:r>
      <w:r w:rsidRPr="008D7DBA">
        <w:rPr>
          <w:rFonts w:ascii="Arial" w:hAnsi="Arial" w:cs="Arial"/>
          <w:shd w:val="clear" w:color="auto" w:fill="FFFFFF"/>
        </w:rPr>
        <w:t xml:space="preserve">, pp.77-89.  </w:t>
      </w:r>
    </w:p>
    <w:p w14:paraId="08D58BED"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Boisjoly, R.P., Conine Jr, T.E. and McDonald IV, M.B. (2020) Working capital management: Financial and valuation impacts. </w:t>
      </w:r>
      <w:r w:rsidRPr="008D7DBA">
        <w:rPr>
          <w:rFonts w:ascii="Arial" w:hAnsi="Arial" w:cs="Arial"/>
          <w:i/>
          <w:iCs/>
          <w:shd w:val="clear" w:color="auto" w:fill="FFFFFF"/>
        </w:rPr>
        <w:t>Journal of Business Research</w:t>
      </w:r>
      <w:r w:rsidRPr="008D7DBA">
        <w:rPr>
          <w:rFonts w:ascii="Arial" w:hAnsi="Arial" w:cs="Arial"/>
          <w:shd w:val="clear" w:color="auto" w:fill="FFFFFF"/>
        </w:rPr>
        <w:t>, </w:t>
      </w:r>
      <w:r w:rsidRPr="008D7DBA">
        <w:rPr>
          <w:rFonts w:ascii="Arial" w:hAnsi="Arial" w:cs="Arial"/>
          <w:i/>
          <w:iCs/>
          <w:shd w:val="clear" w:color="auto" w:fill="FFFFFF"/>
        </w:rPr>
        <w:t>108</w:t>
      </w:r>
      <w:r w:rsidRPr="008D7DBA">
        <w:rPr>
          <w:rFonts w:ascii="Arial" w:hAnsi="Arial" w:cs="Arial"/>
          <w:shd w:val="clear" w:color="auto" w:fill="FFFFFF"/>
        </w:rPr>
        <w:t xml:space="preserve">, pp.1-8.  </w:t>
      </w:r>
    </w:p>
    <w:p w14:paraId="0365BFCB"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Charupat, N. and Sarkar, S. (2025) Operating flexibility and optimal capital structure. </w:t>
      </w:r>
      <w:r w:rsidRPr="008D7DBA">
        <w:rPr>
          <w:rFonts w:ascii="Arial" w:hAnsi="Arial" w:cs="Arial"/>
          <w:i/>
          <w:iCs/>
          <w:shd w:val="clear" w:color="auto" w:fill="FFFFFF"/>
        </w:rPr>
        <w:t>Accounting &amp; Finance</w:t>
      </w:r>
      <w:r w:rsidRPr="008D7DBA">
        <w:rPr>
          <w:rFonts w:ascii="Arial" w:hAnsi="Arial" w:cs="Arial"/>
          <w:shd w:val="clear" w:color="auto" w:fill="FFFFFF"/>
        </w:rPr>
        <w:t xml:space="preserve">.  </w:t>
      </w:r>
    </w:p>
    <w:p w14:paraId="717B872A"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Dicu, C., Bondoc, M.D. and Popescu, M.B. (2019) A quantitative approach to profitability ratios. </w:t>
      </w:r>
      <w:r w:rsidRPr="008D7DBA">
        <w:rPr>
          <w:rFonts w:ascii="Arial" w:hAnsi="Arial" w:cs="Arial"/>
          <w:i/>
          <w:iCs/>
          <w:shd w:val="clear" w:color="auto" w:fill="FFFFFF"/>
        </w:rPr>
        <w:t>Scientific Bulletin-Economic Sciences, University of Pitesti</w:t>
      </w:r>
      <w:r w:rsidRPr="008D7DBA">
        <w:rPr>
          <w:rFonts w:ascii="Arial" w:hAnsi="Arial" w:cs="Arial"/>
          <w:shd w:val="clear" w:color="auto" w:fill="FFFFFF"/>
        </w:rPr>
        <w:t>, </w:t>
      </w:r>
      <w:r w:rsidRPr="008D7DBA">
        <w:rPr>
          <w:rFonts w:ascii="Arial" w:hAnsi="Arial" w:cs="Arial"/>
          <w:i/>
          <w:iCs/>
          <w:shd w:val="clear" w:color="auto" w:fill="FFFFFF"/>
        </w:rPr>
        <w:t>18</w:t>
      </w:r>
      <w:r w:rsidRPr="008D7DBA">
        <w:rPr>
          <w:rFonts w:ascii="Arial" w:hAnsi="Arial" w:cs="Arial"/>
          <w:shd w:val="clear" w:color="auto" w:fill="FFFFFF"/>
        </w:rPr>
        <w:t xml:space="preserve">(1), pp.57-65.  </w:t>
      </w:r>
    </w:p>
    <w:p w14:paraId="2AFD4DD8"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Flickinger, M. and Zschoche, M. (2018) Corporate divestiture and performance: an institutional view. </w:t>
      </w:r>
      <w:r w:rsidRPr="008D7DBA">
        <w:rPr>
          <w:rFonts w:ascii="Arial" w:hAnsi="Arial" w:cs="Arial"/>
          <w:i/>
          <w:iCs/>
          <w:shd w:val="clear" w:color="auto" w:fill="FFFFFF"/>
        </w:rPr>
        <w:t>Journal of Management &amp; Governance</w:t>
      </w:r>
      <w:r w:rsidRPr="008D7DBA">
        <w:rPr>
          <w:rFonts w:ascii="Arial" w:hAnsi="Arial" w:cs="Arial"/>
          <w:shd w:val="clear" w:color="auto" w:fill="FFFFFF"/>
        </w:rPr>
        <w:t>, </w:t>
      </w:r>
      <w:r w:rsidRPr="008D7DBA">
        <w:rPr>
          <w:rFonts w:ascii="Arial" w:hAnsi="Arial" w:cs="Arial"/>
          <w:i/>
          <w:iCs/>
          <w:shd w:val="clear" w:color="auto" w:fill="FFFFFF"/>
        </w:rPr>
        <w:t>22</w:t>
      </w:r>
      <w:r w:rsidRPr="008D7DBA">
        <w:rPr>
          <w:rFonts w:ascii="Arial" w:hAnsi="Arial" w:cs="Arial"/>
          <w:shd w:val="clear" w:color="auto" w:fill="FFFFFF"/>
        </w:rPr>
        <w:t xml:space="preserve">(1), pp.111-131.  </w:t>
      </w:r>
    </w:p>
    <w:p w14:paraId="52A02D69"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lastRenderedPageBreak/>
        <w:t>Lalithchandra, B.N. and Rajendhiran, N. (2021) Liquidity ratio: an important financial metrics. </w:t>
      </w:r>
      <w:r w:rsidRPr="008D7DBA">
        <w:rPr>
          <w:rFonts w:ascii="Arial" w:hAnsi="Arial" w:cs="Arial"/>
          <w:i/>
          <w:iCs/>
          <w:shd w:val="clear" w:color="auto" w:fill="FFFFFF"/>
        </w:rPr>
        <w:t>Turkish Journal of Computer and Mathematics Education (TURCOMAT)</w:t>
      </w:r>
      <w:r w:rsidRPr="008D7DBA">
        <w:rPr>
          <w:rFonts w:ascii="Arial" w:hAnsi="Arial" w:cs="Arial"/>
          <w:shd w:val="clear" w:color="auto" w:fill="FFFFFF"/>
        </w:rPr>
        <w:t>, </w:t>
      </w:r>
      <w:r w:rsidRPr="008D7DBA">
        <w:rPr>
          <w:rFonts w:ascii="Arial" w:hAnsi="Arial" w:cs="Arial"/>
          <w:i/>
          <w:iCs/>
          <w:shd w:val="clear" w:color="auto" w:fill="FFFFFF"/>
        </w:rPr>
        <w:t>12</w:t>
      </w:r>
      <w:r w:rsidRPr="008D7DBA">
        <w:rPr>
          <w:rFonts w:ascii="Arial" w:hAnsi="Arial" w:cs="Arial"/>
          <w:shd w:val="clear" w:color="auto" w:fill="FFFFFF"/>
        </w:rPr>
        <w:t xml:space="preserve">(2), pp.1113-1114.  </w:t>
      </w:r>
    </w:p>
    <w:p w14:paraId="65FAFC18"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Lima, A.C., da Silveira, J.A.G., Matos, F.R.N. and Xavier, A.M. (2017) A qualitative analysis of capital budgeting in cotton ginning plants. </w:t>
      </w:r>
      <w:r w:rsidRPr="008D7DBA">
        <w:rPr>
          <w:rFonts w:ascii="Arial" w:hAnsi="Arial" w:cs="Arial"/>
          <w:i/>
          <w:iCs/>
          <w:shd w:val="clear" w:color="auto" w:fill="FFFFFF"/>
        </w:rPr>
        <w:t>Qualitative Research in Accounting &amp; Management</w:t>
      </w:r>
      <w:r w:rsidRPr="008D7DBA">
        <w:rPr>
          <w:rFonts w:ascii="Arial" w:hAnsi="Arial" w:cs="Arial"/>
          <w:shd w:val="clear" w:color="auto" w:fill="FFFFFF"/>
        </w:rPr>
        <w:t>, </w:t>
      </w:r>
      <w:r w:rsidRPr="008D7DBA">
        <w:rPr>
          <w:rFonts w:ascii="Arial" w:hAnsi="Arial" w:cs="Arial"/>
          <w:i/>
          <w:iCs/>
          <w:shd w:val="clear" w:color="auto" w:fill="FFFFFF"/>
        </w:rPr>
        <w:t>14</w:t>
      </w:r>
      <w:r w:rsidRPr="008D7DBA">
        <w:rPr>
          <w:rFonts w:ascii="Arial" w:hAnsi="Arial" w:cs="Arial"/>
          <w:shd w:val="clear" w:color="auto" w:fill="FFFFFF"/>
        </w:rPr>
        <w:t xml:space="preserve">(3), pp.210-229.  </w:t>
      </w:r>
    </w:p>
    <w:p w14:paraId="68A61496"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Mavlutova, I., Babenko, V., Dykan, V., Prokopenko, N., Kalinichenko, S. and Tokmakova, I. (2021) Business restructuring as a method of strengtening company’s financial position. </w:t>
      </w:r>
      <w:r w:rsidRPr="008D7DBA">
        <w:rPr>
          <w:rFonts w:ascii="Arial" w:hAnsi="Arial" w:cs="Arial"/>
          <w:i/>
          <w:iCs/>
          <w:shd w:val="clear" w:color="auto" w:fill="FFFFFF"/>
        </w:rPr>
        <w:t>Journal of Optimization in Industrial Engineering</w:t>
      </w:r>
      <w:r w:rsidRPr="008D7DBA">
        <w:rPr>
          <w:rFonts w:ascii="Arial" w:hAnsi="Arial" w:cs="Arial"/>
          <w:shd w:val="clear" w:color="auto" w:fill="FFFFFF"/>
        </w:rPr>
        <w:t>, </w:t>
      </w:r>
      <w:r w:rsidRPr="008D7DBA">
        <w:rPr>
          <w:rFonts w:ascii="Arial" w:hAnsi="Arial" w:cs="Arial"/>
          <w:i/>
          <w:iCs/>
          <w:shd w:val="clear" w:color="auto" w:fill="FFFFFF"/>
        </w:rPr>
        <w:t>14</w:t>
      </w:r>
      <w:r w:rsidRPr="008D7DBA">
        <w:rPr>
          <w:rFonts w:ascii="Arial" w:hAnsi="Arial" w:cs="Arial"/>
          <w:shd w:val="clear" w:color="auto" w:fill="FFFFFF"/>
        </w:rPr>
        <w:t xml:space="preserve">(1), pp.129-139.  </w:t>
      </w:r>
    </w:p>
    <w:p w14:paraId="46709F99"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Michelon, P.D.S., Lunkes, R.J. and Bornia, A.C. (2020) Capital budgeting: a systematic review of the literature. </w:t>
      </w:r>
      <w:r w:rsidRPr="008D7DBA">
        <w:rPr>
          <w:rFonts w:ascii="Arial" w:hAnsi="Arial" w:cs="Arial"/>
          <w:i/>
          <w:iCs/>
          <w:shd w:val="clear" w:color="auto" w:fill="FFFFFF"/>
        </w:rPr>
        <w:t>Production</w:t>
      </w:r>
      <w:r w:rsidRPr="008D7DBA">
        <w:rPr>
          <w:rFonts w:ascii="Arial" w:hAnsi="Arial" w:cs="Arial"/>
          <w:shd w:val="clear" w:color="auto" w:fill="FFFFFF"/>
        </w:rPr>
        <w:t>, </w:t>
      </w:r>
      <w:r w:rsidRPr="008D7DBA">
        <w:rPr>
          <w:rFonts w:ascii="Arial" w:hAnsi="Arial" w:cs="Arial"/>
          <w:i/>
          <w:iCs/>
          <w:shd w:val="clear" w:color="auto" w:fill="FFFFFF"/>
        </w:rPr>
        <w:t>30</w:t>
      </w:r>
      <w:r w:rsidRPr="008D7DBA">
        <w:rPr>
          <w:rFonts w:ascii="Arial" w:hAnsi="Arial" w:cs="Arial"/>
          <w:shd w:val="clear" w:color="auto" w:fill="FFFFFF"/>
        </w:rPr>
        <w:t xml:space="preserve">, p.e20190020.  </w:t>
      </w:r>
    </w:p>
    <w:p w14:paraId="69A79A01"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Mustafina, A.A., Kaigorodova, G.N., Pyrkova, G.K., Alyakina, D.P. and Kamalova, A.A. (2020) Management of long-term financing in a company. </w:t>
      </w:r>
      <w:r w:rsidRPr="008D7DBA">
        <w:rPr>
          <w:rFonts w:ascii="Arial" w:hAnsi="Arial" w:cs="Arial"/>
          <w:i/>
          <w:iCs/>
          <w:shd w:val="clear" w:color="auto" w:fill="FFFFFF"/>
        </w:rPr>
        <w:t>Revista Turismo Estudos e Práticas-RTEP/GEPLAT/UERN</w:t>
      </w:r>
      <w:r w:rsidRPr="008D7DBA">
        <w:rPr>
          <w:rFonts w:ascii="Arial" w:hAnsi="Arial" w:cs="Arial"/>
          <w:shd w:val="clear" w:color="auto" w:fill="FFFFFF"/>
        </w:rPr>
        <w:t xml:space="preserve">, (5), pp.1-8.  </w:t>
      </w:r>
    </w:p>
    <w:p w14:paraId="5DCC0801"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Nalurita, F. (2017) The effect of profitability ratio, solvability ratio, market ratio on stock return. </w:t>
      </w:r>
      <w:r w:rsidRPr="008D7DBA">
        <w:rPr>
          <w:rFonts w:ascii="Arial" w:hAnsi="Arial" w:cs="Arial"/>
          <w:i/>
          <w:iCs/>
          <w:shd w:val="clear" w:color="auto" w:fill="FFFFFF"/>
        </w:rPr>
        <w:t>Business and Entrepreneurial Review</w:t>
      </w:r>
      <w:r w:rsidRPr="008D7DBA">
        <w:rPr>
          <w:rFonts w:ascii="Arial" w:hAnsi="Arial" w:cs="Arial"/>
          <w:shd w:val="clear" w:color="auto" w:fill="FFFFFF"/>
        </w:rPr>
        <w:t>, </w:t>
      </w:r>
      <w:r w:rsidRPr="008D7DBA">
        <w:rPr>
          <w:rFonts w:ascii="Arial" w:hAnsi="Arial" w:cs="Arial"/>
          <w:i/>
          <w:iCs/>
          <w:shd w:val="clear" w:color="auto" w:fill="FFFFFF"/>
        </w:rPr>
        <w:t>15</w:t>
      </w:r>
      <w:r w:rsidRPr="008D7DBA">
        <w:rPr>
          <w:rFonts w:ascii="Arial" w:hAnsi="Arial" w:cs="Arial"/>
          <w:shd w:val="clear" w:color="auto" w:fill="FFFFFF"/>
        </w:rPr>
        <w:t xml:space="preserve">(1), pp.73-94.  </w:t>
      </w:r>
    </w:p>
    <w:p w14:paraId="775C00ED"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Nguyen, A.H., Pham, H.T. and Nguyen, H.T. (2020) Impact of working capital management on firm’s profitability: Empirical evidence from Vietnam. </w:t>
      </w:r>
      <w:r w:rsidRPr="008D7DBA">
        <w:rPr>
          <w:rFonts w:ascii="Arial" w:hAnsi="Arial" w:cs="Arial"/>
          <w:i/>
          <w:iCs/>
          <w:shd w:val="clear" w:color="auto" w:fill="FFFFFF"/>
        </w:rPr>
        <w:t>Journal of Asian Finance, Economics and Business</w:t>
      </w:r>
      <w:r w:rsidRPr="008D7DBA">
        <w:rPr>
          <w:rFonts w:ascii="Arial" w:hAnsi="Arial" w:cs="Arial"/>
          <w:shd w:val="clear" w:color="auto" w:fill="FFFFFF"/>
        </w:rPr>
        <w:t>, </w:t>
      </w:r>
      <w:r w:rsidRPr="008D7DBA">
        <w:rPr>
          <w:rFonts w:ascii="Arial" w:hAnsi="Arial" w:cs="Arial"/>
          <w:i/>
          <w:iCs/>
          <w:shd w:val="clear" w:color="auto" w:fill="FFFFFF"/>
        </w:rPr>
        <w:t>7</w:t>
      </w:r>
      <w:r w:rsidRPr="008D7DBA">
        <w:rPr>
          <w:rFonts w:ascii="Arial" w:hAnsi="Arial" w:cs="Arial"/>
          <w:shd w:val="clear" w:color="auto" w:fill="FFFFFF"/>
        </w:rPr>
        <w:t xml:space="preserve">(3), pp.115-125.  </w:t>
      </w:r>
    </w:p>
    <w:p w14:paraId="1F9C79E3"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Nunden, N., Abbana, S., Marimuthu, F. and Sentoo, N. (2022) An assessment of management skills on capital budgeting planning and practices: evidence from the small and medium enterprise sector. </w:t>
      </w:r>
      <w:r w:rsidRPr="008D7DBA">
        <w:rPr>
          <w:rFonts w:ascii="Arial" w:hAnsi="Arial" w:cs="Arial"/>
          <w:i/>
          <w:iCs/>
          <w:shd w:val="clear" w:color="auto" w:fill="FFFFFF"/>
        </w:rPr>
        <w:t>Cogent Business &amp; Management</w:t>
      </w:r>
      <w:r w:rsidRPr="008D7DBA">
        <w:rPr>
          <w:rFonts w:ascii="Arial" w:hAnsi="Arial" w:cs="Arial"/>
          <w:shd w:val="clear" w:color="auto" w:fill="FFFFFF"/>
        </w:rPr>
        <w:t>, </w:t>
      </w:r>
      <w:r w:rsidRPr="008D7DBA">
        <w:rPr>
          <w:rFonts w:ascii="Arial" w:hAnsi="Arial" w:cs="Arial"/>
          <w:i/>
          <w:iCs/>
          <w:shd w:val="clear" w:color="auto" w:fill="FFFFFF"/>
        </w:rPr>
        <w:t>9</w:t>
      </w:r>
      <w:r w:rsidRPr="008D7DBA">
        <w:rPr>
          <w:rFonts w:ascii="Arial" w:hAnsi="Arial" w:cs="Arial"/>
          <w:shd w:val="clear" w:color="auto" w:fill="FFFFFF"/>
        </w:rPr>
        <w:t xml:space="preserve">(1), p.2136481.  </w:t>
      </w:r>
    </w:p>
    <w:p w14:paraId="50FCC19F"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Pendar, M., Tayar, H. and Karimeh, S. (2019) The impact of financial flexibility on capital structure decisions: Some empirical evidence. </w:t>
      </w:r>
      <w:r w:rsidRPr="008D7DBA">
        <w:rPr>
          <w:rFonts w:ascii="Arial" w:hAnsi="Arial" w:cs="Arial"/>
          <w:i/>
          <w:iCs/>
          <w:shd w:val="clear" w:color="auto" w:fill="FFFFFF"/>
        </w:rPr>
        <w:t>Management Science Letters</w:t>
      </w:r>
      <w:r w:rsidRPr="008D7DBA">
        <w:rPr>
          <w:rFonts w:ascii="Arial" w:hAnsi="Arial" w:cs="Arial"/>
          <w:shd w:val="clear" w:color="auto" w:fill="FFFFFF"/>
        </w:rPr>
        <w:t>, </w:t>
      </w:r>
      <w:r w:rsidRPr="008D7DBA">
        <w:rPr>
          <w:rFonts w:ascii="Arial" w:hAnsi="Arial" w:cs="Arial"/>
          <w:i/>
          <w:iCs/>
          <w:shd w:val="clear" w:color="auto" w:fill="FFFFFF"/>
        </w:rPr>
        <w:t>9</w:t>
      </w:r>
      <w:r w:rsidRPr="008D7DBA">
        <w:rPr>
          <w:rFonts w:ascii="Arial" w:hAnsi="Arial" w:cs="Arial"/>
          <w:shd w:val="clear" w:color="auto" w:fill="FFFFFF"/>
        </w:rPr>
        <w:t xml:space="preserve">(1), pp.133-138.  </w:t>
      </w:r>
    </w:p>
    <w:p w14:paraId="0B9CC788"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Pham, D., Nguyen, T., Pham, T.M. and Adhikari, H. (2021) Corporate divestiture decisions and long-run performance. </w:t>
      </w:r>
      <w:r w:rsidRPr="008D7DBA">
        <w:rPr>
          <w:rFonts w:ascii="Arial" w:hAnsi="Arial" w:cs="Arial"/>
          <w:i/>
          <w:iCs/>
          <w:shd w:val="clear" w:color="auto" w:fill="FFFFFF"/>
        </w:rPr>
        <w:t>Journal of Behavioral Finance</w:t>
      </w:r>
      <w:r w:rsidRPr="008D7DBA">
        <w:rPr>
          <w:rFonts w:ascii="Arial" w:hAnsi="Arial" w:cs="Arial"/>
          <w:shd w:val="clear" w:color="auto" w:fill="FFFFFF"/>
        </w:rPr>
        <w:t>, </w:t>
      </w:r>
      <w:r w:rsidRPr="008D7DBA">
        <w:rPr>
          <w:rFonts w:ascii="Arial" w:hAnsi="Arial" w:cs="Arial"/>
          <w:i/>
          <w:iCs/>
          <w:shd w:val="clear" w:color="auto" w:fill="FFFFFF"/>
        </w:rPr>
        <w:t>22</w:t>
      </w:r>
      <w:r w:rsidRPr="008D7DBA">
        <w:rPr>
          <w:rFonts w:ascii="Arial" w:hAnsi="Arial" w:cs="Arial"/>
          <w:shd w:val="clear" w:color="auto" w:fill="FFFFFF"/>
        </w:rPr>
        <w:t xml:space="preserve">(2), pp.126-140.  </w:t>
      </w:r>
    </w:p>
    <w:p w14:paraId="189F6CEC"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lastRenderedPageBreak/>
        <w:t>Potharla, S. (2025) From Debt to Divestiture: How Indian and Global Firms Reshaped through Corporate Restructuring. </w:t>
      </w:r>
      <w:r w:rsidRPr="008D7DBA">
        <w:rPr>
          <w:rFonts w:ascii="Arial" w:hAnsi="Arial" w:cs="Arial"/>
          <w:i/>
          <w:iCs/>
          <w:shd w:val="clear" w:color="auto" w:fill="FFFFFF"/>
        </w:rPr>
        <w:t>Available at SSRN 5348941</w:t>
      </w:r>
      <w:r w:rsidRPr="008D7DBA">
        <w:rPr>
          <w:rFonts w:ascii="Arial" w:hAnsi="Arial" w:cs="Arial"/>
          <w:shd w:val="clear" w:color="auto" w:fill="FFFFFF"/>
        </w:rPr>
        <w:t xml:space="preserve">.  </w:t>
      </w:r>
    </w:p>
    <w:p w14:paraId="37225C46"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Prasad, P., Narayanasamy, S., Paul, S., Chattopadhyay, S. and Saravanan, P. (2019) Review of literature on working capital management and future research agenda. </w:t>
      </w:r>
      <w:r w:rsidRPr="008D7DBA">
        <w:rPr>
          <w:rFonts w:ascii="Arial" w:hAnsi="Arial" w:cs="Arial"/>
          <w:i/>
          <w:iCs/>
          <w:shd w:val="clear" w:color="auto" w:fill="FFFFFF"/>
        </w:rPr>
        <w:t>Journal of Economic Surveys</w:t>
      </w:r>
      <w:r w:rsidRPr="008D7DBA">
        <w:rPr>
          <w:rFonts w:ascii="Arial" w:hAnsi="Arial" w:cs="Arial"/>
          <w:shd w:val="clear" w:color="auto" w:fill="FFFFFF"/>
        </w:rPr>
        <w:t>, </w:t>
      </w:r>
      <w:r w:rsidRPr="008D7DBA">
        <w:rPr>
          <w:rFonts w:ascii="Arial" w:hAnsi="Arial" w:cs="Arial"/>
          <w:i/>
          <w:iCs/>
          <w:shd w:val="clear" w:color="auto" w:fill="FFFFFF"/>
        </w:rPr>
        <w:t>33</w:t>
      </w:r>
      <w:r w:rsidRPr="008D7DBA">
        <w:rPr>
          <w:rFonts w:ascii="Arial" w:hAnsi="Arial" w:cs="Arial"/>
          <w:shd w:val="clear" w:color="auto" w:fill="FFFFFF"/>
        </w:rPr>
        <w:t xml:space="preserve">(3), pp.827-861.  </w:t>
      </w:r>
    </w:p>
    <w:p w14:paraId="3C3AA84C"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Ritchken, P. and Wu, Q. (2021) Capacity investment, production flexibility, and capital structure. </w:t>
      </w:r>
      <w:r w:rsidRPr="008D7DBA">
        <w:rPr>
          <w:rFonts w:ascii="Arial" w:hAnsi="Arial" w:cs="Arial"/>
          <w:i/>
          <w:iCs/>
          <w:shd w:val="clear" w:color="auto" w:fill="FFFFFF"/>
        </w:rPr>
        <w:t>Production and Operations Management</w:t>
      </w:r>
      <w:r w:rsidRPr="008D7DBA">
        <w:rPr>
          <w:rFonts w:ascii="Arial" w:hAnsi="Arial" w:cs="Arial"/>
          <w:shd w:val="clear" w:color="auto" w:fill="FFFFFF"/>
        </w:rPr>
        <w:t>, </w:t>
      </w:r>
      <w:r w:rsidRPr="008D7DBA">
        <w:rPr>
          <w:rFonts w:ascii="Arial" w:hAnsi="Arial" w:cs="Arial"/>
          <w:i/>
          <w:iCs/>
          <w:shd w:val="clear" w:color="auto" w:fill="FFFFFF"/>
        </w:rPr>
        <w:t>30</w:t>
      </w:r>
      <w:r w:rsidRPr="008D7DBA">
        <w:rPr>
          <w:rFonts w:ascii="Arial" w:hAnsi="Arial" w:cs="Arial"/>
          <w:shd w:val="clear" w:color="auto" w:fill="FFFFFF"/>
        </w:rPr>
        <w:t xml:space="preserve">(12), pp.4593-4613.  </w:t>
      </w:r>
    </w:p>
    <w:p w14:paraId="31572E4C"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Singh, H.P., Kumar, S. and Colombage, S. (2017) Working capital management and firm profitability: a meta-analysis. </w:t>
      </w:r>
      <w:r w:rsidRPr="008D7DBA">
        <w:rPr>
          <w:rFonts w:ascii="Arial" w:hAnsi="Arial" w:cs="Arial"/>
          <w:i/>
          <w:iCs/>
          <w:shd w:val="clear" w:color="auto" w:fill="FFFFFF"/>
        </w:rPr>
        <w:t>Qualitative Research in Financial Markets</w:t>
      </w:r>
      <w:r w:rsidRPr="008D7DBA">
        <w:rPr>
          <w:rFonts w:ascii="Arial" w:hAnsi="Arial" w:cs="Arial"/>
          <w:shd w:val="clear" w:color="auto" w:fill="FFFFFF"/>
        </w:rPr>
        <w:t>, </w:t>
      </w:r>
      <w:r w:rsidRPr="008D7DBA">
        <w:rPr>
          <w:rFonts w:ascii="Arial" w:hAnsi="Arial" w:cs="Arial"/>
          <w:i/>
          <w:iCs/>
          <w:shd w:val="clear" w:color="auto" w:fill="FFFFFF"/>
        </w:rPr>
        <w:t>9</w:t>
      </w:r>
      <w:r w:rsidRPr="008D7DBA">
        <w:rPr>
          <w:rFonts w:ascii="Arial" w:hAnsi="Arial" w:cs="Arial"/>
          <w:shd w:val="clear" w:color="auto" w:fill="FFFFFF"/>
        </w:rPr>
        <w:t xml:space="preserve">(1), pp.34-47.  </w:t>
      </w:r>
    </w:p>
    <w:p w14:paraId="7897E668"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Soboleva, Y.P., Matveev, V.V., Ilminskaya, S.A., Efimenko, I.S., Rezvyakova, I.V. and Mazur, L.V. (2018) Monitoring of businesses operations with cash flow analysis. </w:t>
      </w:r>
      <w:r w:rsidRPr="008D7DBA">
        <w:rPr>
          <w:rFonts w:ascii="Arial" w:hAnsi="Arial" w:cs="Arial"/>
          <w:i/>
          <w:iCs/>
          <w:shd w:val="clear" w:color="auto" w:fill="FFFFFF"/>
        </w:rPr>
        <w:t>International Journal of Civil Engineering and Technology</w:t>
      </w:r>
      <w:r w:rsidRPr="008D7DBA">
        <w:rPr>
          <w:rFonts w:ascii="Arial" w:hAnsi="Arial" w:cs="Arial"/>
          <w:shd w:val="clear" w:color="auto" w:fill="FFFFFF"/>
        </w:rPr>
        <w:t>, </w:t>
      </w:r>
      <w:r w:rsidRPr="008D7DBA">
        <w:rPr>
          <w:rFonts w:ascii="Arial" w:hAnsi="Arial" w:cs="Arial"/>
          <w:i/>
          <w:iCs/>
          <w:shd w:val="clear" w:color="auto" w:fill="FFFFFF"/>
        </w:rPr>
        <w:t>9</w:t>
      </w:r>
      <w:r w:rsidRPr="008D7DBA">
        <w:rPr>
          <w:rFonts w:ascii="Arial" w:hAnsi="Arial" w:cs="Arial"/>
          <w:shd w:val="clear" w:color="auto" w:fill="FFFFFF"/>
        </w:rPr>
        <w:t xml:space="preserve">(11), p.2034.  </w:t>
      </w:r>
    </w:p>
    <w:p w14:paraId="766F2AF3"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Supriyanto, J. and Darmawan, A. (2018) The effect of financial ratio on financial distress in predicting bankruptcy. </w:t>
      </w:r>
      <w:r w:rsidRPr="008D7DBA">
        <w:rPr>
          <w:rFonts w:ascii="Arial" w:hAnsi="Arial" w:cs="Arial"/>
          <w:i/>
          <w:iCs/>
          <w:shd w:val="clear" w:color="auto" w:fill="FFFFFF"/>
        </w:rPr>
        <w:t>Journal of Applied Managerial Accounting</w:t>
      </w:r>
      <w:r w:rsidRPr="008D7DBA">
        <w:rPr>
          <w:rFonts w:ascii="Arial" w:hAnsi="Arial" w:cs="Arial"/>
          <w:shd w:val="clear" w:color="auto" w:fill="FFFFFF"/>
        </w:rPr>
        <w:t>, </w:t>
      </w:r>
      <w:r w:rsidRPr="008D7DBA">
        <w:rPr>
          <w:rFonts w:ascii="Arial" w:hAnsi="Arial" w:cs="Arial"/>
          <w:i/>
          <w:iCs/>
          <w:shd w:val="clear" w:color="auto" w:fill="FFFFFF"/>
        </w:rPr>
        <w:t>2</w:t>
      </w:r>
      <w:r w:rsidRPr="008D7DBA">
        <w:rPr>
          <w:rFonts w:ascii="Arial" w:hAnsi="Arial" w:cs="Arial"/>
          <w:shd w:val="clear" w:color="auto" w:fill="FFFFFF"/>
        </w:rPr>
        <w:t xml:space="preserve">(1), pp.110-120.  </w:t>
      </w:r>
    </w:p>
    <w:p w14:paraId="21CFA032"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Thomas, J. and Rabiyathul Basariya, S. (2019) A Study on the Issues of Financial Ratio Analysis. </w:t>
      </w:r>
      <w:r w:rsidRPr="008D7DBA">
        <w:rPr>
          <w:rFonts w:ascii="Arial" w:hAnsi="Arial" w:cs="Arial"/>
          <w:i/>
          <w:iCs/>
          <w:shd w:val="clear" w:color="auto" w:fill="FFFFFF"/>
        </w:rPr>
        <w:t>Indian Journal of Public Health Research &amp; Development</w:t>
      </w:r>
      <w:r w:rsidRPr="008D7DBA">
        <w:rPr>
          <w:rFonts w:ascii="Arial" w:hAnsi="Arial" w:cs="Arial"/>
          <w:shd w:val="clear" w:color="auto" w:fill="FFFFFF"/>
        </w:rPr>
        <w:t>, </w:t>
      </w:r>
      <w:r w:rsidRPr="008D7DBA">
        <w:rPr>
          <w:rFonts w:ascii="Arial" w:hAnsi="Arial" w:cs="Arial"/>
          <w:i/>
          <w:iCs/>
          <w:shd w:val="clear" w:color="auto" w:fill="FFFFFF"/>
        </w:rPr>
        <w:t>10</w:t>
      </w:r>
      <w:r w:rsidRPr="008D7DBA">
        <w:rPr>
          <w:rFonts w:ascii="Arial" w:hAnsi="Arial" w:cs="Arial"/>
          <w:shd w:val="clear" w:color="auto" w:fill="FFFFFF"/>
        </w:rPr>
        <w:t xml:space="preserve">(3).  </w:t>
      </w:r>
    </w:p>
    <w:p w14:paraId="354151A4"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Wang, D. (2024) The Role of Fair Value Accounting in Debt Structure Decisions: Evidence from Priority Structure and Financial Flexibility. </w:t>
      </w:r>
      <w:r w:rsidRPr="008D7DBA">
        <w:rPr>
          <w:rFonts w:ascii="Arial" w:hAnsi="Arial" w:cs="Arial"/>
          <w:i/>
          <w:iCs/>
          <w:shd w:val="clear" w:color="auto" w:fill="FFFFFF"/>
        </w:rPr>
        <w:t>The International Journal of Accounting</w:t>
      </w:r>
      <w:r w:rsidRPr="008D7DBA">
        <w:rPr>
          <w:rFonts w:ascii="Arial" w:hAnsi="Arial" w:cs="Arial"/>
          <w:shd w:val="clear" w:color="auto" w:fill="FFFFFF"/>
        </w:rPr>
        <w:t>, </w:t>
      </w:r>
      <w:r w:rsidRPr="008D7DBA">
        <w:rPr>
          <w:rFonts w:ascii="Arial" w:hAnsi="Arial" w:cs="Arial"/>
          <w:i/>
          <w:iCs/>
          <w:shd w:val="clear" w:color="auto" w:fill="FFFFFF"/>
        </w:rPr>
        <w:t>59</w:t>
      </w:r>
      <w:r w:rsidRPr="008D7DBA">
        <w:rPr>
          <w:rFonts w:ascii="Arial" w:hAnsi="Arial" w:cs="Arial"/>
          <w:shd w:val="clear" w:color="auto" w:fill="FFFFFF"/>
        </w:rPr>
        <w:t xml:space="preserve">(03), p.2450017. </w:t>
      </w:r>
    </w:p>
    <w:p w14:paraId="25E5D240" w14:textId="77777777" w:rsidR="0058089E" w:rsidRPr="008D7DBA" w:rsidRDefault="0058089E" w:rsidP="0058089E">
      <w:pPr>
        <w:rPr>
          <w:rFonts w:ascii="Arial" w:hAnsi="Arial" w:cs="Arial"/>
          <w:shd w:val="clear" w:color="auto" w:fill="FFFFFF"/>
        </w:rPr>
      </w:pPr>
      <w:r w:rsidRPr="008D7DBA">
        <w:rPr>
          <w:rFonts w:ascii="Arial" w:hAnsi="Arial" w:cs="Arial"/>
          <w:shd w:val="clear" w:color="auto" w:fill="FFFFFF"/>
        </w:rPr>
        <w:t xml:space="preserve">Zaramella, G. (2023) Financial Restructuring: analysis and applications.  </w:t>
      </w:r>
    </w:p>
    <w:p w14:paraId="05FB5043" w14:textId="77777777" w:rsidR="001C0F9C" w:rsidRPr="008D7DBA" w:rsidRDefault="001C0F9C" w:rsidP="001C0F9C">
      <w:pPr>
        <w:rPr>
          <w:rFonts w:ascii="Arial" w:hAnsi="Arial" w:cs="Arial"/>
          <w:shd w:val="clear" w:color="auto" w:fill="FFFFFF"/>
        </w:rPr>
      </w:pPr>
    </w:p>
    <w:p w14:paraId="1542C979" w14:textId="77777777" w:rsidR="001C0F9C" w:rsidRPr="008D7DBA" w:rsidRDefault="001C0F9C" w:rsidP="001C0F9C">
      <w:pPr>
        <w:rPr>
          <w:rFonts w:ascii="Arial" w:hAnsi="Arial" w:cs="Arial"/>
        </w:rPr>
      </w:pPr>
    </w:p>
    <w:p w14:paraId="4F72CC65" w14:textId="101F6E6D" w:rsidR="00A44AE9" w:rsidRPr="008D7DBA" w:rsidRDefault="00A44AE9">
      <w:pPr>
        <w:spacing w:line="259" w:lineRule="auto"/>
        <w:jc w:val="left"/>
        <w:rPr>
          <w:rFonts w:ascii="Arial" w:hAnsi="Arial" w:cs="Arial"/>
        </w:rPr>
      </w:pPr>
      <w:r w:rsidRPr="008D7DBA">
        <w:rPr>
          <w:rFonts w:ascii="Arial" w:hAnsi="Arial" w:cs="Arial"/>
        </w:rPr>
        <w:br w:type="page"/>
      </w:r>
    </w:p>
    <w:p w14:paraId="20DC0AFD" w14:textId="35F056EC" w:rsidR="006742AA" w:rsidRPr="008D7DBA" w:rsidRDefault="0071222E" w:rsidP="00A44AE9">
      <w:pPr>
        <w:pStyle w:val="Heading1"/>
        <w:rPr>
          <w:rFonts w:ascii="Arial" w:hAnsi="Arial" w:cs="Arial"/>
          <w:color w:val="auto"/>
        </w:rPr>
      </w:pPr>
      <w:bookmarkStart w:id="34" w:name="_Toc216380894"/>
      <w:r w:rsidRPr="008D7DBA">
        <w:rPr>
          <w:rFonts w:ascii="Arial" w:hAnsi="Arial" w:cs="Arial"/>
          <w:color w:val="auto"/>
        </w:rPr>
        <w:lastRenderedPageBreak/>
        <w:t xml:space="preserve">8. </w:t>
      </w:r>
      <w:r w:rsidR="00A44AE9" w:rsidRPr="008D7DBA">
        <w:rPr>
          <w:rFonts w:ascii="Arial" w:hAnsi="Arial" w:cs="Arial"/>
          <w:color w:val="auto"/>
        </w:rPr>
        <w:t>Appendix</w:t>
      </w:r>
      <w:bookmarkEnd w:id="34"/>
    </w:p>
    <w:p w14:paraId="499B370A" w14:textId="6BD26378" w:rsidR="00A44AE9" w:rsidRPr="008D7DBA" w:rsidRDefault="0071222E" w:rsidP="00904E90">
      <w:pPr>
        <w:pStyle w:val="Heading2"/>
        <w:rPr>
          <w:rFonts w:ascii="Arial" w:hAnsi="Arial" w:cs="Arial"/>
        </w:rPr>
      </w:pPr>
      <w:bookmarkStart w:id="35" w:name="_Toc216380895"/>
      <w:r w:rsidRPr="008D7DBA">
        <w:rPr>
          <w:rFonts w:ascii="Arial" w:hAnsi="Arial" w:cs="Arial"/>
        </w:rPr>
        <w:t xml:space="preserve">8.1 </w:t>
      </w:r>
      <w:r w:rsidR="00904E90" w:rsidRPr="008D7DBA">
        <w:rPr>
          <w:rFonts w:ascii="Arial" w:hAnsi="Arial" w:cs="Arial"/>
        </w:rPr>
        <w:t>Ratio tables and Graphs</w:t>
      </w:r>
      <w:bookmarkEnd w:id="35"/>
    </w:p>
    <w:tbl>
      <w:tblPr>
        <w:tblW w:w="9376" w:type="dxa"/>
        <w:tblLook w:val="04A0" w:firstRow="1" w:lastRow="0" w:firstColumn="1" w:lastColumn="0" w:noHBand="0" w:noVBand="1"/>
      </w:tblPr>
      <w:tblGrid>
        <w:gridCol w:w="2730"/>
        <w:gridCol w:w="1697"/>
        <w:gridCol w:w="1084"/>
        <w:gridCol w:w="1084"/>
        <w:gridCol w:w="1218"/>
        <w:gridCol w:w="1218"/>
        <w:gridCol w:w="1084"/>
      </w:tblGrid>
      <w:tr w:rsidR="00A80E41" w:rsidRPr="008D7DBA" w14:paraId="66301F86"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2E67FBB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Gross Profit Margin</w:t>
            </w:r>
          </w:p>
        </w:tc>
      </w:tr>
      <w:tr w:rsidR="00A80E41" w:rsidRPr="008D7DBA" w14:paraId="4A62F8C7"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F36508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41BC9773"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7B0ADE08"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6AF4CF2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4CBB8A32"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51B16C3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1E9161D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53399F52"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1EEC04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Gross Profit</w:t>
            </w:r>
          </w:p>
        </w:tc>
        <w:tc>
          <w:tcPr>
            <w:tcW w:w="1572" w:type="dxa"/>
            <w:vMerge w:val="restart"/>
            <w:tcBorders>
              <w:top w:val="nil"/>
              <w:left w:val="single" w:sz="4" w:space="0" w:color="auto"/>
              <w:bottom w:val="single" w:sz="4" w:space="0" w:color="auto"/>
              <w:right w:val="single" w:sz="4" w:space="0" w:color="auto"/>
            </w:tcBorders>
            <w:vAlign w:val="center"/>
            <w:hideMark/>
          </w:tcPr>
          <w:p w14:paraId="4F54849E"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Gross Profit/ Revenue</w:t>
            </w:r>
          </w:p>
        </w:tc>
        <w:tc>
          <w:tcPr>
            <w:tcW w:w="976" w:type="dxa"/>
            <w:tcBorders>
              <w:top w:val="nil"/>
              <w:left w:val="nil"/>
              <w:bottom w:val="single" w:sz="4" w:space="0" w:color="auto"/>
              <w:right w:val="single" w:sz="4" w:space="0" w:color="auto"/>
            </w:tcBorders>
            <w:noWrap/>
            <w:vAlign w:val="bottom"/>
            <w:hideMark/>
          </w:tcPr>
          <w:p w14:paraId="78708D2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113,994</w:t>
            </w:r>
          </w:p>
        </w:tc>
        <w:tc>
          <w:tcPr>
            <w:tcW w:w="976" w:type="dxa"/>
            <w:tcBorders>
              <w:top w:val="nil"/>
              <w:left w:val="nil"/>
              <w:bottom w:val="single" w:sz="4" w:space="0" w:color="auto"/>
              <w:right w:val="single" w:sz="4" w:space="0" w:color="auto"/>
            </w:tcBorders>
            <w:noWrap/>
            <w:vAlign w:val="bottom"/>
            <w:hideMark/>
          </w:tcPr>
          <w:p w14:paraId="10E3A5E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97,560</w:t>
            </w:r>
          </w:p>
        </w:tc>
        <w:tc>
          <w:tcPr>
            <w:tcW w:w="1072" w:type="dxa"/>
            <w:tcBorders>
              <w:top w:val="nil"/>
              <w:left w:val="nil"/>
              <w:bottom w:val="single" w:sz="4" w:space="0" w:color="auto"/>
              <w:right w:val="single" w:sz="4" w:space="0" w:color="auto"/>
            </w:tcBorders>
            <w:noWrap/>
            <w:vAlign w:val="bottom"/>
            <w:hideMark/>
          </w:tcPr>
          <w:p w14:paraId="086134B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152,292</w:t>
            </w:r>
          </w:p>
        </w:tc>
        <w:tc>
          <w:tcPr>
            <w:tcW w:w="1072" w:type="dxa"/>
            <w:tcBorders>
              <w:top w:val="nil"/>
              <w:left w:val="nil"/>
              <w:bottom w:val="single" w:sz="4" w:space="0" w:color="auto"/>
              <w:right w:val="single" w:sz="4" w:space="0" w:color="auto"/>
            </w:tcBorders>
            <w:noWrap/>
            <w:vAlign w:val="bottom"/>
            <w:hideMark/>
          </w:tcPr>
          <w:p w14:paraId="14300C2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173,016</w:t>
            </w:r>
          </w:p>
        </w:tc>
        <w:tc>
          <w:tcPr>
            <w:tcW w:w="976" w:type="dxa"/>
            <w:tcBorders>
              <w:top w:val="nil"/>
              <w:left w:val="nil"/>
              <w:bottom w:val="single" w:sz="4" w:space="0" w:color="auto"/>
              <w:right w:val="single" w:sz="4" w:space="0" w:color="auto"/>
            </w:tcBorders>
            <w:noWrap/>
            <w:vAlign w:val="bottom"/>
            <w:hideMark/>
          </w:tcPr>
          <w:p w14:paraId="124DF19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176,256</w:t>
            </w:r>
          </w:p>
        </w:tc>
      </w:tr>
      <w:tr w:rsidR="00A80E41" w:rsidRPr="008D7DBA" w14:paraId="656B6D5C"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64A1DD7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Revenue</w:t>
            </w:r>
          </w:p>
        </w:tc>
        <w:tc>
          <w:tcPr>
            <w:tcW w:w="1572" w:type="dxa"/>
            <w:vMerge/>
            <w:tcBorders>
              <w:top w:val="nil"/>
              <w:left w:val="single" w:sz="4" w:space="0" w:color="auto"/>
              <w:bottom w:val="single" w:sz="4" w:space="0" w:color="auto"/>
              <w:right w:val="single" w:sz="4" w:space="0" w:color="auto"/>
            </w:tcBorders>
            <w:vAlign w:val="center"/>
            <w:hideMark/>
          </w:tcPr>
          <w:p w14:paraId="30BACFF0"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09C807A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394,879</w:t>
            </w:r>
          </w:p>
        </w:tc>
        <w:tc>
          <w:tcPr>
            <w:tcW w:w="976" w:type="dxa"/>
            <w:tcBorders>
              <w:top w:val="nil"/>
              <w:left w:val="nil"/>
              <w:bottom w:val="single" w:sz="4" w:space="0" w:color="auto"/>
              <w:right w:val="single" w:sz="4" w:space="0" w:color="auto"/>
            </w:tcBorders>
            <w:noWrap/>
            <w:vAlign w:val="bottom"/>
            <w:hideMark/>
          </w:tcPr>
          <w:p w14:paraId="59D94C0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420,457</w:t>
            </w:r>
          </w:p>
        </w:tc>
        <w:tc>
          <w:tcPr>
            <w:tcW w:w="1072" w:type="dxa"/>
            <w:tcBorders>
              <w:top w:val="nil"/>
              <w:left w:val="nil"/>
              <w:bottom w:val="single" w:sz="4" w:space="0" w:color="auto"/>
              <w:right w:val="single" w:sz="4" w:space="0" w:color="auto"/>
            </w:tcBorders>
            <w:noWrap/>
            <w:vAlign w:val="bottom"/>
            <w:hideMark/>
          </w:tcPr>
          <w:p w14:paraId="0045BC2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542,751</w:t>
            </w:r>
          </w:p>
        </w:tc>
        <w:tc>
          <w:tcPr>
            <w:tcW w:w="1072" w:type="dxa"/>
            <w:tcBorders>
              <w:top w:val="nil"/>
              <w:left w:val="nil"/>
              <w:bottom w:val="single" w:sz="4" w:space="0" w:color="auto"/>
              <w:right w:val="single" w:sz="4" w:space="0" w:color="auto"/>
            </w:tcBorders>
            <w:noWrap/>
            <w:vAlign w:val="bottom"/>
            <w:hideMark/>
          </w:tcPr>
          <w:p w14:paraId="0E4ED17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601,602</w:t>
            </w:r>
          </w:p>
        </w:tc>
        <w:tc>
          <w:tcPr>
            <w:tcW w:w="976" w:type="dxa"/>
            <w:tcBorders>
              <w:top w:val="nil"/>
              <w:left w:val="nil"/>
              <w:bottom w:val="single" w:sz="4" w:space="0" w:color="auto"/>
              <w:right w:val="single" w:sz="4" w:space="0" w:color="auto"/>
            </w:tcBorders>
            <w:noWrap/>
            <w:vAlign w:val="bottom"/>
            <w:hideMark/>
          </w:tcPr>
          <w:p w14:paraId="00C6CB2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614,680</w:t>
            </w:r>
          </w:p>
        </w:tc>
      </w:tr>
      <w:tr w:rsidR="00A80E41" w:rsidRPr="008D7DBA" w14:paraId="11B361C1"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654F538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Gross Profit Margin</w:t>
            </w:r>
          </w:p>
        </w:tc>
        <w:tc>
          <w:tcPr>
            <w:tcW w:w="1572" w:type="dxa"/>
            <w:vMerge/>
            <w:tcBorders>
              <w:top w:val="nil"/>
              <w:left w:val="single" w:sz="4" w:space="0" w:color="auto"/>
              <w:bottom w:val="single" w:sz="4" w:space="0" w:color="auto"/>
              <w:right w:val="single" w:sz="4" w:space="0" w:color="auto"/>
            </w:tcBorders>
            <w:vAlign w:val="center"/>
            <w:hideMark/>
          </w:tcPr>
          <w:p w14:paraId="2F44F34F"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0336E23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28.87%</w:t>
            </w:r>
          </w:p>
        </w:tc>
        <w:tc>
          <w:tcPr>
            <w:tcW w:w="976" w:type="dxa"/>
            <w:tcBorders>
              <w:top w:val="nil"/>
              <w:left w:val="nil"/>
              <w:bottom w:val="single" w:sz="4" w:space="0" w:color="auto"/>
              <w:right w:val="single" w:sz="4" w:space="0" w:color="auto"/>
            </w:tcBorders>
            <w:noWrap/>
            <w:vAlign w:val="bottom"/>
            <w:hideMark/>
          </w:tcPr>
          <w:p w14:paraId="6B8FFFA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23.20%</w:t>
            </w:r>
          </w:p>
        </w:tc>
        <w:tc>
          <w:tcPr>
            <w:tcW w:w="1072" w:type="dxa"/>
            <w:tcBorders>
              <w:top w:val="nil"/>
              <w:left w:val="nil"/>
              <w:bottom w:val="single" w:sz="4" w:space="0" w:color="auto"/>
              <w:right w:val="single" w:sz="4" w:space="0" w:color="auto"/>
            </w:tcBorders>
            <w:noWrap/>
            <w:vAlign w:val="bottom"/>
            <w:hideMark/>
          </w:tcPr>
          <w:p w14:paraId="0E4FE76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28.06%</w:t>
            </w:r>
          </w:p>
        </w:tc>
        <w:tc>
          <w:tcPr>
            <w:tcW w:w="1072" w:type="dxa"/>
            <w:tcBorders>
              <w:top w:val="nil"/>
              <w:left w:val="nil"/>
              <w:bottom w:val="single" w:sz="4" w:space="0" w:color="auto"/>
              <w:right w:val="single" w:sz="4" w:space="0" w:color="auto"/>
            </w:tcBorders>
            <w:noWrap/>
            <w:vAlign w:val="bottom"/>
            <w:hideMark/>
          </w:tcPr>
          <w:p w14:paraId="2A6CAE9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28.76%</w:t>
            </w:r>
          </w:p>
        </w:tc>
        <w:tc>
          <w:tcPr>
            <w:tcW w:w="976" w:type="dxa"/>
            <w:tcBorders>
              <w:top w:val="nil"/>
              <w:left w:val="nil"/>
              <w:bottom w:val="single" w:sz="4" w:space="0" w:color="auto"/>
              <w:right w:val="single" w:sz="4" w:space="0" w:color="auto"/>
            </w:tcBorders>
            <w:noWrap/>
            <w:vAlign w:val="bottom"/>
            <w:hideMark/>
          </w:tcPr>
          <w:p w14:paraId="2672805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28.67%</w:t>
            </w:r>
          </w:p>
        </w:tc>
      </w:tr>
      <w:tr w:rsidR="00A80E41" w:rsidRPr="008D7DBA" w14:paraId="73641CF3" w14:textId="77777777" w:rsidTr="00495580">
        <w:trPr>
          <w:trHeight w:val="291"/>
        </w:trPr>
        <w:tc>
          <w:tcPr>
            <w:tcW w:w="2730" w:type="dxa"/>
            <w:tcBorders>
              <w:top w:val="nil"/>
              <w:left w:val="nil"/>
              <w:bottom w:val="nil"/>
              <w:right w:val="nil"/>
            </w:tcBorders>
            <w:noWrap/>
            <w:vAlign w:val="bottom"/>
            <w:hideMark/>
          </w:tcPr>
          <w:p w14:paraId="29B9E728"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5BE5AC4A"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150F8D05"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10A1AF25"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25C8C601"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2260EA9C"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7B1518C4"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33A83163"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62B778F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Return On Asset</w:t>
            </w:r>
          </w:p>
        </w:tc>
      </w:tr>
      <w:tr w:rsidR="00A80E41" w:rsidRPr="008D7DBA" w14:paraId="05055981"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67B696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57873E01"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7A627EE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2FAC771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06623063"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7FE6F6D1"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5A979A3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2F9877A4"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39474B9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Profit</w:t>
            </w:r>
          </w:p>
        </w:tc>
        <w:tc>
          <w:tcPr>
            <w:tcW w:w="1572" w:type="dxa"/>
            <w:vMerge w:val="restart"/>
            <w:tcBorders>
              <w:top w:val="nil"/>
              <w:left w:val="single" w:sz="4" w:space="0" w:color="auto"/>
              <w:bottom w:val="single" w:sz="4" w:space="0" w:color="auto"/>
              <w:right w:val="single" w:sz="4" w:space="0" w:color="auto"/>
            </w:tcBorders>
            <w:vAlign w:val="center"/>
            <w:hideMark/>
          </w:tcPr>
          <w:p w14:paraId="7F2B62ED"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Profit ÷ Total Assets)*100</w:t>
            </w:r>
          </w:p>
        </w:tc>
        <w:tc>
          <w:tcPr>
            <w:tcW w:w="976" w:type="dxa"/>
            <w:tcBorders>
              <w:top w:val="nil"/>
              <w:left w:val="nil"/>
              <w:bottom w:val="single" w:sz="4" w:space="0" w:color="auto"/>
              <w:right w:val="single" w:sz="4" w:space="0" w:color="auto"/>
            </w:tcBorders>
            <w:noWrap/>
            <w:vAlign w:val="center"/>
            <w:hideMark/>
          </w:tcPr>
          <w:p w14:paraId="3E7F091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-24,029</w:t>
            </w:r>
          </w:p>
        </w:tc>
        <w:tc>
          <w:tcPr>
            <w:tcW w:w="976" w:type="dxa"/>
            <w:tcBorders>
              <w:top w:val="nil"/>
              <w:left w:val="nil"/>
              <w:bottom w:val="single" w:sz="4" w:space="0" w:color="auto"/>
              <w:right w:val="single" w:sz="4" w:space="0" w:color="auto"/>
            </w:tcBorders>
            <w:noWrap/>
            <w:vAlign w:val="center"/>
            <w:hideMark/>
          </w:tcPr>
          <w:p w14:paraId="2A8CC63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-98,238</w:t>
            </w:r>
          </w:p>
        </w:tc>
        <w:tc>
          <w:tcPr>
            <w:tcW w:w="1072" w:type="dxa"/>
            <w:tcBorders>
              <w:top w:val="nil"/>
              <w:left w:val="nil"/>
              <w:bottom w:val="single" w:sz="4" w:space="0" w:color="auto"/>
              <w:right w:val="single" w:sz="4" w:space="0" w:color="auto"/>
            </w:tcBorders>
            <w:noWrap/>
            <w:vAlign w:val="center"/>
            <w:hideMark/>
          </w:tcPr>
          <w:p w14:paraId="759E214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407</w:t>
            </w:r>
          </w:p>
        </w:tc>
        <w:tc>
          <w:tcPr>
            <w:tcW w:w="1072" w:type="dxa"/>
            <w:tcBorders>
              <w:top w:val="nil"/>
              <w:left w:val="nil"/>
              <w:bottom w:val="single" w:sz="4" w:space="0" w:color="auto"/>
              <w:right w:val="single" w:sz="4" w:space="0" w:color="auto"/>
            </w:tcBorders>
            <w:noWrap/>
            <w:vAlign w:val="center"/>
            <w:hideMark/>
          </w:tcPr>
          <w:p w14:paraId="4E6F51B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5,301</w:t>
            </w:r>
          </w:p>
        </w:tc>
        <w:tc>
          <w:tcPr>
            <w:tcW w:w="976" w:type="dxa"/>
            <w:tcBorders>
              <w:top w:val="nil"/>
              <w:left w:val="nil"/>
              <w:bottom w:val="single" w:sz="4" w:space="0" w:color="auto"/>
              <w:right w:val="single" w:sz="4" w:space="0" w:color="auto"/>
            </w:tcBorders>
            <w:noWrap/>
            <w:vAlign w:val="center"/>
            <w:hideMark/>
          </w:tcPr>
          <w:p w14:paraId="1F9EF13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38,572</w:t>
            </w:r>
          </w:p>
        </w:tc>
      </w:tr>
      <w:tr w:rsidR="00A80E41" w:rsidRPr="008D7DBA" w14:paraId="6E92BE4B"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7328BF3"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Total Asset</w:t>
            </w:r>
          </w:p>
        </w:tc>
        <w:tc>
          <w:tcPr>
            <w:tcW w:w="1572" w:type="dxa"/>
            <w:vMerge/>
            <w:tcBorders>
              <w:top w:val="nil"/>
              <w:left w:val="single" w:sz="4" w:space="0" w:color="auto"/>
              <w:bottom w:val="single" w:sz="4" w:space="0" w:color="auto"/>
              <w:right w:val="single" w:sz="4" w:space="0" w:color="auto"/>
            </w:tcBorders>
            <w:vAlign w:val="center"/>
            <w:hideMark/>
          </w:tcPr>
          <w:p w14:paraId="392F93B0"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7141996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323,354</w:t>
            </w:r>
          </w:p>
        </w:tc>
        <w:tc>
          <w:tcPr>
            <w:tcW w:w="976" w:type="dxa"/>
            <w:tcBorders>
              <w:top w:val="nil"/>
              <w:left w:val="nil"/>
              <w:bottom w:val="single" w:sz="4" w:space="0" w:color="auto"/>
              <w:right w:val="single" w:sz="4" w:space="0" w:color="auto"/>
            </w:tcBorders>
            <w:noWrap/>
            <w:vAlign w:val="center"/>
            <w:hideMark/>
          </w:tcPr>
          <w:p w14:paraId="7CA810A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355,872</w:t>
            </w:r>
          </w:p>
        </w:tc>
        <w:tc>
          <w:tcPr>
            <w:tcW w:w="1072" w:type="dxa"/>
            <w:tcBorders>
              <w:top w:val="nil"/>
              <w:left w:val="nil"/>
              <w:bottom w:val="single" w:sz="4" w:space="0" w:color="auto"/>
              <w:right w:val="single" w:sz="4" w:space="0" w:color="auto"/>
            </w:tcBorders>
            <w:noWrap/>
            <w:vAlign w:val="center"/>
            <w:hideMark/>
          </w:tcPr>
          <w:p w14:paraId="56932AD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504,163</w:t>
            </w:r>
          </w:p>
        </w:tc>
        <w:tc>
          <w:tcPr>
            <w:tcW w:w="1072" w:type="dxa"/>
            <w:tcBorders>
              <w:top w:val="nil"/>
              <w:left w:val="nil"/>
              <w:bottom w:val="single" w:sz="4" w:space="0" w:color="auto"/>
              <w:right w:val="single" w:sz="4" w:space="0" w:color="auto"/>
            </w:tcBorders>
            <w:noWrap/>
            <w:vAlign w:val="center"/>
            <w:hideMark/>
          </w:tcPr>
          <w:p w14:paraId="66DF23B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510,348</w:t>
            </w:r>
          </w:p>
        </w:tc>
        <w:tc>
          <w:tcPr>
            <w:tcW w:w="976" w:type="dxa"/>
            <w:tcBorders>
              <w:top w:val="nil"/>
              <w:left w:val="nil"/>
              <w:bottom w:val="single" w:sz="4" w:space="0" w:color="auto"/>
              <w:right w:val="single" w:sz="4" w:space="0" w:color="auto"/>
            </w:tcBorders>
            <w:noWrap/>
            <w:vAlign w:val="center"/>
            <w:hideMark/>
          </w:tcPr>
          <w:p w14:paraId="19690FE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510,290</w:t>
            </w:r>
          </w:p>
        </w:tc>
      </w:tr>
      <w:tr w:rsidR="00A80E41" w:rsidRPr="008D7DBA" w14:paraId="56256D40"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E9B2CC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Return On Asset</w:t>
            </w:r>
          </w:p>
        </w:tc>
        <w:tc>
          <w:tcPr>
            <w:tcW w:w="1572" w:type="dxa"/>
            <w:vMerge/>
            <w:tcBorders>
              <w:top w:val="nil"/>
              <w:left w:val="single" w:sz="4" w:space="0" w:color="auto"/>
              <w:bottom w:val="single" w:sz="4" w:space="0" w:color="auto"/>
              <w:right w:val="single" w:sz="4" w:space="0" w:color="auto"/>
            </w:tcBorders>
            <w:vAlign w:val="center"/>
            <w:hideMark/>
          </w:tcPr>
          <w:p w14:paraId="72106BA2"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7AFE144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-7.43%</w:t>
            </w:r>
          </w:p>
        </w:tc>
        <w:tc>
          <w:tcPr>
            <w:tcW w:w="976" w:type="dxa"/>
            <w:tcBorders>
              <w:top w:val="nil"/>
              <w:left w:val="nil"/>
              <w:bottom w:val="single" w:sz="4" w:space="0" w:color="auto"/>
              <w:right w:val="single" w:sz="4" w:space="0" w:color="auto"/>
            </w:tcBorders>
            <w:noWrap/>
            <w:vAlign w:val="bottom"/>
            <w:hideMark/>
          </w:tcPr>
          <w:p w14:paraId="005D779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-27.60%</w:t>
            </w:r>
          </w:p>
        </w:tc>
        <w:tc>
          <w:tcPr>
            <w:tcW w:w="1072" w:type="dxa"/>
            <w:tcBorders>
              <w:top w:val="nil"/>
              <w:left w:val="nil"/>
              <w:bottom w:val="single" w:sz="4" w:space="0" w:color="auto"/>
              <w:right w:val="single" w:sz="4" w:space="0" w:color="auto"/>
            </w:tcBorders>
            <w:noWrap/>
            <w:vAlign w:val="bottom"/>
            <w:hideMark/>
          </w:tcPr>
          <w:p w14:paraId="1CC07B9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0.08%</w:t>
            </w:r>
          </w:p>
        </w:tc>
        <w:tc>
          <w:tcPr>
            <w:tcW w:w="1072" w:type="dxa"/>
            <w:tcBorders>
              <w:top w:val="nil"/>
              <w:left w:val="nil"/>
              <w:bottom w:val="single" w:sz="4" w:space="0" w:color="auto"/>
              <w:right w:val="single" w:sz="4" w:space="0" w:color="auto"/>
            </w:tcBorders>
            <w:noWrap/>
            <w:vAlign w:val="bottom"/>
            <w:hideMark/>
          </w:tcPr>
          <w:p w14:paraId="1F525D7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1.04%</w:t>
            </w:r>
          </w:p>
        </w:tc>
        <w:tc>
          <w:tcPr>
            <w:tcW w:w="976" w:type="dxa"/>
            <w:tcBorders>
              <w:top w:val="nil"/>
              <w:left w:val="nil"/>
              <w:bottom w:val="single" w:sz="4" w:space="0" w:color="auto"/>
              <w:right w:val="single" w:sz="4" w:space="0" w:color="auto"/>
            </w:tcBorders>
            <w:noWrap/>
            <w:vAlign w:val="bottom"/>
            <w:hideMark/>
          </w:tcPr>
          <w:p w14:paraId="35D8B85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7.56%</w:t>
            </w:r>
          </w:p>
        </w:tc>
      </w:tr>
      <w:tr w:rsidR="00A80E41" w:rsidRPr="008D7DBA" w14:paraId="77D97B2D" w14:textId="77777777" w:rsidTr="00495580">
        <w:trPr>
          <w:trHeight w:val="291"/>
        </w:trPr>
        <w:tc>
          <w:tcPr>
            <w:tcW w:w="2730" w:type="dxa"/>
            <w:tcBorders>
              <w:top w:val="nil"/>
              <w:left w:val="nil"/>
              <w:bottom w:val="nil"/>
              <w:right w:val="nil"/>
            </w:tcBorders>
            <w:noWrap/>
            <w:vAlign w:val="bottom"/>
            <w:hideMark/>
          </w:tcPr>
          <w:p w14:paraId="74DD0331"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5DD071EC"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20AF6625"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03EE5324"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68F83A4F"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15E1C550"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115B5506"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4E68C817"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6D576FCC"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Current ratio</w:t>
            </w:r>
          </w:p>
        </w:tc>
      </w:tr>
      <w:tr w:rsidR="00A80E41" w:rsidRPr="008D7DBA" w14:paraId="5FC53B14"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4D0F24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7EEA3732"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7A5470F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147EEB62"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6418C9D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26053D7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3214B73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53868F21"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C784B6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Current Assets </w:t>
            </w:r>
          </w:p>
        </w:tc>
        <w:tc>
          <w:tcPr>
            <w:tcW w:w="1572" w:type="dxa"/>
            <w:vMerge w:val="restart"/>
            <w:tcBorders>
              <w:top w:val="nil"/>
              <w:left w:val="single" w:sz="4" w:space="0" w:color="auto"/>
              <w:bottom w:val="single" w:sz="4" w:space="0" w:color="auto"/>
              <w:right w:val="single" w:sz="4" w:space="0" w:color="auto"/>
            </w:tcBorders>
            <w:vAlign w:val="center"/>
            <w:hideMark/>
          </w:tcPr>
          <w:p w14:paraId="1DF17FCB"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Current Assets/ Current Liability </w:t>
            </w:r>
          </w:p>
        </w:tc>
        <w:tc>
          <w:tcPr>
            <w:tcW w:w="976" w:type="dxa"/>
            <w:tcBorders>
              <w:top w:val="nil"/>
              <w:left w:val="nil"/>
              <w:bottom w:val="single" w:sz="4" w:space="0" w:color="auto"/>
              <w:right w:val="single" w:sz="4" w:space="0" w:color="auto"/>
            </w:tcBorders>
            <w:noWrap/>
            <w:vAlign w:val="center"/>
            <w:hideMark/>
          </w:tcPr>
          <w:p w14:paraId="54C04C4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242,494</w:t>
            </w:r>
          </w:p>
        </w:tc>
        <w:tc>
          <w:tcPr>
            <w:tcW w:w="976" w:type="dxa"/>
            <w:tcBorders>
              <w:top w:val="nil"/>
              <w:left w:val="nil"/>
              <w:bottom w:val="single" w:sz="4" w:space="0" w:color="auto"/>
              <w:right w:val="single" w:sz="4" w:space="0" w:color="auto"/>
            </w:tcBorders>
            <w:noWrap/>
            <w:vAlign w:val="center"/>
            <w:hideMark/>
          </w:tcPr>
          <w:p w14:paraId="703A850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258,851</w:t>
            </w:r>
          </w:p>
        </w:tc>
        <w:tc>
          <w:tcPr>
            <w:tcW w:w="1072" w:type="dxa"/>
            <w:tcBorders>
              <w:top w:val="nil"/>
              <w:left w:val="nil"/>
              <w:bottom w:val="single" w:sz="4" w:space="0" w:color="auto"/>
              <w:right w:val="single" w:sz="4" w:space="0" w:color="auto"/>
            </w:tcBorders>
            <w:noWrap/>
            <w:vAlign w:val="center"/>
            <w:hideMark/>
          </w:tcPr>
          <w:p w14:paraId="100F0DF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338,040</w:t>
            </w:r>
          </w:p>
        </w:tc>
        <w:tc>
          <w:tcPr>
            <w:tcW w:w="1072" w:type="dxa"/>
            <w:tcBorders>
              <w:top w:val="nil"/>
              <w:left w:val="nil"/>
              <w:bottom w:val="single" w:sz="4" w:space="0" w:color="auto"/>
              <w:right w:val="single" w:sz="4" w:space="0" w:color="auto"/>
            </w:tcBorders>
            <w:noWrap/>
            <w:vAlign w:val="center"/>
            <w:hideMark/>
          </w:tcPr>
          <w:p w14:paraId="2C9809F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337,146</w:t>
            </w:r>
          </w:p>
        </w:tc>
        <w:tc>
          <w:tcPr>
            <w:tcW w:w="976" w:type="dxa"/>
            <w:tcBorders>
              <w:top w:val="nil"/>
              <w:left w:val="nil"/>
              <w:bottom w:val="single" w:sz="4" w:space="0" w:color="auto"/>
              <w:right w:val="single" w:sz="4" w:space="0" w:color="auto"/>
            </w:tcBorders>
            <w:noWrap/>
            <w:vAlign w:val="center"/>
            <w:hideMark/>
          </w:tcPr>
          <w:p w14:paraId="5FC2E98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326,843</w:t>
            </w:r>
          </w:p>
        </w:tc>
      </w:tr>
      <w:tr w:rsidR="00A80E41" w:rsidRPr="008D7DBA" w14:paraId="68B65328"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6C2DB4B6"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Current Liability </w:t>
            </w:r>
          </w:p>
        </w:tc>
        <w:tc>
          <w:tcPr>
            <w:tcW w:w="1572" w:type="dxa"/>
            <w:vMerge/>
            <w:tcBorders>
              <w:top w:val="nil"/>
              <w:left w:val="single" w:sz="4" w:space="0" w:color="auto"/>
              <w:bottom w:val="single" w:sz="4" w:space="0" w:color="auto"/>
              <w:right w:val="single" w:sz="4" w:space="0" w:color="auto"/>
            </w:tcBorders>
            <w:vAlign w:val="center"/>
            <w:hideMark/>
          </w:tcPr>
          <w:p w14:paraId="307A8E26"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68AC0E2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158,291</w:t>
            </w:r>
          </w:p>
        </w:tc>
        <w:tc>
          <w:tcPr>
            <w:tcW w:w="976" w:type="dxa"/>
            <w:tcBorders>
              <w:top w:val="nil"/>
              <w:left w:val="nil"/>
              <w:bottom w:val="single" w:sz="4" w:space="0" w:color="auto"/>
              <w:right w:val="single" w:sz="4" w:space="0" w:color="auto"/>
            </w:tcBorders>
            <w:noWrap/>
            <w:vAlign w:val="center"/>
            <w:hideMark/>
          </w:tcPr>
          <w:p w14:paraId="2BA82A3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161,148</w:t>
            </w:r>
          </w:p>
        </w:tc>
        <w:tc>
          <w:tcPr>
            <w:tcW w:w="1072" w:type="dxa"/>
            <w:tcBorders>
              <w:top w:val="nil"/>
              <w:left w:val="nil"/>
              <w:bottom w:val="single" w:sz="4" w:space="0" w:color="auto"/>
              <w:right w:val="single" w:sz="4" w:space="0" w:color="auto"/>
            </w:tcBorders>
            <w:noWrap/>
            <w:vAlign w:val="center"/>
            <w:hideMark/>
          </w:tcPr>
          <w:p w14:paraId="6D693CD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216,473</w:t>
            </w:r>
          </w:p>
        </w:tc>
        <w:tc>
          <w:tcPr>
            <w:tcW w:w="1072" w:type="dxa"/>
            <w:tcBorders>
              <w:top w:val="nil"/>
              <w:left w:val="nil"/>
              <w:bottom w:val="single" w:sz="4" w:space="0" w:color="auto"/>
              <w:right w:val="single" w:sz="4" w:space="0" w:color="auto"/>
            </w:tcBorders>
            <w:noWrap/>
            <w:vAlign w:val="center"/>
            <w:hideMark/>
          </w:tcPr>
          <w:p w14:paraId="7950571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216,787</w:t>
            </w:r>
          </w:p>
        </w:tc>
        <w:tc>
          <w:tcPr>
            <w:tcW w:w="976" w:type="dxa"/>
            <w:tcBorders>
              <w:top w:val="nil"/>
              <w:left w:val="nil"/>
              <w:bottom w:val="single" w:sz="4" w:space="0" w:color="auto"/>
              <w:right w:val="single" w:sz="4" w:space="0" w:color="auto"/>
            </w:tcBorders>
            <w:noWrap/>
            <w:vAlign w:val="center"/>
            <w:hideMark/>
          </w:tcPr>
          <w:p w14:paraId="1A2A6D7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179,510</w:t>
            </w:r>
          </w:p>
        </w:tc>
      </w:tr>
      <w:tr w:rsidR="00A80E41" w:rsidRPr="008D7DBA" w14:paraId="63FC9908"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35A11912"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Current Ratio</w:t>
            </w:r>
          </w:p>
        </w:tc>
        <w:tc>
          <w:tcPr>
            <w:tcW w:w="1572" w:type="dxa"/>
            <w:vMerge/>
            <w:tcBorders>
              <w:top w:val="nil"/>
              <w:left w:val="single" w:sz="4" w:space="0" w:color="auto"/>
              <w:bottom w:val="single" w:sz="4" w:space="0" w:color="auto"/>
              <w:right w:val="single" w:sz="4" w:space="0" w:color="auto"/>
            </w:tcBorders>
            <w:vAlign w:val="center"/>
            <w:hideMark/>
          </w:tcPr>
          <w:p w14:paraId="004BA4D4"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70FF11F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1.53</w:t>
            </w:r>
          </w:p>
        </w:tc>
        <w:tc>
          <w:tcPr>
            <w:tcW w:w="976" w:type="dxa"/>
            <w:tcBorders>
              <w:top w:val="nil"/>
              <w:left w:val="nil"/>
              <w:bottom w:val="single" w:sz="4" w:space="0" w:color="auto"/>
              <w:right w:val="single" w:sz="4" w:space="0" w:color="auto"/>
            </w:tcBorders>
            <w:noWrap/>
            <w:vAlign w:val="bottom"/>
            <w:hideMark/>
          </w:tcPr>
          <w:p w14:paraId="0460E60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1.61</w:t>
            </w:r>
          </w:p>
        </w:tc>
        <w:tc>
          <w:tcPr>
            <w:tcW w:w="1072" w:type="dxa"/>
            <w:tcBorders>
              <w:top w:val="nil"/>
              <w:left w:val="nil"/>
              <w:bottom w:val="single" w:sz="4" w:space="0" w:color="auto"/>
              <w:right w:val="single" w:sz="4" w:space="0" w:color="auto"/>
            </w:tcBorders>
            <w:noWrap/>
            <w:vAlign w:val="bottom"/>
            <w:hideMark/>
          </w:tcPr>
          <w:p w14:paraId="1464A24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1.56</w:t>
            </w:r>
          </w:p>
        </w:tc>
        <w:tc>
          <w:tcPr>
            <w:tcW w:w="1072" w:type="dxa"/>
            <w:tcBorders>
              <w:top w:val="nil"/>
              <w:left w:val="nil"/>
              <w:bottom w:val="single" w:sz="4" w:space="0" w:color="auto"/>
              <w:right w:val="single" w:sz="4" w:space="0" w:color="auto"/>
            </w:tcBorders>
            <w:noWrap/>
            <w:vAlign w:val="bottom"/>
            <w:hideMark/>
          </w:tcPr>
          <w:p w14:paraId="73B28FE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1.56</w:t>
            </w:r>
          </w:p>
        </w:tc>
        <w:tc>
          <w:tcPr>
            <w:tcW w:w="976" w:type="dxa"/>
            <w:tcBorders>
              <w:top w:val="nil"/>
              <w:left w:val="nil"/>
              <w:bottom w:val="single" w:sz="4" w:space="0" w:color="auto"/>
              <w:right w:val="single" w:sz="4" w:space="0" w:color="auto"/>
            </w:tcBorders>
            <w:noWrap/>
            <w:vAlign w:val="bottom"/>
            <w:hideMark/>
          </w:tcPr>
          <w:p w14:paraId="2447726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1.82</w:t>
            </w:r>
          </w:p>
        </w:tc>
      </w:tr>
      <w:tr w:rsidR="00A80E41" w:rsidRPr="008D7DBA" w14:paraId="508D4699" w14:textId="77777777" w:rsidTr="00495580">
        <w:trPr>
          <w:trHeight w:val="291"/>
        </w:trPr>
        <w:tc>
          <w:tcPr>
            <w:tcW w:w="2730" w:type="dxa"/>
            <w:tcBorders>
              <w:top w:val="nil"/>
              <w:left w:val="nil"/>
              <w:bottom w:val="nil"/>
              <w:right w:val="nil"/>
            </w:tcBorders>
            <w:noWrap/>
            <w:vAlign w:val="bottom"/>
            <w:hideMark/>
          </w:tcPr>
          <w:p w14:paraId="6C87A9E9"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2B8E3FF7"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0B38A500"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171EA24E"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0D4551BF"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375DC3D6"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232EAC1B"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0D7C73AF"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56DA3DA9"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Quick ratio</w:t>
            </w:r>
          </w:p>
        </w:tc>
      </w:tr>
      <w:tr w:rsidR="00A80E41" w:rsidRPr="008D7DBA" w14:paraId="08450386"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7A6EBAA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04FB1D0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3094EA9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5BF9397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031D6491"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19A7D13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5611E9D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49E9B834"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AA4EF6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Quick Assets </w:t>
            </w:r>
          </w:p>
        </w:tc>
        <w:tc>
          <w:tcPr>
            <w:tcW w:w="1572" w:type="dxa"/>
            <w:vMerge w:val="restart"/>
            <w:tcBorders>
              <w:top w:val="nil"/>
              <w:left w:val="single" w:sz="4" w:space="0" w:color="auto"/>
              <w:bottom w:val="single" w:sz="4" w:space="0" w:color="auto"/>
              <w:right w:val="single" w:sz="4" w:space="0" w:color="auto"/>
            </w:tcBorders>
            <w:vAlign w:val="center"/>
            <w:hideMark/>
          </w:tcPr>
          <w:p w14:paraId="0481972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Quick  Assets/ Current Liability </w:t>
            </w:r>
          </w:p>
        </w:tc>
        <w:tc>
          <w:tcPr>
            <w:tcW w:w="976" w:type="dxa"/>
            <w:tcBorders>
              <w:top w:val="nil"/>
              <w:left w:val="nil"/>
              <w:bottom w:val="single" w:sz="4" w:space="0" w:color="auto"/>
              <w:right w:val="single" w:sz="4" w:space="0" w:color="auto"/>
            </w:tcBorders>
            <w:noWrap/>
            <w:vAlign w:val="bottom"/>
            <w:hideMark/>
          </w:tcPr>
          <w:p w14:paraId="7A900D8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163,139</w:t>
            </w:r>
          </w:p>
        </w:tc>
        <w:tc>
          <w:tcPr>
            <w:tcW w:w="976" w:type="dxa"/>
            <w:tcBorders>
              <w:top w:val="nil"/>
              <w:left w:val="nil"/>
              <w:bottom w:val="single" w:sz="4" w:space="0" w:color="auto"/>
              <w:right w:val="single" w:sz="4" w:space="0" w:color="auto"/>
            </w:tcBorders>
            <w:noWrap/>
            <w:vAlign w:val="bottom"/>
            <w:hideMark/>
          </w:tcPr>
          <w:p w14:paraId="0364D36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170,578</w:t>
            </w:r>
          </w:p>
        </w:tc>
        <w:tc>
          <w:tcPr>
            <w:tcW w:w="1072" w:type="dxa"/>
            <w:tcBorders>
              <w:top w:val="nil"/>
              <w:left w:val="nil"/>
              <w:bottom w:val="single" w:sz="4" w:space="0" w:color="auto"/>
              <w:right w:val="single" w:sz="4" w:space="0" w:color="auto"/>
            </w:tcBorders>
            <w:noWrap/>
            <w:vAlign w:val="bottom"/>
            <w:hideMark/>
          </w:tcPr>
          <w:p w14:paraId="4E0E258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197,859</w:t>
            </w:r>
          </w:p>
        </w:tc>
        <w:tc>
          <w:tcPr>
            <w:tcW w:w="1072" w:type="dxa"/>
            <w:tcBorders>
              <w:top w:val="nil"/>
              <w:left w:val="nil"/>
              <w:bottom w:val="single" w:sz="4" w:space="0" w:color="auto"/>
              <w:right w:val="single" w:sz="4" w:space="0" w:color="auto"/>
            </w:tcBorders>
            <w:noWrap/>
            <w:vAlign w:val="bottom"/>
            <w:hideMark/>
          </w:tcPr>
          <w:p w14:paraId="0FC1839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202,677</w:t>
            </w:r>
          </w:p>
        </w:tc>
        <w:tc>
          <w:tcPr>
            <w:tcW w:w="976" w:type="dxa"/>
            <w:tcBorders>
              <w:top w:val="nil"/>
              <w:left w:val="nil"/>
              <w:bottom w:val="single" w:sz="4" w:space="0" w:color="auto"/>
              <w:right w:val="nil"/>
            </w:tcBorders>
            <w:noWrap/>
            <w:vAlign w:val="bottom"/>
            <w:hideMark/>
          </w:tcPr>
          <w:p w14:paraId="0DE29E9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206,413</w:t>
            </w:r>
          </w:p>
        </w:tc>
      </w:tr>
      <w:tr w:rsidR="00A80E41" w:rsidRPr="008D7DBA" w14:paraId="304E465D"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64C7E1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Current Liability </w:t>
            </w:r>
          </w:p>
        </w:tc>
        <w:tc>
          <w:tcPr>
            <w:tcW w:w="1572" w:type="dxa"/>
            <w:vMerge/>
            <w:tcBorders>
              <w:top w:val="nil"/>
              <w:left w:val="single" w:sz="4" w:space="0" w:color="auto"/>
              <w:bottom w:val="single" w:sz="4" w:space="0" w:color="auto"/>
              <w:right w:val="single" w:sz="4" w:space="0" w:color="auto"/>
            </w:tcBorders>
            <w:vAlign w:val="center"/>
            <w:hideMark/>
          </w:tcPr>
          <w:p w14:paraId="5F8DA147"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5770FCB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158,291</w:t>
            </w:r>
          </w:p>
        </w:tc>
        <w:tc>
          <w:tcPr>
            <w:tcW w:w="976" w:type="dxa"/>
            <w:tcBorders>
              <w:top w:val="nil"/>
              <w:left w:val="nil"/>
              <w:bottom w:val="single" w:sz="4" w:space="0" w:color="auto"/>
              <w:right w:val="single" w:sz="4" w:space="0" w:color="auto"/>
            </w:tcBorders>
            <w:noWrap/>
            <w:vAlign w:val="center"/>
            <w:hideMark/>
          </w:tcPr>
          <w:p w14:paraId="249C66E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161,148</w:t>
            </w:r>
          </w:p>
        </w:tc>
        <w:tc>
          <w:tcPr>
            <w:tcW w:w="1072" w:type="dxa"/>
            <w:tcBorders>
              <w:top w:val="nil"/>
              <w:left w:val="nil"/>
              <w:bottom w:val="single" w:sz="4" w:space="0" w:color="auto"/>
              <w:right w:val="single" w:sz="4" w:space="0" w:color="auto"/>
            </w:tcBorders>
            <w:noWrap/>
            <w:vAlign w:val="center"/>
            <w:hideMark/>
          </w:tcPr>
          <w:p w14:paraId="1F24850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216,473</w:t>
            </w:r>
          </w:p>
        </w:tc>
        <w:tc>
          <w:tcPr>
            <w:tcW w:w="1072" w:type="dxa"/>
            <w:tcBorders>
              <w:top w:val="nil"/>
              <w:left w:val="nil"/>
              <w:bottom w:val="single" w:sz="4" w:space="0" w:color="auto"/>
              <w:right w:val="single" w:sz="4" w:space="0" w:color="auto"/>
            </w:tcBorders>
            <w:noWrap/>
            <w:vAlign w:val="center"/>
            <w:hideMark/>
          </w:tcPr>
          <w:p w14:paraId="570F767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216,787</w:t>
            </w:r>
          </w:p>
        </w:tc>
        <w:tc>
          <w:tcPr>
            <w:tcW w:w="976" w:type="dxa"/>
            <w:tcBorders>
              <w:top w:val="nil"/>
              <w:left w:val="nil"/>
              <w:bottom w:val="single" w:sz="4" w:space="0" w:color="auto"/>
              <w:right w:val="single" w:sz="4" w:space="0" w:color="auto"/>
            </w:tcBorders>
            <w:noWrap/>
            <w:vAlign w:val="center"/>
            <w:hideMark/>
          </w:tcPr>
          <w:p w14:paraId="073FA94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179,510</w:t>
            </w:r>
          </w:p>
        </w:tc>
      </w:tr>
      <w:tr w:rsidR="00A80E41" w:rsidRPr="008D7DBA" w14:paraId="198FC14B"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45EE266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Quick Ratio</w:t>
            </w:r>
          </w:p>
        </w:tc>
        <w:tc>
          <w:tcPr>
            <w:tcW w:w="1572" w:type="dxa"/>
            <w:vMerge/>
            <w:tcBorders>
              <w:top w:val="nil"/>
              <w:left w:val="single" w:sz="4" w:space="0" w:color="auto"/>
              <w:bottom w:val="single" w:sz="4" w:space="0" w:color="auto"/>
              <w:right w:val="single" w:sz="4" w:space="0" w:color="auto"/>
            </w:tcBorders>
            <w:vAlign w:val="center"/>
            <w:hideMark/>
          </w:tcPr>
          <w:p w14:paraId="5C43A48A"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2A0C36A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1.03</w:t>
            </w:r>
          </w:p>
        </w:tc>
        <w:tc>
          <w:tcPr>
            <w:tcW w:w="976" w:type="dxa"/>
            <w:tcBorders>
              <w:top w:val="nil"/>
              <w:left w:val="nil"/>
              <w:bottom w:val="single" w:sz="4" w:space="0" w:color="auto"/>
              <w:right w:val="single" w:sz="4" w:space="0" w:color="auto"/>
            </w:tcBorders>
            <w:noWrap/>
            <w:vAlign w:val="bottom"/>
            <w:hideMark/>
          </w:tcPr>
          <w:p w14:paraId="3199431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1.06</w:t>
            </w:r>
          </w:p>
        </w:tc>
        <w:tc>
          <w:tcPr>
            <w:tcW w:w="1072" w:type="dxa"/>
            <w:tcBorders>
              <w:top w:val="nil"/>
              <w:left w:val="nil"/>
              <w:bottom w:val="single" w:sz="4" w:space="0" w:color="auto"/>
              <w:right w:val="single" w:sz="4" w:space="0" w:color="auto"/>
            </w:tcBorders>
            <w:noWrap/>
            <w:vAlign w:val="bottom"/>
            <w:hideMark/>
          </w:tcPr>
          <w:p w14:paraId="5FAF997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0.91</w:t>
            </w:r>
          </w:p>
        </w:tc>
        <w:tc>
          <w:tcPr>
            <w:tcW w:w="1072" w:type="dxa"/>
            <w:tcBorders>
              <w:top w:val="nil"/>
              <w:left w:val="nil"/>
              <w:bottom w:val="single" w:sz="4" w:space="0" w:color="auto"/>
              <w:right w:val="single" w:sz="4" w:space="0" w:color="auto"/>
            </w:tcBorders>
            <w:noWrap/>
            <w:vAlign w:val="bottom"/>
            <w:hideMark/>
          </w:tcPr>
          <w:p w14:paraId="6E9ED7A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0.93</w:t>
            </w:r>
          </w:p>
        </w:tc>
        <w:tc>
          <w:tcPr>
            <w:tcW w:w="976" w:type="dxa"/>
            <w:tcBorders>
              <w:top w:val="nil"/>
              <w:left w:val="nil"/>
              <w:bottom w:val="single" w:sz="4" w:space="0" w:color="auto"/>
              <w:right w:val="single" w:sz="4" w:space="0" w:color="auto"/>
            </w:tcBorders>
            <w:noWrap/>
            <w:vAlign w:val="bottom"/>
            <w:hideMark/>
          </w:tcPr>
          <w:p w14:paraId="5EC3D35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1.15</w:t>
            </w:r>
          </w:p>
        </w:tc>
      </w:tr>
      <w:tr w:rsidR="00A80E41" w:rsidRPr="008D7DBA" w14:paraId="376425AC" w14:textId="77777777" w:rsidTr="00495580">
        <w:trPr>
          <w:trHeight w:val="291"/>
        </w:trPr>
        <w:tc>
          <w:tcPr>
            <w:tcW w:w="2730" w:type="dxa"/>
            <w:tcBorders>
              <w:top w:val="nil"/>
              <w:left w:val="nil"/>
              <w:bottom w:val="nil"/>
              <w:right w:val="nil"/>
            </w:tcBorders>
            <w:noWrap/>
            <w:vAlign w:val="bottom"/>
            <w:hideMark/>
          </w:tcPr>
          <w:p w14:paraId="3AF72A6C"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37233259"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C4F5440"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6A6005DF"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00CE2810"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7FE39E70"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A422A78"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37CB7D41"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vAlign w:val="bottom"/>
            <w:hideMark/>
          </w:tcPr>
          <w:p w14:paraId="1805F66D"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Inventory turnover</w:t>
            </w:r>
          </w:p>
        </w:tc>
      </w:tr>
      <w:tr w:rsidR="00A80E41" w:rsidRPr="008D7DBA" w14:paraId="75456379"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1490EF4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1738F16E"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7E92D2F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61B51F6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7C83B1F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634F96B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7F54DA3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12B76DB5"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20608F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Cost of Goods Sold </w:t>
            </w:r>
          </w:p>
        </w:tc>
        <w:tc>
          <w:tcPr>
            <w:tcW w:w="1572" w:type="dxa"/>
            <w:vMerge w:val="restart"/>
            <w:tcBorders>
              <w:top w:val="nil"/>
              <w:left w:val="single" w:sz="4" w:space="0" w:color="auto"/>
              <w:bottom w:val="single" w:sz="4" w:space="0" w:color="auto"/>
              <w:right w:val="single" w:sz="4" w:space="0" w:color="auto"/>
            </w:tcBorders>
            <w:vAlign w:val="center"/>
            <w:hideMark/>
          </w:tcPr>
          <w:p w14:paraId="3C932794"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Cost of Goods Sold/Average Inventory </w:t>
            </w:r>
          </w:p>
        </w:tc>
        <w:tc>
          <w:tcPr>
            <w:tcW w:w="976" w:type="dxa"/>
            <w:tcBorders>
              <w:top w:val="nil"/>
              <w:left w:val="nil"/>
              <w:bottom w:val="single" w:sz="4" w:space="0" w:color="auto"/>
              <w:right w:val="single" w:sz="4" w:space="0" w:color="auto"/>
            </w:tcBorders>
            <w:noWrap/>
            <w:vAlign w:val="bottom"/>
            <w:hideMark/>
          </w:tcPr>
          <w:p w14:paraId="74621A8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280,885</w:t>
            </w:r>
          </w:p>
        </w:tc>
        <w:tc>
          <w:tcPr>
            <w:tcW w:w="976" w:type="dxa"/>
            <w:tcBorders>
              <w:top w:val="nil"/>
              <w:left w:val="nil"/>
              <w:bottom w:val="single" w:sz="4" w:space="0" w:color="auto"/>
              <w:right w:val="single" w:sz="4" w:space="0" w:color="auto"/>
            </w:tcBorders>
            <w:noWrap/>
            <w:vAlign w:val="bottom"/>
            <w:hideMark/>
          </w:tcPr>
          <w:p w14:paraId="72A1967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322,897</w:t>
            </w:r>
          </w:p>
        </w:tc>
        <w:tc>
          <w:tcPr>
            <w:tcW w:w="1072" w:type="dxa"/>
            <w:tcBorders>
              <w:top w:val="nil"/>
              <w:left w:val="nil"/>
              <w:bottom w:val="single" w:sz="4" w:space="0" w:color="auto"/>
              <w:right w:val="single" w:sz="4" w:space="0" w:color="auto"/>
            </w:tcBorders>
            <w:noWrap/>
            <w:vAlign w:val="bottom"/>
            <w:hideMark/>
          </w:tcPr>
          <w:p w14:paraId="3C1768F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390,459</w:t>
            </w:r>
          </w:p>
        </w:tc>
        <w:tc>
          <w:tcPr>
            <w:tcW w:w="1072" w:type="dxa"/>
            <w:tcBorders>
              <w:top w:val="nil"/>
              <w:left w:val="nil"/>
              <w:bottom w:val="single" w:sz="4" w:space="0" w:color="auto"/>
              <w:right w:val="single" w:sz="4" w:space="0" w:color="auto"/>
            </w:tcBorders>
            <w:noWrap/>
            <w:vAlign w:val="bottom"/>
            <w:hideMark/>
          </w:tcPr>
          <w:p w14:paraId="6922BC0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428,586</w:t>
            </w:r>
          </w:p>
        </w:tc>
        <w:tc>
          <w:tcPr>
            <w:tcW w:w="976" w:type="dxa"/>
            <w:tcBorders>
              <w:top w:val="nil"/>
              <w:left w:val="nil"/>
              <w:bottom w:val="single" w:sz="4" w:space="0" w:color="auto"/>
              <w:right w:val="single" w:sz="4" w:space="0" w:color="auto"/>
            </w:tcBorders>
            <w:noWrap/>
            <w:vAlign w:val="bottom"/>
            <w:hideMark/>
          </w:tcPr>
          <w:p w14:paraId="7494FCE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438,424</w:t>
            </w:r>
          </w:p>
        </w:tc>
      </w:tr>
      <w:tr w:rsidR="00A80E41" w:rsidRPr="008D7DBA" w14:paraId="46EEC47C"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1F8845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xml:space="preserve">Average Inventory </w:t>
            </w:r>
          </w:p>
        </w:tc>
        <w:tc>
          <w:tcPr>
            <w:tcW w:w="1572" w:type="dxa"/>
            <w:vMerge/>
            <w:tcBorders>
              <w:top w:val="nil"/>
              <w:left w:val="single" w:sz="4" w:space="0" w:color="auto"/>
              <w:bottom w:val="single" w:sz="4" w:space="0" w:color="auto"/>
              <w:right w:val="single" w:sz="4" w:space="0" w:color="auto"/>
            </w:tcBorders>
            <w:vAlign w:val="center"/>
            <w:hideMark/>
          </w:tcPr>
          <w:p w14:paraId="55FA7B76"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055F46F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83814</w:t>
            </w:r>
          </w:p>
        </w:tc>
        <w:tc>
          <w:tcPr>
            <w:tcW w:w="976" w:type="dxa"/>
            <w:tcBorders>
              <w:top w:val="nil"/>
              <w:left w:val="nil"/>
              <w:bottom w:val="single" w:sz="4" w:space="0" w:color="auto"/>
              <w:right w:val="single" w:sz="4" w:space="0" w:color="auto"/>
            </w:tcBorders>
            <w:noWrap/>
            <w:vAlign w:val="bottom"/>
            <w:hideMark/>
          </w:tcPr>
          <w:p w14:paraId="3333520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114227</w:t>
            </w:r>
          </w:p>
        </w:tc>
        <w:tc>
          <w:tcPr>
            <w:tcW w:w="1072" w:type="dxa"/>
            <w:tcBorders>
              <w:top w:val="nil"/>
              <w:left w:val="nil"/>
              <w:bottom w:val="single" w:sz="4" w:space="0" w:color="auto"/>
              <w:right w:val="single" w:sz="4" w:space="0" w:color="auto"/>
            </w:tcBorders>
            <w:noWrap/>
            <w:vAlign w:val="bottom"/>
            <w:hideMark/>
          </w:tcPr>
          <w:p w14:paraId="52DF4CA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137325</w:t>
            </w:r>
          </w:p>
        </w:tc>
        <w:tc>
          <w:tcPr>
            <w:tcW w:w="1072" w:type="dxa"/>
            <w:tcBorders>
              <w:top w:val="nil"/>
              <w:left w:val="nil"/>
              <w:bottom w:val="single" w:sz="4" w:space="0" w:color="auto"/>
              <w:right w:val="single" w:sz="4" w:space="0" w:color="auto"/>
            </w:tcBorders>
            <w:noWrap/>
            <w:vAlign w:val="bottom"/>
            <w:hideMark/>
          </w:tcPr>
          <w:p w14:paraId="5B8DA38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127449.5</w:t>
            </w:r>
          </w:p>
        </w:tc>
        <w:tc>
          <w:tcPr>
            <w:tcW w:w="976" w:type="dxa"/>
            <w:tcBorders>
              <w:top w:val="nil"/>
              <w:left w:val="nil"/>
              <w:bottom w:val="single" w:sz="4" w:space="0" w:color="auto"/>
              <w:right w:val="single" w:sz="4" w:space="0" w:color="auto"/>
            </w:tcBorders>
            <w:noWrap/>
            <w:vAlign w:val="bottom"/>
            <w:hideMark/>
          </w:tcPr>
          <w:p w14:paraId="63C63BB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120,430</w:t>
            </w:r>
          </w:p>
        </w:tc>
      </w:tr>
      <w:tr w:rsidR="00A80E41" w:rsidRPr="008D7DBA" w14:paraId="7B4D9355"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0F4A86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Inventory turnover</w:t>
            </w:r>
          </w:p>
        </w:tc>
        <w:tc>
          <w:tcPr>
            <w:tcW w:w="1572" w:type="dxa"/>
            <w:vMerge/>
            <w:tcBorders>
              <w:top w:val="nil"/>
              <w:left w:val="single" w:sz="4" w:space="0" w:color="auto"/>
              <w:bottom w:val="single" w:sz="4" w:space="0" w:color="auto"/>
              <w:right w:val="single" w:sz="4" w:space="0" w:color="auto"/>
            </w:tcBorders>
            <w:vAlign w:val="center"/>
            <w:hideMark/>
          </w:tcPr>
          <w:p w14:paraId="54EE6691"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58E1A40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3.35</w:t>
            </w:r>
          </w:p>
        </w:tc>
        <w:tc>
          <w:tcPr>
            <w:tcW w:w="976" w:type="dxa"/>
            <w:tcBorders>
              <w:top w:val="nil"/>
              <w:left w:val="nil"/>
              <w:bottom w:val="single" w:sz="4" w:space="0" w:color="auto"/>
              <w:right w:val="single" w:sz="4" w:space="0" w:color="auto"/>
            </w:tcBorders>
            <w:noWrap/>
            <w:vAlign w:val="bottom"/>
            <w:hideMark/>
          </w:tcPr>
          <w:p w14:paraId="635DF10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2.83</w:t>
            </w:r>
          </w:p>
        </w:tc>
        <w:tc>
          <w:tcPr>
            <w:tcW w:w="1072" w:type="dxa"/>
            <w:tcBorders>
              <w:top w:val="nil"/>
              <w:left w:val="nil"/>
              <w:bottom w:val="single" w:sz="4" w:space="0" w:color="auto"/>
              <w:right w:val="single" w:sz="4" w:space="0" w:color="auto"/>
            </w:tcBorders>
            <w:noWrap/>
            <w:vAlign w:val="bottom"/>
            <w:hideMark/>
          </w:tcPr>
          <w:p w14:paraId="25F4E05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2.84</w:t>
            </w:r>
          </w:p>
        </w:tc>
        <w:tc>
          <w:tcPr>
            <w:tcW w:w="1072" w:type="dxa"/>
            <w:tcBorders>
              <w:top w:val="nil"/>
              <w:left w:val="nil"/>
              <w:bottom w:val="single" w:sz="4" w:space="0" w:color="auto"/>
              <w:right w:val="single" w:sz="4" w:space="0" w:color="auto"/>
            </w:tcBorders>
            <w:noWrap/>
            <w:vAlign w:val="bottom"/>
            <w:hideMark/>
          </w:tcPr>
          <w:p w14:paraId="3E4ECC3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3.36</w:t>
            </w:r>
          </w:p>
        </w:tc>
        <w:tc>
          <w:tcPr>
            <w:tcW w:w="976" w:type="dxa"/>
            <w:tcBorders>
              <w:top w:val="nil"/>
              <w:left w:val="nil"/>
              <w:bottom w:val="single" w:sz="4" w:space="0" w:color="auto"/>
              <w:right w:val="single" w:sz="4" w:space="0" w:color="auto"/>
            </w:tcBorders>
            <w:noWrap/>
            <w:vAlign w:val="bottom"/>
            <w:hideMark/>
          </w:tcPr>
          <w:p w14:paraId="6FFDEBD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3.64</w:t>
            </w:r>
          </w:p>
        </w:tc>
      </w:tr>
      <w:tr w:rsidR="00A80E41" w:rsidRPr="008D7DBA" w14:paraId="263D6C1A" w14:textId="77777777" w:rsidTr="00495580">
        <w:trPr>
          <w:trHeight w:val="291"/>
        </w:trPr>
        <w:tc>
          <w:tcPr>
            <w:tcW w:w="2730" w:type="dxa"/>
            <w:tcBorders>
              <w:top w:val="nil"/>
              <w:left w:val="single" w:sz="4" w:space="0" w:color="auto"/>
              <w:bottom w:val="nil"/>
              <w:right w:val="single" w:sz="4" w:space="0" w:color="auto"/>
            </w:tcBorders>
            <w:noWrap/>
            <w:vAlign w:val="bottom"/>
            <w:hideMark/>
          </w:tcPr>
          <w:p w14:paraId="6A1A2A5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w:t>
            </w:r>
          </w:p>
        </w:tc>
        <w:tc>
          <w:tcPr>
            <w:tcW w:w="1572" w:type="dxa"/>
            <w:tcBorders>
              <w:top w:val="nil"/>
              <w:left w:val="nil"/>
              <w:bottom w:val="nil"/>
              <w:right w:val="single" w:sz="4" w:space="0" w:color="auto"/>
            </w:tcBorders>
            <w:vAlign w:val="center"/>
            <w:hideMark/>
          </w:tcPr>
          <w:p w14:paraId="08D8808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w:t>
            </w:r>
          </w:p>
        </w:tc>
        <w:tc>
          <w:tcPr>
            <w:tcW w:w="976" w:type="dxa"/>
            <w:tcBorders>
              <w:top w:val="nil"/>
              <w:left w:val="nil"/>
              <w:bottom w:val="nil"/>
              <w:right w:val="single" w:sz="4" w:space="0" w:color="auto"/>
            </w:tcBorders>
            <w:noWrap/>
            <w:vAlign w:val="bottom"/>
            <w:hideMark/>
          </w:tcPr>
          <w:p w14:paraId="74C7010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w:t>
            </w:r>
          </w:p>
        </w:tc>
        <w:tc>
          <w:tcPr>
            <w:tcW w:w="976" w:type="dxa"/>
            <w:tcBorders>
              <w:top w:val="nil"/>
              <w:left w:val="nil"/>
              <w:bottom w:val="nil"/>
              <w:right w:val="single" w:sz="4" w:space="0" w:color="auto"/>
            </w:tcBorders>
            <w:noWrap/>
            <w:vAlign w:val="bottom"/>
            <w:hideMark/>
          </w:tcPr>
          <w:p w14:paraId="118012F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 </w:t>
            </w:r>
          </w:p>
        </w:tc>
        <w:tc>
          <w:tcPr>
            <w:tcW w:w="1072" w:type="dxa"/>
            <w:tcBorders>
              <w:top w:val="nil"/>
              <w:left w:val="nil"/>
              <w:bottom w:val="nil"/>
              <w:right w:val="nil"/>
            </w:tcBorders>
            <w:noWrap/>
            <w:vAlign w:val="bottom"/>
            <w:hideMark/>
          </w:tcPr>
          <w:p w14:paraId="7963321D"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1072" w:type="dxa"/>
            <w:tcBorders>
              <w:top w:val="nil"/>
              <w:left w:val="nil"/>
              <w:bottom w:val="nil"/>
              <w:right w:val="nil"/>
            </w:tcBorders>
            <w:noWrap/>
            <w:vAlign w:val="bottom"/>
            <w:hideMark/>
          </w:tcPr>
          <w:p w14:paraId="6D8673D3"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A165811"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5F1E1575"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vAlign w:val="bottom"/>
            <w:hideMark/>
          </w:tcPr>
          <w:p w14:paraId="1D68F8D0"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Receivable turnover</w:t>
            </w:r>
          </w:p>
        </w:tc>
      </w:tr>
      <w:tr w:rsidR="00A80E41" w:rsidRPr="008D7DBA" w14:paraId="476E53D6"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02A17C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lastRenderedPageBreak/>
              <w:t>Particulars</w:t>
            </w:r>
          </w:p>
        </w:tc>
        <w:tc>
          <w:tcPr>
            <w:tcW w:w="1572" w:type="dxa"/>
            <w:tcBorders>
              <w:top w:val="nil"/>
              <w:left w:val="nil"/>
              <w:bottom w:val="single" w:sz="4" w:space="0" w:color="auto"/>
              <w:right w:val="single" w:sz="4" w:space="0" w:color="auto"/>
            </w:tcBorders>
            <w:noWrap/>
            <w:vAlign w:val="bottom"/>
            <w:hideMark/>
          </w:tcPr>
          <w:p w14:paraId="09DFD557"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6B08111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2F8593A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327F1D5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5195E6C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7EC42FE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469C3EB0"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6E93051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Sales</w:t>
            </w:r>
          </w:p>
        </w:tc>
        <w:tc>
          <w:tcPr>
            <w:tcW w:w="1572" w:type="dxa"/>
            <w:vMerge w:val="restart"/>
            <w:tcBorders>
              <w:top w:val="nil"/>
              <w:left w:val="single" w:sz="4" w:space="0" w:color="auto"/>
              <w:bottom w:val="single" w:sz="4" w:space="0" w:color="auto"/>
              <w:right w:val="single" w:sz="4" w:space="0" w:color="auto"/>
            </w:tcBorders>
            <w:vAlign w:val="center"/>
            <w:hideMark/>
          </w:tcPr>
          <w:p w14:paraId="1937471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Sales/ Average Accounts Receivable</w:t>
            </w:r>
          </w:p>
        </w:tc>
        <w:tc>
          <w:tcPr>
            <w:tcW w:w="976" w:type="dxa"/>
            <w:tcBorders>
              <w:top w:val="nil"/>
              <w:left w:val="nil"/>
              <w:bottom w:val="single" w:sz="4" w:space="0" w:color="auto"/>
              <w:right w:val="single" w:sz="4" w:space="0" w:color="auto"/>
            </w:tcBorders>
            <w:noWrap/>
            <w:vAlign w:val="center"/>
            <w:hideMark/>
          </w:tcPr>
          <w:p w14:paraId="78AEB0B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394,879</w:t>
            </w:r>
          </w:p>
        </w:tc>
        <w:tc>
          <w:tcPr>
            <w:tcW w:w="976" w:type="dxa"/>
            <w:tcBorders>
              <w:top w:val="nil"/>
              <w:left w:val="nil"/>
              <w:bottom w:val="single" w:sz="4" w:space="0" w:color="auto"/>
              <w:right w:val="single" w:sz="4" w:space="0" w:color="auto"/>
            </w:tcBorders>
            <w:noWrap/>
            <w:vAlign w:val="center"/>
            <w:hideMark/>
          </w:tcPr>
          <w:p w14:paraId="60BD5BC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420,457</w:t>
            </w:r>
          </w:p>
        </w:tc>
        <w:tc>
          <w:tcPr>
            <w:tcW w:w="1072" w:type="dxa"/>
            <w:tcBorders>
              <w:top w:val="nil"/>
              <w:left w:val="nil"/>
              <w:bottom w:val="single" w:sz="4" w:space="0" w:color="auto"/>
              <w:right w:val="single" w:sz="4" w:space="0" w:color="auto"/>
            </w:tcBorders>
            <w:noWrap/>
            <w:vAlign w:val="center"/>
            <w:hideMark/>
          </w:tcPr>
          <w:p w14:paraId="5B75D2D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542,751</w:t>
            </w:r>
          </w:p>
        </w:tc>
        <w:tc>
          <w:tcPr>
            <w:tcW w:w="1072" w:type="dxa"/>
            <w:tcBorders>
              <w:top w:val="nil"/>
              <w:left w:val="nil"/>
              <w:bottom w:val="single" w:sz="4" w:space="0" w:color="auto"/>
              <w:right w:val="single" w:sz="4" w:space="0" w:color="auto"/>
            </w:tcBorders>
            <w:noWrap/>
            <w:vAlign w:val="center"/>
            <w:hideMark/>
          </w:tcPr>
          <w:p w14:paraId="5226E9E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601,602</w:t>
            </w:r>
          </w:p>
        </w:tc>
        <w:tc>
          <w:tcPr>
            <w:tcW w:w="976" w:type="dxa"/>
            <w:tcBorders>
              <w:top w:val="nil"/>
              <w:left w:val="nil"/>
              <w:bottom w:val="single" w:sz="4" w:space="0" w:color="auto"/>
              <w:right w:val="single" w:sz="4" w:space="0" w:color="auto"/>
            </w:tcBorders>
            <w:noWrap/>
            <w:vAlign w:val="center"/>
            <w:hideMark/>
          </w:tcPr>
          <w:p w14:paraId="39E94F8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614,680</w:t>
            </w:r>
          </w:p>
        </w:tc>
      </w:tr>
      <w:tr w:rsidR="00A80E41" w:rsidRPr="008D7DBA" w14:paraId="51D2B7F3"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731DC791"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Average Accounts Receivable</w:t>
            </w:r>
          </w:p>
        </w:tc>
        <w:tc>
          <w:tcPr>
            <w:tcW w:w="1572" w:type="dxa"/>
            <w:vMerge/>
            <w:tcBorders>
              <w:top w:val="nil"/>
              <w:left w:val="single" w:sz="4" w:space="0" w:color="auto"/>
              <w:bottom w:val="single" w:sz="4" w:space="0" w:color="auto"/>
              <w:right w:val="single" w:sz="4" w:space="0" w:color="auto"/>
            </w:tcBorders>
            <w:vAlign w:val="center"/>
            <w:hideMark/>
          </w:tcPr>
          <w:p w14:paraId="587DF984"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73DA0FE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113389</w:t>
            </w:r>
          </w:p>
        </w:tc>
        <w:tc>
          <w:tcPr>
            <w:tcW w:w="976" w:type="dxa"/>
            <w:tcBorders>
              <w:top w:val="nil"/>
              <w:left w:val="nil"/>
              <w:bottom w:val="single" w:sz="4" w:space="0" w:color="auto"/>
              <w:right w:val="single" w:sz="4" w:space="0" w:color="auto"/>
            </w:tcBorders>
            <w:noWrap/>
            <w:vAlign w:val="bottom"/>
            <w:hideMark/>
          </w:tcPr>
          <w:p w14:paraId="0FA0C75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112471</w:t>
            </w:r>
          </w:p>
        </w:tc>
        <w:tc>
          <w:tcPr>
            <w:tcW w:w="1072" w:type="dxa"/>
            <w:tcBorders>
              <w:top w:val="nil"/>
              <w:left w:val="nil"/>
              <w:bottom w:val="single" w:sz="4" w:space="0" w:color="auto"/>
              <w:right w:val="single" w:sz="4" w:space="0" w:color="auto"/>
            </w:tcBorders>
            <w:noWrap/>
            <w:vAlign w:val="bottom"/>
            <w:hideMark/>
          </w:tcPr>
          <w:p w14:paraId="260B437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120780.5</w:t>
            </w:r>
          </w:p>
        </w:tc>
        <w:tc>
          <w:tcPr>
            <w:tcW w:w="1072" w:type="dxa"/>
            <w:tcBorders>
              <w:top w:val="nil"/>
              <w:left w:val="nil"/>
              <w:bottom w:val="single" w:sz="4" w:space="0" w:color="auto"/>
              <w:right w:val="single" w:sz="4" w:space="0" w:color="auto"/>
            </w:tcBorders>
            <w:noWrap/>
            <w:vAlign w:val="bottom"/>
            <w:hideMark/>
          </w:tcPr>
          <w:p w14:paraId="192832A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129324</w:t>
            </w:r>
          </w:p>
        </w:tc>
        <w:tc>
          <w:tcPr>
            <w:tcW w:w="976" w:type="dxa"/>
            <w:tcBorders>
              <w:top w:val="nil"/>
              <w:left w:val="nil"/>
              <w:bottom w:val="single" w:sz="4" w:space="0" w:color="auto"/>
              <w:right w:val="single" w:sz="4" w:space="0" w:color="auto"/>
            </w:tcBorders>
            <w:noWrap/>
            <w:vAlign w:val="bottom"/>
            <w:hideMark/>
          </w:tcPr>
          <w:p w14:paraId="362C054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129,433</w:t>
            </w:r>
          </w:p>
        </w:tc>
      </w:tr>
      <w:tr w:rsidR="00A80E41" w:rsidRPr="008D7DBA" w14:paraId="40D8BCF3"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1BE7D29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Receivable turnover</w:t>
            </w:r>
          </w:p>
        </w:tc>
        <w:tc>
          <w:tcPr>
            <w:tcW w:w="1572" w:type="dxa"/>
            <w:vMerge/>
            <w:tcBorders>
              <w:top w:val="nil"/>
              <w:left w:val="single" w:sz="4" w:space="0" w:color="auto"/>
              <w:bottom w:val="single" w:sz="4" w:space="0" w:color="auto"/>
              <w:right w:val="single" w:sz="4" w:space="0" w:color="auto"/>
            </w:tcBorders>
            <w:vAlign w:val="center"/>
            <w:hideMark/>
          </w:tcPr>
          <w:p w14:paraId="278711F3"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03C84D0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3.48</w:t>
            </w:r>
          </w:p>
        </w:tc>
        <w:tc>
          <w:tcPr>
            <w:tcW w:w="976" w:type="dxa"/>
            <w:tcBorders>
              <w:top w:val="nil"/>
              <w:left w:val="nil"/>
              <w:bottom w:val="single" w:sz="4" w:space="0" w:color="auto"/>
              <w:right w:val="single" w:sz="4" w:space="0" w:color="auto"/>
            </w:tcBorders>
            <w:noWrap/>
            <w:vAlign w:val="bottom"/>
            <w:hideMark/>
          </w:tcPr>
          <w:p w14:paraId="363EDBE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3.74</w:t>
            </w:r>
          </w:p>
        </w:tc>
        <w:tc>
          <w:tcPr>
            <w:tcW w:w="1072" w:type="dxa"/>
            <w:tcBorders>
              <w:top w:val="nil"/>
              <w:left w:val="nil"/>
              <w:bottom w:val="single" w:sz="4" w:space="0" w:color="auto"/>
              <w:right w:val="single" w:sz="4" w:space="0" w:color="auto"/>
            </w:tcBorders>
            <w:noWrap/>
            <w:vAlign w:val="bottom"/>
            <w:hideMark/>
          </w:tcPr>
          <w:p w14:paraId="2487242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4.49</w:t>
            </w:r>
          </w:p>
        </w:tc>
        <w:tc>
          <w:tcPr>
            <w:tcW w:w="1072" w:type="dxa"/>
            <w:tcBorders>
              <w:top w:val="nil"/>
              <w:left w:val="nil"/>
              <w:bottom w:val="single" w:sz="4" w:space="0" w:color="auto"/>
              <w:right w:val="single" w:sz="4" w:space="0" w:color="auto"/>
            </w:tcBorders>
            <w:noWrap/>
            <w:vAlign w:val="bottom"/>
            <w:hideMark/>
          </w:tcPr>
          <w:p w14:paraId="6F81DF7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4.65</w:t>
            </w:r>
          </w:p>
        </w:tc>
        <w:tc>
          <w:tcPr>
            <w:tcW w:w="976" w:type="dxa"/>
            <w:tcBorders>
              <w:top w:val="nil"/>
              <w:left w:val="nil"/>
              <w:bottom w:val="single" w:sz="4" w:space="0" w:color="auto"/>
              <w:right w:val="single" w:sz="4" w:space="0" w:color="auto"/>
            </w:tcBorders>
            <w:noWrap/>
            <w:vAlign w:val="bottom"/>
            <w:hideMark/>
          </w:tcPr>
          <w:p w14:paraId="64663A5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4.75</w:t>
            </w:r>
          </w:p>
        </w:tc>
      </w:tr>
      <w:tr w:rsidR="00A80E41" w:rsidRPr="008D7DBA" w14:paraId="1069003B" w14:textId="77777777" w:rsidTr="00495580">
        <w:trPr>
          <w:trHeight w:val="291"/>
        </w:trPr>
        <w:tc>
          <w:tcPr>
            <w:tcW w:w="2730" w:type="dxa"/>
            <w:tcBorders>
              <w:top w:val="nil"/>
              <w:left w:val="nil"/>
              <w:bottom w:val="nil"/>
              <w:right w:val="nil"/>
            </w:tcBorders>
            <w:noWrap/>
            <w:vAlign w:val="bottom"/>
            <w:hideMark/>
          </w:tcPr>
          <w:p w14:paraId="55D58999"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7C0C8BD1"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085CDDF2"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6DBB3AB1"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42C797D4"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7E187FD8"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0CED8DE3"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0B0708CC"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273A84D8"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Debt-Equity Ratio</w:t>
            </w:r>
          </w:p>
        </w:tc>
      </w:tr>
      <w:tr w:rsidR="00A80E41" w:rsidRPr="008D7DBA" w14:paraId="4768ADCF"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7E921A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35BD99BA"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45BF5108"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57947F4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76E41C7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2825C2C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4BAD036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5C6E0EAF"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15E0AFC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Total Debt</w:t>
            </w:r>
          </w:p>
        </w:tc>
        <w:tc>
          <w:tcPr>
            <w:tcW w:w="1572" w:type="dxa"/>
            <w:vMerge w:val="restart"/>
            <w:tcBorders>
              <w:top w:val="nil"/>
              <w:left w:val="single" w:sz="4" w:space="0" w:color="auto"/>
              <w:bottom w:val="single" w:sz="4" w:space="0" w:color="auto"/>
              <w:right w:val="single" w:sz="4" w:space="0" w:color="auto"/>
            </w:tcBorders>
            <w:vAlign w:val="center"/>
            <w:hideMark/>
          </w:tcPr>
          <w:p w14:paraId="67C4F787"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Total Debt/ Total Equity</w:t>
            </w:r>
          </w:p>
        </w:tc>
        <w:tc>
          <w:tcPr>
            <w:tcW w:w="976" w:type="dxa"/>
            <w:tcBorders>
              <w:top w:val="nil"/>
              <w:left w:val="nil"/>
              <w:bottom w:val="single" w:sz="4" w:space="0" w:color="auto"/>
              <w:right w:val="single" w:sz="4" w:space="0" w:color="auto"/>
            </w:tcBorders>
            <w:noWrap/>
            <w:vAlign w:val="center"/>
            <w:hideMark/>
          </w:tcPr>
          <w:p w14:paraId="0A58EEC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170,249</w:t>
            </w:r>
          </w:p>
        </w:tc>
        <w:tc>
          <w:tcPr>
            <w:tcW w:w="976" w:type="dxa"/>
            <w:tcBorders>
              <w:top w:val="nil"/>
              <w:left w:val="nil"/>
              <w:bottom w:val="single" w:sz="4" w:space="0" w:color="auto"/>
              <w:right w:val="single" w:sz="4" w:space="0" w:color="auto"/>
            </w:tcBorders>
            <w:noWrap/>
            <w:vAlign w:val="center"/>
            <w:hideMark/>
          </w:tcPr>
          <w:p w14:paraId="10CC2D7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176,952</w:t>
            </w:r>
          </w:p>
        </w:tc>
        <w:tc>
          <w:tcPr>
            <w:tcW w:w="1072" w:type="dxa"/>
            <w:tcBorders>
              <w:top w:val="nil"/>
              <w:left w:val="nil"/>
              <w:bottom w:val="single" w:sz="4" w:space="0" w:color="auto"/>
              <w:right w:val="single" w:sz="4" w:space="0" w:color="auto"/>
            </w:tcBorders>
            <w:noWrap/>
            <w:vAlign w:val="center"/>
            <w:hideMark/>
          </w:tcPr>
          <w:p w14:paraId="03FA0A4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235,757</w:t>
            </w:r>
          </w:p>
        </w:tc>
        <w:tc>
          <w:tcPr>
            <w:tcW w:w="1072" w:type="dxa"/>
            <w:tcBorders>
              <w:top w:val="nil"/>
              <w:left w:val="nil"/>
              <w:bottom w:val="single" w:sz="4" w:space="0" w:color="auto"/>
              <w:right w:val="single" w:sz="4" w:space="0" w:color="auto"/>
            </w:tcBorders>
            <w:noWrap/>
            <w:vAlign w:val="center"/>
            <w:hideMark/>
          </w:tcPr>
          <w:p w14:paraId="2A68EE8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234,399</w:t>
            </w:r>
          </w:p>
        </w:tc>
        <w:tc>
          <w:tcPr>
            <w:tcW w:w="976" w:type="dxa"/>
            <w:tcBorders>
              <w:top w:val="nil"/>
              <w:left w:val="nil"/>
              <w:bottom w:val="single" w:sz="4" w:space="0" w:color="auto"/>
              <w:right w:val="single" w:sz="4" w:space="0" w:color="auto"/>
            </w:tcBorders>
            <w:noWrap/>
            <w:vAlign w:val="center"/>
            <w:hideMark/>
          </w:tcPr>
          <w:p w14:paraId="1694903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196,989</w:t>
            </w:r>
          </w:p>
        </w:tc>
      </w:tr>
      <w:tr w:rsidR="00A80E41" w:rsidRPr="008D7DBA" w14:paraId="54974F42"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53634F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Total Equity</w:t>
            </w:r>
          </w:p>
        </w:tc>
        <w:tc>
          <w:tcPr>
            <w:tcW w:w="1572" w:type="dxa"/>
            <w:vMerge/>
            <w:tcBorders>
              <w:top w:val="nil"/>
              <w:left w:val="single" w:sz="4" w:space="0" w:color="auto"/>
              <w:bottom w:val="single" w:sz="4" w:space="0" w:color="auto"/>
              <w:right w:val="single" w:sz="4" w:space="0" w:color="auto"/>
            </w:tcBorders>
            <w:vAlign w:val="center"/>
            <w:hideMark/>
          </w:tcPr>
          <w:p w14:paraId="0B9A4544"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3860064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153,105</w:t>
            </w:r>
          </w:p>
        </w:tc>
        <w:tc>
          <w:tcPr>
            <w:tcW w:w="976" w:type="dxa"/>
            <w:tcBorders>
              <w:top w:val="nil"/>
              <w:left w:val="nil"/>
              <w:bottom w:val="single" w:sz="4" w:space="0" w:color="auto"/>
              <w:right w:val="single" w:sz="4" w:space="0" w:color="auto"/>
            </w:tcBorders>
            <w:noWrap/>
            <w:vAlign w:val="center"/>
            <w:hideMark/>
          </w:tcPr>
          <w:p w14:paraId="56DD19E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178,920</w:t>
            </w:r>
          </w:p>
        </w:tc>
        <w:tc>
          <w:tcPr>
            <w:tcW w:w="1072" w:type="dxa"/>
            <w:tcBorders>
              <w:top w:val="nil"/>
              <w:left w:val="nil"/>
              <w:bottom w:val="single" w:sz="4" w:space="0" w:color="auto"/>
              <w:right w:val="single" w:sz="4" w:space="0" w:color="auto"/>
            </w:tcBorders>
            <w:noWrap/>
            <w:vAlign w:val="center"/>
            <w:hideMark/>
          </w:tcPr>
          <w:p w14:paraId="7B37530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268,406</w:t>
            </w:r>
          </w:p>
        </w:tc>
        <w:tc>
          <w:tcPr>
            <w:tcW w:w="1072" w:type="dxa"/>
            <w:tcBorders>
              <w:top w:val="nil"/>
              <w:left w:val="nil"/>
              <w:bottom w:val="single" w:sz="4" w:space="0" w:color="auto"/>
              <w:right w:val="single" w:sz="4" w:space="0" w:color="auto"/>
            </w:tcBorders>
            <w:noWrap/>
            <w:vAlign w:val="center"/>
            <w:hideMark/>
          </w:tcPr>
          <w:p w14:paraId="147A63B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275,949</w:t>
            </w:r>
          </w:p>
        </w:tc>
        <w:tc>
          <w:tcPr>
            <w:tcW w:w="976" w:type="dxa"/>
            <w:tcBorders>
              <w:top w:val="nil"/>
              <w:left w:val="nil"/>
              <w:bottom w:val="single" w:sz="4" w:space="0" w:color="auto"/>
              <w:right w:val="single" w:sz="4" w:space="0" w:color="auto"/>
            </w:tcBorders>
            <w:noWrap/>
            <w:vAlign w:val="center"/>
            <w:hideMark/>
          </w:tcPr>
          <w:p w14:paraId="3650CB6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313,301</w:t>
            </w:r>
          </w:p>
        </w:tc>
      </w:tr>
      <w:tr w:rsidR="00A80E41" w:rsidRPr="008D7DBA" w14:paraId="4D9D5B18"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4BC87CF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Debt-Equity Ratio</w:t>
            </w:r>
          </w:p>
        </w:tc>
        <w:tc>
          <w:tcPr>
            <w:tcW w:w="1572" w:type="dxa"/>
            <w:vMerge/>
            <w:tcBorders>
              <w:top w:val="nil"/>
              <w:left w:val="single" w:sz="4" w:space="0" w:color="auto"/>
              <w:bottom w:val="single" w:sz="4" w:space="0" w:color="auto"/>
              <w:right w:val="single" w:sz="4" w:space="0" w:color="auto"/>
            </w:tcBorders>
            <w:vAlign w:val="center"/>
            <w:hideMark/>
          </w:tcPr>
          <w:p w14:paraId="656E7EA5"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5AFD704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1.11</w:t>
            </w:r>
          </w:p>
        </w:tc>
        <w:tc>
          <w:tcPr>
            <w:tcW w:w="976" w:type="dxa"/>
            <w:tcBorders>
              <w:top w:val="nil"/>
              <w:left w:val="nil"/>
              <w:bottom w:val="single" w:sz="4" w:space="0" w:color="auto"/>
              <w:right w:val="single" w:sz="4" w:space="0" w:color="auto"/>
            </w:tcBorders>
            <w:noWrap/>
            <w:vAlign w:val="bottom"/>
            <w:hideMark/>
          </w:tcPr>
          <w:p w14:paraId="47C8788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0.99</w:t>
            </w:r>
          </w:p>
        </w:tc>
        <w:tc>
          <w:tcPr>
            <w:tcW w:w="1072" w:type="dxa"/>
            <w:tcBorders>
              <w:top w:val="nil"/>
              <w:left w:val="nil"/>
              <w:bottom w:val="single" w:sz="4" w:space="0" w:color="auto"/>
              <w:right w:val="single" w:sz="4" w:space="0" w:color="auto"/>
            </w:tcBorders>
            <w:noWrap/>
            <w:vAlign w:val="bottom"/>
            <w:hideMark/>
          </w:tcPr>
          <w:p w14:paraId="70C4CA1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0.88</w:t>
            </w:r>
          </w:p>
        </w:tc>
        <w:tc>
          <w:tcPr>
            <w:tcW w:w="1072" w:type="dxa"/>
            <w:tcBorders>
              <w:top w:val="nil"/>
              <w:left w:val="nil"/>
              <w:bottom w:val="single" w:sz="4" w:space="0" w:color="auto"/>
              <w:right w:val="single" w:sz="4" w:space="0" w:color="auto"/>
            </w:tcBorders>
            <w:noWrap/>
            <w:vAlign w:val="bottom"/>
            <w:hideMark/>
          </w:tcPr>
          <w:p w14:paraId="488A395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0.85</w:t>
            </w:r>
          </w:p>
        </w:tc>
        <w:tc>
          <w:tcPr>
            <w:tcW w:w="976" w:type="dxa"/>
            <w:tcBorders>
              <w:top w:val="nil"/>
              <w:left w:val="nil"/>
              <w:bottom w:val="single" w:sz="4" w:space="0" w:color="auto"/>
              <w:right w:val="single" w:sz="4" w:space="0" w:color="auto"/>
            </w:tcBorders>
            <w:noWrap/>
            <w:vAlign w:val="bottom"/>
            <w:hideMark/>
          </w:tcPr>
          <w:p w14:paraId="79C675A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0.63</w:t>
            </w:r>
          </w:p>
        </w:tc>
      </w:tr>
      <w:tr w:rsidR="00A80E41" w:rsidRPr="008D7DBA" w14:paraId="6AC2F156" w14:textId="77777777" w:rsidTr="00495580">
        <w:trPr>
          <w:trHeight w:val="291"/>
        </w:trPr>
        <w:tc>
          <w:tcPr>
            <w:tcW w:w="2730" w:type="dxa"/>
            <w:tcBorders>
              <w:top w:val="nil"/>
              <w:left w:val="nil"/>
              <w:bottom w:val="nil"/>
              <w:right w:val="nil"/>
            </w:tcBorders>
            <w:noWrap/>
            <w:vAlign w:val="bottom"/>
            <w:hideMark/>
          </w:tcPr>
          <w:p w14:paraId="28BC7B44"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61D1A77C"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43131A56"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4EE62A5C"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6EF3F272"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1FA8F641"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2FFBD263"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54F507F8"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53B1541F"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Interest Coverage Ratio</w:t>
            </w:r>
          </w:p>
        </w:tc>
      </w:tr>
      <w:tr w:rsidR="00A80E41" w:rsidRPr="008D7DBA" w14:paraId="006000A4"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73FA5B6"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3FC5112E"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0630F84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1FB1FBE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0A19E8F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1F0C3FD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33F95C8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7AD42DE3"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7E05334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EBIT</w:t>
            </w:r>
          </w:p>
        </w:tc>
        <w:tc>
          <w:tcPr>
            <w:tcW w:w="1572" w:type="dxa"/>
            <w:vMerge w:val="restart"/>
            <w:tcBorders>
              <w:top w:val="nil"/>
              <w:left w:val="single" w:sz="4" w:space="0" w:color="auto"/>
              <w:bottom w:val="single" w:sz="4" w:space="0" w:color="auto"/>
              <w:right w:val="single" w:sz="4" w:space="0" w:color="auto"/>
            </w:tcBorders>
            <w:vAlign w:val="center"/>
            <w:hideMark/>
          </w:tcPr>
          <w:p w14:paraId="288CD7E7"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EBIT/ Interest Expense</w:t>
            </w:r>
          </w:p>
        </w:tc>
        <w:tc>
          <w:tcPr>
            <w:tcW w:w="976" w:type="dxa"/>
            <w:tcBorders>
              <w:top w:val="nil"/>
              <w:left w:val="nil"/>
              <w:bottom w:val="single" w:sz="4" w:space="0" w:color="auto"/>
              <w:right w:val="single" w:sz="4" w:space="0" w:color="auto"/>
            </w:tcBorders>
            <w:noWrap/>
            <w:vAlign w:val="bottom"/>
            <w:hideMark/>
          </w:tcPr>
          <w:p w14:paraId="3E43881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-15,297</w:t>
            </w:r>
          </w:p>
        </w:tc>
        <w:tc>
          <w:tcPr>
            <w:tcW w:w="976" w:type="dxa"/>
            <w:tcBorders>
              <w:top w:val="nil"/>
              <w:left w:val="nil"/>
              <w:bottom w:val="single" w:sz="4" w:space="0" w:color="auto"/>
              <w:right w:val="single" w:sz="4" w:space="0" w:color="auto"/>
            </w:tcBorders>
            <w:noWrap/>
            <w:vAlign w:val="bottom"/>
            <w:hideMark/>
          </w:tcPr>
          <w:p w14:paraId="3FC9C08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-85,301</w:t>
            </w:r>
          </w:p>
        </w:tc>
        <w:tc>
          <w:tcPr>
            <w:tcW w:w="1072" w:type="dxa"/>
            <w:tcBorders>
              <w:top w:val="nil"/>
              <w:left w:val="nil"/>
              <w:bottom w:val="single" w:sz="4" w:space="0" w:color="auto"/>
              <w:right w:val="single" w:sz="4" w:space="0" w:color="auto"/>
            </w:tcBorders>
            <w:noWrap/>
            <w:vAlign w:val="center"/>
            <w:hideMark/>
          </w:tcPr>
          <w:p w14:paraId="39EB44B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14,548</w:t>
            </w:r>
          </w:p>
        </w:tc>
        <w:tc>
          <w:tcPr>
            <w:tcW w:w="1072" w:type="dxa"/>
            <w:tcBorders>
              <w:top w:val="nil"/>
              <w:left w:val="nil"/>
              <w:bottom w:val="single" w:sz="4" w:space="0" w:color="auto"/>
              <w:right w:val="single" w:sz="4" w:space="0" w:color="auto"/>
            </w:tcBorders>
            <w:noWrap/>
            <w:vAlign w:val="center"/>
            <w:hideMark/>
          </w:tcPr>
          <w:p w14:paraId="11B82C9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23,253</w:t>
            </w:r>
          </w:p>
        </w:tc>
        <w:tc>
          <w:tcPr>
            <w:tcW w:w="976" w:type="dxa"/>
            <w:tcBorders>
              <w:top w:val="nil"/>
              <w:left w:val="nil"/>
              <w:bottom w:val="single" w:sz="4" w:space="0" w:color="auto"/>
              <w:right w:val="single" w:sz="4" w:space="0" w:color="auto"/>
            </w:tcBorders>
            <w:noWrap/>
            <w:vAlign w:val="center"/>
            <w:hideMark/>
          </w:tcPr>
          <w:p w14:paraId="6193B6A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37,267</w:t>
            </w:r>
          </w:p>
        </w:tc>
      </w:tr>
      <w:tr w:rsidR="00A80E41" w:rsidRPr="008D7DBA" w14:paraId="3D0FD7BF"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38F16742"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Interest Expense</w:t>
            </w:r>
          </w:p>
        </w:tc>
        <w:tc>
          <w:tcPr>
            <w:tcW w:w="1572" w:type="dxa"/>
            <w:vMerge/>
            <w:tcBorders>
              <w:top w:val="nil"/>
              <w:left w:val="single" w:sz="4" w:space="0" w:color="auto"/>
              <w:bottom w:val="single" w:sz="4" w:space="0" w:color="auto"/>
              <w:right w:val="single" w:sz="4" w:space="0" w:color="auto"/>
            </w:tcBorders>
            <w:vAlign w:val="center"/>
            <w:hideMark/>
          </w:tcPr>
          <w:p w14:paraId="20132A51"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1A4B290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3,361</w:t>
            </w:r>
          </w:p>
        </w:tc>
        <w:tc>
          <w:tcPr>
            <w:tcW w:w="976" w:type="dxa"/>
            <w:tcBorders>
              <w:top w:val="nil"/>
              <w:left w:val="nil"/>
              <w:bottom w:val="single" w:sz="4" w:space="0" w:color="auto"/>
              <w:right w:val="single" w:sz="4" w:space="0" w:color="auto"/>
            </w:tcBorders>
            <w:noWrap/>
            <w:vAlign w:val="bottom"/>
            <w:hideMark/>
          </w:tcPr>
          <w:p w14:paraId="50712BC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4,332</w:t>
            </w:r>
          </w:p>
        </w:tc>
        <w:tc>
          <w:tcPr>
            <w:tcW w:w="1072" w:type="dxa"/>
            <w:tcBorders>
              <w:top w:val="nil"/>
              <w:left w:val="nil"/>
              <w:bottom w:val="single" w:sz="4" w:space="0" w:color="auto"/>
              <w:right w:val="single" w:sz="4" w:space="0" w:color="auto"/>
            </w:tcBorders>
            <w:noWrap/>
            <w:vAlign w:val="bottom"/>
            <w:hideMark/>
          </w:tcPr>
          <w:p w14:paraId="20A993B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2,200</w:t>
            </w:r>
          </w:p>
        </w:tc>
        <w:tc>
          <w:tcPr>
            <w:tcW w:w="1072" w:type="dxa"/>
            <w:tcBorders>
              <w:top w:val="nil"/>
              <w:left w:val="nil"/>
              <w:bottom w:val="single" w:sz="4" w:space="0" w:color="auto"/>
              <w:right w:val="single" w:sz="4" w:space="0" w:color="auto"/>
            </w:tcBorders>
            <w:noWrap/>
            <w:vAlign w:val="bottom"/>
            <w:hideMark/>
          </w:tcPr>
          <w:p w14:paraId="24958BB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566</w:t>
            </w:r>
          </w:p>
        </w:tc>
        <w:tc>
          <w:tcPr>
            <w:tcW w:w="976" w:type="dxa"/>
            <w:tcBorders>
              <w:top w:val="nil"/>
              <w:left w:val="nil"/>
              <w:bottom w:val="single" w:sz="4" w:space="0" w:color="auto"/>
              <w:right w:val="single" w:sz="4" w:space="0" w:color="auto"/>
            </w:tcBorders>
            <w:noWrap/>
            <w:vAlign w:val="bottom"/>
            <w:hideMark/>
          </w:tcPr>
          <w:p w14:paraId="181D74A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1,422</w:t>
            </w:r>
          </w:p>
        </w:tc>
      </w:tr>
      <w:tr w:rsidR="00A80E41" w:rsidRPr="008D7DBA" w14:paraId="036F71E8"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23D4880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Interest Coverage Ratio</w:t>
            </w:r>
          </w:p>
        </w:tc>
        <w:tc>
          <w:tcPr>
            <w:tcW w:w="1572" w:type="dxa"/>
            <w:vMerge/>
            <w:tcBorders>
              <w:top w:val="nil"/>
              <w:left w:val="single" w:sz="4" w:space="0" w:color="auto"/>
              <w:bottom w:val="single" w:sz="4" w:space="0" w:color="auto"/>
              <w:right w:val="single" w:sz="4" w:space="0" w:color="auto"/>
            </w:tcBorders>
            <w:vAlign w:val="center"/>
            <w:hideMark/>
          </w:tcPr>
          <w:p w14:paraId="2B72BBD3"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6B9C543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-4.55</w:t>
            </w:r>
          </w:p>
        </w:tc>
        <w:tc>
          <w:tcPr>
            <w:tcW w:w="976" w:type="dxa"/>
            <w:tcBorders>
              <w:top w:val="nil"/>
              <w:left w:val="nil"/>
              <w:bottom w:val="single" w:sz="4" w:space="0" w:color="auto"/>
              <w:right w:val="single" w:sz="4" w:space="0" w:color="auto"/>
            </w:tcBorders>
            <w:noWrap/>
            <w:vAlign w:val="bottom"/>
            <w:hideMark/>
          </w:tcPr>
          <w:p w14:paraId="67585FA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-19.69</w:t>
            </w:r>
          </w:p>
        </w:tc>
        <w:tc>
          <w:tcPr>
            <w:tcW w:w="1072" w:type="dxa"/>
            <w:tcBorders>
              <w:top w:val="nil"/>
              <w:left w:val="nil"/>
              <w:bottom w:val="single" w:sz="4" w:space="0" w:color="auto"/>
              <w:right w:val="single" w:sz="4" w:space="0" w:color="auto"/>
            </w:tcBorders>
            <w:noWrap/>
            <w:vAlign w:val="bottom"/>
            <w:hideMark/>
          </w:tcPr>
          <w:p w14:paraId="445B86F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6.61</w:t>
            </w:r>
          </w:p>
        </w:tc>
        <w:tc>
          <w:tcPr>
            <w:tcW w:w="1072" w:type="dxa"/>
            <w:tcBorders>
              <w:top w:val="nil"/>
              <w:left w:val="nil"/>
              <w:bottom w:val="single" w:sz="4" w:space="0" w:color="auto"/>
              <w:right w:val="single" w:sz="4" w:space="0" w:color="auto"/>
            </w:tcBorders>
            <w:noWrap/>
            <w:vAlign w:val="bottom"/>
            <w:hideMark/>
          </w:tcPr>
          <w:p w14:paraId="06560CD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41.08</w:t>
            </w:r>
          </w:p>
        </w:tc>
        <w:tc>
          <w:tcPr>
            <w:tcW w:w="976" w:type="dxa"/>
            <w:tcBorders>
              <w:top w:val="nil"/>
              <w:left w:val="nil"/>
              <w:bottom w:val="single" w:sz="4" w:space="0" w:color="auto"/>
              <w:right w:val="single" w:sz="4" w:space="0" w:color="auto"/>
            </w:tcBorders>
            <w:noWrap/>
            <w:vAlign w:val="bottom"/>
            <w:hideMark/>
          </w:tcPr>
          <w:p w14:paraId="2E36B2A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26.21</w:t>
            </w:r>
          </w:p>
        </w:tc>
      </w:tr>
      <w:tr w:rsidR="00A80E41" w:rsidRPr="008D7DBA" w14:paraId="0C9BAB88" w14:textId="77777777" w:rsidTr="00495580">
        <w:trPr>
          <w:trHeight w:val="291"/>
        </w:trPr>
        <w:tc>
          <w:tcPr>
            <w:tcW w:w="2730" w:type="dxa"/>
            <w:tcBorders>
              <w:top w:val="nil"/>
              <w:left w:val="nil"/>
              <w:bottom w:val="nil"/>
              <w:right w:val="nil"/>
            </w:tcBorders>
            <w:noWrap/>
            <w:vAlign w:val="bottom"/>
            <w:hideMark/>
          </w:tcPr>
          <w:p w14:paraId="65717339"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4C5E3669"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55A38C7"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014113F2"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38A6E2BD"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75552C7F"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F990683"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46E85F2E"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4B102F03"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Earnings Per Share</w:t>
            </w:r>
          </w:p>
        </w:tc>
      </w:tr>
      <w:tr w:rsidR="00A80E41" w:rsidRPr="008D7DBA" w14:paraId="5C817DCF"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B98406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7AEC71D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5BD7E938"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051AF87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76BAAF0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72D918B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0D965D2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0C0BB4DD"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6EC44EB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Profit</w:t>
            </w:r>
          </w:p>
        </w:tc>
        <w:tc>
          <w:tcPr>
            <w:tcW w:w="1572" w:type="dxa"/>
            <w:vMerge w:val="restart"/>
            <w:tcBorders>
              <w:top w:val="nil"/>
              <w:left w:val="single" w:sz="4" w:space="0" w:color="auto"/>
              <w:bottom w:val="single" w:sz="4" w:space="0" w:color="auto"/>
              <w:right w:val="single" w:sz="4" w:space="0" w:color="auto"/>
            </w:tcBorders>
            <w:vAlign w:val="center"/>
            <w:hideMark/>
          </w:tcPr>
          <w:p w14:paraId="7C0C4DCB"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Profit/ Num of Shares</w:t>
            </w:r>
          </w:p>
        </w:tc>
        <w:tc>
          <w:tcPr>
            <w:tcW w:w="976" w:type="dxa"/>
            <w:tcBorders>
              <w:top w:val="nil"/>
              <w:left w:val="nil"/>
              <w:bottom w:val="single" w:sz="4" w:space="0" w:color="auto"/>
              <w:right w:val="single" w:sz="4" w:space="0" w:color="auto"/>
            </w:tcBorders>
            <w:noWrap/>
            <w:vAlign w:val="center"/>
            <w:hideMark/>
          </w:tcPr>
          <w:p w14:paraId="7F114F1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-24,029</w:t>
            </w:r>
          </w:p>
        </w:tc>
        <w:tc>
          <w:tcPr>
            <w:tcW w:w="976" w:type="dxa"/>
            <w:tcBorders>
              <w:top w:val="nil"/>
              <w:left w:val="nil"/>
              <w:bottom w:val="single" w:sz="4" w:space="0" w:color="auto"/>
              <w:right w:val="single" w:sz="4" w:space="0" w:color="auto"/>
            </w:tcBorders>
            <w:noWrap/>
            <w:vAlign w:val="center"/>
            <w:hideMark/>
          </w:tcPr>
          <w:p w14:paraId="561335C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-98,238</w:t>
            </w:r>
          </w:p>
        </w:tc>
        <w:tc>
          <w:tcPr>
            <w:tcW w:w="1072" w:type="dxa"/>
            <w:tcBorders>
              <w:top w:val="nil"/>
              <w:left w:val="nil"/>
              <w:bottom w:val="single" w:sz="4" w:space="0" w:color="auto"/>
              <w:right w:val="single" w:sz="4" w:space="0" w:color="auto"/>
            </w:tcBorders>
            <w:noWrap/>
            <w:vAlign w:val="center"/>
            <w:hideMark/>
          </w:tcPr>
          <w:p w14:paraId="3A034E8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407</w:t>
            </w:r>
          </w:p>
        </w:tc>
        <w:tc>
          <w:tcPr>
            <w:tcW w:w="1072" w:type="dxa"/>
            <w:tcBorders>
              <w:top w:val="nil"/>
              <w:left w:val="nil"/>
              <w:bottom w:val="single" w:sz="4" w:space="0" w:color="auto"/>
              <w:right w:val="single" w:sz="4" w:space="0" w:color="auto"/>
            </w:tcBorders>
            <w:noWrap/>
            <w:vAlign w:val="center"/>
            <w:hideMark/>
          </w:tcPr>
          <w:p w14:paraId="2BE8DAE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5,301</w:t>
            </w:r>
          </w:p>
        </w:tc>
        <w:tc>
          <w:tcPr>
            <w:tcW w:w="976" w:type="dxa"/>
            <w:tcBorders>
              <w:top w:val="nil"/>
              <w:left w:val="nil"/>
              <w:bottom w:val="single" w:sz="4" w:space="0" w:color="auto"/>
              <w:right w:val="single" w:sz="4" w:space="0" w:color="auto"/>
            </w:tcBorders>
            <w:noWrap/>
            <w:vAlign w:val="center"/>
            <w:hideMark/>
          </w:tcPr>
          <w:p w14:paraId="1F22906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38,572</w:t>
            </w:r>
          </w:p>
        </w:tc>
      </w:tr>
      <w:tr w:rsidR="00A80E41" w:rsidRPr="008D7DBA" w14:paraId="6D786FC9"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3826412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Num of Shares</w:t>
            </w:r>
          </w:p>
        </w:tc>
        <w:tc>
          <w:tcPr>
            <w:tcW w:w="1572" w:type="dxa"/>
            <w:vMerge/>
            <w:tcBorders>
              <w:top w:val="nil"/>
              <w:left w:val="single" w:sz="4" w:space="0" w:color="auto"/>
              <w:bottom w:val="single" w:sz="4" w:space="0" w:color="auto"/>
              <w:right w:val="single" w:sz="4" w:space="0" w:color="auto"/>
            </w:tcBorders>
            <w:vAlign w:val="center"/>
            <w:hideMark/>
          </w:tcPr>
          <w:p w14:paraId="2E9E37DB"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06D1995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12,959</w:t>
            </w:r>
          </w:p>
        </w:tc>
        <w:tc>
          <w:tcPr>
            <w:tcW w:w="976" w:type="dxa"/>
            <w:tcBorders>
              <w:top w:val="nil"/>
              <w:left w:val="nil"/>
              <w:bottom w:val="single" w:sz="4" w:space="0" w:color="auto"/>
              <w:right w:val="single" w:sz="4" w:space="0" w:color="auto"/>
            </w:tcBorders>
            <w:noWrap/>
            <w:vAlign w:val="bottom"/>
            <w:hideMark/>
          </w:tcPr>
          <w:p w14:paraId="31F53F3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12,855</w:t>
            </w:r>
          </w:p>
        </w:tc>
        <w:tc>
          <w:tcPr>
            <w:tcW w:w="1072" w:type="dxa"/>
            <w:tcBorders>
              <w:top w:val="nil"/>
              <w:left w:val="nil"/>
              <w:bottom w:val="single" w:sz="4" w:space="0" w:color="auto"/>
              <w:right w:val="single" w:sz="4" w:space="0" w:color="auto"/>
            </w:tcBorders>
            <w:noWrap/>
            <w:vAlign w:val="bottom"/>
            <w:hideMark/>
          </w:tcPr>
          <w:p w14:paraId="288787F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12,703</w:t>
            </w:r>
          </w:p>
        </w:tc>
        <w:tc>
          <w:tcPr>
            <w:tcW w:w="1072" w:type="dxa"/>
            <w:tcBorders>
              <w:top w:val="nil"/>
              <w:left w:val="nil"/>
              <w:bottom w:val="single" w:sz="4" w:space="0" w:color="auto"/>
              <w:right w:val="single" w:sz="4" w:space="0" w:color="auto"/>
            </w:tcBorders>
            <w:noWrap/>
            <w:vAlign w:val="bottom"/>
            <w:hideMark/>
          </w:tcPr>
          <w:p w14:paraId="7278A84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13,465</w:t>
            </w:r>
          </w:p>
        </w:tc>
        <w:tc>
          <w:tcPr>
            <w:tcW w:w="976" w:type="dxa"/>
            <w:tcBorders>
              <w:top w:val="nil"/>
              <w:left w:val="nil"/>
              <w:bottom w:val="single" w:sz="4" w:space="0" w:color="auto"/>
              <w:right w:val="single" w:sz="4" w:space="0" w:color="auto"/>
            </w:tcBorders>
            <w:noWrap/>
            <w:vAlign w:val="bottom"/>
            <w:hideMark/>
          </w:tcPr>
          <w:p w14:paraId="19DDCFC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13,893</w:t>
            </w:r>
          </w:p>
        </w:tc>
      </w:tr>
      <w:tr w:rsidR="00A80E41" w:rsidRPr="008D7DBA" w14:paraId="08E7E13D"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40656D3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Earnings Per Share</w:t>
            </w:r>
          </w:p>
        </w:tc>
        <w:tc>
          <w:tcPr>
            <w:tcW w:w="1572" w:type="dxa"/>
            <w:vMerge/>
            <w:tcBorders>
              <w:top w:val="nil"/>
              <w:left w:val="single" w:sz="4" w:space="0" w:color="auto"/>
              <w:bottom w:val="single" w:sz="4" w:space="0" w:color="auto"/>
              <w:right w:val="single" w:sz="4" w:space="0" w:color="auto"/>
            </w:tcBorders>
            <w:vAlign w:val="center"/>
            <w:hideMark/>
          </w:tcPr>
          <w:p w14:paraId="0E1B2F0C"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43E899F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-1.85</w:t>
            </w:r>
          </w:p>
        </w:tc>
        <w:tc>
          <w:tcPr>
            <w:tcW w:w="976" w:type="dxa"/>
            <w:tcBorders>
              <w:top w:val="nil"/>
              <w:left w:val="nil"/>
              <w:bottom w:val="single" w:sz="4" w:space="0" w:color="auto"/>
              <w:right w:val="single" w:sz="4" w:space="0" w:color="auto"/>
            </w:tcBorders>
            <w:noWrap/>
            <w:vAlign w:val="bottom"/>
            <w:hideMark/>
          </w:tcPr>
          <w:p w14:paraId="4D67012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-7.64</w:t>
            </w:r>
          </w:p>
        </w:tc>
        <w:tc>
          <w:tcPr>
            <w:tcW w:w="1072" w:type="dxa"/>
            <w:tcBorders>
              <w:top w:val="nil"/>
              <w:left w:val="nil"/>
              <w:bottom w:val="single" w:sz="4" w:space="0" w:color="auto"/>
              <w:right w:val="single" w:sz="4" w:space="0" w:color="auto"/>
            </w:tcBorders>
            <w:noWrap/>
            <w:vAlign w:val="bottom"/>
            <w:hideMark/>
          </w:tcPr>
          <w:p w14:paraId="03A3208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0.03</w:t>
            </w:r>
          </w:p>
        </w:tc>
        <w:tc>
          <w:tcPr>
            <w:tcW w:w="1072" w:type="dxa"/>
            <w:tcBorders>
              <w:top w:val="nil"/>
              <w:left w:val="nil"/>
              <w:bottom w:val="single" w:sz="4" w:space="0" w:color="auto"/>
              <w:right w:val="single" w:sz="4" w:space="0" w:color="auto"/>
            </w:tcBorders>
            <w:noWrap/>
            <w:vAlign w:val="bottom"/>
            <w:hideMark/>
          </w:tcPr>
          <w:p w14:paraId="24230D0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0.39</w:t>
            </w:r>
          </w:p>
        </w:tc>
        <w:tc>
          <w:tcPr>
            <w:tcW w:w="976" w:type="dxa"/>
            <w:tcBorders>
              <w:top w:val="nil"/>
              <w:left w:val="nil"/>
              <w:bottom w:val="single" w:sz="4" w:space="0" w:color="auto"/>
              <w:right w:val="single" w:sz="4" w:space="0" w:color="auto"/>
            </w:tcBorders>
            <w:noWrap/>
            <w:vAlign w:val="bottom"/>
            <w:hideMark/>
          </w:tcPr>
          <w:p w14:paraId="6FB8357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2.78</w:t>
            </w:r>
          </w:p>
        </w:tc>
      </w:tr>
      <w:tr w:rsidR="00A80E41" w:rsidRPr="008D7DBA" w14:paraId="51EFE0B2" w14:textId="77777777" w:rsidTr="00495580">
        <w:trPr>
          <w:trHeight w:val="291"/>
        </w:trPr>
        <w:tc>
          <w:tcPr>
            <w:tcW w:w="2730" w:type="dxa"/>
            <w:tcBorders>
              <w:top w:val="nil"/>
              <w:left w:val="nil"/>
              <w:bottom w:val="nil"/>
              <w:right w:val="nil"/>
            </w:tcBorders>
            <w:noWrap/>
            <w:vAlign w:val="bottom"/>
            <w:hideMark/>
          </w:tcPr>
          <w:p w14:paraId="42B88DE4"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3D284E87"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4E595DB2"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56C4889"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36278590"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253BBE54"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00016E44"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677ADB57"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7A8BFD21"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Return On Equity</w:t>
            </w:r>
          </w:p>
        </w:tc>
      </w:tr>
      <w:tr w:rsidR="00A80E41" w:rsidRPr="008D7DBA" w14:paraId="4A126EC2"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6F3D784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243C8700"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4113D5D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30FFF7A5"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66CC3A8C"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43EF033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435C616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454F4A98"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402FF25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Profit</w:t>
            </w:r>
          </w:p>
        </w:tc>
        <w:tc>
          <w:tcPr>
            <w:tcW w:w="1572" w:type="dxa"/>
            <w:vMerge w:val="restart"/>
            <w:tcBorders>
              <w:top w:val="nil"/>
              <w:left w:val="single" w:sz="4" w:space="0" w:color="auto"/>
              <w:bottom w:val="single" w:sz="4" w:space="0" w:color="auto"/>
              <w:right w:val="single" w:sz="4" w:space="0" w:color="auto"/>
            </w:tcBorders>
            <w:vAlign w:val="center"/>
            <w:hideMark/>
          </w:tcPr>
          <w:p w14:paraId="0A71336D"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(Net Profit ÷ Shareholders’ Equity)*100</w:t>
            </w:r>
          </w:p>
        </w:tc>
        <w:tc>
          <w:tcPr>
            <w:tcW w:w="976" w:type="dxa"/>
            <w:tcBorders>
              <w:top w:val="nil"/>
              <w:left w:val="nil"/>
              <w:bottom w:val="single" w:sz="4" w:space="0" w:color="auto"/>
              <w:right w:val="single" w:sz="4" w:space="0" w:color="auto"/>
            </w:tcBorders>
            <w:noWrap/>
            <w:vAlign w:val="center"/>
            <w:hideMark/>
          </w:tcPr>
          <w:p w14:paraId="33CE901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-24,029</w:t>
            </w:r>
          </w:p>
        </w:tc>
        <w:tc>
          <w:tcPr>
            <w:tcW w:w="976" w:type="dxa"/>
            <w:tcBorders>
              <w:top w:val="nil"/>
              <w:left w:val="nil"/>
              <w:bottom w:val="single" w:sz="4" w:space="0" w:color="auto"/>
              <w:right w:val="single" w:sz="4" w:space="0" w:color="auto"/>
            </w:tcBorders>
            <w:noWrap/>
            <w:vAlign w:val="center"/>
            <w:hideMark/>
          </w:tcPr>
          <w:p w14:paraId="1679FA9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-98,238</w:t>
            </w:r>
          </w:p>
        </w:tc>
        <w:tc>
          <w:tcPr>
            <w:tcW w:w="1072" w:type="dxa"/>
            <w:tcBorders>
              <w:top w:val="nil"/>
              <w:left w:val="nil"/>
              <w:bottom w:val="single" w:sz="4" w:space="0" w:color="auto"/>
              <w:right w:val="single" w:sz="4" w:space="0" w:color="auto"/>
            </w:tcBorders>
            <w:noWrap/>
            <w:vAlign w:val="center"/>
            <w:hideMark/>
          </w:tcPr>
          <w:p w14:paraId="608EB2C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407</w:t>
            </w:r>
          </w:p>
        </w:tc>
        <w:tc>
          <w:tcPr>
            <w:tcW w:w="1072" w:type="dxa"/>
            <w:tcBorders>
              <w:top w:val="nil"/>
              <w:left w:val="nil"/>
              <w:bottom w:val="single" w:sz="4" w:space="0" w:color="auto"/>
              <w:right w:val="single" w:sz="4" w:space="0" w:color="auto"/>
            </w:tcBorders>
            <w:noWrap/>
            <w:vAlign w:val="center"/>
            <w:hideMark/>
          </w:tcPr>
          <w:p w14:paraId="5D6DE3F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5,301</w:t>
            </w:r>
          </w:p>
        </w:tc>
        <w:tc>
          <w:tcPr>
            <w:tcW w:w="976" w:type="dxa"/>
            <w:tcBorders>
              <w:top w:val="nil"/>
              <w:left w:val="nil"/>
              <w:bottom w:val="single" w:sz="4" w:space="0" w:color="auto"/>
              <w:right w:val="single" w:sz="4" w:space="0" w:color="auto"/>
            </w:tcBorders>
            <w:noWrap/>
            <w:vAlign w:val="center"/>
            <w:hideMark/>
          </w:tcPr>
          <w:p w14:paraId="5BCF933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38,572</w:t>
            </w:r>
          </w:p>
        </w:tc>
      </w:tr>
      <w:tr w:rsidR="00A80E41" w:rsidRPr="008D7DBA" w14:paraId="4EBFE4C7"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DED8A1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Shareholders’ Equity</w:t>
            </w:r>
          </w:p>
        </w:tc>
        <w:tc>
          <w:tcPr>
            <w:tcW w:w="1572" w:type="dxa"/>
            <w:vMerge/>
            <w:tcBorders>
              <w:top w:val="nil"/>
              <w:left w:val="single" w:sz="4" w:space="0" w:color="auto"/>
              <w:bottom w:val="single" w:sz="4" w:space="0" w:color="auto"/>
              <w:right w:val="single" w:sz="4" w:space="0" w:color="auto"/>
            </w:tcBorders>
            <w:vAlign w:val="center"/>
            <w:hideMark/>
          </w:tcPr>
          <w:p w14:paraId="6CD7DBF6"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301E686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153,105</w:t>
            </w:r>
          </w:p>
        </w:tc>
        <w:tc>
          <w:tcPr>
            <w:tcW w:w="976" w:type="dxa"/>
            <w:tcBorders>
              <w:top w:val="nil"/>
              <w:left w:val="nil"/>
              <w:bottom w:val="single" w:sz="4" w:space="0" w:color="auto"/>
              <w:right w:val="single" w:sz="4" w:space="0" w:color="auto"/>
            </w:tcBorders>
            <w:noWrap/>
            <w:vAlign w:val="center"/>
            <w:hideMark/>
          </w:tcPr>
          <w:p w14:paraId="1996F60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178,920</w:t>
            </w:r>
          </w:p>
        </w:tc>
        <w:tc>
          <w:tcPr>
            <w:tcW w:w="1072" w:type="dxa"/>
            <w:tcBorders>
              <w:top w:val="nil"/>
              <w:left w:val="nil"/>
              <w:bottom w:val="single" w:sz="4" w:space="0" w:color="auto"/>
              <w:right w:val="single" w:sz="4" w:space="0" w:color="auto"/>
            </w:tcBorders>
            <w:noWrap/>
            <w:vAlign w:val="center"/>
            <w:hideMark/>
          </w:tcPr>
          <w:p w14:paraId="4F694B8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268,406</w:t>
            </w:r>
          </w:p>
        </w:tc>
        <w:tc>
          <w:tcPr>
            <w:tcW w:w="1072" w:type="dxa"/>
            <w:tcBorders>
              <w:top w:val="nil"/>
              <w:left w:val="nil"/>
              <w:bottom w:val="single" w:sz="4" w:space="0" w:color="auto"/>
              <w:right w:val="single" w:sz="4" w:space="0" w:color="auto"/>
            </w:tcBorders>
            <w:noWrap/>
            <w:vAlign w:val="center"/>
            <w:hideMark/>
          </w:tcPr>
          <w:p w14:paraId="158248F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275,949</w:t>
            </w:r>
          </w:p>
        </w:tc>
        <w:tc>
          <w:tcPr>
            <w:tcW w:w="976" w:type="dxa"/>
            <w:tcBorders>
              <w:top w:val="nil"/>
              <w:left w:val="nil"/>
              <w:bottom w:val="single" w:sz="4" w:space="0" w:color="auto"/>
              <w:right w:val="single" w:sz="4" w:space="0" w:color="auto"/>
            </w:tcBorders>
            <w:noWrap/>
            <w:vAlign w:val="center"/>
            <w:hideMark/>
          </w:tcPr>
          <w:p w14:paraId="4236E36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313,301</w:t>
            </w:r>
          </w:p>
        </w:tc>
      </w:tr>
      <w:tr w:rsidR="00A80E41" w:rsidRPr="008D7DBA" w14:paraId="43DBC8A8"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32B87CC3"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Return On Equity</w:t>
            </w:r>
          </w:p>
        </w:tc>
        <w:tc>
          <w:tcPr>
            <w:tcW w:w="1572" w:type="dxa"/>
            <w:vMerge/>
            <w:tcBorders>
              <w:top w:val="nil"/>
              <w:left w:val="single" w:sz="4" w:space="0" w:color="auto"/>
              <w:bottom w:val="single" w:sz="4" w:space="0" w:color="auto"/>
              <w:right w:val="single" w:sz="4" w:space="0" w:color="auto"/>
            </w:tcBorders>
            <w:vAlign w:val="center"/>
            <w:hideMark/>
          </w:tcPr>
          <w:p w14:paraId="6A970FD7"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4047A47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-15.69%</w:t>
            </w:r>
          </w:p>
        </w:tc>
        <w:tc>
          <w:tcPr>
            <w:tcW w:w="976" w:type="dxa"/>
            <w:tcBorders>
              <w:top w:val="nil"/>
              <w:left w:val="nil"/>
              <w:bottom w:val="single" w:sz="4" w:space="0" w:color="auto"/>
              <w:right w:val="single" w:sz="4" w:space="0" w:color="auto"/>
            </w:tcBorders>
            <w:noWrap/>
            <w:vAlign w:val="bottom"/>
            <w:hideMark/>
          </w:tcPr>
          <w:p w14:paraId="177E332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-54.91%</w:t>
            </w:r>
          </w:p>
        </w:tc>
        <w:tc>
          <w:tcPr>
            <w:tcW w:w="1072" w:type="dxa"/>
            <w:tcBorders>
              <w:top w:val="nil"/>
              <w:left w:val="nil"/>
              <w:bottom w:val="single" w:sz="4" w:space="0" w:color="auto"/>
              <w:right w:val="single" w:sz="4" w:space="0" w:color="auto"/>
            </w:tcBorders>
            <w:noWrap/>
            <w:vAlign w:val="bottom"/>
            <w:hideMark/>
          </w:tcPr>
          <w:p w14:paraId="5F7CBCD9"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0.15%</w:t>
            </w:r>
          </w:p>
        </w:tc>
        <w:tc>
          <w:tcPr>
            <w:tcW w:w="1072" w:type="dxa"/>
            <w:tcBorders>
              <w:top w:val="nil"/>
              <w:left w:val="nil"/>
              <w:bottom w:val="single" w:sz="4" w:space="0" w:color="auto"/>
              <w:right w:val="single" w:sz="4" w:space="0" w:color="auto"/>
            </w:tcBorders>
            <w:noWrap/>
            <w:vAlign w:val="bottom"/>
            <w:hideMark/>
          </w:tcPr>
          <w:p w14:paraId="4F65C9B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1.92%</w:t>
            </w:r>
          </w:p>
        </w:tc>
        <w:tc>
          <w:tcPr>
            <w:tcW w:w="976" w:type="dxa"/>
            <w:tcBorders>
              <w:top w:val="nil"/>
              <w:left w:val="nil"/>
              <w:bottom w:val="single" w:sz="4" w:space="0" w:color="auto"/>
              <w:right w:val="single" w:sz="4" w:space="0" w:color="auto"/>
            </w:tcBorders>
            <w:noWrap/>
            <w:vAlign w:val="bottom"/>
            <w:hideMark/>
          </w:tcPr>
          <w:p w14:paraId="0EF7649E"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12.31%</w:t>
            </w:r>
          </w:p>
        </w:tc>
      </w:tr>
      <w:tr w:rsidR="00A80E41" w:rsidRPr="008D7DBA" w14:paraId="1D8196EE" w14:textId="77777777" w:rsidTr="00495580">
        <w:trPr>
          <w:trHeight w:val="291"/>
        </w:trPr>
        <w:tc>
          <w:tcPr>
            <w:tcW w:w="2730" w:type="dxa"/>
            <w:tcBorders>
              <w:top w:val="nil"/>
              <w:left w:val="nil"/>
              <w:bottom w:val="nil"/>
              <w:right w:val="nil"/>
            </w:tcBorders>
            <w:noWrap/>
            <w:vAlign w:val="bottom"/>
            <w:hideMark/>
          </w:tcPr>
          <w:p w14:paraId="61ADA4E7"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5D9C23E2"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4A197981"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4E5732FD"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024BE7AF"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3503DAE6"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6FF1777B"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6EDBA081"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0F87FC02"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Operating Cash Flow Ratio</w:t>
            </w:r>
          </w:p>
        </w:tc>
      </w:tr>
      <w:tr w:rsidR="00A80E41" w:rsidRPr="008D7DBA" w14:paraId="3AC113D6"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7AA97583"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520E1E25"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02A75F8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6A07F7E8"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4EBE7EE3"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7D16A1C1"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68485A67"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20EDBA67"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1C22BA3B"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Operating Cash Flow</w:t>
            </w:r>
          </w:p>
        </w:tc>
        <w:tc>
          <w:tcPr>
            <w:tcW w:w="1572" w:type="dxa"/>
            <w:vMerge w:val="restart"/>
            <w:tcBorders>
              <w:top w:val="nil"/>
              <w:left w:val="single" w:sz="4" w:space="0" w:color="auto"/>
              <w:bottom w:val="single" w:sz="4" w:space="0" w:color="auto"/>
              <w:right w:val="single" w:sz="4" w:space="0" w:color="auto"/>
            </w:tcBorders>
            <w:vAlign w:val="center"/>
            <w:hideMark/>
          </w:tcPr>
          <w:p w14:paraId="7B4F39D4"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Operating Cash Flow ÷ Current Liabilities</w:t>
            </w:r>
          </w:p>
        </w:tc>
        <w:tc>
          <w:tcPr>
            <w:tcW w:w="976" w:type="dxa"/>
            <w:tcBorders>
              <w:top w:val="nil"/>
              <w:left w:val="nil"/>
              <w:bottom w:val="single" w:sz="4" w:space="0" w:color="auto"/>
              <w:right w:val="single" w:sz="4" w:space="0" w:color="auto"/>
            </w:tcBorders>
            <w:noWrap/>
            <w:vAlign w:val="center"/>
            <w:hideMark/>
          </w:tcPr>
          <w:p w14:paraId="296A766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14,822</w:t>
            </w:r>
          </w:p>
        </w:tc>
        <w:tc>
          <w:tcPr>
            <w:tcW w:w="976" w:type="dxa"/>
            <w:tcBorders>
              <w:top w:val="nil"/>
              <w:left w:val="nil"/>
              <w:bottom w:val="single" w:sz="4" w:space="0" w:color="auto"/>
              <w:right w:val="single" w:sz="4" w:space="0" w:color="auto"/>
            </w:tcBorders>
            <w:noWrap/>
            <w:vAlign w:val="center"/>
            <w:hideMark/>
          </w:tcPr>
          <w:p w14:paraId="744CEE9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25,190</w:t>
            </w:r>
          </w:p>
        </w:tc>
        <w:tc>
          <w:tcPr>
            <w:tcW w:w="1072" w:type="dxa"/>
            <w:tcBorders>
              <w:top w:val="nil"/>
              <w:left w:val="nil"/>
              <w:bottom w:val="single" w:sz="4" w:space="0" w:color="auto"/>
              <w:right w:val="single" w:sz="4" w:space="0" w:color="auto"/>
            </w:tcBorders>
            <w:noWrap/>
            <w:vAlign w:val="center"/>
            <w:hideMark/>
          </w:tcPr>
          <w:p w14:paraId="466AC26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10,926</w:t>
            </w:r>
          </w:p>
        </w:tc>
        <w:tc>
          <w:tcPr>
            <w:tcW w:w="1072" w:type="dxa"/>
            <w:tcBorders>
              <w:top w:val="nil"/>
              <w:left w:val="nil"/>
              <w:bottom w:val="single" w:sz="4" w:space="0" w:color="auto"/>
              <w:right w:val="single" w:sz="4" w:space="0" w:color="auto"/>
            </w:tcBorders>
            <w:noWrap/>
            <w:vAlign w:val="center"/>
            <w:hideMark/>
          </w:tcPr>
          <w:p w14:paraId="08B16482"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40,283</w:t>
            </w:r>
          </w:p>
        </w:tc>
        <w:tc>
          <w:tcPr>
            <w:tcW w:w="976" w:type="dxa"/>
            <w:tcBorders>
              <w:top w:val="nil"/>
              <w:left w:val="nil"/>
              <w:bottom w:val="single" w:sz="4" w:space="0" w:color="auto"/>
              <w:right w:val="single" w:sz="4" w:space="0" w:color="auto"/>
            </w:tcBorders>
            <w:noWrap/>
            <w:vAlign w:val="center"/>
            <w:hideMark/>
          </w:tcPr>
          <w:p w14:paraId="18697658"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73,392</w:t>
            </w:r>
          </w:p>
        </w:tc>
      </w:tr>
      <w:tr w:rsidR="00A80E41" w:rsidRPr="008D7DBA" w14:paraId="5B4F3C1F"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B14D03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Current Liabilities</w:t>
            </w:r>
          </w:p>
        </w:tc>
        <w:tc>
          <w:tcPr>
            <w:tcW w:w="1572" w:type="dxa"/>
            <w:vMerge/>
            <w:tcBorders>
              <w:top w:val="nil"/>
              <w:left w:val="single" w:sz="4" w:space="0" w:color="auto"/>
              <w:bottom w:val="single" w:sz="4" w:space="0" w:color="auto"/>
              <w:right w:val="single" w:sz="4" w:space="0" w:color="auto"/>
            </w:tcBorders>
            <w:vAlign w:val="center"/>
            <w:hideMark/>
          </w:tcPr>
          <w:p w14:paraId="4885B7A9"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4CE39FC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158,291</w:t>
            </w:r>
          </w:p>
        </w:tc>
        <w:tc>
          <w:tcPr>
            <w:tcW w:w="976" w:type="dxa"/>
            <w:tcBorders>
              <w:top w:val="nil"/>
              <w:left w:val="nil"/>
              <w:bottom w:val="single" w:sz="4" w:space="0" w:color="auto"/>
              <w:right w:val="single" w:sz="4" w:space="0" w:color="auto"/>
            </w:tcBorders>
            <w:noWrap/>
            <w:vAlign w:val="center"/>
            <w:hideMark/>
          </w:tcPr>
          <w:p w14:paraId="5375061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161,148</w:t>
            </w:r>
          </w:p>
        </w:tc>
        <w:tc>
          <w:tcPr>
            <w:tcW w:w="1072" w:type="dxa"/>
            <w:tcBorders>
              <w:top w:val="nil"/>
              <w:left w:val="nil"/>
              <w:bottom w:val="single" w:sz="4" w:space="0" w:color="auto"/>
              <w:right w:val="single" w:sz="4" w:space="0" w:color="auto"/>
            </w:tcBorders>
            <w:noWrap/>
            <w:vAlign w:val="center"/>
            <w:hideMark/>
          </w:tcPr>
          <w:p w14:paraId="4B77325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216,473</w:t>
            </w:r>
          </w:p>
        </w:tc>
        <w:tc>
          <w:tcPr>
            <w:tcW w:w="1072" w:type="dxa"/>
            <w:tcBorders>
              <w:top w:val="nil"/>
              <w:left w:val="nil"/>
              <w:bottom w:val="single" w:sz="4" w:space="0" w:color="auto"/>
              <w:right w:val="single" w:sz="4" w:space="0" w:color="auto"/>
            </w:tcBorders>
            <w:noWrap/>
            <w:vAlign w:val="center"/>
            <w:hideMark/>
          </w:tcPr>
          <w:p w14:paraId="36D2FDD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216,787</w:t>
            </w:r>
          </w:p>
        </w:tc>
        <w:tc>
          <w:tcPr>
            <w:tcW w:w="976" w:type="dxa"/>
            <w:tcBorders>
              <w:top w:val="nil"/>
              <w:left w:val="nil"/>
              <w:bottom w:val="single" w:sz="4" w:space="0" w:color="auto"/>
              <w:right w:val="single" w:sz="4" w:space="0" w:color="auto"/>
            </w:tcBorders>
            <w:noWrap/>
            <w:vAlign w:val="center"/>
            <w:hideMark/>
          </w:tcPr>
          <w:p w14:paraId="5761BAFC"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179,510</w:t>
            </w:r>
          </w:p>
        </w:tc>
      </w:tr>
      <w:tr w:rsidR="00A80E41" w:rsidRPr="008D7DBA" w14:paraId="478AA257"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9C264A8"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Operating Cash Flow Ratio</w:t>
            </w:r>
          </w:p>
        </w:tc>
        <w:tc>
          <w:tcPr>
            <w:tcW w:w="1572" w:type="dxa"/>
            <w:vMerge/>
            <w:tcBorders>
              <w:top w:val="nil"/>
              <w:left w:val="single" w:sz="4" w:space="0" w:color="auto"/>
              <w:bottom w:val="single" w:sz="4" w:space="0" w:color="auto"/>
              <w:right w:val="single" w:sz="4" w:space="0" w:color="auto"/>
            </w:tcBorders>
            <w:vAlign w:val="center"/>
            <w:hideMark/>
          </w:tcPr>
          <w:p w14:paraId="019C2A05"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5F04C30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0.09</w:t>
            </w:r>
          </w:p>
        </w:tc>
        <w:tc>
          <w:tcPr>
            <w:tcW w:w="976" w:type="dxa"/>
            <w:tcBorders>
              <w:top w:val="nil"/>
              <w:left w:val="nil"/>
              <w:bottom w:val="single" w:sz="4" w:space="0" w:color="auto"/>
              <w:right w:val="single" w:sz="4" w:space="0" w:color="auto"/>
            </w:tcBorders>
            <w:noWrap/>
            <w:vAlign w:val="bottom"/>
            <w:hideMark/>
          </w:tcPr>
          <w:p w14:paraId="54B9D84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0.16</w:t>
            </w:r>
          </w:p>
        </w:tc>
        <w:tc>
          <w:tcPr>
            <w:tcW w:w="1072" w:type="dxa"/>
            <w:tcBorders>
              <w:top w:val="nil"/>
              <w:left w:val="nil"/>
              <w:bottom w:val="single" w:sz="4" w:space="0" w:color="auto"/>
              <w:right w:val="single" w:sz="4" w:space="0" w:color="auto"/>
            </w:tcBorders>
            <w:noWrap/>
            <w:vAlign w:val="bottom"/>
            <w:hideMark/>
          </w:tcPr>
          <w:p w14:paraId="78AA0136"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0.05</w:t>
            </w:r>
          </w:p>
        </w:tc>
        <w:tc>
          <w:tcPr>
            <w:tcW w:w="1072" w:type="dxa"/>
            <w:tcBorders>
              <w:top w:val="nil"/>
              <w:left w:val="nil"/>
              <w:bottom w:val="single" w:sz="4" w:space="0" w:color="auto"/>
              <w:right w:val="single" w:sz="4" w:space="0" w:color="auto"/>
            </w:tcBorders>
            <w:noWrap/>
            <w:vAlign w:val="bottom"/>
            <w:hideMark/>
          </w:tcPr>
          <w:p w14:paraId="2CFD7F63"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0.19</w:t>
            </w:r>
          </w:p>
        </w:tc>
        <w:tc>
          <w:tcPr>
            <w:tcW w:w="976" w:type="dxa"/>
            <w:tcBorders>
              <w:top w:val="nil"/>
              <w:left w:val="nil"/>
              <w:bottom w:val="single" w:sz="4" w:space="0" w:color="auto"/>
              <w:right w:val="single" w:sz="4" w:space="0" w:color="auto"/>
            </w:tcBorders>
            <w:noWrap/>
            <w:vAlign w:val="bottom"/>
            <w:hideMark/>
          </w:tcPr>
          <w:p w14:paraId="140CBBB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0.41</w:t>
            </w:r>
          </w:p>
        </w:tc>
      </w:tr>
      <w:tr w:rsidR="00A80E41" w:rsidRPr="008D7DBA" w14:paraId="787390D5" w14:textId="77777777" w:rsidTr="00495580">
        <w:trPr>
          <w:trHeight w:val="291"/>
        </w:trPr>
        <w:tc>
          <w:tcPr>
            <w:tcW w:w="2730" w:type="dxa"/>
            <w:tcBorders>
              <w:top w:val="nil"/>
              <w:left w:val="nil"/>
              <w:bottom w:val="nil"/>
              <w:right w:val="nil"/>
            </w:tcBorders>
            <w:noWrap/>
            <w:vAlign w:val="bottom"/>
            <w:hideMark/>
          </w:tcPr>
          <w:p w14:paraId="2C82C04B" w14:textId="77777777" w:rsidR="00495580" w:rsidRPr="00495580" w:rsidRDefault="00495580" w:rsidP="00495580">
            <w:pPr>
              <w:spacing w:after="0" w:line="240" w:lineRule="auto"/>
              <w:jc w:val="right"/>
              <w:rPr>
                <w:rFonts w:ascii="Arial" w:eastAsia="Times New Roman" w:hAnsi="Arial" w:cs="Arial"/>
                <w:kern w:val="0"/>
                <w:szCs w:val="24"/>
                <w14:ligatures w14:val="none"/>
              </w:rPr>
            </w:pPr>
          </w:p>
        </w:tc>
        <w:tc>
          <w:tcPr>
            <w:tcW w:w="1572" w:type="dxa"/>
            <w:tcBorders>
              <w:top w:val="nil"/>
              <w:left w:val="nil"/>
              <w:bottom w:val="nil"/>
              <w:right w:val="nil"/>
            </w:tcBorders>
            <w:noWrap/>
            <w:vAlign w:val="bottom"/>
            <w:hideMark/>
          </w:tcPr>
          <w:p w14:paraId="2F17CB2C"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3EDA2D3A"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5305E688"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2469CECB"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1072" w:type="dxa"/>
            <w:tcBorders>
              <w:top w:val="nil"/>
              <w:left w:val="nil"/>
              <w:bottom w:val="nil"/>
              <w:right w:val="nil"/>
            </w:tcBorders>
            <w:noWrap/>
            <w:vAlign w:val="bottom"/>
            <w:hideMark/>
          </w:tcPr>
          <w:p w14:paraId="0A2EFDFE"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c>
          <w:tcPr>
            <w:tcW w:w="976" w:type="dxa"/>
            <w:tcBorders>
              <w:top w:val="nil"/>
              <w:left w:val="nil"/>
              <w:bottom w:val="nil"/>
              <w:right w:val="nil"/>
            </w:tcBorders>
            <w:noWrap/>
            <w:vAlign w:val="bottom"/>
            <w:hideMark/>
          </w:tcPr>
          <w:p w14:paraId="47D2AE3F" w14:textId="77777777" w:rsidR="00495580" w:rsidRPr="00495580" w:rsidRDefault="00495580" w:rsidP="00495580">
            <w:pPr>
              <w:spacing w:after="0" w:line="240" w:lineRule="auto"/>
              <w:jc w:val="left"/>
              <w:rPr>
                <w:rFonts w:ascii="Arial" w:eastAsia="Times New Roman" w:hAnsi="Arial" w:cs="Arial"/>
                <w:kern w:val="0"/>
                <w:sz w:val="20"/>
                <w:szCs w:val="20"/>
                <w14:ligatures w14:val="none"/>
              </w:rPr>
            </w:pPr>
          </w:p>
        </w:tc>
      </w:tr>
      <w:tr w:rsidR="00A80E41" w:rsidRPr="008D7DBA" w14:paraId="7876DF7A" w14:textId="77777777" w:rsidTr="00495580">
        <w:trPr>
          <w:trHeight w:val="291"/>
        </w:trPr>
        <w:tc>
          <w:tcPr>
            <w:tcW w:w="9376" w:type="dxa"/>
            <w:gridSpan w:val="7"/>
            <w:tcBorders>
              <w:top w:val="single" w:sz="4" w:space="0" w:color="auto"/>
              <w:left w:val="single" w:sz="4" w:space="0" w:color="auto"/>
              <w:bottom w:val="single" w:sz="4" w:space="0" w:color="auto"/>
              <w:right w:val="single" w:sz="4" w:space="0" w:color="auto"/>
            </w:tcBorders>
            <w:noWrap/>
            <w:vAlign w:val="bottom"/>
            <w:hideMark/>
          </w:tcPr>
          <w:p w14:paraId="04883571"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Cash Flow to Debt Ratio</w:t>
            </w:r>
          </w:p>
        </w:tc>
      </w:tr>
      <w:tr w:rsidR="00A80E41" w:rsidRPr="008D7DBA" w14:paraId="50204B3E"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3684AB4"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Particulars</w:t>
            </w:r>
          </w:p>
        </w:tc>
        <w:tc>
          <w:tcPr>
            <w:tcW w:w="1572" w:type="dxa"/>
            <w:tcBorders>
              <w:top w:val="nil"/>
              <w:left w:val="nil"/>
              <w:bottom w:val="single" w:sz="4" w:space="0" w:color="auto"/>
              <w:right w:val="single" w:sz="4" w:space="0" w:color="auto"/>
            </w:tcBorders>
            <w:noWrap/>
            <w:vAlign w:val="bottom"/>
            <w:hideMark/>
          </w:tcPr>
          <w:p w14:paraId="530686C6"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Formula</w:t>
            </w:r>
          </w:p>
        </w:tc>
        <w:tc>
          <w:tcPr>
            <w:tcW w:w="976" w:type="dxa"/>
            <w:tcBorders>
              <w:top w:val="nil"/>
              <w:left w:val="nil"/>
              <w:bottom w:val="single" w:sz="4" w:space="0" w:color="auto"/>
              <w:right w:val="single" w:sz="4" w:space="0" w:color="auto"/>
            </w:tcBorders>
            <w:noWrap/>
            <w:vAlign w:val="bottom"/>
            <w:hideMark/>
          </w:tcPr>
          <w:p w14:paraId="3C6D3A4A"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2024 (£m)</w:t>
            </w:r>
          </w:p>
        </w:tc>
        <w:tc>
          <w:tcPr>
            <w:tcW w:w="976" w:type="dxa"/>
            <w:tcBorders>
              <w:top w:val="nil"/>
              <w:left w:val="nil"/>
              <w:bottom w:val="single" w:sz="4" w:space="0" w:color="auto"/>
              <w:right w:val="single" w:sz="4" w:space="0" w:color="auto"/>
            </w:tcBorders>
            <w:noWrap/>
            <w:vAlign w:val="bottom"/>
            <w:hideMark/>
          </w:tcPr>
          <w:p w14:paraId="4561F2FD"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2023 (£m)</w:t>
            </w:r>
          </w:p>
        </w:tc>
        <w:tc>
          <w:tcPr>
            <w:tcW w:w="1072" w:type="dxa"/>
            <w:tcBorders>
              <w:top w:val="nil"/>
              <w:left w:val="nil"/>
              <w:bottom w:val="single" w:sz="4" w:space="0" w:color="auto"/>
              <w:right w:val="single" w:sz="4" w:space="0" w:color="auto"/>
            </w:tcBorders>
            <w:noWrap/>
            <w:vAlign w:val="bottom"/>
            <w:hideMark/>
          </w:tcPr>
          <w:p w14:paraId="59B3A009"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2022 (£m)</w:t>
            </w:r>
          </w:p>
        </w:tc>
        <w:tc>
          <w:tcPr>
            <w:tcW w:w="1072" w:type="dxa"/>
            <w:tcBorders>
              <w:top w:val="nil"/>
              <w:left w:val="nil"/>
              <w:bottom w:val="single" w:sz="4" w:space="0" w:color="auto"/>
              <w:right w:val="single" w:sz="4" w:space="0" w:color="auto"/>
            </w:tcBorders>
            <w:noWrap/>
            <w:vAlign w:val="bottom"/>
            <w:hideMark/>
          </w:tcPr>
          <w:p w14:paraId="5B0F6816"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2021 (£m)</w:t>
            </w:r>
          </w:p>
        </w:tc>
        <w:tc>
          <w:tcPr>
            <w:tcW w:w="976" w:type="dxa"/>
            <w:tcBorders>
              <w:top w:val="nil"/>
              <w:left w:val="nil"/>
              <w:bottom w:val="single" w:sz="4" w:space="0" w:color="auto"/>
              <w:right w:val="single" w:sz="4" w:space="0" w:color="auto"/>
            </w:tcBorders>
            <w:noWrap/>
            <w:vAlign w:val="bottom"/>
            <w:hideMark/>
          </w:tcPr>
          <w:p w14:paraId="791906A1"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2020 (£m)</w:t>
            </w:r>
          </w:p>
        </w:tc>
      </w:tr>
      <w:tr w:rsidR="00A80E41" w:rsidRPr="008D7DBA" w14:paraId="3C8B423F"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01F37400"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Operating Cash Flow</w:t>
            </w:r>
          </w:p>
        </w:tc>
        <w:tc>
          <w:tcPr>
            <w:tcW w:w="1572" w:type="dxa"/>
            <w:vMerge w:val="restart"/>
            <w:tcBorders>
              <w:top w:val="nil"/>
              <w:left w:val="single" w:sz="4" w:space="0" w:color="auto"/>
              <w:bottom w:val="single" w:sz="4" w:space="0" w:color="auto"/>
              <w:right w:val="single" w:sz="4" w:space="0" w:color="auto"/>
            </w:tcBorders>
            <w:vAlign w:val="center"/>
            <w:hideMark/>
          </w:tcPr>
          <w:p w14:paraId="73B5DBBE" w14:textId="77777777" w:rsidR="00495580" w:rsidRPr="00495580" w:rsidRDefault="00495580" w:rsidP="00495580">
            <w:pPr>
              <w:spacing w:after="0" w:line="240" w:lineRule="auto"/>
              <w:jc w:val="center"/>
              <w:rPr>
                <w:rFonts w:ascii="Arial" w:eastAsia="Times New Roman" w:hAnsi="Arial" w:cs="Arial"/>
                <w:kern w:val="0"/>
                <w:szCs w:val="24"/>
                <w14:ligatures w14:val="none"/>
              </w:rPr>
            </w:pPr>
            <w:r w:rsidRPr="00495580">
              <w:rPr>
                <w:rFonts w:ascii="Arial" w:eastAsia="Times New Roman" w:hAnsi="Arial" w:cs="Arial"/>
                <w:kern w:val="0"/>
                <w:szCs w:val="24"/>
                <w14:ligatures w14:val="none"/>
              </w:rPr>
              <w:t>Operating Cash Flow ÷ Total Debt</w:t>
            </w:r>
          </w:p>
        </w:tc>
        <w:tc>
          <w:tcPr>
            <w:tcW w:w="976" w:type="dxa"/>
            <w:tcBorders>
              <w:top w:val="nil"/>
              <w:left w:val="nil"/>
              <w:bottom w:val="single" w:sz="4" w:space="0" w:color="auto"/>
              <w:right w:val="single" w:sz="4" w:space="0" w:color="auto"/>
            </w:tcBorders>
            <w:noWrap/>
            <w:vAlign w:val="center"/>
            <w:hideMark/>
          </w:tcPr>
          <w:p w14:paraId="22BC0DA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14,822</w:t>
            </w:r>
          </w:p>
        </w:tc>
        <w:tc>
          <w:tcPr>
            <w:tcW w:w="976" w:type="dxa"/>
            <w:tcBorders>
              <w:top w:val="nil"/>
              <w:left w:val="nil"/>
              <w:bottom w:val="single" w:sz="4" w:space="0" w:color="auto"/>
              <w:right w:val="single" w:sz="4" w:space="0" w:color="auto"/>
            </w:tcBorders>
            <w:noWrap/>
            <w:vAlign w:val="center"/>
            <w:hideMark/>
          </w:tcPr>
          <w:p w14:paraId="23637870"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25,190</w:t>
            </w:r>
          </w:p>
        </w:tc>
        <w:tc>
          <w:tcPr>
            <w:tcW w:w="1072" w:type="dxa"/>
            <w:tcBorders>
              <w:top w:val="nil"/>
              <w:left w:val="nil"/>
              <w:bottom w:val="single" w:sz="4" w:space="0" w:color="auto"/>
              <w:right w:val="single" w:sz="4" w:space="0" w:color="auto"/>
            </w:tcBorders>
            <w:noWrap/>
            <w:vAlign w:val="center"/>
            <w:hideMark/>
          </w:tcPr>
          <w:p w14:paraId="3A1014D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10,926</w:t>
            </w:r>
          </w:p>
        </w:tc>
        <w:tc>
          <w:tcPr>
            <w:tcW w:w="1072" w:type="dxa"/>
            <w:tcBorders>
              <w:top w:val="nil"/>
              <w:left w:val="nil"/>
              <w:bottom w:val="single" w:sz="4" w:space="0" w:color="auto"/>
              <w:right w:val="single" w:sz="4" w:space="0" w:color="auto"/>
            </w:tcBorders>
            <w:noWrap/>
            <w:vAlign w:val="center"/>
            <w:hideMark/>
          </w:tcPr>
          <w:p w14:paraId="15FC3FC5"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40,283</w:t>
            </w:r>
          </w:p>
        </w:tc>
        <w:tc>
          <w:tcPr>
            <w:tcW w:w="976" w:type="dxa"/>
            <w:tcBorders>
              <w:top w:val="nil"/>
              <w:left w:val="nil"/>
              <w:bottom w:val="single" w:sz="4" w:space="0" w:color="auto"/>
              <w:right w:val="single" w:sz="4" w:space="0" w:color="auto"/>
            </w:tcBorders>
            <w:noWrap/>
            <w:vAlign w:val="center"/>
            <w:hideMark/>
          </w:tcPr>
          <w:p w14:paraId="09271CDF"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73,392</w:t>
            </w:r>
          </w:p>
        </w:tc>
      </w:tr>
      <w:tr w:rsidR="00A80E41" w:rsidRPr="008D7DBA" w14:paraId="190B3726"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45793D4F"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Total Debt</w:t>
            </w:r>
          </w:p>
        </w:tc>
        <w:tc>
          <w:tcPr>
            <w:tcW w:w="1572" w:type="dxa"/>
            <w:vMerge/>
            <w:tcBorders>
              <w:top w:val="nil"/>
              <w:left w:val="single" w:sz="4" w:space="0" w:color="auto"/>
              <w:bottom w:val="single" w:sz="4" w:space="0" w:color="auto"/>
              <w:right w:val="single" w:sz="4" w:space="0" w:color="auto"/>
            </w:tcBorders>
            <w:vAlign w:val="center"/>
            <w:hideMark/>
          </w:tcPr>
          <w:p w14:paraId="5731D20B"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center"/>
            <w:hideMark/>
          </w:tcPr>
          <w:p w14:paraId="2D53E1B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170,249</w:t>
            </w:r>
          </w:p>
        </w:tc>
        <w:tc>
          <w:tcPr>
            <w:tcW w:w="976" w:type="dxa"/>
            <w:tcBorders>
              <w:top w:val="nil"/>
              <w:left w:val="nil"/>
              <w:bottom w:val="single" w:sz="4" w:space="0" w:color="auto"/>
              <w:right w:val="single" w:sz="4" w:space="0" w:color="auto"/>
            </w:tcBorders>
            <w:noWrap/>
            <w:vAlign w:val="center"/>
            <w:hideMark/>
          </w:tcPr>
          <w:p w14:paraId="0607DF2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176,952</w:t>
            </w:r>
          </w:p>
        </w:tc>
        <w:tc>
          <w:tcPr>
            <w:tcW w:w="1072" w:type="dxa"/>
            <w:tcBorders>
              <w:top w:val="nil"/>
              <w:left w:val="nil"/>
              <w:bottom w:val="single" w:sz="4" w:space="0" w:color="auto"/>
              <w:right w:val="single" w:sz="4" w:space="0" w:color="auto"/>
            </w:tcBorders>
            <w:noWrap/>
            <w:vAlign w:val="center"/>
            <w:hideMark/>
          </w:tcPr>
          <w:p w14:paraId="7708F70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235,757</w:t>
            </w:r>
          </w:p>
        </w:tc>
        <w:tc>
          <w:tcPr>
            <w:tcW w:w="1072" w:type="dxa"/>
            <w:tcBorders>
              <w:top w:val="nil"/>
              <w:left w:val="nil"/>
              <w:bottom w:val="single" w:sz="4" w:space="0" w:color="auto"/>
              <w:right w:val="single" w:sz="4" w:space="0" w:color="auto"/>
            </w:tcBorders>
            <w:noWrap/>
            <w:vAlign w:val="center"/>
            <w:hideMark/>
          </w:tcPr>
          <w:p w14:paraId="2DF94D77"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234,399</w:t>
            </w:r>
          </w:p>
        </w:tc>
        <w:tc>
          <w:tcPr>
            <w:tcW w:w="976" w:type="dxa"/>
            <w:tcBorders>
              <w:top w:val="nil"/>
              <w:left w:val="nil"/>
              <w:bottom w:val="single" w:sz="4" w:space="0" w:color="auto"/>
              <w:right w:val="single" w:sz="4" w:space="0" w:color="auto"/>
            </w:tcBorders>
            <w:noWrap/>
            <w:vAlign w:val="center"/>
            <w:hideMark/>
          </w:tcPr>
          <w:p w14:paraId="501D8F31"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196,989</w:t>
            </w:r>
          </w:p>
        </w:tc>
      </w:tr>
      <w:tr w:rsidR="00A80E41" w:rsidRPr="008D7DBA" w14:paraId="2F9CE7A1" w14:textId="77777777" w:rsidTr="00495580">
        <w:trPr>
          <w:trHeight w:val="291"/>
        </w:trPr>
        <w:tc>
          <w:tcPr>
            <w:tcW w:w="2730" w:type="dxa"/>
            <w:tcBorders>
              <w:top w:val="nil"/>
              <w:left w:val="single" w:sz="4" w:space="0" w:color="auto"/>
              <w:bottom w:val="single" w:sz="4" w:space="0" w:color="auto"/>
              <w:right w:val="single" w:sz="4" w:space="0" w:color="auto"/>
            </w:tcBorders>
            <w:noWrap/>
            <w:vAlign w:val="bottom"/>
            <w:hideMark/>
          </w:tcPr>
          <w:p w14:paraId="5E4F794E" w14:textId="77777777" w:rsidR="00495580" w:rsidRPr="00495580" w:rsidRDefault="00495580" w:rsidP="00495580">
            <w:pPr>
              <w:spacing w:after="0" w:line="240" w:lineRule="auto"/>
              <w:jc w:val="left"/>
              <w:rPr>
                <w:rFonts w:ascii="Arial" w:eastAsia="Times New Roman" w:hAnsi="Arial" w:cs="Arial"/>
                <w:kern w:val="0"/>
                <w:szCs w:val="24"/>
                <w14:ligatures w14:val="none"/>
              </w:rPr>
            </w:pPr>
            <w:r w:rsidRPr="00495580">
              <w:rPr>
                <w:rFonts w:ascii="Arial" w:eastAsia="Times New Roman" w:hAnsi="Arial" w:cs="Arial"/>
                <w:kern w:val="0"/>
                <w:szCs w:val="24"/>
                <w14:ligatures w14:val="none"/>
              </w:rPr>
              <w:t>Cash Flow to Debt Ratio</w:t>
            </w:r>
          </w:p>
        </w:tc>
        <w:tc>
          <w:tcPr>
            <w:tcW w:w="1572" w:type="dxa"/>
            <w:vMerge/>
            <w:tcBorders>
              <w:top w:val="nil"/>
              <w:left w:val="single" w:sz="4" w:space="0" w:color="auto"/>
              <w:bottom w:val="single" w:sz="4" w:space="0" w:color="auto"/>
              <w:right w:val="single" w:sz="4" w:space="0" w:color="auto"/>
            </w:tcBorders>
            <w:vAlign w:val="center"/>
            <w:hideMark/>
          </w:tcPr>
          <w:p w14:paraId="29ED90A3" w14:textId="77777777" w:rsidR="00495580" w:rsidRPr="00495580" w:rsidRDefault="00495580" w:rsidP="00495580">
            <w:pPr>
              <w:spacing w:after="0" w:line="240" w:lineRule="auto"/>
              <w:jc w:val="left"/>
              <w:rPr>
                <w:rFonts w:ascii="Arial" w:eastAsia="Times New Roman" w:hAnsi="Arial" w:cs="Arial"/>
                <w:kern w:val="0"/>
                <w:szCs w:val="24"/>
                <w14:ligatures w14:val="none"/>
              </w:rPr>
            </w:pPr>
          </w:p>
        </w:tc>
        <w:tc>
          <w:tcPr>
            <w:tcW w:w="976" w:type="dxa"/>
            <w:tcBorders>
              <w:top w:val="nil"/>
              <w:left w:val="nil"/>
              <w:bottom w:val="single" w:sz="4" w:space="0" w:color="auto"/>
              <w:right w:val="single" w:sz="4" w:space="0" w:color="auto"/>
            </w:tcBorders>
            <w:noWrap/>
            <w:vAlign w:val="bottom"/>
            <w:hideMark/>
          </w:tcPr>
          <w:p w14:paraId="19D274E4"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0.09</w:t>
            </w:r>
          </w:p>
        </w:tc>
        <w:tc>
          <w:tcPr>
            <w:tcW w:w="976" w:type="dxa"/>
            <w:tcBorders>
              <w:top w:val="nil"/>
              <w:left w:val="nil"/>
              <w:bottom w:val="single" w:sz="4" w:space="0" w:color="auto"/>
              <w:right w:val="single" w:sz="4" w:space="0" w:color="auto"/>
            </w:tcBorders>
            <w:noWrap/>
            <w:vAlign w:val="bottom"/>
            <w:hideMark/>
          </w:tcPr>
          <w:p w14:paraId="39DB00BB"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0.14</w:t>
            </w:r>
          </w:p>
        </w:tc>
        <w:tc>
          <w:tcPr>
            <w:tcW w:w="1072" w:type="dxa"/>
            <w:tcBorders>
              <w:top w:val="nil"/>
              <w:left w:val="nil"/>
              <w:bottom w:val="single" w:sz="4" w:space="0" w:color="auto"/>
              <w:right w:val="single" w:sz="4" w:space="0" w:color="auto"/>
            </w:tcBorders>
            <w:noWrap/>
            <w:vAlign w:val="bottom"/>
            <w:hideMark/>
          </w:tcPr>
          <w:p w14:paraId="21B7DEB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0.05</w:t>
            </w:r>
          </w:p>
        </w:tc>
        <w:tc>
          <w:tcPr>
            <w:tcW w:w="1072" w:type="dxa"/>
            <w:tcBorders>
              <w:top w:val="nil"/>
              <w:left w:val="nil"/>
              <w:bottom w:val="single" w:sz="4" w:space="0" w:color="auto"/>
              <w:right w:val="single" w:sz="4" w:space="0" w:color="auto"/>
            </w:tcBorders>
            <w:noWrap/>
            <w:vAlign w:val="bottom"/>
            <w:hideMark/>
          </w:tcPr>
          <w:p w14:paraId="25E8426A"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0.17</w:t>
            </w:r>
          </w:p>
        </w:tc>
        <w:tc>
          <w:tcPr>
            <w:tcW w:w="976" w:type="dxa"/>
            <w:tcBorders>
              <w:top w:val="nil"/>
              <w:left w:val="nil"/>
              <w:bottom w:val="single" w:sz="4" w:space="0" w:color="auto"/>
              <w:right w:val="single" w:sz="4" w:space="0" w:color="auto"/>
            </w:tcBorders>
            <w:noWrap/>
            <w:vAlign w:val="bottom"/>
            <w:hideMark/>
          </w:tcPr>
          <w:p w14:paraId="5A48A2DD" w14:textId="77777777" w:rsidR="00495580" w:rsidRPr="00495580" w:rsidRDefault="00495580" w:rsidP="00495580">
            <w:pPr>
              <w:spacing w:after="0" w:line="240" w:lineRule="auto"/>
              <w:jc w:val="right"/>
              <w:rPr>
                <w:rFonts w:ascii="Arial" w:eastAsia="Times New Roman" w:hAnsi="Arial" w:cs="Arial"/>
                <w:kern w:val="0"/>
                <w:szCs w:val="24"/>
                <w14:ligatures w14:val="none"/>
              </w:rPr>
            </w:pPr>
            <w:r w:rsidRPr="00495580">
              <w:rPr>
                <w:rFonts w:ascii="Arial" w:eastAsia="Times New Roman" w:hAnsi="Arial" w:cs="Arial"/>
                <w:kern w:val="0"/>
                <w:szCs w:val="24"/>
                <w14:ligatures w14:val="none"/>
              </w:rPr>
              <w:t>0.37</w:t>
            </w:r>
          </w:p>
        </w:tc>
      </w:tr>
    </w:tbl>
    <w:p w14:paraId="775C9115" w14:textId="77777777" w:rsidR="00B96BC4" w:rsidRPr="008D7DBA" w:rsidRDefault="00B96BC4" w:rsidP="00B96BC4">
      <w:pPr>
        <w:rPr>
          <w:rFonts w:ascii="Arial" w:hAnsi="Arial" w:cs="Arial"/>
        </w:rPr>
      </w:pPr>
    </w:p>
    <w:p w14:paraId="31BCA922" w14:textId="21847A66" w:rsidR="009515BF" w:rsidRPr="008D7DBA" w:rsidRDefault="0071222E" w:rsidP="009515BF">
      <w:pPr>
        <w:pStyle w:val="Heading2"/>
        <w:rPr>
          <w:rFonts w:ascii="Arial" w:hAnsi="Arial" w:cs="Arial"/>
        </w:rPr>
      </w:pPr>
      <w:bookmarkStart w:id="36" w:name="_Toc216380896"/>
      <w:r w:rsidRPr="008D7DBA">
        <w:rPr>
          <w:rFonts w:ascii="Arial" w:hAnsi="Arial" w:cs="Arial"/>
        </w:rPr>
        <w:t xml:space="preserve">8.2 </w:t>
      </w:r>
      <w:r w:rsidR="009515BF" w:rsidRPr="008D7DBA">
        <w:rPr>
          <w:rFonts w:ascii="Arial" w:hAnsi="Arial" w:cs="Arial"/>
        </w:rPr>
        <w:t>Investment appraisal calculations</w:t>
      </w:r>
      <w:bookmarkEnd w:id="36"/>
    </w:p>
    <w:tbl>
      <w:tblPr>
        <w:tblW w:w="9627" w:type="dxa"/>
        <w:tblLook w:val="04A0" w:firstRow="1" w:lastRow="0" w:firstColumn="1" w:lastColumn="0" w:noHBand="0" w:noVBand="1"/>
      </w:tblPr>
      <w:tblGrid>
        <w:gridCol w:w="3422"/>
        <w:gridCol w:w="2579"/>
        <w:gridCol w:w="1864"/>
        <w:gridCol w:w="1762"/>
      </w:tblGrid>
      <w:tr w:rsidR="00A80E41" w:rsidRPr="008D7DBA" w14:paraId="1B1F6C78" w14:textId="77777777" w:rsidTr="00BA0E19">
        <w:trPr>
          <w:trHeight w:val="294"/>
        </w:trPr>
        <w:tc>
          <w:tcPr>
            <w:tcW w:w="3422" w:type="dxa"/>
            <w:tcBorders>
              <w:top w:val="single" w:sz="4" w:space="0" w:color="auto"/>
              <w:left w:val="single" w:sz="4" w:space="0" w:color="auto"/>
              <w:bottom w:val="single" w:sz="4" w:space="0" w:color="auto"/>
              <w:right w:val="single" w:sz="4" w:space="0" w:color="auto"/>
            </w:tcBorders>
            <w:noWrap/>
            <w:vAlign w:val="bottom"/>
            <w:hideMark/>
          </w:tcPr>
          <w:p w14:paraId="158270DC"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Project A</w:t>
            </w:r>
          </w:p>
        </w:tc>
        <w:tc>
          <w:tcPr>
            <w:tcW w:w="2579" w:type="dxa"/>
            <w:tcBorders>
              <w:top w:val="single" w:sz="4" w:space="0" w:color="auto"/>
              <w:left w:val="nil"/>
              <w:bottom w:val="single" w:sz="4" w:space="0" w:color="auto"/>
              <w:right w:val="single" w:sz="4" w:space="0" w:color="auto"/>
            </w:tcBorders>
            <w:noWrap/>
            <w:vAlign w:val="bottom"/>
            <w:hideMark/>
          </w:tcPr>
          <w:p w14:paraId="4830527B"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864" w:type="dxa"/>
            <w:tcBorders>
              <w:top w:val="single" w:sz="4" w:space="0" w:color="auto"/>
              <w:left w:val="nil"/>
              <w:bottom w:val="single" w:sz="4" w:space="0" w:color="auto"/>
              <w:right w:val="single" w:sz="4" w:space="0" w:color="auto"/>
            </w:tcBorders>
            <w:noWrap/>
            <w:vAlign w:val="bottom"/>
            <w:hideMark/>
          </w:tcPr>
          <w:p w14:paraId="00D9191F"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762" w:type="dxa"/>
            <w:tcBorders>
              <w:top w:val="single" w:sz="4" w:space="0" w:color="auto"/>
              <w:left w:val="nil"/>
              <w:bottom w:val="single" w:sz="4" w:space="0" w:color="auto"/>
              <w:right w:val="single" w:sz="4" w:space="0" w:color="auto"/>
            </w:tcBorders>
            <w:noWrap/>
            <w:vAlign w:val="bottom"/>
            <w:hideMark/>
          </w:tcPr>
          <w:p w14:paraId="23A564F9"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r>
      <w:tr w:rsidR="00A80E41" w:rsidRPr="008D7DBA" w14:paraId="684AA0C5"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1F90E59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w:t>
            </w:r>
          </w:p>
        </w:tc>
        <w:tc>
          <w:tcPr>
            <w:tcW w:w="2579" w:type="dxa"/>
            <w:tcBorders>
              <w:top w:val="nil"/>
              <w:left w:val="nil"/>
              <w:bottom w:val="single" w:sz="4" w:space="0" w:color="auto"/>
              <w:right w:val="single" w:sz="4" w:space="0" w:color="auto"/>
            </w:tcBorders>
            <w:vAlign w:val="center"/>
            <w:hideMark/>
          </w:tcPr>
          <w:p w14:paraId="14C39CB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Net Cash Flow</w:t>
            </w:r>
          </w:p>
        </w:tc>
        <w:tc>
          <w:tcPr>
            <w:tcW w:w="1864" w:type="dxa"/>
            <w:tcBorders>
              <w:top w:val="nil"/>
              <w:left w:val="nil"/>
              <w:bottom w:val="single" w:sz="4" w:space="0" w:color="auto"/>
              <w:right w:val="single" w:sz="4" w:space="0" w:color="auto"/>
            </w:tcBorders>
            <w:vAlign w:val="center"/>
            <w:hideMark/>
          </w:tcPr>
          <w:p w14:paraId="2F60010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Factor = 1/(1+0.10)^t</w:t>
            </w:r>
          </w:p>
        </w:tc>
        <w:tc>
          <w:tcPr>
            <w:tcW w:w="1762" w:type="dxa"/>
            <w:tcBorders>
              <w:top w:val="nil"/>
              <w:left w:val="nil"/>
              <w:bottom w:val="single" w:sz="4" w:space="0" w:color="auto"/>
              <w:right w:val="single" w:sz="4" w:space="0" w:color="auto"/>
            </w:tcBorders>
            <w:vAlign w:val="center"/>
            <w:hideMark/>
          </w:tcPr>
          <w:p w14:paraId="1114DC0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of Inflow</w:t>
            </w:r>
          </w:p>
        </w:tc>
      </w:tr>
      <w:tr w:rsidR="00A80E41" w:rsidRPr="008D7DBA" w14:paraId="42C4BFA0"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1206970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w:t>
            </w:r>
          </w:p>
        </w:tc>
        <w:tc>
          <w:tcPr>
            <w:tcW w:w="2579" w:type="dxa"/>
            <w:tcBorders>
              <w:top w:val="nil"/>
              <w:left w:val="nil"/>
              <w:bottom w:val="single" w:sz="4" w:space="0" w:color="auto"/>
              <w:right w:val="single" w:sz="4" w:space="0" w:color="auto"/>
            </w:tcBorders>
            <w:vAlign w:val="center"/>
            <w:hideMark/>
          </w:tcPr>
          <w:p w14:paraId="21DD71B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-40</w:t>
            </w:r>
          </w:p>
        </w:tc>
        <w:tc>
          <w:tcPr>
            <w:tcW w:w="1864" w:type="dxa"/>
            <w:tcBorders>
              <w:top w:val="nil"/>
              <w:left w:val="nil"/>
              <w:bottom w:val="single" w:sz="4" w:space="0" w:color="auto"/>
              <w:right w:val="single" w:sz="4" w:space="0" w:color="auto"/>
            </w:tcBorders>
            <w:vAlign w:val="center"/>
            <w:hideMark/>
          </w:tcPr>
          <w:p w14:paraId="475F4DF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w:t>
            </w:r>
          </w:p>
        </w:tc>
        <w:tc>
          <w:tcPr>
            <w:tcW w:w="1762" w:type="dxa"/>
            <w:tcBorders>
              <w:top w:val="nil"/>
              <w:left w:val="nil"/>
              <w:bottom w:val="single" w:sz="4" w:space="0" w:color="auto"/>
              <w:right w:val="single" w:sz="4" w:space="0" w:color="auto"/>
            </w:tcBorders>
            <w:vAlign w:val="center"/>
            <w:hideMark/>
          </w:tcPr>
          <w:p w14:paraId="2E3F058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-40</w:t>
            </w:r>
          </w:p>
        </w:tc>
      </w:tr>
      <w:tr w:rsidR="00A80E41" w:rsidRPr="008D7DBA" w14:paraId="03F93D5A"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10F828F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w:t>
            </w:r>
          </w:p>
        </w:tc>
        <w:tc>
          <w:tcPr>
            <w:tcW w:w="2579" w:type="dxa"/>
            <w:tcBorders>
              <w:top w:val="nil"/>
              <w:left w:val="nil"/>
              <w:bottom w:val="single" w:sz="4" w:space="0" w:color="auto"/>
              <w:right w:val="single" w:sz="4" w:space="0" w:color="auto"/>
            </w:tcBorders>
            <w:vAlign w:val="center"/>
            <w:hideMark/>
          </w:tcPr>
          <w:p w14:paraId="1B47EB9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10</w:t>
            </w:r>
          </w:p>
        </w:tc>
        <w:tc>
          <w:tcPr>
            <w:tcW w:w="1864" w:type="dxa"/>
            <w:tcBorders>
              <w:top w:val="nil"/>
              <w:left w:val="nil"/>
              <w:bottom w:val="single" w:sz="4" w:space="0" w:color="auto"/>
              <w:right w:val="single" w:sz="4" w:space="0" w:color="auto"/>
            </w:tcBorders>
            <w:vAlign w:val="center"/>
            <w:hideMark/>
          </w:tcPr>
          <w:p w14:paraId="3125B64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0.9091</w:t>
            </w:r>
          </w:p>
        </w:tc>
        <w:tc>
          <w:tcPr>
            <w:tcW w:w="1762" w:type="dxa"/>
            <w:tcBorders>
              <w:top w:val="nil"/>
              <w:left w:val="nil"/>
              <w:bottom w:val="single" w:sz="4" w:space="0" w:color="auto"/>
              <w:right w:val="single" w:sz="4" w:space="0" w:color="auto"/>
            </w:tcBorders>
            <w:vAlign w:val="center"/>
            <w:hideMark/>
          </w:tcPr>
          <w:p w14:paraId="0ECDB08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9.09</w:t>
            </w:r>
          </w:p>
        </w:tc>
      </w:tr>
      <w:tr w:rsidR="00A80E41" w:rsidRPr="008D7DBA" w14:paraId="3B455640"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0BB35C2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w:t>
            </w:r>
          </w:p>
        </w:tc>
        <w:tc>
          <w:tcPr>
            <w:tcW w:w="2579" w:type="dxa"/>
            <w:tcBorders>
              <w:top w:val="nil"/>
              <w:left w:val="nil"/>
              <w:bottom w:val="single" w:sz="4" w:space="0" w:color="auto"/>
              <w:right w:val="single" w:sz="4" w:space="0" w:color="auto"/>
            </w:tcBorders>
            <w:vAlign w:val="center"/>
            <w:hideMark/>
          </w:tcPr>
          <w:p w14:paraId="7AE3B97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12</w:t>
            </w:r>
          </w:p>
        </w:tc>
        <w:tc>
          <w:tcPr>
            <w:tcW w:w="1864" w:type="dxa"/>
            <w:tcBorders>
              <w:top w:val="nil"/>
              <w:left w:val="nil"/>
              <w:bottom w:val="single" w:sz="4" w:space="0" w:color="auto"/>
              <w:right w:val="single" w:sz="4" w:space="0" w:color="auto"/>
            </w:tcBorders>
            <w:vAlign w:val="center"/>
            <w:hideMark/>
          </w:tcPr>
          <w:p w14:paraId="0D4F980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0.8264</w:t>
            </w:r>
          </w:p>
        </w:tc>
        <w:tc>
          <w:tcPr>
            <w:tcW w:w="1762" w:type="dxa"/>
            <w:tcBorders>
              <w:top w:val="nil"/>
              <w:left w:val="nil"/>
              <w:bottom w:val="single" w:sz="4" w:space="0" w:color="auto"/>
              <w:right w:val="single" w:sz="4" w:space="0" w:color="auto"/>
            </w:tcBorders>
            <w:vAlign w:val="center"/>
            <w:hideMark/>
          </w:tcPr>
          <w:p w14:paraId="4188E1A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9.92</w:t>
            </w:r>
          </w:p>
        </w:tc>
      </w:tr>
      <w:tr w:rsidR="00A80E41" w:rsidRPr="008D7DBA" w14:paraId="5580861D"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6E0AB0E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w:t>
            </w:r>
          </w:p>
        </w:tc>
        <w:tc>
          <w:tcPr>
            <w:tcW w:w="2579" w:type="dxa"/>
            <w:tcBorders>
              <w:top w:val="nil"/>
              <w:left w:val="nil"/>
              <w:bottom w:val="single" w:sz="4" w:space="0" w:color="auto"/>
              <w:right w:val="single" w:sz="4" w:space="0" w:color="auto"/>
            </w:tcBorders>
            <w:vAlign w:val="center"/>
            <w:hideMark/>
          </w:tcPr>
          <w:p w14:paraId="2B30D3E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14</w:t>
            </w:r>
          </w:p>
        </w:tc>
        <w:tc>
          <w:tcPr>
            <w:tcW w:w="1864" w:type="dxa"/>
            <w:tcBorders>
              <w:top w:val="nil"/>
              <w:left w:val="nil"/>
              <w:bottom w:val="single" w:sz="4" w:space="0" w:color="auto"/>
              <w:right w:val="single" w:sz="4" w:space="0" w:color="auto"/>
            </w:tcBorders>
            <w:vAlign w:val="center"/>
            <w:hideMark/>
          </w:tcPr>
          <w:p w14:paraId="0B3EEE76"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0.7513</w:t>
            </w:r>
          </w:p>
        </w:tc>
        <w:tc>
          <w:tcPr>
            <w:tcW w:w="1762" w:type="dxa"/>
            <w:tcBorders>
              <w:top w:val="nil"/>
              <w:left w:val="nil"/>
              <w:bottom w:val="single" w:sz="4" w:space="0" w:color="auto"/>
              <w:right w:val="single" w:sz="4" w:space="0" w:color="auto"/>
            </w:tcBorders>
            <w:vAlign w:val="center"/>
            <w:hideMark/>
          </w:tcPr>
          <w:p w14:paraId="084EE3A9"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10.52</w:t>
            </w:r>
          </w:p>
        </w:tc>
      </w:tr>
      <w:tr w:rsidR="00A80E41" w:rsidRPr="008D7DBA" w14:paraId="2A48BFE8"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3EA5D77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w:t>
            </w:r>
          </w:p>
        </w:tc>
        <w:tc>
          <w:tcPr>
            <w:tcW w:w="2579" w:type="dxa"/>
            <w:tcBorders>
              <w:top w:val="nil"/>
              <w:left w:val="nil"/>
              <w:bottom w:val="single" w:sz="4" w:space="0" w:color="auto"/>
              <w:right w:val="single" w:sz="4" w:space="0" w:color="auto"/>
            </w:tcBorders>
            <w:vAlign w:val="center"/>
            <w:hideMark/>
          </w:tcPr>
          <w:p w14:paraId="7B4783E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10</w:t>
            </w:r>
          </w:p>
        </w:tc>
        <w:tc>
          <w:tcPr>
            <w:tcW w:w="1864" w:type="dxa"/>
            <w:tcBorders>
              <w:top w:val="nil"/>
              <w:left w:val="nil"/>
              <w:bottom w:val="single" w:sz="4" w:space="0" w:color="auto"/>
              <w:right w:val="single" w:sz="4" w:space="0" w:color="auto"/>
            </w:tcBorders>
            <w:vAlign w:val="center"/>
            <w:hideMark/>
          </w:tcPr>
          <w:p w14:paraId="019D5F44"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0.683</w:t>
            </w:r>
          </w:p>
        </w:tc>
        <w:tc>
          <w:tcPr>
            <w:tcW w:w="1762" w:type="dxa"/>
            <w:tcBorders>
              <w:top w:val="nil"/>
              <w:left w:val="nil"/>
              <w:bottom w:val="single" w:sz="4" w:space="0" w:color="auto"/>
              <w:right w:val="single" w:sz="4" w:space="0" w:color="auto"/>
            </w:tcBorders>
            <w:vAlign w:val="center"/>
            <w:hideMark/>
          </w:tcPr>
          <w:p w14:paraId="0D5C5580"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6.83</w:t>
            </w:r>
          </w:p>
        </w:tc>
      </w:tr>
      <w:tr w:rsidR="00A80E41" w:rsidRPr="008D7DBA" w14:paraId="1BC1457C"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43F6F34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w:t>
            </w:r>
          </w:p>
        </w:tc>
        <w:tc>
          <w:tcPr>
            <w:tcW w:w="2579" w:type="dxa"/>
            <w:tcBorders>
              <w:top w:val="nil"/>
              <w:left w:val="nil"/>
              <w:bottom w:val="single" w:sz="4" w:space="0" w:color="auto"/>
              <w:right w:val="single" w:sz="4" w:space="0" w:color="auto"/>
            </w:tcBorders>
            <w:vAlign w:val="center"/>
            <w:hideMark/>
          </w:tcPr>
          <w:p w14:paraId="73E07BC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8</w:t>
            </w:r>
          </w:p>
        </w:tc>
        <w:tc>
          <w:tcPr>
            <w:tcW w:w="1864" w:type="dxa"/>
            <w:tcBorders>
              <w:top w:val="nil"/>
              <w:left w:val="nil"/>
              <w:bottom w:val="single" w:sz="4" w:space="0" w:color="auto"/>
              <w:right w:val="single" w:sz="4" w:space="0" w:color="auto"/>
            </w:tcBorders>
            <w:vAlign w:val="center"/>
            <w:hideMark/>
          </w:tcPr>
          <w:p w14:paraId="05FA005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0.6209</w:t>
            </w:r>
          </w:p>
        </w:tc>
        <w:tc>
          <w:tcPr>
            <w:tcW w:w="1762" w:type="dxa"/>
            <w:tcBorders>
              <w:top w:val="nil"/>
              <w:left w:val="nil"/>
              <w:bottom w:val="single" w:sz="4" w:space="0" w:color="auto"/>
              <w:right w:val="single" w:sz="4" w:space="0" w:color="auto"/>
            </w:tcBorders>
            <w:vAlign w:val="center"/>
            <w:hideMark/>
          </w:tcPr>
          <w:p w14:paraId="62EC3BD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4.97</w:t>
            </w:r>
          </w:p>
        </w:tc>
      </w:tr>
      <w:tr w:rsidR="00A80E41" w:rsidRPr="008D7DBA" w14:paraId="538894A3"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6093625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Totals</w:t>
            </w:r>
          </w:p>
        </w:tc>
        <w:tc>
          <w:tcPr>
            <w:tcW w:w="2579" w:type="dxa"/>
            <w:tcBorders>
              <w:top w:val="nil"/>
              <w:left w:val="nil"/>
              <w:bottom w:val="single" w:sz="4" w:space="0" w:color="auto"/>
              <w:right w:val="single" w:sz="4" w:space="0" w:color="auto"/>
            </w:tcBorders>
            <w:vAlign w:val="center"/>
            <w:hideMark/>
          </w:tcPr>
          <w:p w14:paraId="11316C1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300C942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6D9DA324"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inflows = 41.33</w:t>
            </w:r>
          </w:p>
        </w:tc>
      </w:tr>
      <w:tr w:rsidR="00A80E41" w:rsidRPr="008D7DBA" w14:paraId="346BB2B9" w14:textId="77777777" w:rsidTr="00BA0E19">
        <w:trPr>
          <w:trHeight w:val="796"/>
        </w:trPr>
        <w:tc>
          <w:tcPr>
            <w:tcW w:w="3422" w:type="dxa"/>
            <w:tcBorders>
              <w:top w:val="nil"/>
              <w:left w:val="single" w:sz="4" w:space="0" w:color="auto"/>
              <w:bottom w:val="single" w:sz="4" w:space="0" w:color="auto"/>
              <w:right w:val="single" w:sz="4" w:space="0" w:color="auto"/>
            </w:tcBorders>
            <w:vAlign w:val="center"/>
            <w:hideMark/>
          </w:tcPr>
          <w:p w14:paraId="39BB151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2579" w:type="dxa"/>
            <w:tcBorders>
              <w:top w:val="nil"/>
              <w:left w:val="nil"/>
              <w:bottom w:val="single" w:sz="4" w:space="0" w:color="auto"/>
              <w:right w:val="single" w:sz="4" w:space="0" w:color="auto"/>
            </w:tcBorders>
            <w:vAlign w:val="center"/>
            <w:hideMark/>
          </w:tcPr>
          <w:p w14:paraId="5925186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7F26FE36"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15F35E0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NPV = 41.33 − 40.00 = £1.324m</w:t>
            </w:r>
          </w:p>
        </w:tc>
      </w:tr>
      <w:tr w:rsidR="00A80E41" w:rsidRPr="008D7DBA" w14:paraId="24F69808"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22B43E2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2579" w:type="dxa"/>
            <w:tcBorders>
              <w:top w:val="nil"/>
              <w:left w:val="nil"/>
              <w:bottom w:val="single" w:sz="4" w:space="0" w:color="auto"/>
              <w:right w:val="single" w:sz="4" w:space="0" w:color="auto"/>
            </w:tcBorders>
            <w:vAlign w:val="center"/>
            <w:hideMark/>
          </w:tcPr>
          <w:p w14:paraId="77C1E51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647E8BA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65C07FE0"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PI = 41.33 / 40.00 = 1.033</w:t>
            </w:r>
          </w:p>
        </w:tc>
      </w:tr>
      <w:tr w:rsidR="00A80E41" w:rsidRPr="008D7DBA" w14:paraId="52C71E89" w14:textId="77777777" w:rsidTr="00BA0E19">
        <w:trPr>
          <w:trHeight w:val="294"/>
        </w:trPr>
        <w:tc>
          <w:tcPr>
            <w:tcW w:w="3422" w:type="dxa"/>
            <w:tcBorders>
              <w:top w:val="nil"/>
              <w:left w:val="single" w:sz="4" w:space="0" w:color="auto"/>
              <w:bottom w:val="single" w:sz="4" w:space="0" w:color="auto"/>
              <w:right w:val="single" w:sz="4" w:space="0" w:color="auto"/>
            </w:tcBorders>
            <w:noWrap/>
            <w:vAlign w:val="bottom"/>
            <w:hideMark/>
          </w:tcPr>
          <w:p w14:paraId="233334B6"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Project B</w:t>
            </w:r>
          </w:p>
        </w:tc>
        <w:tc>
          <w:tcPr>
            <w:tcW w:w="2579" w:type="dxa"/>
            <w:tcBorders>
              <w:top w:val="nil"/>
              <w:left w:val="nil"/>
              <w:bottom w:val="single" w:sz="4" w:space="0" w:color="auto"/>
              <w:right w:val="single" w:sz="4" w:space="0" w:color="auto"/>
            </w:tcBorders>
            <w:noWrap/>
            <w:vAlign w:val="bottom"/>
            <w:hideMark/>
          </w:tcPr>
          <w:p w14:paraId="7E7A00BB"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864" w:type="dxa"/>
            <w:tcBorders>
              <w:top w:val="nil"/>
              <w:left w:val="nil"/>
              <w:bottom w:val="single" w:sz="4" w:space="0" w:color="auto"/>
              <w:right w:val="single" w:sz="4" w:space="0" w:color="auto"/>
            </w:tcBorders>
            <w:noWrap/>
            <w:vAlign w:val="bottom"/>
            <w:hideMark/>
          </w:tcPr>
          <w:p w14:paraId="297B053D"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762" w:type="dxa"/>
            <w:tcBorders>
              <w:top w:val="nil"/>
              <w:left w:val="nil"/>
              <w:bottom w:val="single" w:sz="4" w:space="0" w:color="auto"/>
              <w:right w:val="single" w:sz="4" w:space="0" w:color="auto"/>
            </w:tcBorders>
            <w:noWrap/>
            <w:vAlign w:val="bottom"/>
            <w:hideMark/>
          </w:tcPr>
          <w:p w14:paraId="6F84C003"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r>
      <w:tr w:rsidR="00A80E41" w:rsidRPr="008D7DBA" w14:paraId="6806CF17"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3BEB59E4"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w:t>
            </w:r>
          </w:p>
        </w:tc>
        <w:tc>
          <w:tcPr>
            <w:tcW w:w="2579" w:type="dxa"/>
            <w:tcBorders>
              <w:top w:val="nil"/>
              <w:left w:val="nil"/>
              <w:bottom w:val="single" w:sz="4" w:space="0" w:color="auto"/>
              <w:right w:val="single" w:sz="4" w:space="0" w:color="auto"/>
            </w:tcBorders>
            <w:vAlign w:val="center"/>
            <w:hideMark/>
          </w:tcPr>
          <w:p w14:paraId="4EE45DC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Net Cash Flow</w:t>
            </w:r>
          </w:p>
        </w:tc>
        <w:tc>
          <w:tcPr>
            <w:tcW w:w="1864" w:type="dxa"/>
            <w:tcBorders>
              <w:top w:val="nil"/>
              <w:left w:val="nil"/>
              <w:bottom w:val="single" w:sz="4" w:space="0" w:color="auto"/>
              <w:right w:val="single" w:sz="4" w:space="0" w:color="auto"/>
            </w:tcBorders>
            <w:vAlign w:val="center"/>
            <w:hideMark/>
          </w:tcPr>
          <w:p w14:paraId="29EEDFA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Factor</w:t>
            </w:r>
          </w:p>
        </w:tc>
        <w:tc>
          <w:tcPr>
            <w:tcW w:w="1762" w:type="dxa"/>
            <w:tcBorders>
              <w:top w:val="nil"/>
              <w:left w:val="nil"/>
              <w:bottom w:val="single" w:sz="4" w:space="0" w:color="auto"/>
              <w:right w:val="single" w:sz="4" w:space="0" w:color="auto"/>
            </w:tcBorders>
            <w:vAlign w:val="center"/>
            <w:hideMark/>
          </w:tcPr>
          <w:p w14:paraId="4C07F31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of Inflow</w:t>
            </w:r>
          </w:p>
        </w:tc>
      </w:tr>
      <w:tr w:rsidR="00A80E41" w:rsidRPr="008D7DBA" w14:paraId="54B7CFD9"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68439599"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w:t>
            </w:r>
          </w:p>
        </w:tc>
        <w:tc>
          <w:tcPr>
            <w:tcW w:w="2579" w:type="dxa"/>
            <w:tcBorders>
              <w:top w:val="nil"/>
              <w:left w:val="nil"/>
              <w:bottom w:val="single" w:sz="4" w:space="0" w:color="auto"/>
              <w:right w:val="single" w:sz="4" w:space="0" w:color="auto"/>
            </w:tcBorders>
            <w:vAlign w:val="center"/>
            <w:hideMark/>
          </w:tcPr>
          <w:p w14:paraId="03CEEC2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-30</w:t>
            </w:r>
          </w:p>
        </w:tc>
        <w:tc>
          <w:tcPr>
            <w:tcW w:w="1864" w:type="dxa"/>
            <w:tcBorders>
              <w:top w:val="nil"/>
              <w:left w:val="nil"/>
              <w:bottom w:val="single" w:sz="4" w:space="0" w:color="auto"/>
              <w:right w:val="single" w:sz="4" w:space="0" w:color="auto"/>
            </w:tcBorders>
            <w:vAlign w:val="center"/>
            <w:hideMark/>
          </w:tcPr>
          <w:p w14:paraId="3447027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w:t>
            </w:r>
          </w:p>
        </w:tc>
        <w:tc>
          <w:tcPr>
            <w:tcW w:w="1762" w:type="dxa"/>
            <w:tcBorders>
              <w:top w:val="nil"/>
              <w:left w:val="nil"/>
              <w:bottom w:val="single" w:sz="4" w:space="0" w:color="auto"/>
              <w:right w:val="single" w:sz="4" w:space="0" w:color="auto"/>
            </w:tcBorders>
            <w:vAlign w:val="center"/>
            <w:hideMark/>
          </w:tcPr>
          <w:p w14:paraId="2335743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-30</w:t>
            </w:r>
          </w:p>
        </w:tc>
      </w:tr>
      <w:tr w:rsidR="00A80E41" w:rsidRPr="008D7DBA" w14:paraId="0AF6F23E"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2AAD935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w:t>
            </w:r>
          </w:p>
        </w:tc>
        <w:tc>
          <w:tcPr>
            <w:tcW w:w="2579" w:type="dxa"/>
            <w:tcBorders>
              <w:top w:val="nil"/>
              <w:left w:val="nil"/>
              <w:bottom w:val="single" w:sz="4" w:space="0" w:color="auto"/>
              <w:right w:val="single" w:sz="4" w:space="0" w:color="auto"/>
            </w:tcBorders>
            <w:vAlign w:val="center"/>
            <w:hideMark/>
          </w:tcPr>
          <w:p w14:paraId="5FF9824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864" w:type="dxa"/>
            <w:tcBorders>
              <w:top w:val="nil"/>
              <w:left w:val="nil"/>
              <w:bottom w:val="single" w:sz="4" w:space="0" w:color="auto"/>
              <w:right w:val="single" w:sz="4" w:space="0" w:color="auto"/>
            </w:tcBorders>
            <w:vAlign w:val="center"/>
            <w:hideMark/>
          </w:tcPr>
          <w:p w14:paraId="0209028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0.9091</w:t>
            </w:r>
          </w:p>
        </w:tc>
        <w:tc>
          <w:tcPr>
            <w:tcW w:w="1762" w:type="dxa"/>
            <w:tcBorders>
              <w:top w:val="nil"/>
              <w:left w:val="nil"/>
              <w:bottom w:val="single" w:sz="4" w:space="0" w:color="auto"/>
              <w:right w:val="single" w:sz="4" w:space="0" w:color="auto"/>
            </w:tcBorders>
            <w:vAlign w:val="center"/>
            <w:hideMark/>
          </w:tcPr>
          <w:p w14:paraId="2EB2586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5.45</w:t>
            </w:r>
          </w:p>
        </w:tc>
      </w:tr>
      <w:tr w:rsidR="00A80E41" w:rsidRPr="008D7DBA" w14:paraId="6A866E66"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3EB7F82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w:t>
            </w:r>
          </w:p>
        </w:tc>
        <w:tc>
          <w:tcPr>
            <w:tcW w:w="2579" w:type="dxa"/>
            <w:tcBorders>
              <w:top w:val="nil"/>
              <w:left w:val="nil"/>
              <w:bottom w:val="single" w:sz="4" w:space="0" w:color="auto"/>
              <w:right w:val="single" w:sz="4" w:space="0" w:color="auto"/>
            </w:tcBorders>
            <w:vAlign w:val="center"/>
            <w:hideMark/>
          </w:tcPr>
          <w:p w14:paraId="32B8FDB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864" w:type="dxa"/>
            <w:tcBorders>
              <w:top w:val="nil"/>
              <w:left w:val="nil"/>
              <w:bottom w:val="single" w:sz="4" w:space="0" w:color="auto"/>
              <w:right w:val="single" w:sz="4" w:space="0" w:color="auto"/>
            </w:tcBorders>
            <w:vAlign w:val="center"/>
            <w:hideMark/>
          </w:tcPr>
          <w:p w14:paraId="7DEB0D4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0.8264</w:t>
            </w:r>
          </w:p>
        </w:tc>
        <w:tc>
          <w:tcPr>
            <w:tcW w:w="1762" w:type="dxa"/>
            <w:tcBorders>
              <w:top w:val="nil"/>
              <w:left w:val="nil"/>
              <w:bottom w:val="single" w:sz="4" w:space="0" w:color="auto"/>
              <w:right w:val="single" w:sz="4" w:space="0" w:color="auto"/>
            </w:tcBorders>
            <w:vAlign w:val="center"/>
            <w:hideMark/>
          </w:tcPr>
          <w:p w14:paraId="3D686F66"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4.96</w:t>
            </w:r>
          </w:p>
        </w:tc>
      </w:tr>
      <w:tr w:rsidR="00A80E41" w:rsidRPr="008D7DBA" w14:paraId="391F235D"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424630C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w:t>
            </w:r>
          </w:p>
        </w:tc>
        <w:tc>
          <w:tcPr>
            <w:tcW w:w="2579" w:type="dxa"/>
            <w:tcBorders>
              <w:top w:val="nil"/>
              <w:left w:val="nil"/>
              <w:bottom w:val="single" w:sz="4" w:space="0" w:color="auto"/>
              <w:right w:val="single" w:sz="4" w:space="0" w:color="auto"/>
            </w:tcBorders>
            <w:vAlign w:val="center"/>
            <w:hideMark/>
          </w:tcPr>
          <w:p w14:paraId="19CAD19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864" w:type="dxa"/>
            <w:tcBorders>
              <w:top w:val="nil"/>
              <w:left w:val="nil"/>
              <w:bottom w:val="single" w:sz="4" w:space="0" w:color="auto"/>
              <w:right w:val="single" w:sz="4" w:space="0" w:color="auto"/>
            </w:tcBorders>
            <w:vAlign w:val="center"/>
            <w:hideMark/>
          </w:tcPr>
          <w:p w14:paraId="14D81CC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0.7513</w:t>
            </w:r>
          </w:p>
        </w:tc>
        <w:tc>
          <w:tcPr>
            <w:tcW w:w="1762" w:type="dxa"/>
            <w:tcBorders>
              <w:top w:val="nil"/>
              <w:left w:val="nil"/>
              <w:bottom w:val="single" w:sz="4" w:space="0" w:color="auto"/>
              <w:right w:val="single" w:sz="4" w:space="0" w:color="auto"/>
            </w:tcBorders>
            <w:vAlign w:val="center"/>
            <w:hideMark/>
          </w:tcPr>
          <w:p w14:paraId="41D590C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4.51</w:t>
            </w:r>
          </w:p>
        </w:tc>
      </w:tr>
      <w:tr w:rsidR="00A80E41" w:rsidRPr="008D7DBA" w14:paraId="129B4027"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7A9C8C29"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w:t>
            </w:r>
          </w:p>
        </w:tc>
        <w:tc>
          <w:tcPr>
            <w:tcW w:w="2579" w:type="dxa"/>
            <w:tcBorders>
              <w:top w:val="nil"/>
              <w:left w:val="nil"/>
              <w:bottom w:val="single" w:sz="4" w:space="0" w:color="auto"/>
              <w:right w:val="single" w:sz="4" w:space="0" w:color="auto"/>
            </w:tcBorders>
            <w:vAlign w:val="center"/>
            <w:hideMark/>
          </w:tcPr>
          <w:p w14:paraId="62B9F7E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864" w:type="dxa"/>
            <w:tcBorders>
              <w:top w:val="nil"/>
              <w:left w:val="nil"/>
              <w:bottom w:val="single" w:sz="4" w:space="0" w:color="auto"/>
              <w:right w:val="single" w:sz="4" w:space="0" w:color="auto"/>
            </w:tcBorders>
            <w:vAlign w:val="center"/>
            <w:hideMark/>
          </w:tcPr>
          <w:p w14:paraId="13675DA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0.683</w:t>
            </w:r>
          </w:p>
        </w:tc>
        <w:tc>
          <w:tcPr>
            <w:tcW w:w="1762" w:type="dxa"/>
            <w:tcBorders>
              <w:top w:val="nil"/>
              <w:left w:val="nil"/>
              <w:bottom w:val="single" w:sz="4" w:space="0" w:color="auto"/>
              <w:right w:val="single" w:sz="4" w:space="0" w:color="auto"/>
            </w:tcBorders>
            <w:vAlign w:val="center"/>
            <w:hideMark/>
          </w:tcPr>
          <w:p w14:paraId="7F80FDF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4.1</w:t>
            </w:r>
          </w:p>
        </w:tc>
      </w:tr>
      <w:tr w:rsidR="00A80E41" w:rsidRPr="008D7DBA" w14:paraId="30A1FB62"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68F8C8C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w:t>
            </w:r>
          </w:p>
        </w:tc>
        <w:tc>
          <w:tcPr>
            <w:tcW w:w="2579" w:type="dxa"/>
            <w:tcBorders>
              <w:top w:val="nil"/>
              <w:left w:val="nil"/>
              <w:bottom w:val="single" w:sz="4" w:space="0" w:color="auto"/>
              <w:right w:val="single" w:sz="4" w:space="0" w:color="auto"/>
            </w:tcBorders>
            <w:vAlign w:val="center"/>
            <w:hideMark/>
          </w:tcPr>
          <w:p w14:paraId="2B3C0F8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864" w:type="dxa"/>
            <w:tcBorders>
              <w:top w:val="nil"/>
              <w:left w:val="nil"/>
              <w:bottom w:val="single" w:sz="4" w:space="0" w:color="auto"/>
              <w:right w:val="single" w:sz="4" w:space="0" w:color="auto"/>
            </w:tcBorders>
            <w:vAlign w:val="center"/>
            <w:hideMark/>
          </w:tcPr>
          <w:p w14:paraId="3A2C8A9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0.6209</w:t>
            </w:r>
          </w:p>
        </w:tc>
        <w:tc>
          <w:tcPr>
            <w:tcW w:w="1762" w:type="dxa"/>
            <w:tcBorders>
              <w:top w:val="nil"/>
              <w:left w:val="nil"/>
              <w:bottom w:val="single" w:sz="4" w:space="0" w:color="auto"/>
              <w:right w:val="single" w:sz="4" w:space="0" w:color="auto"/>
            </w:tcBorders>
            <w:vAlign w:val="center"/>
            <w:hideMark/>
          </w:tcPr>
          <w:p w14:paraId="59CD361E"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3.73</w:t>
            </w:r>
          </w:p>
        </w:tc>
      </w:tr>
      <w:tr w:rsidR="00A80E41" w:rsidRPr="008D7DBA" w14:paraId="0EBA622E"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5135BA50"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Totals</w:t>
            </w:r>
          </w:p>
        </w:tc>
        <w:tc>
          <w:tcPr>
            <w:tcW w:w="2579" w:type="dxa"/>
            <w:tcBorders>
              <w:top w:val="nil"/>
              <w:left w:val="nil"/>
              <w:bottom w:val="single" w:sz="4" w:space="0" w:color="auto"/>
              <w:right w:val="single" w:sz="4" w:space="0" w:color="auto"/>
            </w:tcBorders>
            <w:vAlign w:val="center"/>
            <w:hideMark/>
          </w:tcPr>
          <w:p w14:paraId="1539757E"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585D21D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07E8F2E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inflows = 22.74</w:t>
            </w:r>
          </w:p>
        </w:tc>
      </w:tr>
      <w:tr w:rsidR="00A80E41" w:rsidRPr="008D7DBA" w14:paraId="25EE73BD" w14:textId="77777777" w:rsidTr="00BA0E19">
        <w:trPr>
          <w:trHeight w:val="796"/>
        </w:trPr>
        <w:tc>
          <w:tcPr>
            <w:tcW w:w="3422" w:type="dxa"/>
            <w:tcBorders>
              <w:top w:val="nil"/>
              <w:left w:val="single" w:sz="4" w:space="0" w:color="auto"/>
              <w:bottom w:val="single" w:sz="4" w:space="0" w:color="auto"/>
              <w:right w:val="single" w:sz="4" w:space="0" w:color="auto"/>
            </w:tcBorders>
            <w:vAlign w:val="center"/>
            <w:hideMark/>
          </w:tcPr>
          <w:p w14:paraId="1F553A4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2579" w:type="dxa"/>
            <w:tcBorders>
              <w:top w:val="nil"/>
              <w:left w:val="nil"/>
              <w:bottom w:val="single" w:sz="4" w:space="0" w:color="auto"/>
              <w:right w:val="single" w:sz="4" w:space="0" w:color="auto"/>
            </w:tcBorders>
            <w:vAlign w:val="center"/>
            <w:hideMark/>
          </w:tcPr>
          <w:p w14:paraId="23A99F2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3D4B10C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03CE8C7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NPV = 22.74 − 30.00 = −£7.255m</w:t>
            </w:r>
          </w:p>
        </w:tc>
      </w:tr>
      <w:tr w:rsidR="00A80E41" w:rsidRPr="008D7DBA" w14:paraId="2D4E9976"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47DAE556"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2579" w:type="dxa"/>
            <w:tcBorders>
              <w:top w:val="nil"/>
              <w:left w:val="nil"/>
              <w:bottom w:val="single" w:sz="4" w:space="0" w:color="auto"/>
              <w:right w:val="single" w:sz="4" w:space="0" w:color="auto"/>
            </w:tcBorders>
            <w:vAlign w:val="center"/>
            <w:hideMark/>
          </w:tcPr>
          <w:p w14:paraId="339CFF9E"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29070F0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0ED8C6C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PI = 22.74 / 30.00 = 0.758</w:t>
            </w:r>
          </w:p>
        </w:tc>
      </w:tr>
      <w:tr w:rsidR="00A80E41" w:rsidRPr="008D7DBA" w14:paraId="61D54452" w14:textId="77777777" w:rsidTr="00BA0E19">
        <w:trPr>
          <w:trHeight w:val="294"/>
        </w:trPr>
        <w:tc>
          <w:tcPr>
            <w:tcW w:w="3422" w:type="dxa"/>
            <w:tcBorders>
              <w:top w:val="nil"/>
              <w:left w:val="single" w:sz="4" w:space="0" w:color="auto"/>
              <w:bottom w:val="single" w:sz="4" w:space="0" w:color="auto"/>
              <w:right w:val="single" w:sz="4" w:space="0" w:color="auto"/>
            </w:tcBorders>
            <w:noWrap/>
            <w:vAlign w:val="bottom"/>
            <w:hideMark/>
          </w:tcPr>
          <w:p w14:paraId="3B61FD30"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Project C</w:t>
            </w:r>
          </w:p>
        </w:tc>
        <w:tc>
          <w:tcPr>
            <w:tcW w:w="2579" w:type="dxa"/>
            <w:tcBorders>
              <w:top w:val="nil"/>
              <w:left w:val="nil"/>
              <w:bottom w:val="single" w:sz="4" w:space="0" w:color="auto"/>
              <w:right w:val="single" w:sz="4" w:space="0" w:color="auto"/>
            </w:tcBorders>
            <w:noWrap/>
            <w:vAlign w:val="bottom"/>
            <w:hideMark/>
          </w:tcPr>
          <w:p w14:paraId="393AF28E"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864" w:type="dxa"/>
            <w:tcBorders>
              <w:top w:val="nil"/>
              <w:left w:val="nil"/>
              <w:bottom w:val="single" w:sz="4" w:space="0" w:color="auto"/>
              <w:right w:val="single" w:sz="4" w:space="0" w:color="auto"/>
            </w:tcBorders>
            <w:noWrap/>
            <w:vAlign w:val="bottom"/>
            <w:hideMark/>
          </w:tcPr>
          <w:p w14:paraId="2577FC71"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762" w:type="dxa"/>
            <w:tcBorders>
              <w:top w:val="nil"/>
              <w:left w:val="nil"/>
              <w:bottom w:val="single" w:sz="4" w:space="0" w:color="auto"/>
              <w:right w:val="single" w:sz="4" w:space="0" w:color="auto"/>
            </w:tcBorders>
            <w:noWrap/>
            <w:vAlign w:val="bottom"/>
            <w:hideMark/>
          </w:tcPr>
          <w:p w14:paraId="071C4023"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r>
      <w:tr w:rsidR="00A80E41" w:rsidRPr="008D7DBA" w14:paraId="7F90A7B9"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4DAAF42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w:t>
            </w:r>
          </w:p>
        </w:tc>
        <w:tc>
          <w:tcPr>
            <w:tcW w:w="2579" w:type="dxa"/>
            <w:tcBorders>
              <w:top w:val="nil"/>
              <w:left w:val="nil"/>
              <w:bottom w:val="single" w:sz="4" w:space="0" w:color="auto"/>
              <w:right w:val="single" w:sz="4" w:space="0" w:color="auto"/>
            </w:tcBorders>
            <w:vAlign w:val="center"/>
            <w:hideMark/>
          </w:tcPr>
          <w:p w14:paraId="32663BE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Net Cash Flow</w:t>
            </w:r>
          </w:p>
        </w:tc>
        <w:tc>
          <w:tcPr>
            <w:tcW w:w="1864" w:type="dxa"/>
            <w:tcBorders>
              <w:top w:val="nil"/>
              <w:left w:val="nil"/>
              <w:bottom w:val="single" w:sz="4" w:space="0" w:color="auto"/>
              <w:right w:val="single" w:sz="4" w:space="0" w:color="auto"/>
            </w:tcBorders>
            <w:vAlign w:val="center"/>
            <w:hideMark/>
          </w:tcPr>
          <w:p w14:paraId="17144FA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Factor</w:t>
            </w:r>
          </w:p>
        </w:tc>
        <w:tc>
          <w:tcPr>
            <w:tcW w:w="1762" w:type="dxa"/>
            <w:tcBorders>
              <w:top w:val="nil"/>
              <w:left w:val="nil"/>
              <w:bottom w:val="single" w:sz="4" w:space="0" w:color="auto"/>
              <w:right w:val="single" w:sz="4" w:space="0" w:color="auto"/>
            </w:tcBorders>
            <w:vAlign w:val="center"/>
            <w:hideMark/>
          </w:tcPr>
          <w:p w14:paraId="013F970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of Inflow</w:t>
            </w:r>
          </w:p>
        </w:tc>
      </w:tr>
      <w:tr w:rsidR="00A80E41" w:rsidRPr="008D7DBA" w14:paraId="2BD680BE"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6B7F646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lastRenderedPageBreak/>
              <w:t>0</w:t>
            </w:r>
          </w:p>
        </w:tc>
        <w:tc>
          <w:tcPr>
            <w:tcW w:w="2579" w:type="dxa"/>
            <w:tcBorders>
              <w:top w:val="nil"/>
              <w:left w:val="nil"/>
              <w:bottom w:val="single" w:sz="4" w:space="0" w:color="auto"/>
              <w:right w:val="single" w:sz="4" w:space="0" w:color="auto"/>
            </w:tcBorders>
            <w:vAlign w:val="center"/>
            <w:hideMark/>
          </w:tcPr>
          <w:p w14:paraId="113BED6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-50</w:t>
            </w:r>
          </w:p>
        </w:tc>
        <w:tc>
          <w:tcPr>
            <w:tcW w:w="1864" w:type="dxa"/>
            <w:tcBorders>
              <w:top w:val="nil"/>
              <w:left w:val="nil"/>
              <w:bottom w:val="single" w:sz="4" w:space="0" w:color="auto"/>
              <w:right w:val="single" w:sz="4" w:space="0" w:color="auto"/>
            </w:tcBorders>
            <w:vAlign w:val="center"/>
            <w:hideMark/>
          </w:tcPr>
          <w:p w14:paraId="4310745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w:t>
            </w:r>
          </w:p>
        </w:tc>
        <w:tc>
          <w:tcPr>
            <w:tcW w:w="1762" w:type="dxa"/>
            <w:tcBorders>
              <w:top w:val="nil"/>
              <w:left w:val="nil"/>
              <w:bottom w:val="single" w:sz="4" w:space="0" w:color="auto"/>
              <w:right w:val="single" w:sz="4" w:space="0" w:color="auto"/>
            </w:tcBorders>
            <w:vAlign w:val="center"/>
            <w:hideMark/>
          </w:tcPr>
          <w:p w14:paraId="694C369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-50</w:t>
            </w:r>
          </w:p>
        </w:tc>
      </w:tr>
      <w:tr w:rsidR="00A80E41" w:rsidRPr="008D7DBA" w14:paraId="5A828388"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5F15BC9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w:t>
            </w:r>
          </w:p>
        </w:tc>
        <w:tc>
          <w:tcPr>
            <w:tcW w:w="2579" w:type="dxa"/>
            <w:tcBorders>
              <w:top w:val="nil"/>
              <w:left w:val="nil"/>
              <w:bottom w:val="single" w:sz="4" w:space="0" w:color="auto"/>
              <w:right w:val="single" w:sz="4" w:space="0" w:color="auto"/>
            </w:tcBorders>
            <w:vAlign w:val="center"/>
            <w:hideMark/>
          </w:tcPr>
          <w:p w14:paraId="5FF1805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w:t>
            </w:r>
          </w:p>
        </w:tc>
        <w:tc>
          <w:tcPr>
            <w:tcW w:w="1864" w:type="dxa"/>
            <w:tcBorders>
              <w:top w:val="nil"/>
              <w:left w:val="nil"/>
              <w:bottom w:val="single" w:sz="4" w:space="0" w:color="auto"/>
              <w:right w:val="single" w:sz="4" w:space="0" w:color="auto"/>
            </w:tcBorders>
            <w:vAlign w:val="center"/>
            <w:hideMark/>
          </w:tcPr>
          <w:p w14:paraId="4ED66BDE"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0.9091</w:t>
            </w:r>
          </w:p>
        </w:tc>
        <w:tc>
          <w:tcPr>
            <w:tcW w:w="1762" w:type="dxa"/>
            <w:tcBorders>
              <w:top w:val="nil"/>
              <w:left w:val="nil"/>
              <w:bottom w:val="single" w:sz="4" w:space="0" w:color="auto"/>
              <w:right w:val="single" w:sz="4" w:space="0" w:color="auto"/>
            </w:tcBorders>
            <w:vAlign w:val="center"/>
            <w:hideMark/>
          </w:tcPr>
          <w:p w14:paraId="12F4F5B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4.55</w:t>
            </w:r>
          </w:p>
        </w:tc>
      </w:tr>
      <w:tr w:rsidR="00A80E41" w:rsidRPr="008D7DBA" w14:paraId="61384963"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5BFCD86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w:t>
            </w:r>
          </w:p>
        </w:tc>
        <w:tc>
          <w:tcPr>
            <w:tcW w:w="2579" w:type="dxa"/>
            <w:tcBorders>
              <w:top w:val="nil"/>
              <w:left w:val="nil"/>
              <w:bottom w:val="single" w:sz="4" w:space="0" w:color="auto"/>
              <w:right w:val="single" w:sz="4" w:space="0" w:color="auto"/>
            </w:tcBorders>
            <w:vAlign w:val="center"/>
            <w:hideMark/>
          </w:tcPr>
          <w:p w14:paraId="0E0641F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10</w:t>
            </w:r>
          </w:p>
        </w:tc>
        <w:tc>
          <w:tcPr>
            <w:tcW w:w="1864" w:type="dxa"/>
            <w:tcBorders>
              <w:top w:val="nil"/>
              <w:left w:val="nil"/>
              <w:bottom w:val="single" w:sz="4" w:space="0" w:color="auto"/>
              <w:right w:val="single" w:sz="4" w:space="0" w:color="auto"/>
            </w:tcBorders>
            <w:vAlign w:val="center"/>
            <w:hideMark/>
          </w:tcPr>
          <w:p w14:paraId="211D0E60"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0.8264</w:t>
            </w:r>
          </w:p>
        </w:tc>
        <w:tc>
          <w:tcPr>
            <w:tcW w:w="1762" w:type="dxa"/>
            <w:tcBorders>
              <w:top w:val="nil"/>
              <w:left w:val="nil"/>
              <w:bottom w:val="single" w:sz="4" w:space="0" w:color="auto"/>
              <w:right w:val="single" w:sz="4" w:space="0" w:color="auto"/>
            </w:tcBorders>
            <w:vAlign w:val="center"/>
            <w:hideMark/>
          </w:tcPr>
          <w:p w14:paraId="72BD3F74"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8.26</w:t>
            </w:r>
          </w:p>
        </w:tc>
      </w:tr>
      <w:tr w:rsidR="00A80E41" w:rsidRPr="008D7DBA" w14:paraId="77669BA8"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47644BB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w:t>
            </w:r>
          </w:p>
        </w:tc>
        <w:tc>
          <w:tcPr>
            <w:tcW w:w="2579" w:type="dxa"/>
            <w:tcBorders>
              <w:top w:val="nil"/>
              <w:left w:val="nil"/>
              <w:bottom w:val="single" w:sz="4" w:space="0" w:color="auto"/>
              <w:right w:val="single" w:sz="4" w:space="0" w:color="auto"/>
            </w:tcBorders>
            <w:vAlign w:val="center"/>
            <w:hideMark/>
          </w:tcPr>
          <w:p w14:paraId="6DBA2CEE"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20</w:t>
            </w:r>
          </w:p>
        </w:tc>
        <w:tc>
          <w:tcPr>
            <w:tcW w:w="1864" w:type="dxa"/>
            <w:tcBorders>
              <w:top w:val="nil"/>
              <w:left w:val="nil"/>
              <w:bottom w:val="single" w:sz="4" w:space="0" w:color="auto"/>
              <w:right w:val="single" w:sz="4" w:space="0" w:color="auto"/>
            </w:tcBorders>
            <w:vAlign w:val="center"/>
            <w:hideMark/>
          </w:tcPr>
          <w:p w14:paraId="1A5AAB29"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0.7513</w:t>
            </w:r>
          </w:p>
        </w:tc>
        <w:tc>
          <w:tcPr>
            <w:tcW w:w="1762" w:type="dxa"/>
            <w:tcBorders>
              <w:top w:val="nil"/>
              <w:left w:val="nil"/>
              <w:bottom w:val="single" w:sz="4" w:space="0" w:color="auto"/>
              <w:right w:val="single" w:sz="4" w:space="0" w:color="auto"/>
            </w:tcBorders>
            <w:vAlign w:val="center"/>
            <w:hideMark/>
          </w:tcPr>
          <w:p w14:paraId="236511B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15.03</w:t>
            </w:r>
          </w:p>
        </w:tc>
      </w:tr>
      <w:tr w:rsidR="00A80E41" w:rsidRPr="008D7DBA" w14:paraId="21DBE719"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366E82F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w:t>
            </w:r>
          </w:p>
        </w:tc>
        <w:tc>
          <w:tcPr>
            <w:tcW w:w="2579" w:type="dxa"/>
            <w:tcBorders>
              <w:top w:val="nil"/>
              <w:left w:val="nil"/>
              <w:bottom w:val="single" w:sz="4" w:space="0" w:color="auto"/>
              <w:right w:val="single" w:sz="4" w:space="0" w:color="auto"/>
            </w:tcBorders>
            <w:vAlign w:val="center"/>
            <w:hideMark/>
          </w:tcPr>
          <w:p w14:paraId="48A38FE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25</w:t>
            </w:r>
          </w:p>
        </w:tc>
        <w:tc>
          <w:tcPr>
            <w:tcW w:w="1864" w:type="dxa"/>
            <w:tcBorders>
              <w:top w:val="nil"/>
              <w:left w:val="nil"/>
              <w:bottom w:val="single" w:sz="4" w:space="0" w:color="auto"/>
              <w:right w:val="single" w:sz="4" w:space="0" w:color="auto"/>
            </w:tcBorders>
            <w:vAlign w:val="center"/>
            <w:hideMark/>
          </w:tcPr>
          <w:p w14:paraId="45D47E0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0.683</w:t>
            </w:r>
          </w:p>
        </w:tc>
        <w:tc>
          <w:tcPr>
            <w:tcW w:w="1762" w:type="dxa"/>
            <w:tcBorders>
              <w:top w:val="nil"/>
              <w:left w:val="nil"/>
              <w:bottom w:val="single" w:sz="4" w:space="0" w:color="auto"/>
              <w:right w:val="single" w:sz="4" w:space="0" w:color="auto"/>
            </w:tcBorders>
            <w:vAlign w:val="center"/>
            <w:hideMark/>
          </w:tcPr>
          <w:p w14:paraId="03F324E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17.07</w:t>
            </w:r>
          </w:p>
        </w:tc>
      </w:tr>
      <w:tr w:rsidR="00A80E41" w:rsidRPr="008D7DBA" w14:paraId="6F0B668F" w14:textId="77777777" w:rsidTr="00BA0E19">
        <w:trPr>
          <w:trHeight w:val="294"/>
        </w:trPr>
        <w:tc>
          <w:tcPr>
            <w:tcW w:w="3422" w:type="dxa"/>
            <w:tcBorders>
              <w:top w:val="nil"/>
              <w:left w:val="single" w:sz="4" w:space="0" w:color="auto"/>
              <w:bottom w:val="single" w:sz="4" w:space="0" w:color="auto"/>
              <w:right w:val="single" w:sz="4" w:space="0" w:color="auto"/>
            </w:tcBorders>
            <w:vAlign w:val="center"/>
            <w:hideMark/>
          </w:tcPr>
          <w:p w14:paraId="0C3D658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w:t>
            </w:r>
          </w:p>
        </w:tc>
        <w:tc>
          <w:tcPr>
            <w:tcW w:w="2579" w:type="dxa"/>
            <w:tcBorders>
              <w:top w:val="nil"/>
              <w:left w:val="nil"/>
              <w:bottom w:val="single" w:sz="4" w:space="0" w:color="auto"/>
              <w:right w:val="single" w:sz="4" w:space="0" w:color="auto"/>
            </w:tcBorders>
            <w:vAlign w:val="center"/>
            <w:hideMark/>
          </w:tcPr>
          <w:p w14:paraId="2A6BBAE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15</w:t>
            </w:r>
          </w:p>
        </w:tc>
        <w:tc>
          <w:tcPr>
            <w:tcW w:w="1864" w:type="dxa"/>
            <w:tcBorders>
              <w:top w:val="nil"/>
              <w:left w:val="nil"/>
              <w:bottom w:val="single" w:sz="4" w:space="0" w:color="auto"/>
              <w:right w:val="single" w:sz="4" w:space="0" w:color="auto"/>
            </w:tcBorders>
            <w:vAlign w:val="center"/>
            <w:hideMark/>
          </w:tcPr>
          <w:p w14:paraId="01EE6D91"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0.6209</w:t>
            </w:r>
          </w:p>
        </w:tc>
        <w:tc>
          <w:tcPr>
            <w:tcW w:w="1762" w:type="dxa"/>
            <w:tcBorders>
              <w:top w:val="nil"/>
              <w:left w:val="nil"/>
              <w:bottom w:val="single" w:sz="4" w:space="0" w:color="auto"/>
              <w:right w:val="single" w:sz="4" w:space="0" w:color="auto"/>
            </w:tcBorders>
            <w:vAlign w:val="center"/>
            <w:hideMark/>
          </w:tcPr>
          <w:p w14:paraId="32EDFCE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9.31</w:t>
            </w:r>
          </w:p>
        </w:tc>
      </w:tr>
      <w:tr w:rsidR="00A80E41" w:rsidRPr="008D7DBA" w14:paraId="6E382C60"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236A617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Totals</w:t>
            </w:r>
          </w:p>
        </w:tc>
        <w:tc>
          <w:tcPr>
            <w:tcW w:w="2579" w:type="dxa"/>
            <w:tcBorders>
              <w:top w:val="nil"/>
              <w:left w:val="nil"/>
              <w:bottom w:val="single" w:sz="4" w:space="0" w:color="auto"/>
              <w:right w:val="single" w:sz="4" w:space="0" w:color="auto"/>
            </w:tcBorders>
            <w:vAlign w:val="center"/>
            <w:hideMark/>
          </w:tcPr>
          <w:p w14:paraId="432A63F4"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4C49714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388C021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PV inflows = 54.22</w:t>
            </w:r>
          </w:p>
        </w:tc>
      </w:tr>
      <w:tr w:rsidR="00A80E41" w:rsidRPr="008D7DBA" w14:paraId="0108625E" w14:textId="77777777" w:rsidTr="00BA0E19">
        <w:trPr>
          <w:trHeight w:val="796"/>
        </w:trPr>
        <w:tc>
          <w:tcPr>
            <w:tcW w:w="3422" w:type="dxa"/>
            <w:tcBorders>
              <w:top w:val="nil"/>
              <w:left w:val="single" w:sz="4" w:space="0" w:color="auto"/>
              <w:bottom w:val="single" w:sz="4" w:space="0" w:color="auto"/>
              <w:right w:val="single" w:sz="4" w:space="0" w:color="auto"/>
            </w:tcBorders>
            <w:vAlign w:val="center"/>
            <w:hideMark/>
          </w:tcPr>
          <w:p w14:paraId="7C0B55C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2579" w:type="dxa"/>
            <w:tcBorders>
              <w:top w:val="nil"/>
              <w:left w:val="nil"/>
              <w:bottom w:val="single" w:sz="4" w:space="0" w:color="auto"/>
              <w:right w:val="single" w:sz="4" w:space="0" w:color="auto"/>
            </w:tcBorders>
            <w:vAlign w:val="center"/>
            <w:hideMark/>
          </w:tcPr>
          <w:p w14:paraId="59E6E40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09C78D1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477C279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NPV = 54.22 − 50.00 = £4.225m</w:t>
            </w:r>
          </w:p>
        </w:tc>
      </w:tr>
      <w:tr w:rsidR="00A80E41" w:rsidRPr="008D7DBA" w14:paraId="4606727C" w14:textId="77777777" w:rsidTr="00BA0E19">
        <w:trPr>
          <w:trHeight w:val="531"/>
        </w:trPr>
        <w:tc>
          <w:tcPr>
            <w:tcW w:w="3422" w:type="dxa"/>
            <w:tcBorders>
              <w:top w:val="nil"/>
              <w:left w:val="single" w:sz="4" w:space="0" w:color="auto"/>
              <w:bottom w:val="single" w:sz="4" w:space="0" w:color="auto"/>
              <w:right w:val="single" w:sz="4" w:space="0" w:color="auto"/>
            </w:tcBorders>
            <w:vAlign w:val="center"/>
            <w:hideMark/>
          </w:tcPr>
          <w:p w14:paraId="39B269B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2579" w:type="dxa"/>
            <w:tcBorders>
              <w:top w:val="nil"/>
              <w:left w:val="nil"/>
              <w:bottom w:val="single" w:sz="4" w:space="0" w:color="auto"/>
              <w:right w:val="single" w:sz="4" w:space="0" w:color="auto"/>
            </w:tcBorders>
            <w:vAlign w:val="center"/>
            <w:hideMark/>
          </w:tcPr>
          <w:p w14:paraId="0C8D985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864" w:type="dxa"/>
            <w:tcBorders>
              <w:top w:val="nil"/>
              <w:left w:val="nil"/>
              <w:bottom w:val="single" w:sz="4" w:space="0" w:color="auto"/>
              <w:right w:val="single" w:sz="4" w:space="0" w:color="auto"/>
            </w:tcBorders>
            <w:vAlign w:val="center"/>
            <w:hideMark/>
          </w:tcPr>
          <w:p w14:paraId="2F19721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w:t>
            </w:r>
          </w:p>
        </w:tc>
        <w:tc>
          <w:tcPr>
            <w:tcW w:w="1762" w:type="dxa"/>
            <w:tcBorders>
              <w:top w:val="nil"/>
              <w:left w:val="nil"/>
              <w:bottom w:val="single" w:sz="4" w:space="0" w:color="auto"/>
              <w:right w:val="single" w:sz="4" w:space="0" w:color="auto"/>
            </w:tcBorders>
            <w:vAlign w:val="center"/>
            <w:hideMark/>
          </w:tcPr>
          <w:p w14:paraId="7E3B5A5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PI = 54.22 / 50.00 = 1.085</w:t>
            </w:r>
          </w:p>
        </w:tc>
      </w:tr>
    </w:tbl>
    <w:p w14:paraId="7482A8A8" w14:textId="77777777" w:rsidR="00BA0E19" w:rsidRPr="008D7DBA" w:rsidRDefault="00BA0E19" w:rsidP="00BA0E19">
      <w:pPr>
        <w:rPr>
          <w:rFonts w:ascii="Arial" w:hAnsi="Arial" w:cs="Arial"/>
        </w:rPr>
      </w:pPr>
    </w:p>
    <w:tbl>
      <w:tblPr>
        <w:tblW w:w="9964" w:type="dxa"/>
        <w:tblLook w:val="04A0" w:firstRow="1" w:lastRow="0" w:firstColumn="1" w:lastColumn="0" w:noHBand="0" w:noVBand="1"/>
      </w:tblPr>
      <w:tblGrid>
        <w:gridCol w:w="2259"/>
        <w:gridCol w:w="1703"/>
        <w:gridCol w:w="1452"/>
        <w:gridCol w:w="1163"/>
        <w:gridCol w:w="1112"/>
        <w:gridCol w:w="1293"/>
        <w:gridCol w:w="1060"/>
      </w:tblGrid>
      <w:tr w:rsidR="00A80E41" w:rsidRPr="008D7DBA" w14:paraId="5AEA69AC" w14:textId="77777777" w:rsidTr="00BA0E19">
        <w:trPr>
          <w:trHeight w:val="206"/>
        </w:trPr>
        <w:tc>
          <w:tcPr>
            <w:tcW w:w="2259" w:type="dxa"/>
            <w:tcBorders>
              <w:top w:val="single" w:sz="4" w:space="0" w:color="auto"/>
              <w:left w:val="single" w:sz="4" w:space="0" w:color="auto"/>
              <w:bottom w:val="single" w:sz="4" w:space="0" w:color="auto"/>
              <w:right w:val="single" w:sz="4" w:space="0" w:color="auto"/>
            </w:tcBorders>
            <w:noWrap/>
            <w:vAlign w:val="bottom"/>
            <w:hideMark/>
          </w:tcPr>
          <w:p w14:paraId="5A942EDB"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Payback Period Calculation</w:t>
            </w:r>
          </w:p>
        </w:tc>
        <w:tc>
          <w:tcPr>
            <w:tcW w:w="1703" w:type="dxa"/>
            <w:tcBorders>
              <w:top w:val="single" w:sz="4" w:space="0" w:color="auto"/>
              <w:left w:val="nil"/>
              <w:bottom w:val="single" w:sz="4" w:space="0" w:color="auto"/>
              <w:right w:val="single" w:sz="4" w:space="0" w:color="auto"/>
            </w:tcBorders>
            <w:noWrap/>
            <w:vAlign w:val="bottom"/>
            <w:hideMark/>
          </w:tcPr>
          <w:p w14:paraId="01D66945"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420" w:type="dxa"/>
            <w:tcBorders>
              <w:top w:val="single" w:sz="4" w:space="0" w:color="auto"/>
              <w:left w:val="nil"/>
              <w:bottom w:val="single" w:sz="4" w:space="0" w:color="auto"/>
              <w:right w:val="single" w:sz="4" w:space="0" w:color="auto"/>
            </w:tcBorders>
            <w:noWrap/>
            <w:vAlign w:val="bottom"/>
            <w:hideMark/>
          </w:tcPr>
          <w:p w14:paraId="19912A26"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163" w:type="dxa"/>
            <w:tcBorders>
              <w:top w:val="single" w:sz="4" w:space="0" w:color="auto"/>
              <w:left w:val="nil"/>
              <w:bottom w:val="single" w:sz="4" w:space="0" w:color="auto"/>
              <w:right w:val="single" w:sz="4" w:space="0" w:color="auto"/>
            </w:tcBorders>
            <w:noWrap/>
            <w:vAlign w:val="bottom"/>
            <w:hideMark/>
          </w:tcPr>
          <w:p w14:paraId="710AC27B"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112" w:type="dxa"/>
            <w:tcBorders>
              <w:top w:val="single" w:sz="4" w:space="0" w:color="auto"/>
              <w:left w:val="nil"/>
              <w:bottom w:val="single" w:sz="4" w:space="0" w:color="auto"/>
              <w:right w:val="single" w:sz="4" w:space="0" w:color="auto"/>
            </w:tcBorders>
            <w:noWrap/>
            <w:vAlign w:val="bottom"/>
            <w:hideMark/>
          </w:tcPr>
          <w:p w14:paraId="44D3CEE3"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262" w:type="dxa"/>
            <w:tcBorders>
              <w:top w:val="single" w:sz="4" w:space="0" w:color="auto"/>
              <w:left w:val="nil"/>
              <w:bottom w:val="single" w:sz="4" w:space="0" w:color="auto"/>
              <w:right w:val="single" w:sz="4" w:space="0" w:color="auto"/>
            </w:tcBorders>
            <w:noWrap/>
            <w:vAlign w:val="bottom"/>
            <w:hideMark/>
          </w:tcPr>
          <w:p w14:paraId="0CB4AB04"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045" w:type="dxa"/>
            <w:tcBorders>
              <w:top w:val="single" w:sz="4" w:space="0" w:color="auto"/>
              <w:left w:val="nil"/>
              <w:bottom w:val="single" w:sz="4" w:space="0" w:color="auto"/>
              <w:right w:val="single" w:sz="4" w:space="0" w:color="auto"/>
            </w:tcBorders>
            <w:noWrap/>
            <w:vAlign w:val="bottom"/>
            <w:hideMark/>
          </w:tcPr>
          <w:p w14:paraId="0A11760C"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r>
      <w:tr w:rsidR="00A80E41" w:rsidRPr="008D7DBA" w14:paraId="18EC1A20" w14:textId="77777777" w:rsidTr="00BA0E19">
        <w:trPr>
          <w:trHeight w:val="745"/>
        </w:trPr>
        <w:tc>
          <w:tcPr>
            <w:tcW w:w="2259" w:type="dxa"/>
            <w:tcBorders>
              <w:top w:val="nil"/>
              <w:left w:val="single" w:sz="4" w:space="0" w:color="auto"/>
              <w:bottom w:val="single" w:sz="4" w:space="0" w:color="auto"/>
              <w:right w:val="single" w:sz="4" w:space="0" w:color="auto"/>
            </w:tcBorders>
            <w:vAlign w:val="center"/>
            <w:hideMark/>
          </w:tcPr>
          <w:p w14:paraId="6DE4D7FA" w14:textId="77777777" w:rsidR="00BA0E19" w:rsidRPr="00BA0E19" w:rsidRDefault="00BA0E19" w:rsidP="00BA0E19">
            <w:pPr>
              <w:spacing w:after="0" w:line="240" w:lineRule="auto"/>
              <w:jc w:val="center"/>
              <w:rPr>
                <w:rFonts w:ascii="Arial" w:eastAsia="Times New Roman" w:hAnsi="Arial" w:cs="Arial"/>
                <w:kern w:val="0"/>
                <w:sz w:val="22"/>
                <w14:ligatures w14:val="none"/>
              </w:rPr>
            </w:pPr>
            <w:r w:rsidRPr="00BA0E19">
              <w:rPr>
                <w:rFonts w:ascii="Arial" w:eastAsia="Times New Roman" w:hAnsi="Arial" w:cs="Arial"/>
                <w:kern w:val="0"/>
                <w:sz w:val="22"/>
                <w14:ligatures w14:val="none"/>
              </w:rPr>
              <w:t>Project</w:t>
            </w:r>
          </w:p>
        </w:tc>
        <w:tc>
          <w:tcPr>
            <w:tcW w:w="1703" w:type="dxa"/>
            <w:tcBorders>
              <w:top w:val="nil"/>
              <w:left w:val="nil"/>
              <w:bottom w:val="single" w:sz="4" w:space="0" w:color="auto"/>
              <w:right w:val="single" w:sz="4" w:space="0" w:color="auto"/>
            </w:tcBorders>
            <w:vAlign w:val="center"/>
            <w:hideMark/>
          </w:tcPr>
          <w:p w14:paraId="7F3E929E"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Initial Outlay (£m)</w:t>
            </w:r>
          </w:p>
        </w:tc>
        <w:tc>
          <w:tcPr>
            <w:tcW w:w="1420" w:type="dxa"/>
            <w:tcBorders>
              <w:top w:val="nil"/>
              <w:left w:val="nil"/>
              <w:bottom w:val="single" w:sz="4" w:space="0" w:color="auto"/>
              <w:right w:val="single" w:sz="4" w:space="0" w:color="auto"/>
            </w:tcBorders>
            <w:vAlign w:val="center"/>
            <w:hideMark/>
          </w:tcPr>
          <w:p w14:paraId="1E8BC0E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 When Cumulative Turns Positive</w:t>
            </w:r>
          </w:p>
        </w:tc>
        <w:tc>
          <w:tcPr>
            <w:tcW w:w="1163" w:type="dxa"/>
            <w:tcBorders>
              <w:top w:val="nil"/>
              <w:left w:val="nil"/>
              <w:bottom w:val="single" w:sz="4" w:space="0" w:color="auto"/>
              <w:right w:val="single" w:sz="4" w:space="0" w:color="auto"/>
            </w:tcBorders>
            <w:vAlign w:val="center"/>
            <w:hideMark/>
          </w:tcPr>
          <w:p w14:paraId="7273D0A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Shortfall Just Before That Year (£m)</w:t>
            </w:r>
          </w:p>
        </w:tc>
        <w:tc>
          <w:tcPr>
            <w:tcW w:w="1112" w:type="dxa"/>
            <w:tcBorders>
              <w:top w:val="nil"/>
              <w:left w:val="nil"/>
              <w:bottom w:val="single" w:sz="4" w:space="0" w:color="auto"/>
              <w:right w:val="single" w:sz="4" w:space="0" w:color="auto"/>
            </w:tcBorders>
            <w:vAlign w:val="center"/>
            <w:hideMark/>
          </w:tcPr>
          <w:p w14:paraId="60189119" w14:textId="64607792"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 xml:space="preserve">Cash Inflow </w:t>
            </w:r>
            <w:r w:rsidR="009D511F" w:rsidRPr="00BA0E19">
              <w:rPr>
                <w:rFonts w:ascii="Arial" w:eastAsia="Times New Roman" w:hAnsi="Arial" w:cs="Arial"/>
                <w:kern w:val="0"/>
                <w:sz w:val="22"/>
                <w14:ligatures w14:val="none"/>
              </w:rPr>
              <w:t>in</w:t>
            </w:r>
            <w:r w:rsidRPr="00BA0E19">
              <w:rPr>
                <w:rFonts w:ascii="Arial" w:eastAsia="Times New Roman" w:hAnsi="Arial" w:cs="Arial"/>
                <w:kern w:val="0"/>
                <w:sz w:val="22"/>
                <w14:ligatures w14:val="none"/>
              </w:rPr>
              <w:t xml:space="preserve"> That Year (£m)</w:t>
            </w:r>
          </w:p>
        </w:tc>
        <w:tc>
          <w:tcPr>
            <w:tcW w:w="1262" w:type="dxa"/>
            <w:tcBorders>
              <w:top w:val="nil"/>
              <w:left w:val="nil"/>
              <w:bottom w:val="single" w:sz="4" w:space="0" w:color="auto"/>
              <w:right w:val="single" w:sz="4" w:space="0" w:color="auto"/>
            </w:tcBorders>
            <w:vAlign w:val="center"/>
            <w:hideMark/>
          </w:tcPr>
          <w:p w14:paraId="298364C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Fraction of Year to Recover Shortfall</w:t>
            </w:r>
          </w:p>
        </w:tc>
        <w:tc>
          <w:tcPr>
            <w:tcW w:w="1045" w:type="dxa"/>
            <w:tcBorders>
              <w:top w:val="nil"/>
              <w:left w:val="nil"/>
              <w:bottom w:val="single" w:sz="4" w:space="0" w:color="auto"/>
              <w:right w:val="single" w:sz="4" w:space="0" w:color="auto"/>
            </w:tcBorders>
            <w:vAlign w:val="center"/>
            <w:hideMark/>
          </w:tcPr>
          <w:p w14:paraId="30BE8B20"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Payback Period (Years)</w:t>
            </w:r>
          </w:p>
        </w:tc>
      </w:tr>
      <w:tr w:rsidR="00A80E41" w:rsidRPr="008D7DBA" w14:paraId="4D9D3B2A" w14:textId="77777777" w:rsidTr="00BA0E19">
        <w:trPr>
          <w:trHeight w:val="206"/>
        </w:trPr>
        <w:tc>
          <w:tcPr>
            <w:tcW w:w="2259" w:type="dxa"/>
            <w:tcBorders>
              <w:top w:val="nil"/>
              <w:left w:val="single" w:sz="4" w:space="0" w:color="auto"/>
              <w:bottom w:val="single" w:sz="4" w:space="0" w:color="auto"/>
              <w:right w:val="single" w:sz="4" w:space="0" w:color="auto"/>
            </w:tcBorders>
            <w:vAlign w:val="center"/>
            <w:hideMark/>
          </w:tcPr>
          <w:p w14:paraId="34B30CC0"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A</w:t>
            </w:r>
          </w:p>
        </w:tc>
        <w:tc>
          <w:tcPr>
            <w:tcW w:w="1703" w:type="dxa"/>
            <w:tcBorders>
              <w:top w:val="nil"/>
              <w:left w:val="nil"/>
              <w:bottom w:val="single" w:sz="4" w:space="0" w:color="auto"/>
              <w:right w:val="single" w:sz="4" w:space="0" w:color="auto"/>
            </w:tcBorders>
            <w:vAlign w:val="center"/>
            <w:hideMark/>
          </w:tcPr>
          <w:p w14:paraId="53FCF46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40</w:t>
            </w:r>
          </w:p>
        </w:tc>
        <w:tc>
          <w:tcPr>
            <w:tcW w:w="1420" w:type="dxa"/>
            <w:tcBorders>
              <w:top w:val="nil"/>
              <w:left w:val="nil"/>
              <w:bottom w:val="single" w:sz="4" w:space="0" w:color="auto"/>
              <w:right w:val="single" w:sz="4" w:space="0" w:color="auto"/>
            </w:tcBorders>
            <w:vAlign w:val="center"/>
            <w:hideMark/>
          </w:tcPr>
          <w:p w14:paraId="2A38ADF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 4</w:t>
            </w:r>
          </w:p>
        </w:tc>
        <w:tc>
          <w:tcPr>
            <w:tcW w:w="1163" w:type="dxa"/>
            <w:tcBorders>
              <w:top w:val="nil"/>
              <w:left w:val="nil"/>
              <w:bottom w:val="single" w:sz="4" w:space="0" w:color="auto"/>
              <w:right w:val="single" w:sz="4" w:space="0" w:color="auto"/>
            </w:tcBorders>
            <w:vAlign w:val="center"/>
            <w:hideMark/>
          </w:tcPr>
          <w:p w14:paraId="5B75DBE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w:t>
            </w:r>
          </w:p>
        </w:tc>
        <w:tc>
          <w:tcPr>
            <w:tcW w:w="1112" w:type="dxa"/>
            <w:tcBorders>
              <w:top w:val="nil"/>
              <w:left w:val="nil"/>
              <w:bottom w:val="single" w:sz="4" w:space="0" w:color="auto"/>
              <w:right w:val="single" w:sz="4" w:space="0" w:color="auto"/>
            </w:tcBorders>
            <w:vAlign w:val="center"/>
            <w:hideMark/>
          </w:tcPr>
          <w:p w14:paraId="53830A1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10</w:t>
            </w:r>
          </w:p>
        </w:tc>
        <w:tc>
          <w:tcPr>
            <w:tcW w:w="1262" w:type="dxa"/>
            <w:tcBorders>
              <w:top w:val="nil"/>
              <w:left w:val="nil"/>
              <w:bottom w:val="single" w:sz="4" w:space="0" w:color="auto"/>
              <w:right w:val="single" w:sz="4" w:space="0" w:color="auto"/>
            </w:tcBorders>
            <w:vAlign w:val="center"/>
            <w:hideMark/>
          </w:tcPr>
          <w:p w14:paraId="6526B28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4/10 = 0.40</w:t>
            </w:r>
          </w:p>
        </w:tc>
        <w:tc>
          <w:tcPr>
            <w:tcW w:w="1045" w:type="dxa"/>
            <w:tcBorders>
              <w:top w:val="nil"/>
              <w:left w:val="nil"/>
              <w:bottom w:val="single" w:sz="4" w:space="0" w:color="auto"/>
              <w:right w:val="single" w:sz="4" w:space="0" w:color="auto"/>
            </w:tcBorders>
            <w:vAlign w:val="center"/>
            <w:hideMark/>
          </w:tcPr>
          <w:p w14:paraId="189CACC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3.4</w:t>
            </w:r>
          </w:p>
        </w:tc>
      </w:tr>
      <w:tr w:rsidR="00A80E41" w:rsidRPr="008D7DBA" w14:paraId="15BBB276" w14:textId="77777777" w:rsidTr="00BA0E19">
        <w:trPr>
          <w:trHeight w:val="206"/>
        </w:trPr>
        <w:tc>
          <w:tcPr>
            <w:tcW w:w="2259" w:type="dxa"/>
            <w:tcBorders>
              <w:top w:val="nil"/>
              <w:left w:val="single" w:sz="4" w:space="0" w:color="auto"/>
              <w:bottom w:val="single" w:sz="4" w:space="0" w:color="auto"/>
              <w:right w:val="single" w:sz="4" w:space="0" w:color="auto"/>
            </w:tcBorders>
            <w:vAlign w:val="center"/>
            <w:hideMark/>
          </w:tcPr>
          <w:p w14:paraId="23F3912D"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B</w:t>
            </w:r>
          </w:p>
        </w:tc>
        <w:tc>
          <w:tcPr>
            <w:tcW w:w="1703" w:type="dxa"/>
            <w:tcBorders>
              <w:top w:val="nil"/>
              <w:left w:val="nil"/>
              <w:bottom w:val="single" w:sz="4" w:space="0" w:color="auto"/>
              <w:right w:val="single" w:sz="4" w:space="0" w:color="auto"/>
            </w:tcBorders>
            <w:vAlign w:val="center"/>
            <w:hideMark/>
          </w:tcPr>
          <w:p w14:paraId="521539C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30</w:t>
            </w:r>
          </w:p>
        </w:tc>
        <w:tc>
          <w:tcPr>
            <w:tcW w:w="1420" w:type="dxa"/>
            <w:tcBorders>
              <w:top w:val="nil"/>
              <w:left w:val="nil"/>
              <w:bottom w:val="single" w:sz="4" w:space="0" w:color="auto"/>
              <w:right w:val="single" w:sz="4" w:space="0" w:color="auto"/>
            </w:tcBorders>
            <w:vAlign w:val="center"/>
            <w:hideMark/>
          </w:tcPr>
          <w:p w14:paraId="135727C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 5 (end)</w:t>
            </w:r>
          </w:p>
        </w:tc>
        <w:tc>
          <w:tcPr>
            <w:tcW w:w="1163" w:type="dxa"/>
            <w:tcBorders>
              <w:top w:val="nil"/>
              <w:left w:val="nil"/>
              <w:bottom w:val="single" w:sz="4" w:space="0" w:color="auto"/>
              <w:right w:val="single" w:sz="4" w:space="0" w:color="auto"/>
            </w:tcBorders>
            <w:vAlign w:val="center"/>
            <w:hideMark/>
          </w:tcPr>
          <w:p w14:paraId="119D702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112" w:type="dxa"/>
            <w:tcBorders>
              <w:top w:val="nil"/>
              <w:left w:val="nil"/>
              <w:bottom w:val="single" w:sz="4" w:space="0" w:color="auto"/>
              <w:right w:val="single" w:sz="4" w:space="0" w:color="auto"/>
            </w:tcBorders>
            <w:vAlign w:val="center"/>
            <w:hideMark/>
          </w:tcPr>
          <w:p w14:paraId="5FE576B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262" w:type="dxa"/>
            <w:tcBorders>
              <w:top w:val="nil"/>
              <w:left w:val="nil"/>
              <w:bottom w:val="single" w:sz="4" w:space="0" w:color="auto"/>
              <w:right w:val="single" w:sz="4" w:space="0" w:color="auto"/>
            </w:tcBorders>
            <w:vAlign w:val="center"/>
            <w:hideMark/>
          </w:tcPr>
          <w:p w14:paraId="01083AC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6/6 = 1.00</w:t>
            </w:r>
          </w:p>
        </w:tc>
        <w:tc>
          <w:tcPr>
            <w:tcW w:w="1045" w:type="dxa"/>
            <w:tcBorders>
              <w:top w:val="nil"/>
              <w:left w:val="nil"/>
              <w:bottom w:val="single" w:sz="4" w:space="0" w:color="auto"/>
              <w:right w:val="single" w:sz="4" w:space="0" w:color="auto"/>
            </w:tcBorders>
            <w:vAlign w:val="center"/>
            <w:hideMark/>
          </w:tcPr>
          <w:p w14:paraId="33C488A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w:t>
            </w:r>
          </w:p>
        </w:tc>
      </w:tr>
      <w:tr w:rsidR="00A80E41" w:rsidRPr="008D7DBA" w14:paraId="0869A577" w14:textId="77777777" w:rsidTr="00BA0E19">
        <w:trPr>
          <w:trHeight w:val="206"/>
        </w:trPr>
        <w:tc>
          <w:tcPr>
            <w:tcW w:w="2259" w:type="dxa"/>
            <w:tcBorders>
              <w:top w:val="nil"/>
              <w:left w:val="single" w:sz="4" w:space="0" w:color="auto"/>
              <w:bottom w:val="single" w:sz="4" w:space="0" w:color="auto"/>
              <w:right w:val="single" w:sz="4" w:space="0" w:color="auto"/>
            </w:tcBorders>
            <w:vAlign w:val="center"/>
            <w:hideMark/>
          </w:tcPr>
          <w:p w14:paraId="5CBA0988"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C</w:t>
            </w:r>
          </w:p>
        </w:tc>
        <w:tc>
          <w:tcPr>
            <w:tcW w:w="1703" w:type="dxa"/>
            <w:tcBorders>
              <w:top w:val="nil"/>
              <w:left w:val="nil"/>
              <w:bottom w:val="single" w:sz="4" w:space="0" w:color="auto"/>
              <w:right w:val="single" w:sz="4" w:space="0" w:color="auto"/>
            </w:tcBorders>
            <w:vAlign w:val="center"/>
            <w:hideMark/>
          </w:tcPr>
          <w:p w14:paraId="680C927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50</w:t>
            </w:r>
          </w:p>
        </w:tc>
        <w:tc>
          <w:tcPr>
            <w:tcW w:w="1420" w:type="dxa"/>
            <w:tcBorders>
              <w:top w:val="nil"/>
              <w:left w:val="nil"/>
              <w:bottom w:val="single" w:sz="4" w:space="0" w:color="auto"/>
              <w:right w:val="single" w:sz="4" w:space="0" w:color="auto"/>
            </w:tcBorders>
            <w:vAlign w:val="center"/>
            <w:hideMark/>
          </w:tcPr>
          <w:p w14:paraId="455CB31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Year 4</w:t>
            </w:r>
          </w:p>
        </w:tc>
        <w:tc>
          <w:tcPr>
            <w:tcW w:w="1163" w:type="dxa"/>
            <w:tcBorders>
              <w:top w:val="nil"/>
              <w:left w:val="nil"/>
              <w:bottom w:val="single" w:sz="4" w:space="0" w:color="auto"/>
              <w:right w:val="single" w:sz="4" w:space="0" w:color="auto"/>
            </w:tcBorders>
            <w:vAlign w:val="center"/>
            <w:hideMark/>
          </w:tcPr>
          <w:p w14:paraId="104FE9A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15</w:t>
            </w:r>
          </w:p>
        </w:tc>
        <w:tc>
          <w:tcPr>
            <w:tcW w:w="1112" w:type="dxa"/>
            <w:tcBorders>
              <w:top w:val="nil"/>
              <w:left w:val="nil"/>
              <w:bottom w:val="single" w:sz="4" w:space="0" w:color="auto"/>
              <w:right w:val="single" w:sz="4" w:space="0" w:color="auto"/>
            </w:tcBorders>
            <w:vAlign w:val="center"/>
            <w:hideMark/>
          </w:tcPr>
          <w:p w14:paraId="64C37326"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25</w:t>
            </w:r>
          </w:p>
        </w:tc>
        <w:tc>
          <w:tcPr>
            <w:tcW w:w="1262" w:type="dxa"/>
            <w:tcBorders>
              <w:top w:val="nil"/>
              <w:left w:val="nil"/>
              <w:bottom w:val="single" w:sz="4" w:space="0" w:color="auto"/>
              <w:right w:val="single" w:sz="4" w:space="0" w:color="auto"/>
            </w:tcBorders>
            <w:vAlign w:val="center"/>
            <w:hideMark/>
          </w:tcPr>
          <w:p w14:paraId="39255D9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15/25 = 0.60</w:t>
            </w:r>
          </w:p>
        </w:tc>
        <w:tc>
          <w:tcPr>
            <w:tcW w:w="1045" w:type="dxa"/>
            <w:tcBorders>
              <w:top w:val="nil"/>
              <w:left w:val="nil"/>
              <w:bottom w:val="single" w:sz="4" w:space="0" w:color="auto"/>
              <w:right w:val="single" w:sz="4" w:space="0" w:color="auto"/>
            </w:tcBorders>
            <w:vAlign w:val="center"/>
            <w:hideMark/>
          </w:tcPr>
          <w:p w14:paraId="698402BB"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3.6</w:t>
            </w:r>
          </w:p>
        </w:tc>
      </w:tr>
      <w:tr w:rsidR="00A80E41" w:rsidRPr="008D7DBA" w14:paraId="1AA59269" w14:textId="77777777" w:rsidTr="00BA0E19">
        <w:trPr>
          <w:trHeight w:val="206"/>
        </w:trPr>
        <w:tc>
          <w:tcPr>
            <w:tcW w:w="2259" w:type="dxa"/>
            <w:tcBorders>
              <w:top w:val="nil"/>
              <w:left w:val="single" w:sz="4" w:space="0" w:color="auto"/>
              <w:bottom w:val="single" w:sz="4" w:space="0" w:color="auto"/>
              <w:right w:val="single" w:sz="4" w:space="0" w:color="auto"/>
            </w:tcBorders>
            <w:noWrap/>
            <w:vAlign w:val="bottom"/>
            <w:hideMark/>
          </w:tcPr>
          <w:p w14:paraId="57FD7E6D"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703" w:type="dxa"/>
            <w:tcBorders>
              <w:top w:val="nil"/>
              <w:left w:val="nil"/>
              <w:bottom w:val="single" w:sz="4" w:space="0" w:color="auto"/>
              <w:right w:val="single" w:sz="4" w:space="0" w:color="auto"/>
            </w:tcBorders>
            <w:noWrap/>
            <w:vAlign w:val="bottom"/>
            <w:hideMark/>
          </w:tcPr>
          <w:p w14:paraId="32E7FE48"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420" w:type="dxa"/>
            <w:tcBorders>
              <w:top w:val="nil"/>
              <w:left w:val="nil"/>
              <w:bottom w:val="single" w:sz="4" w:space="0" w:color="auto"/>
              <w:right w:val="single" w:sz="4" w:space="0" w:color="auto"/>
            </w:tcBorders>
            <w:noWrap/>
            <w:vAlign w:val="bottom"/>
            <w:hideMark/>
          </w:tcPr>
          <w:p w14:paraId="0912CC1A"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163" w:type="dxa"/>
            <w:tcBorders>
              <w:top w:val="nil"/>
              <w:left w:val="nil"/>
              <w:bottom w:val="single" w:sz="4" w:space="0" w:color="auto"/>
              <w:right w:val="single" w:sz="4" w:space="0" w:color="auto"/>
            </w:tcBorders>
            <w:noWrap/>
            <w:vAlign w:val="bottom"/>
            <w:hideMark/>
          </w:tcPr>
          <w:p w14:paraId="312CC0E9"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112" w:type="dxa"/>
            <w:tcBorders>
              <w:top w:val="nil"/>
              <w:left w:val="nil"/>
              <w:bottom w:val="single" w:sz="4" w:space="0" w:color="auto"/>
              <w:right w:val="single" w:sz="4" w:space="0" w:color="auto"/>
            </w:tcBorders>
            <w:noWrap/>
            <w:vAlign w:val="bottom"/>
            <w:hideMark/>
          </w:tcPr>
          <w:p w14:paraId="1CF17EB7"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262" w:type="dxa"/>
            <w:tcBorders>
              <w:top w:val="nil"/>
              <w:left w:val="nil"/>
              <w:bottom w:val="single" w:sz="4" w:space="0" w:color="auto"/>
              <w:right w:val="single" w:sz="4" w:space="0" w:color="auto"/>
            </w:tcBorders>
            <w:noWrap/>
            <w:vAlign w:val="bottom"/>
            <w:hideMark/>
          </w:tcPr>
          <w:p w14:paraId="779704AC"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045" w:type="dxa"/>
            <w:tcBorders>
              <w:top w:val="nil"/>
              <w:left w:val="nil"/>
              <w:bottom w:val="single" w:sz="4" w:space="0" w:color="auto"/>
              <w:right w:val="single" w:sz="4" w:space="0" w:color="auto"/>
            </w:tcBorders>
            <w:noWrap/>
            <w:vAlign w:val="bottom"/>
            <w:hideMark/>
          </w:tcPr>
          <w:p w14:paraId="779B44A6"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r>
      <w:tr w:rsidR="00A80E41" w:rsidRPr="008D7DBA" w14:paraId="659364C4" w14:textId="77777777" w:rsidTr="00BA0E19">
        <w:trPr>
          <w:trHeight w:val="206"/>
        </w:trPr>
        <w:tc>
          <w:tcPr>
            <w:tcW w:w="2259" w:type="dxa"/>
            <w:tcBorders>
              <w:top w:val="nil"/>
              <w:left w:val="single" w:sz="4" w:space="0" w:color="auto"/>
              <w:bottom w:val="single" w:sz="4" w:space="0" w:color="auto"/>
              <w:right w:val="single" w:sz="4" w:space="0" w:color="auto"/>
            </w:tcBorders>
            <w:noWrap/>
            <w:vAlign w:val="bottom"/>
            <w:hideMark/>
          </w:tcPr>
          <w:p w14:paraId="5CEE9498"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ARR Calculation</w:t>
            </w:r>
          </w:p>
        </w:tc>
        <w:tc>
          <w:tcPr>
            <w:tcW w:w="1703" w:type="dxa"/>
            <w:tcBorders>
              <w:top w:val="nil"/>
              <w:left w:val="nil"/>
              <w:bottom w:val="single" w:sz="4" w:space="0" w:color="auto"/>
              <w:right w:val="single" w:sz="4" w:space="0" w:color="auto"/>
            </w:tcBorders>
            <w:noWrap/>
            <w:vAlign w:val="bottom"/>
            <w:hideMark/>
          </w:tcPr>
          <w:p w14:paraId="47C76BE0"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420" w:type="dxa"/>
            <w:tcBorders>
              <w:top w:val="nil"/>
              <w:left w:val="nil"/>
              <w:bottom w:val="single" w:sz="4" w:space="0" w:color="auto"/>
              <w:right w:val="single" w:sz="4" w:space="0" w:color="auto"/>
            </w:tcBorders>
            <w:noWrap/>
            <w:vAlign w:val="bottom"/>
            <w:hideMark/>
          </w:tcPr>
          <w:p w14:paraId="4882565A"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163" w:type="dxa"/>
            <w:tcBorders>
              <w:top w:val="nil"/>
              <w:left w:val="nil"/>
              <w:bottom w:val="single" w:sz="4" w:space="0" w:color="auto"/>
              <w:right w:val="single" w:sz="4" w:space="0" w:color="auto"/>
            </w:tcBorders>
            <w:noWrap/>
            <w:vAlign w:val="bottom"/>
            <w:hideMark/>
          </w:tcPr>
          <w:p w14:paraId="4B379CB3"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112" w:type="dxa"/>
            <w:tcBorders>
              <w:top w:val="nil"/>
              <w:left w:val="nil"/>
              <w:bottom w:val="single" w:sz="4" w:space="0" w:color="auto"/>
              <w:right w:val="single" w:sz="4" w:space="0" w:color="auto"/>
            </w:tcBorders>
            <w:noWrap/>
            <w:vAlign w:val="bottom"/>
            <w:hideMark/>
          </w:tcPr>
          <w:p w14:paraId="2F836F59"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262" w:type="dxa"/>
            <w:tcBorders>
              <w:top w:val="nil"/>
              <w:left w:val="nil"/>
              <w:bottom w:val="single" w:sz="4" w:space="0" w:color="auto"/>
              <w:right w:val="single" w:sz="4" w:space="0" w:color="auto"/>
            </w:tcBorders>
            <w:noWrap/>
            <w:vAlign w:val="bottom"/>
            <w:hideMark/>
          </w:tcPr>
          <w:p w14:paraId="60536785"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c>
          <w:tcPr>
            <w:tcW w:w="1045" w:type="dxa"/>
            <w:tcBorders>
              <w:top w:val="nil"/>
              <w:left w:val="nil"/>
              <w:bottom w:val="single" w:sz="4" w:space="0" w:color="auto"/>
              <w:right w:val="single" w:sz="4" w:space="0" w:color="auto"/>
            </w:tcBorders>
            <w:noWrap/>
            <w:vAlign w:val="bottom"/>
            <w:hideMark/>
          </w:tcPr>
          <w:p w14:paraId="7AB75060" w14:textId="77777777" w:rsidR="00BA0E19" w:rsidRPr="00BA0E19" w:rsidRDefault="00BA0E19" w:rsidP="00BA0E19">
            <w:pPr>
              <w:spacing w:after="0" w:line="240" w:lineRule="auto"/>
              <w:jc w:val="left"/>
              <w:rPr>
                <w:rFonts w:ascii="Arial" w:eastAsia="Times New Roman" w:hAnsi="Arial" w:cs="Arial"/>
                <w:kern w:val="0"/>
                <w:szCs w:val="24"/>
                <w14:ligatures w14:val="none"/>
              </w:rPr>
            </w:pPr>
            <w:r w:rsidRPr="00BA0E19">
              <w:rPr>
                <w:rFonts w:ascii="Arial" w:eastAsia="Times New Roman" w:hAnsi="Arial" w:cs="Arial"/>
                <w:kern w:val="0"/>
                <w:szCs w:val="24"/>
                <w14:ligatures w14:val="none"/>
              </w:rPr>
              <w:t> </w:t>
            </w:r>
          </w:p>
        </w:tc>
      </w:tr>
      <w:tr w:rsidR="00A80E41" w:rsidRPr="008D7DBA" w14:paraId="002747DC" w14:textId="77777777" w:rsidTr="00BA0E19">
        <w:trPr>
          <w:trHeight w:val="559"/>
        </w:trPr>
        <w:tc>
          <w:tcPr>
            <w:tcW w:w="2259" w:type="dxa"/>
            <w:tcBorders>
              <w:top w:val="nil"/>
              <w:left w:val="single" w:sz="4" w:space="0" w:color="auto"/>
              <w:bottom w:val="single" w:sz="4" w:space="0" w:color="auto"/>
              <w:right w:val="single" w:sz="4" w:space="0" w:color="auto"/>
            </w:tcBorders>
            <w:vAlign w:val="center"/>
            <w:hideMark/>
          </w:tcPr>
          <w:p w14:paraId="628D90A3" w14:textId="77777777" w:rsidR="00BA0E19" w:rsidRPr="00BA0E19" w:rsidRDefault="00BA0E19" w:rsidP="00BA0E19">
            <w:pPr>
              <w:spacing w:after="0" w:line="240" w:lineRule="auto"/>
              <w:jc w:val="center"/>
              <w:rPr>
                <w:rFonts w:ascii="Arial" w:eastAsia="Times New Roman" w:hAnsi="Arial" w:cs="Arial"/>
                <w:kern w:val="0"/>
                <w:sz w:val="22"/>
                <w14:ligatures w14:val="none"/>
              </w:rPr>
            </w:pPr>
            <w:r w:rsidRPr="00BA0E19">
              <w:rPr>
                <w:rFonts w:ascii="Arial" w:eastAsia="Times New Roman" w:hAnsi="Arial" w:cs="Arial"/>
                <w:kern w:val="0"/>
                <w:sz w:val="22"/>
                <w14:ligatures w14:val="none"/>
              </w:rPr>
              <w:t>Project</w:t>
            </w:r>
          </w:p>
        </w:tc>
        <w:tc>
          <w:tcPr>
            <w:tcW w:w="1703" w:type="dxa"/>
            <w:tcBorders>
              <w:top w:val="nil"/>
              <w:left w:val="nil"/>
              <w:bottom w:val="single" w:sz="4" w:space="0" w:color="auto"/>
              <w:right w:val="single" w:sz="4" w:space="0" w:color="auto"/>
            </w:tcBorders>
            <w:vAlign w:val="center"/>
            <w:hideMark/>
          </w:tcPr>
          <w:p w14:paraId="6BF2AA75"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Initial (£m)</w:t>
            </w:r>
          </w:p>
        </w:tc>
        <w:tc>
          <w:tcPr>
            <w:tcW w:w="1420" w:type="dxa"/>
            <w:tcBorders>
              <w:top w:val="nil"/>
              <w:left w:val="nil"/>
              <w:bottom w:val="single" w:sz="4" w:space="0" w:color="auto"/>
              <w:right w:val="single" w:sz="4" w:space="0" w:color="auto"/>
            </w:tcBorders>
            <w:vAlign w:val="center"/>
            <w:hideMark/>
          </w:tcPr>
          <w:p w14:paraId="57824443"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Depreciation p.a.</w:t>
            </w:r>
          </w:p>
        </w:tc>
        <w:tc>
          <w:tcPr>
            <w:tcW w:w="1163" w:type="dxa"/>
            <w:tcBorders>
              <w:top w:val="nil"/>
              <w:left w:val="nil"/>
              <w:bottom w:val="single" w:sz="4" w:space="0" w:color="auto"/>
              <w:right w:val="single" w:sz="4" w:space="0" w:color="auto"/>
            </w:tcBorders>
            <w:vAlign w:val="center"/>
            <w:hideMark/>
          </w:tcPr>
          <w:p w14:paraId="3B819EA0" w14:textId="77777777" w:rsidR="00BA0E19" w:rsidRPr="00BA0E19" w:rsidRDefault="00BA0E19" w:rsidP="00BA0E19">
            <w:pPr>
              <w:spacing w:after="0" w:line="240" w:lineRule="auto"/>
              <w:jc w:val="center"/>
              <w:rPr>
                <w:rFonts w:ascii="Arial" w:eastAsia="Times New Roman" w:hAnsi="Arial" w:cs="Arial"/>
                <w:kern w:val="0"/>
                <w:sz w:val="22"/>
                <w14:ligatures w14:val="none"/>
              </w:rPr>
            </w:pPr>
            <w:r w:rsidRPr="00BA0E19">
              <w:rPr>
                <w:rFonts w:ascii="Arial" w:eastAsia="Times New Roman" w:hAnsi="Arial" w:cs="Arial"/>
                <w:kern w:val="0"/>
                <w:sz w:val="22"/>
                <w14:ligatures w14:val="none"/>
              </w:rPr>
              <w:t>Profits by Year (CF − Dep) (£m)</w:t>
            </w:r>
          </w:p>
        </w:tc>
        <w:tc>
          <w:tcPr>
            <w:tcW w:w="1112" w:type="dxa"/>
            <w:tcBorders>
              <w:top w:val="nil"/>
              <w:left w:val="nil"/>
              <w:bottom w:val="single" w:sz="4" w:space="0" w:color="auto"/>
              <w:right w:val="single" w:sz="4" w:space="0" w:color="auto"/>
            </w:tcBorders>
            <w:vAlign w:val="center"/>
            <w:hideMark/>
          </w:tcPr>
          <w:p w14:paraId="76AF234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Avg Profit (£m)</w:t>
            </w:r>
          </w:p>
        </w:tc>
        <w:tc>
          <w:tcPr>
            <w:tcW w:w="1262" w:type="dxa"/>
            <w:tcBorders>
              <w:top w:val="nil"/>
              <w:left w:val="nil"/>
              <w:bottom w:val="single" w:sz="4" w:space="0" w:color="auto"/>
              <w:right w:val="single" w:sz="4" w:space="0" w:color="auto"/>
            </w:tcBorders>
            <w:vAlign w:val="center"/>
            <w:hideMark/>
          </w:tcPr>
          <w:p w14:paraId="37E8919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Avg Investment (£m)</w:t>
            </w:r>
          </w:p>
        </w:tc>
        <w:tc>
          <w:tcPr>
            <w:tcW w:w="1045" w:type="dxa"/>
            <w:tcBorders>
              <w:top w:val="nil"/>
              <w:left w:val="nil"/>
              <w:bottom w:val="single" w:sz="4" w:space="0" w:color="auto"/>
              <w:right w:val="single" w:sz="4" w:space="0" w:color="auto"/>
            </w:tcBorders>
            <w:vAlign w:val="center"/>
            <w:hideMark/>
          </w:tcPr>
          <w:p w14:paraId="7026160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ARR</w:t>
            </w:r>
          </w:p>
        </w:tc>
      </w:tr>
      <w:tr w:rsidR="00A80E41" w:rsidRPr="008D7DBA" w14:paraId="08A86E48" w14:textId="77777777" w:rsidTr="00BA0E19">
        <w:trPr>
          <w:trHeight w:val="206"/>
        </w:trPr>
        <w:tc>
          <w:tcPr>
            <w:tcW w:w="2259" w:type="dxa"/>
            <w:tcBorders>
              <w:top w:val="nil"/>
              <w:left w:val="single" w:sz="4" w:space="0" w:color="auto"/>
              <w:bottom w:val="single" w:sz="4" w:space="0" w:color="auto"/>
              <w:right w:val="single" w:sz="4" w:space="0" w:color="auto"/>
            </w:tcBorders>
            <w:vAlign w:val="center"/>
            <w:hideMark/>
          </w:tcPr>
          <w:p w14:paraId="7DFC8395"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A</w:t>
            </w:r>
          </w:p>
        </w:tc>
        <w:tc>
          <w:tcPr>
            <w:tcW w:w="1703" w:type="dxa"/>
            <w:tcBorders>
              <w:top w:val="nil"/>
              <w:left w:val="nil"/>
              <w:bottom w:val="single" w:sz="4" w:space="0" w:color="auto"/>
              <w:right w:val="single" w:sz="4" w:space="0" w:color="auto"/>
            </w:tcBorders>
            <w:vAlign w:val="center"/>
            <w:hideMark/>
          </w:tcPr>
          <w:p w14:paraId="5B50E1F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40</w:t>
            </w:r>
          </w:p>
        </w:tc>
        <w:tc>
          <w:tcPr>
            <w:tcW w:w="1420" w:type="dxa"/>
            <w:tcBorders>
              <w:top w:val="nil"/>
              <w:left w:val="nil"/>
              <w:bottom w:val="single" w:sz="4" w:space="0" w:color="auto"/>
              <w:right w:val="single" w:sz="4" w:space="0" w:color="auto"/>
            </w:tcBorders>
            <w:vAlign w:val="center"/>
            <w:hideMark/>
          </w:tcPr>
          <w:p w14:paraId="48F9AC1A"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8</w:t>
            </w:r>
          </w:p>
        </w:tc>
        <w:tc>
          <w:tcPr>
            <w:tcW w:w="1163" w:type="dxa"/>
            <w:tcBorders>
              <w:top w:val="nil"/>
              <w:left w:val="nil"/>
              <w:bottom w:val="single" w:sz="4" w:space="0" w:color="auto"/>
              <w:right w:val="single" w:sz="4" w:space="0" w:color="auto"/>
            </w:tcBorders>
            <w:vAlign w:val="center"/>
            <w:hideMark/>
          </w:tcPr>
          <w:p w14:paraId="2D4C4673"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2, 4, 6, 2, 0</w:t>
            </w:r>
          </w:p>
        </w:tc>
        <w:tc>
          <w:tcPr>
            <w:tcW w:w="1112" w:type="dxa"/>
            <w:tcBorders>
              <w:top w:val="nil"/>
              <w:left w:val="nil"/>
              <w:bottom w:val="single" w:sz="4" w:space="0" w:color="auto"/>
              <w:right w:val="single" w:sz="4" w:space="0" w:color="auto"/>
            </w:tcBorders>
            <w:vAlign w:val="center"/>
            <w:hideMark/>
          </w:tcPr>
          <w:p w14:paraId="62377DE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2.8</w:t>
            </w:r>
          </w:p>
        </w:tc>
        <w:tc>
          <w:tcPr>
            <w:tcW w:w="1262" w:type="dxa"/>
            <w:tcBorders>
              <w:top w:val="nil"/>
              <w:left w:val="nil"/>
              <w:bottom w:val="single" w:sz="4" w:space="0" w:color="auto"/>
              <w:right w:val="single" w:sz="4" w:space="0" w:color="auto"/>
            </w:tcBorders>
            <w:vAlign w:val="center"/>
            <w:hideMark/>
          </w:tcPr>
          <w:p w14:paraId="05E69FE7"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20</w:t>
            </w:r>
          </w:p>
        </w:tc>
        <w:tc>
          <w:tcPr>
            <w:tcW w:w="1045" w:type="dxa"/>
            <w:tcBorders>
              <w:top w:val="nil"/>
              <w:left w:val="nil"/>
              <w:bottom w:val="single" w:sz="4" w:space="0" w:color="auto"/>
              <w:right w:val="single" w:sz="4" w:space="0" w:color="auto"/>
            </w:tcBorders>
            <w:vAlign w:val="center"/>
            <w:hideMark/>
          </w:tcPr>
          <w:p w14:paraId="7B911A3C"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14.00%</w:t>
            </w:r>
          </w:p>
        </w:tc>
      </w:tr>
      <w:tr w:rsidR="00A80E41" w:rsidRPr="008D7DBA" w14:paraId="3E208F13" w14:textId="77777777" w:rsidTr="00BA0E19">
        <w:trPr>
          <w:trHeight w:val="206"/>
        </w:trPr>
        <w:tc>
          <w:tcPr>
            <w:tcW w:w="2259" w:type="dxa"/>
            <w:tcBorders>
              <w:top w:val="nil"/>
              <w:left w:val="single" w:sz="4" w:space="0" w:color="auto"/>
              <w:bottom w:val="single" w:sz="4" w:space="0" w:color="auto"/>
              <w:right w:val="single" w:sz="4" w:space="0" w:color="auto"/>
            </w:tcBorders>
            <w:vAlign w:val="center"/>
            <w:hideMark/>
          </w:tcPr>
          <w:p w14:paraId="409B64A6"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B</w:t>
            </w:r>
          </w:p>
        </w:tc>
        <w:tc>
          <w:tcPr>
            <w:tcW w:w="1703" w:type="dxa"/>
            <w:tcBorders>
              <w:top w:val="nil"/>
              <w:left w:val="nil"/>
              <w:bottom w:val="single" w:sz="4" w:space="0" w:color="auto"/>
              <w:right w:val="single" w:sz="4" w:space="0" w:color="auto"/>
            </w:tcBorders>
            <w:vAlign w:val="center"/>
            <w:hideMark/>
          </w:tcPr>
          <w:p w14:paraId="2470F964"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30</w:t>
            </w:r>
          </w:p>
        </w:tc>
        <w:tc>
          <w:tcPr>
            <w:tcW w:w="1420" w:type="dxa"/>
            <w:tcBorders>
              <w:top w:val="nil"/>
              <w:left w:val="nil"/>
              <w:bottom w:val="single" w:sz="4" w:space="0" w:color="auto"/>
              <w:right w:val="single" w:sz="4" w:space="0" w:color="auto"/>
            </w:tcBorders>
            <w:vAlign w:val="center"/>
            <w:hideMark/>
          </w:tcPr>
          <w:p w14:paraId="1D1C36F0"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6</w:t>
            </w:r>
          </w:p>
        </w:tc>
        <w:tc>
          <w:tcPr>
            <w:tcW w:w="1163" w:type="dxa"/>
            <w:tcBorders>
              <w:top w:val="nil"/>
              <w:left w:val="nil"/>
              <w:bottom w:val="single" w:sz="4" w:space="0" w:color="auto"/>
              <w:right w:val="single" w:sz="4" w:space="0" w:color="auto"/>
            </w:tcBorders>
            <w:vAlign w:val="center"/>
            <w:hideMark/>
          </w:tcPr>
          <w:p w14:paraId="5E746536"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0, 0, 0, 0, 0</w:t>
            </w:r>
          </w:p>
        </w:tc>
        <w:tc>
          <w:tcPr>
            <w:tcW w:w="1112" w:type="dxa"/>
            <w:tcBorders>
              <w:top w:val="nil"/>
              <w:left w:val="nil"/>
              <w:bottom w:val="single" w:sz="4" w:space="0" w:color="auto"/>
              <w:right w:val="single" w:sz="4" w:space="0" w:color="auto"/>
            </w:tcBorders>
            <w:vAlign w:val="center"/>
            <w:hideMark/>
          </w:tcPr>
          <w:p w14:paraId="325BA228"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w:t>
            </w:r>
          </w:p>
        </w:tc>
        <w:tc>
          <w:tcPr>
            <w:tcW w:w="1262" w:type="dxa"/>
            <w:tcBorders>
              <w:top w:val="nil"/>
              <w:left w:val="nil"/>
              <w:bottom w:val="single" w:sz="4" w:space="0" w:color="auto"/>
              <w:right w:val="single" w:sz="4" w:space="0" w:color="auto"/>
            </w:tcBorders>
            <w:vAlign w:val="center"/>
            <w:hideMark/>
          </w:tcPr>
          <w:p w14:paraId="0068B4B2"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15</w:t>
            </w:r>
          </w:p>
        </w:tc>
        <w:tc>
          <w:tcPr>
            <w:tcW w:w="1045" w:type="dxa"/>
            <w:tcBorders>
              <w:top w:val="nil"/>
              <w:left w:val="nil"/>
              <w:bottom w:val="single" w:sz="4" w:space="0" w:color="auto"/>
              <w:right w:val="single" w:sz="4" w:space="0" w:color="auto"/>
            </w:tcBorders>
            <w:vAlign w:val="center"/>
            <w:hideMark/>
          </w:tcPr>
          <w:p w14:paraId="4BE8D42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0.00%</w:t>
            </w:r>
          </w:p>
        </w:tc>
      </w:tr>
      <w:tr w:rsidR="00A80E41" w:rsidRPr="008D7DBA" w14:paraId="3B74AFB6" w14:textId="77777777" w:rsidTr="00BA0E19">
        <w:trPr>
          <w:trHeight w:val="372"/>
        </w:trPr>
        <w:tc>
          <w:tcPr>
            <w:tcW w:w="2259" w:type="dxa"/>
            <w:tcBorders>
              <w:top w:val="nil"/>
              <w:left w:val="single" w:sz="4" w:space="0" w:color="auto"/>
              <w:bottom w:val="single" w:sz="4" w:space="0" w:color="auto"/>
              <w:right w:val="single" w:sz="4" w:space="0" w:color="auto"/>
            </w:tcBorders>
            <w:vAlign w:val="center"/>
            <w:hideMark/>
          </w:tcPr>
          <w:p w14:paraId="021DB422"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C</w:t>
            </w:r>
          </w:p>
        </w:tc>
        <w:tc>
          <w:tcPr>
            <w:tcW w:w="1703" w:type="dxa"/>
            <w:tcBorders>
              <w:top w:val="nil"/>
              <w:left w:val="nil"/>
              <w:bottom w:val="single" w:sz="4" w:space="0" w:color="auto"/>
              <w:right w:val="single" w:sz="4" w:space="0" w:color="auto"/>
            </w:tcBorders>
            <w:vAlign w:val="center"/>
            <w:hideMark/>
          </w:tcPr>
          <w:p w14:paraId="489422DD"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50</w:t>
            </w:r>
          </w:p>
        </w:tc>
        <w:tc>
          <w:tcPr>
            <w:tcW w:w="1420" w:type="dxa"/>
            <w:tcBorders>
              <w:top w:val="nil"/>
              <w:left w:val="nil"/>
              <w:bottom w:val="single" w:sz="4" w:space="0" w:color="auto"/>
              <w:right w:val="single" w:sz="4" w:space="0" w:color="auto"/>
            </w:tcBorders>
            <w:vAlign w:val="center"/>
            <w:hideMark/>
          </w:tcPr>
          <w:p w14:paraId="760A600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10</w:t>
            </w:r>
          </w:p>
        </w:tc>
        <w:tc>
          <w:tcPr>
            <w:tcW w:w="1163" w:type="dxa"/>
            <w:tcBorders>
              <w:top w:val="nil"/>
              <w:left w:val="nil"/>
              <w:bottom w:val="single" w:sz="4" w:space="0" w:color="auto"/>
              <w:right w:val="single" w:sz="4" w:space="0" w:color="auto"/>
            </w:tcBorders>
            <w:vAlign w:val="center"/>
            <w:hideMark/>
          </w:tcPr>
          <w:p w14:paraId="07142640" w14:textId="77777777" w:rsidR="00BA0E19" w:rsidRPr="00BA0E19" w:rsidRDefault="00BA0E19" w:rsidP="00BA0E19">
            <w:pPr>
              <w:spacing w:after="0" w:line="240" w:lineRule="auto"/>
              <w:jc w:val="left"/>
              <w:rPr>
                <w:rFonts w:ascii="Arial" w:eastAsia="Times New Roman" w:hAnsi="Arial" w:cs="Arial"/>
                <w:kern w:val="0"/>
                <w:sz w:val="22"/>
                <w14:ligatures w14:val="none"/>
              </w:rPr>
            </w:pPr>
            <w:r w:rsidRPr="00BA0E19">
              <w:rPr>
                <w:rFonts w:ascii="Arial" w:eastAsia="Times New Roman" w:hAnsi="Arial" w:cs="Arial"/>
                <w:kern w:val="0"/>
                <w:sz w:val="22"/>
                <w14:ligatures w14:val="none"/>
              </w:rPr>
              <w:t>−5, 0, 10, 15, 5</w:t>
            </w:r>
          </w:p>
        </w:tc>
        <w:tc>
          <w:tcPr>
            <w:tcW w:w="1112" w:type="dxa"/>
            <w:tcBorders>
              <w:top w:val="nil"/>
              <w:left w:val="nil"/>
              <w:bottom w:val="single" w:sz="4" w:space="0" w:color="auto"/>
              <w:right w:val="single" w:sz="4" w:space="0" w:color="auto"/>
            </w:tcBorders>
            <w:vAlign w:val="center"/>
            <w:hideMark/>
          </w:tcPr>
          <w:p w14:paraId="2B0C1009"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5</w:t>
            </w:r>
          </w:p>
        </w:tc>
        <w:tc>
          <w:tcPr>
            <w:tcW w:w="1262" w:type="dxa"/>
            <w:tcBorders>
              <w:top w:val="nil"/>
              <w:left w:val="nil"/>
              <w:bottom w:val="single" w:sz="4" w:space="0" w:color="auto"/>
              <w:right w:val="single" w:sz="4" w:space="0" w:color="auto"/>
            </w:tcBorders>
            <w:vAlign w:val="center"/>
            <w:hideMark/>
          </w:tcPr>
          <w:p w14:paraId="08CFF83F"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25</w:t>
            </w:r>
          </w:p>
        </w:tc>
        <w:tc>
          <w:tcPr>
            <w:tcW w:w="1045" w:type="dxa"/>
            <w:tcBorders>
              <w:top w:val="nil"/>
              <w:left w:val="nil"/>
              <w:bottom w:val="single" w:sz="4" w:space="0" w:color="auto"/>
              <w:right w:val="single" w:sz="4" w:space="0" w:color="auto"/>
            </w:tcBorders>
            <w:vAlign w:val="center"/>
            <w:hideMark/>
          </w:tcPr>
          <w:p w14:paraId="2D734D99" w14:textId="77777777" w:rsidR="00BA0E19" w:rsidRPr="00BA0E19" w:rsidRDefault="00BA0E19" w:rsidP="00BA0E19">
            <w:pPr>
              <w:spacing w:after="0" w:line="240" w:lineRule="auto"/>
              <w:jc w:val="right"/>
              <w:rPr>
                <w:rFonts w:ascii="Arial" w:eastAsia="Times New Roman" w:hAnsi="Arial" w:cs="Arial"/>
                <w:kern w:val="0"/>
                <w:sz w:val="22"/>
                <w14:ligatures w14:val="none"/>
              </w:rPr>
            </w:pPr>
            <w:r w:rsidRPr="00BA0E19">
              <w:rPr>
                <w:rFonts w:ascii="Arial" w:eastAsia="Times New Roman" w:hAnsi="Arial" w:cs="Arial"/>
                <w:kern w:val="0"/>
                <w:sz w:val="22"/>
                <w14:ligatures w14:val="none"/>
              </w:rPr>
              <w:t>20.00%</w:t>
            </w:r>
          </w:p>
        </w:tc>
      </w:tr>
    </w:tbl>
    <w:p w14:paraId="3BE21FE9" w14:textId="77777777" w:rsidR="00BA0E19" w:rsidRPr="008D7DBA" w:rsidRDefault="00BA0E19" w:rsidP="00BA0E19">
      <w:pPr>
        <w:rPr>
          <w:rFonts w:ascii="Arial" w:hAnsi="Arial" w:cs="Arial"/>
        </w:rPr>
      </w:pPr>
    </w:p>
    <w:tbl>
      <w:tblPr>
        <w:tblW w:w="6160" w:type="dxa"/>
        <w:tblLook w:val="04A0" w:firstRow="1" w:lastRow="0" w:firstColumn="1" w:lastColumn="0" w:noHBand="0" w:noVBand="1"/>
      </w:tblPr>
      <w:tblGrid>
        <w:gridCol w:w="2680"/>
        <w:gridCol w:w="2020"/>
        <w:gridCol w:w="1460"/>
      </w:tblGrid>
      <w:tr w:rsidR="00A80E41" w:rsidRPr="008D7DBA" w14:paraId="7FE296B1" w14:textId="77777777" w:rsidTr="00EA3696">
        <w:trPr>
          <w:trHeight w:val="310"/>
        </w:trPr>
        <w:tc>
          <w:tcPr>
            <w:tcW w:w="2680" w:type="dxa"/>
            <w:tcBorders>
              <w:top w:val="single" w:sz="4" w:space="0" w:color="auto"/>
              <w:left w:val="single" w:sz="4" w:space="0" w:color="auto"/>
              <w:bottom w:val="single" w:sz="4" w:space="0" w:color="auto"/>
              <w:right w:val="single" w:sz="4" w:space="0" w:color="auto"/>
            </w:tcBorders>
            <w:noWrap/>
            <w:vAlign w:val="bottom"/>
            <w:hideMark/>
          </w:tcPr>
          <w:p w14:paraId="1617128C" w14:textId="77777777" w:rsidR="00EA3696" w:rsidRPr="00EA3696" w:rsidRDefault="00EA3696" w:rsidP="00EA3696">
            <w:pPr>
              <w:spacing w:after="0" w:line="240" w:lineRule="auto"/>
              <w:jc w:val="left"/>
              <w:rPr>
                <w:rFonts w:ascii="Arial" w:eastAsia="Times New Roman" w:hAnsi="Arial" w:cs="Arial"/>
                <w:kern w:val="0"/>
                <w:szCs w:val="24"/>
                <w14:ligatures w14:val="none"/>
              </w:rPr>
            </w:pPr>
            <w:r w:rsidRPr="00EA3696">
              <w:rPr>
                <w:rFonts w:ascii="Arial" w:eastAsia="Times New Roman" w:hAnsi="Arial" w:cs="Arial"/>
                <w:kern w:val="0"/>
                <w:szCs w:val="24"/>
                <w14:ligatures w14:val="none"/>
              </w:rPr>
              <w:t>IRR Calculation</w:t>
            </w:r>
          </w:p>
        </w:tc>
        <w:tc>
          <w:tcPr>
            <w:tcW w:w="2020" w:type="dxa"/>
            <w:tcBorders>
              <w:top w:val="single" w:sz="4" w:space="0" w:color="auto"/>
              <w:left w:val="nil"/>
              <w:bottom w:val="single" w:sz="4" w:space="0" w:color="auto"/>
              <w:right w:val="single" w:sz="4" w:space="0" w:color="auto"/>
            </w:tcBorders>
            <w:noWrap/>
            <w:vAlign w:val="bottom"/>
            <w:hideMark/>
          </w:tcPr>
          <w:p w14:paraId="0E2F36C4" w14:textId="77777777" w:rsidR="00EA3696" w:rsidRPr="00EA3696" w:rsidRDefault="00EA3696" w:rsidP="00EA3696">
            <w:pPr>
              <w:spacing w:after="0" w:line="240" w:lineRule="auto"/>
              <w:jc w:val="left"/>
              <w:rPr>
                <w:rFonts w:ascii="Arial" w:eastAsia="Times New Roman" w:hAnsi="Arial" w:cs="Arial"/>
                <w:kern w:val="0"/>
                <w:szCs w:val="24"/>
                <w14:ligatures w14:val="none"/>
              </w:rPr>
            </w:pPr>
            <w:r w:rsidRPr="00EA3696">
              <w:rPr>
                <w:rFonts w:ascii="Arial" w:eastAsia="Times New Roman" w:hAnsi="Arial" w:cs="Arial"/>
                <w:kern w:val="0"/>
                <w:szCs w:val="24"/>
                <w14:ligatures w14:val="none"/>
              </w:rPr>
              <w:t> </w:t>
            </w:r>
          </w:p>
        </w:tc>
        <w:tc>
          <w:tcPr>
            <w:tcW w:w="1460" w:type="dxa"/>
            <w:tcBorders>
              <w:top w:val="single" w:sz="4" w:space="0" w:color="auto"/>
              <w:left w:val="nil"/>
              <w:bottom w:val="single" w:sz="4" w:space="0" w:color="auto"/>
              <w:right w:val="single" w:sz="4" w:space="0" w:color="auto"/>
            </w:tcBorders>
            <w:noWrap/>
            <w:vAlign w:val="bottom"/>
            <w:hideMark/>
          </w:tcPr>
          <w:p w14:paraId="4454AFA1" w14:textId="77777777" w:rsidR="00EA3696" w:rsidRPr="00EA3696" w:rsidRDefault="00EA3696" w:rsidP="00EA3696">
            <w:pPr>
              <w:spacing w:after="0" w:line="240" w:lineRule="auto"/>
              <w:jc w:val="left"/>
              <w:rPr>
                <w:rFonts w:ascii="Arial" w:eastAsia="Times New Roman" w:hAnsi="Arial" w:cs="Arial"/>
                <w:kern w:val="0"/>
                <w:szCs w:val="24"/>
                <w14:ligatures w14:val="none"/>
              </w:rPr>
            </w:pPr>
            <w:r w:rsidRPr="00EA3696">
              <w:rPr>
                <w:rFonts w:ascii="Arial" w:eastAsia="Times New Roman" w:hAnsi="Arial" w:cs="Arial"/>
                <w:kern w:val="0"/>
                <w:szCs w:val="24"/>
                <w14:ligatures w14:val="none"/>
              </w:rPr>
              <w:t> </w:t>
            </w:r>
          </w:p>
        </w:tc>
      </w:tr>
      <w:tr w:rsidR="00A80E41" w:rsidRPr="008D7DBA" w14:paraId="0E760F72" w14:textId="77777777" w:rsidTr="00EA3696">
        <w:trPr>
          <w:trHeight w:val="560"/>
        </w:trPr>
        <w:tc>
          <w:tcPr>
            <w:tcW w:w="2680" w:type="dxa"/>
            <w:tcBorders>
              <w:top w:val="nil"/>
              <w:left w:val="single" w:sz="4" w:space="0" w:color="auto"/>
              <w:bottom w:val="single" w:sz="4" w:space="0" w:color="auto"/>
              <w:right w:val="single" w:sz="4" w:space="0" w:color="auto"/>
            </w:tcBorders>
            <w:vAlign w:val="center"/>
            <w:hideMark/>
          </w:tcPr>
          <w:p w14:paraId="32BBF106" w14:textId="77777777" w:rsidR="00EA3696" w:rsidRPr="00EA3696" w:rsidRDefault="00EA3696" w:rsidP="00EA3696">
            <w:pPr>
              <w:spacing w:after="0" w:line="240" w:lineRule="auto"/>
              <w:jc w:val="center"/>
              <w:rPr>
                <w:rFonts w:ascii="Arial" w:eastAsia="Times New Roman" w:hAnsi="Arial" w:cs="Arial"/>
                <w:kern w:val="0"/>
                <w:sz w:val="22"/>
                <w14:ligatures w14:val="none"/>
              </w:rPr>
            </w:pPr>
            <w:r w:rsidRPr="00EA3696">
              <w:rPr>
                <w:rFonts w:ascii="Arial" w:eastAsia="Times New Roman" w:hAnsi="Arial" w:cs="Arial"/>
                <w:kern w:val="0"/>
                <w:sz w:val="22"/>
                <w14:ligatures w14:val="none"/>
              </w:rPr>
              <w:t>Project</w:t>
            </w:r>
          </w:p>
        </w:tc>
        <w:tc>
          <w:tcPr>
            <w:tcW w:w="2020" w:type="dxa"/>
            <w:tcBorders>
              <w:top w:val="nil"/>
              <w:left w:val="nil"/>
              <w:bottom w:val="single" w:sz="4" w:space="0" w:color="auto"/>
              <w:right w:val="single" w:sz="4" w:space="0" w:color="auto"/>
            </w:tcBorders>
            <w:vAlign w:val="center"/>
            <w:hideMark/>
          </w:tcPr>
          <w:p w14:paraId="6F1A3C3B" w14:textId="77777777" w:rsidR="00EA3696" w:rsidRPr="00EA3696" w:rsidRDefault="00EA3696" w:rsidP="00EA3696">
            <w:pPr>
              <w:spacing w:after="0" w:line="240" w:lineRule="auto"/>
              <w:jc w:val="center"/>
              <w:rPr>
                <w:rFonts w:ascii="Arial" w:eastAsia="Times New Roman" w:hAnsi="Arial" w:cs="Arial"/>
                <w:kern w:val="0"/>
                <w:sz w:val="22"/>
                <w14:ligatures w14:val="none"/>
              </w:rPr>
            </w:pPr>
            <w:r w:rsidRPr="00EA3696">
              <w:rPr>
                <w:rFonts w:ascii="Arial" w:eastAsia="Times New Roman" w:hAnsi="Arial" w:cs="Arial"/>
                <w:kern w:val="0"/>
                <w:sz w:val="22"/>
                <w14:ligatures w14:val="none"/>
              </w:rPr>
              <w:t>Cash Flow Series (Year 0–5)</w:t>
            </w:r>
          </w:p>
        </w:tc>
        <w:tc>
          <w:tcPr>
            <w:tcW w:w="1460" w:type="dxa"/>
            <w:tcBorders>
              <w:top w:val="nil"/>
              <w:left w:val="nil"/>
              <w:bottom w:val="single" w:sz="4" w:space="0" w:color="auto"/>
              <w:right w:val="single" w:sz="4" w:space="0" w:color="auto"/>
            </w:tcBorders>
            <w:vAlign w:val="center"/>
            <w:hideMark/>
          </w:tcPr>
          <w:p w14:paraId="5C85A775" w14:textId="77777777" w:rsidR="00EA3696" w:rsidRPr="00EA3696" w:rsidRDefault="00EA3696" w:rsidP="00EA3696">
            <w:pPr>
              <w:spacing w:after="0" w:line="240" w:lineRule="auto"/>
              <w:jc w:val="center"/>
              <w:rPr>
                <w:rFonts w:ascii="Arial" w:eastAsia="Times New Roman" w:hAnsi="Arial" w:cs="Arial"/>
                <w:kern w:val="0"/>
                <w:sz w:val="22"/>
                <w14:ligatures w14:val="none"/>
              </w:rPr>
            </w:pPr>
            <w:r w:rsidRPr="00EA3696">
              <w:rPr>
                <w:rFonts w:ascii="Arial" w:eastAsia="Times New Roman" w:hAnsi="Arial" w:cs="Arial"/>
                <w:kern w:val="0"/>
                <w:sz w:val="22"/>
                <w14:ligatures w14:val="none"/>
              </w:rPr>
              <w:t>IRR%</w:t>
            </w:r>
          </w:p>
        </w:tc>
      </w:tr>
      <w:tr w:rsidR="00A80E41" w:rsidRPr="008D7DBA" w14:paraId="3EAB29E0" w14:textId="77777777" w:rsidTr="00EA3696">
        <w:trPr>
          <w:trHeight w:val="560"/>
        </w:trPr>
        <w:tc>
          <w:tcPr>
            <w:tcW w:w="2680" w:type="dxa"/>
            <w:tcBorders>
              <w:top w:val="nil"/>
              <w:left w:val="single" w:sz="4" w:space="0" w:color="auto"/>
              <w:bottom w:val="single" w:sz="4" w:space="0" w:color="auto"/>
              <w:right w:val="single" w:sz="4" w:space="0" w:color="auto"/>
            </w:tcBorders>
            <w:vAlign w:val="center"/>
            <w:hideMark/>
          </w:tcPr>
          <w:p w14:paraId="623B3705" w14:textId="77777777" w:rsidR="00EA3696" w:rsidRPr="00EA3696" w:rsidRDefault="00EA3696" w:rsidP="00EA3696">
            <w:pPr>
              <w:spacing w:after="0" w:line="240" w:lineRule="auto"/>
              <w:jc w:val="left"/>
              <w:rPr>
                <w:rFonts w:ascii="Arial" w:eastAsia="Times New Roman" w:hAnsi="Arial" w:cs="Arial"/>
                <w:kern w:val="0"/>
                <w:sz w:val="22"/>
                <w14:ligatures w14:val="none"/>
              </w:rPr>
            </w:pPr>
            <w:r w:rsidRPr="00EA3696">
              <w:rPr>
                <w:rFonts w:ascii="Arial" w:eastAsia="Times New Roman" w:hAnsi="Arial" w:cs="Arial"/>
                <w:kern w:val="0"/>
                <w:sz w:val="22"/>
                <w14:ligatures w14:val="none"/>
              </w:rPr>
              <w:t>A</w:t>
            </w:r>
          </w:p>
        </w:tc>
        <w:tc>
          <w:tcPr>
            <w:tcW w:w="2020" w:type="dxa"/>
            <w:tcBorders>
              <w:top w:val="nil"/>
              <w:left w:val="nil"/>
              <w:bottom w:val="single" w:sz="4" w:space="0" w:color="auto"/>
              <w:right w:val="single" w:sz="4" w:space="0" w:color="auto"/>
            </w:tcBorders>
            <w:vAlign w:val="center"/>
            <w:hideMark/>
          </w:tcPr>
          <w:p w14:paraId="14BA93E9" w14:textId="77777777" w:rsidR="00EA3696" w:rsidRPr="00EA3696" w:rsidRDefault="00EA3696" w:rsidP="00EA3696">
            <w:pPr>
              <w:spacing w:after="0" w:line="240" w:lineRule="auto"/>
              <w:jc w:val="left"/>
              <w:rPr>
                <w:rFonts w:ascii="Arial" w:eastAsia="Times New Roman" w:hAnsi="Arial" w:cs="Arial"/>
                <w:kern w:val="0"/>
                <w:sz w:val="22"/>
                <w14:ligatures w14:val="none"/>
              </w:rPr>
            </w:pPr>
            <w:r w:rsidRPr="00EA3696">
              <w:rPr>
                <w:rFonts w:ascii="Arial" w:eastAsia="Times New Roman" w:hAnsi="Arial" w:cs="Arial"/>
                <w:kern w:val="0"/>
                <w:sz w:val="22"/>
                <w14:ligatures w14:val="none"/>
              </w:rPr>
              <w:t>{-40, 10, 12, 14, 10, 8}</w:t>
            </w:r>
          </w:p>
        </w:tc>
        <w:tc>
          <w:tcPr>
            <w:tcW w:w="1460" w:type="dxa"/>
            <w:tcBorders>
              <w:top w:val="nil"/>
              <w:left w:val="nil"/>
              <w:bottom w:val="single" w:sz="4" w:space="0" w:color="auto"/>
              <w:right w:val="single" w:sz="4" w:space="0" w:color="auto"/>
            </w:tcBorders>
            <w:vAlign w:val="center"/>
            <w:hideMark/>
          </w:tcPr>
          <w:p w14:paraId="54C903FF" w14:textId="77777777" w:rsidR="00EA3696" w:rsidRPr="00EA3696" w:rsidRDefault="00EA3696" w:rsidP="00EA3696">
            <w:pPr>
              <w:spacing w:after="0" w:line="240" w:lineRule="auto"/>
              <w:jc w:val="right"/>
              <w:rPr>
                <w:rFonts w:ascii="Arial" w:eastAsia="Times New Roman" w:hAnsi="Arial" w:cs="Arial"/>
                <w:kern w:val="0"/>
                <w:sz w:val="20"/>
                <w:szCs w:val="20"/>
                <w14:ligatures w14:val="none"/>
              </w:rPr>
            </w:pPr>
            <w:r w:rsidRPr="00EA3696">
              <w:rPr>
                <w:rFonts w:ascii="Arial" w:eastAsia="Times New Roman" w:hAnsi="Arial" w:cs="Arial"/>
                <w:kern w:val="0"/>
                <w:sz w:val="20"/>
                <w:szCs w:val="20"/>
                <w14:ligatures w14:val="none"/>
              </w:rPr>
              <w:t>11.33%</w:t>
            </w:r>
          </w:p>
        </w:tc>
      </w:tr>
      <w:tr w:rsidR="00A80E41" w:rsidRPr="008D7DBA" w14:paraId="174C8B1C" w14:textId="77777777" w:rsidTr="00EA3696">
        <w:trPr>
          <w:trHeight w:val="310"/>
        </w:trPr>
        <w:tc>
          <w:tcPr>
            <w:tcW w:w="2680" w:type="dxa"/>
            <w:tcBorders>
              <w:top w:val="nil"/>
              <w:left w:val="single" w:sz="4" w:space="0" w:color="auto"/>
              <w:bottom w:val="single" w:sz="4" w:space="0" w:color="auto"/>
              <w:right w:val="single" w:sz="4" w:space="0" w:color="auto"/>
            </w:tcBorders>
            <w:vAlign w:val="center"/>
            <w:hideMark/>
          </w:tcPr>
          <w:p w14:paraId="477240DB" w14:textId="77777777" w:rsidR="00EA3696" w:rsidRPr="00EA3696" w:rsidRDefault="00EA3696" w:rsidP="00EA3696">
            <w:pPr>
              <w:spacing w:after="0" w:line="240" w:lineRule="auto"/>
              <w:jc w:val="left"/>
              <w:rPr>
                <w:rFonts w:ascii="Arial" w:eastAsia="Times New Roman" w:hAnsi="Arial" w:cs="Arial"/>
                <w:kern w:val="0"/>
                <w:sz w:val="22"/>
                <w14:ligatures w14:val="none"/>
              </w:rPr>
            </w:pPr>
            <w:r w:rsidRPr="00EA3696">
              <w:rPr>
                <w:rFonts w:ascii="Arial" w:eastAsia="Times New Roman" w:hAnsi="Arial" w:cs="Arial"/>
                <w:kern w:val="0"/>
                <w:sz w:val="22"/>
                <w14:ligatures w14:val="none"/>
              </w:rPr>
              <w:lastRenderedPageBreak/>
              <w:t>B</w:t>
            </w:r>
          </w:p>
        </w:tc>
        <w:tc>
          <w:tcPr>
            <w:tcW w:w="2020" w:type="dxa"/>
            <w:tcBorders>
              <w:top w:val="nil"/>
              <w:left w:val="nil"/>
              <w:bottom w:val="single" w:sz="4" w:space="0" w:color="auto"/>
              <w:right w:val="single" w:sz="4" w:space="0" w:color="auto"/>
            </w:tcBorders>
            <w:vAlign w:val="center"/>
            <w:hideMark/>
          </w:tcPr>
          <w:p w14:paraId="052EDA2B" w14:textId="77777777" w:rsidR="00EA3696" w:rsidRPr="00EA3696" w:rsidRDefault="00EA3696" w:rsidP="00EA3696">
            <w:pPr>
              <w:spacing w:after="0" w:line="240" w:lineRule="auto"/>
              <w:jc w:val="left"/>
              <w:rPr>
                <w:rFonts w:ascii="Arial" w:eastAsia="Times New Roman" w:hAnsi="Arial" w:cs="Arial"/>
                <w:kern w:val="0"/>
                <w:sz w:val="22"/>
                <w14:ligatures w14:val="none"/>
              </w:rPr>
            </w:pPr>
            <w:r w:rsidRPr="00EA3696">
              <w:rPr>
                <w:rFonts w:ascii="Arial" w:eastAsia="Times New Roman" w:hAnsi="Arial" w:cs="Arial"/>
                <w:kern w:val="0"/>
                <w:sz w:val="22"/>
                <w14:ligatures w14:val="none"/>
              </w:rPr>
              <w:t>{-30, 6, 6, 6, 6, 6}</w:t>
            </w:r>
          </w:p>
        </w:tc>
        <w:tc>
          <w:tcPr>
            <w:tcW w:w="1460" w:type="dxa"/>
            <w:tcBorders>
              <w:top w:val="nil"/>
              <w:left w:val="nil"/>
              <w:bottom w:val="single" w:sz="4" w:space="0" w:color="auto"/>
              <w:right w:val="single" w:sz="4" w:space="0" w:color="auto"/>
            </w:tcBorders>
            <w:vAlign w:val="center"/>
            <w:hideMark/>
          </w:tcPr>
          <w:p w14:paraId="71745778" w14:textId="77777777" w:rsidR="00EA3696" w:rsidRPr="00EA3696" w:rsidRDefault="00EA3696" w:rsidP="00EA3696">
            <w:pPr>
              <w:spacing w:after="0" w:line="240" w:lineRule="auto"/>
              <w:jc w:val="right"/>
              <w:rPr>
                <w:rFonts w:ascii="Arial" w:eastAsia="Times New Roman" w:hAnsi="Arial" w:cs="Arial"/>
                <w:kern w:val="0"/>
                <w:sz w:val="20"/>
                <w:szCs w:val="20"/>
                <w14:ligatures w14:val="none"/>
              </w:rPr>
            </w:pPr>
            <w:r w:rsidRPr="00EA3696">
              <w:rPr>
                <w:rFonts w:ascii="Arial" w:eastAsia="Times New Roman" w:hAnsi="Arial" w:cs="Arial"/>
                <w:kern w:val="0"/>
                <w:sz w:val="20"/>
                <w:szCs w:val="20"/>
                <w14:ligatures w14:val="none"/>
              </w:rPr>
              <w:t>0.00%</w:t>
            </w:r>
          </w:p>
        </w:tc>
      </w:tr>
      <w:tr w:rsidR="00A80E41" w:rsidRPr="008D7DBA" w14:paraId="4F5651B3" w14:textId="77777777" w:rsidTr="00EA3696">
        <w:trPr>
          <w:trHeight w:val="560"/>
        </w:trPr>
        <w:tc>
          <w:tcPr>
            <w:tcW w:w="2680" w:type="dxa"/>
            <w:tcBorders>
              <w:top w:val="nil"/>
              <w:left w:val="single" w:sz="4" w:space="0" w:color="auto"/>
              <w:bottom w:val="single" w:sz="4" w:space="0" w:color="auto"/>
              <w:right w:val="single" w:sz="4" w:space="0" w:color="auto"/>
            </w:tcBorders>
            <w:vAlign w:val="center"/>
            <w:hideMark/>
          </w:tcPr>
          <w:p w14:paraId="6E817607" w14:textId="77777777" w:rsidR="00EA3696" w:rsidRPr="00EA3696" w:rsidRDefault="00EA3696" w:rsidP="00EA3696">
            <w:pPr>
              <w:spacing w:after="0" w:line="240" w:lineRule="auto"/>
              <w:jc w:val="left"/>
              <w:rPr>
                <w:rFonts w:ascii="Arial" w:eastAsia="Times New Roman" w:hAnsi="Arial" w:cs="Arial"/>
                <w:kern w:val="0"/>
                <w:sz w:val="22"/>
                <w14:ligatures w14:val="none"/>
              </w:rPr>
            </w:pPr>
            <w:r w:rsidRPr="00EA3696">
              <w:rPr>
                <w:rFonts w:ascii="Arial" w:eastAsia="Times New Roman" w:hAnsi="Arial" w:cs="Arial"/>
                <w:kern w:val="0"/>
                <w:sz w:val="22"/>
                <w14:ligatures w14:val="none"/>
              </w:rPr>
              <w:t>C</w:t>
            </w:r>
          </w:p>
        </w:tc>
        <w:tc>
          <w:tcPr>
            <w:tcW w:w="2020" w:type="dxa"/>
            <w:tcBorders>
              <w:top w:val="nil"/>
              <w:left w:val="nil"/>
              <w:bottom w:val="single" w:sz="4" w:space="0" w:color="auto"/>
              <w:right w:val="single" w:sz="4" w:space="0" w:color="auto"/>
            </w:tcBorders>
            <w:vAlign w:val="center"/>
            <w:hideMark/>
          </w:tcPr>
          <w:p w14:paraId="7799E7F8" w14:textId="77777777" w:rsidR="00EA3696" w:rsidRPr="00EA3696" w:rsidRDefault="00EA3696" w:rsidP="00EA3696">
            <w:pPr>
              <w:spacing w:after="0" w:line="240" w:lineRule="auto"/>
              <w:jc w:val="left"/>
              <w:rPr>
                <w:rFonts w:ascii="Arial" w:eastAsia="Times New Roman" w:hAnsi="Arial" w:cs="Arial"/>
                <w:kern w:val="0"/>
                <w:sz w:val="22"/>
                <w14:ligatures w14:val="none"/>
              </w:rPr>
            </w:pPr>
            <w:r w:rsidRPr="00EA3696">
              <w:rPr>
                <w:rFonts w:ascii="Arial" w:eastAsia="Times New Roman" w:hAnsi="Arial" w:cs="Arial"/>
                <w:kern w:val="0"/>
                <w:sz w:val="22"/>
                <w14:ligatures w14:val="none"/>
              </w:rPr>
              <w:t>{-50, 5, 10, 20, 25, 15}</w:t>
            </w:r>
          </w:p>
        </w:tc>
        <w:tc>
          <w:tcPr>
            <w:tcW w:w="1460" w:type="dxa"/>
            <w:tcBorders>
              <w:top w:val="nil"/>
              <w:left w:val="nil"/>
              <w:bottom w:val="single" w:sz="4" w:space="0" w:color="auto"/>
              <w:right w:val="single" w:sz="4" w:space="0" w:color="auto"/>
            </w:tcBorders>
            <w:vAlign w:val="center"/>
            <w:hideMark/>
          </w:tcPr>
          <w:p w14:paraId="666517FE" w14:textId="77777777" w:rsidR="00EA3696" w:rsidRPr="00EA3696" w:rsidRDefault="00EA3696" w:rsidP="00EA3696">
            <w:pPr>
              <w:spacing w:after="0" w:line="240" w:lineRule="auto"/>
              <w:jc w:val="right"/>
              <w:rPr>
                <w:rFonts w:ascii="Arial" w:eastAsia="Times New Roman" w:hAnsi="Arial" w:cs="Arial"/>
                <w:kern w:val="0"/>
                <w:sz w:val="20"/>
                <w:szCs w:val="20"/>
                <w14:ligatures w14:val="none"/>
              </w:rPr>
            </w:pPr>
            <w:r w:rsidRPr="00EA3696">
              <w:rPr>
                <w:rFonts w:ascii="Arial" w:eastAsia="Times New Roman" w:hAnsi="Arial" w:cs="Arial"/>
                <w:kern w:val="0"/>
                <w:sz w:val="20"/>
                <w:szCs w:val="20"/>
                <w14:ligatures w14:val="none"/>
              </w:rPr>
              <w:t>12.72%</w:t>
            </w:r>
          </w:p>
        </w:tc>
      </w:tr>
    </w:tbl>
    <w:p w14:paraId="0AB011D7" w14:textId="77777777" w:rsidR="00EA3696" w:rsidRPr="008D7DBA" w:rsidRDefault="00EA3696" w:rsidP="00BA0E19">
      <w:pPr>
        <w:rPr>
          <w:rFonts w:ascii="Arial" w:hAnsi="Arial" w:cs="Arial"/>
        </w:rPr>
      </w:pPr>
    </w:p>
    <w:sectPr w:rsidR="00EA3696" w:rsidRPr="008D7DB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D5E83" w14:textId="77777777" w:rsidR="006E318E" w:rsidRDefault="006E318E" w:rsidP="004B5EC6">
      <w:pPr>
        <w:spacing w:after="0" w:line="240" w:lineRule="auto"/>
      </w:pPr>
      <w:r>
        <w:separator/>
      </w:r>
    </w:p>
  </w:endnote>
  <w:endnote w:type="continuationSeparator" w:id="0">
    <w:p w14:paraId="191AB612" w14:textId="77777777" w:rsidR="006E318E" w:rsidRDefault="006E318E" w:rsidP="004B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337746"/>
      <w:docPartObj>
        <w:docPartGallery w:val="Page Numbers (Bottom of Page)"/>
        <w:docPartUnique/>
      </w:docPartObj>
    </w:sdtPr>
    <w:sdtEndPr>
      <w:rPr>
        <w:noProof/>
      </w:rPr>
    </w:sdtEndPr>
    <w:sdtContent>
      <w:p w14:paraId="72F14478" w14:textId="25A2925B" w:rsidR="004B5EC6" w:rsidRDefault="004B5E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07117D" w14:textId="77777777" w:rsidR="004B5EC6" w:rsidRDefault="004B5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68AB" w14:textId="77777777" w:rsidR="006E318E" w:rsidRDefault="006E318E" w:rsidP="004B5EC6">
      <w:pPr>
        <w:spacing w:after="0" w:line="240" w:lineRule="auto"/>
      </w:pPr>
      <w:r>
        <w:separator/>
      </w:r>
    </w:p>
  </w:footnote>
  <w:footnote w:type="continuationSeparator" w:id="0">
    <w:p w14:paraId="1B50B1A9" w14:textId="77777777" w:rsidR="006E318E" w:rsidRDefault="006E318E" w:rsidP="004B5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0FB5"/>
    <w:multiLevelType w:val="multilevel"/>
    <w:tmpl w:val="AA32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0162E"/>
    <w:multiLevelType w:val="hybridMultilevel"/>
    <w:tmpl w:val="1326E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77905"/>
    <w:multiLevelType w:val="hybridMultilevel"/>
    <w:tmpl w:val="E92E3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62EAA"/>
    <w:multiLevelType w:val="hybridMultilevel"/>
    <w:tmpl w:val="DB10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87018F"/>
    <w:multiLevelType w:val="hybridMultilevel"/>
    <w:tmpl w:val="0FF80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613348"/>
    <w:multiLevelType w:val="hybridMultilevel"/>
    <w:tmpl w:val="0DD03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DC69A0"/>
    <w:multiLevelType w:val="hybridMultilevel"/>
    <w:tmpl w:val="D7986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BA4357"/>
    <w:multiLevelType w:val="hybridMultilevel"/>
    <w:tmpl w:val="66122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B20872"/>
    <w:multiLevelType w:val="hybridMultilevel"/>
    <w:tmpl w:val="FDB25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D41EFB"/>
    <w:multiLevelType w:val="hybridMultilevel"/>
    <w:tmpl w:val="8904E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7481435">
    <w:abstractNumId w:val="7"/>
  </w:num>
  <w:num w:numId="2" w16cid:durableId="1836341033">
    <w:abstractNumId w:val="9"/>
  </w:num>
  <w:num w:numId="3" w16cid:durableId="1134449347">
    <w:abstractNumId w:val="5"/>
  </w:num>
  <w:num w:numId="4" w16cid:durableId="422845935">
    <w:abstractNumId w:val="1"/>
  </w:num>
  <w:num w:numId="5" w16cid:durableId="1732656124">
    <w:abstractNumId w:val="8"/>
  </w:num>
  <w:num w:numId="6" w16cid:durableId="903300052">
    <w:abstractNumId w:val="6"/>
  </w:num>
  <w:num w:numId="7" w16cid:durableId="1578900028">
    <w:abstractNumId w:val="3"/>
  </w:num>
  <w:num w:numId="8" w16cid:durableId="1039357524">
    <w:abstractNumId w:val="2"/>
  </w:num>
  <w:num w:numId="9" w16cid:durableId="1959410629">
    <w:abstractNumId w:val="4"/>
  </w:num>
  <w:num w:numId="10" w16cid:durableId="458305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LQ0NjAxMjG1MDUzNjFX0lEKTi0uzszPAykwrAUAZrzrOSwAAAA="/>
  </w:docVars>
  <w:rsids>
    <w:rsidRoot w:val="00645EF0"/>
    <w:rsid w:val="00026309"/>
    <w:rsid w:val="00034434"/>
    <w:rsid w:val="000736A2"/>
    <w:rsid w:val="000738C4"/>
    <w:rsid w:val="000F7F0F"/>
    <w:rsid w:val="001044A9"/>
    <w:rsid w:val="001357F8"/>
    <w:rsid w:val="00176A5B"/>
    <w:rsid w:val="00176B53"/>
    <w:rsid w:val="001A0657"/>
    <w:rsid w:val="001C0F9C"/>
    <w:rsid w:val="0024462C"/>
    <w:rsid w:val="0027209F"/>
    <w:rsid w:val="0028562F"/>
    <w:rsid w:val="002B41B5"/>
    <w:rsid w:val="003313B2"/>
    <w:rsid w:val="0034321A"/>
    <w:rsid w:val="00344621"/>
    <w:rsid w:val="00376F95"/>
    <w:rsid w:val="003C1725"/>
    <w:rsid w:val="003E418D"/>
    <w:rsid w:val="004426A8"/>
    <w:rsid w:val="00466EEA"/>
    <w:rsid w:val="00495580"/>
    <w:rsid w:val="004A7A34"/>
    <w:rsid w:val="004B5EC6"/>
    <w:rsid w:val="00505862"/>
    <w:rsid w:val="005672E2"/>
    <w:rsid w:val="0058089E"/>
    <w:rsid w:val="005C7E2A"/>
    <w:rsid w:val="005D7445"/>
    <w:rsid w:val="005E5D33"/>
    <w:rsid w:val="00605D5D"/>
    <w:rsid w:val="00645EF0"/>
    <w:rsid w:val="006742AA"/>
    <w:rsid w:val="006E318E"/>
    <w:rsid w:val="006F6997"/>
    <w:rsid w:val="007053AE"/>
    <w:rsid w:val="0071222E"/>
    <w:rsid w:val="00791863"/>
    <w:rsid w:val="0082692D"/>
    <w:rsid w:val="008413F8"/>
    <w:rsid w:val="00880AD3"/>
    <w:rsid w:val="00885CA9"/>
    <w:rsid w:val="008C0803"/>
    <w:rsid w:val="008C415D"/>
    <w:rsid w:val="008D7DBA"/>
    <w:rsid w:val="00904E90"/>
    <w:rsid w:val="009356FA"/>
    <w:rsid w:val="009515BF"/>
    <w:rsid w:val="0095452D"/>
    <w:rsid w:val="00982BA2"/>
    <w:rsid w:val="009D511F"/>
    <w:rsid w:val="009F18A8"/>
    <w:rsid w:val="00A44AE9"/>
    <w:rsid w:val="00A80E41"/>
    <w:rsid w:val="00A91DF8"/>
    <w:rsid w:val="00AA2DD0"/>
    <w:rsid w:val="00AA6EC2"/>
    <w:rsid w:val="00AC073B"/>
    <w:rsid w:val="00AC7ED2"/>
    <w:rsid w:val="00B26E41"/>
    <w:rsid w:val="00B96BC4"/>
    <w:rsid w:val="00BA0E19"/>
    <w:rsid w:val="00CD4FE0"/>
    <w:rsid w:val="00D07D74"/>
    <w:rsid w:val="00D1144A"/>
    <w:rsid w:val="00D17AE3"/>
    <w:rsid w:val="00D35B30"/>
    <w:rsid w:val="00E25010"/>
    <w:rsid w:val="00E86962"/>
    <w:rsid w:val="00EA3696"/>
    <w:rsid w:val="00ED1A18"/>
    <w:rsid w:val="00ED2403"/>
    <w:rsid w:val="00F26639"/>
    <w:rsid w:val="00FA5797"/>
    <w:rsid w:val="00FC1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12CEC"/>
  <w15:chartTrackingRefBased/>
  <w15:docId w15:val="{C9563E61-ED7D-4AD6-8D50-2DF4171DE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BA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982BA2"/>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982BA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982BA2"/>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645EF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45EF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45EF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45EF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45EF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45EF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BA2"/>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982BA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982BA2"/>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645EF0"/>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645EF0"/>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645EF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645EF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645EF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645EF0"/>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645E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E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EF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E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EF0"/>
    <w:pPr>
      <w:spacing w:before="160"/>
      <w:jc w:val="center"/>
    </w:pPr>
    <w:rPr>
      <w:i/>
      <w:iCs/>
      <w:color w:val="404040" w:themeColor="text1" w:themeTint="BF"/>
    </w:rPr>
  </w:style>
  <w:style w:type="character" w:customStyle="1" w:styleId="QuoteChar">
    <w:name w:val="Quote Char"/>
    <w:basedOn w:val="DefaultParagraphFont"/>
    <w:link w:val="Quote"/>
    <w:uiPriority w:val="29"/>
    <w:rsid w:val="00645EF0"/>
    <w:rPr>
      <w:rFonts w:ascii="Times New Roman" w:hAnsi="Times New Roman"/>
      <w:i/>
      <w:iCs/>
      <w:color w:val="404040" w:themeColor="text1" w:themeTint="BF"/>
      <w:sz w:val="24"/>
    </w:rPr>
  </w:style>
  <w:style w:type="paragraph" w:styleId="ListParagraph">
    <w:name w:val="List Paragraph"/>
    <w:basedOn w:val="Normal"/>
    <w:uiPriority w:val="34"/>
    <w:qFormat/>
    <w:rsid w:val="00645EF0"/>
    <w:pPr>
      <w:ind w:left="720"/>
      <w:contextualSpacing/>
    </w:pPr>
  </w:style>
  <w:style w:type="character" w:styleId="IntenseEmphasis">
    <w:name w:val="Intense Emphasis"/>
    <w:basedOn w:val="DefaultParagraphFont"/>
    <w:uiPriority w:val="21"/>
    <w:qFormat/>
    <w:rsid w:val="00645EF0"/>
    <w:rPr>
      <w:i/>
      <w:iCs/>
      <w:color w:val="2F5496" w:themeColor="accent1" w:themeShade="BF"/>
    </w:rPr>
  </w:style>
  <w:style w:type="paragraph" w:styleId="IntenseQuote">
    <w:name w:val="Intense Quote"/>
    <w:basedOn w:val="Normal"/>
    <w:next w:val="Normal"/>
    <w:link w:val="IntenseQuoteChar"/>
    <w:uiPriority w:val="30"/>
    <w:qFormat/>
    <w:rsid w:val="00645E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5EF0"/>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645EF0"/>
    <w:rPr>
      <w:b/>
      <w:bCs/>
      <w:smallCaps/>
      <w:color w:val="2F5496" w:themeColor="accent1" w:themeShade="BF"/>
      <w:spacing w:val="5"/>
    </w:rPr>
  </w:style>
  <w:style w:type="paragraph" w:styleId="TOCHeading">
    <w:name w:val="TOC Heading"/>
    <w:basedOn w:val="Heading1"/>
    <w:next w:val="Normal"/>
    <w:uiPriority w:val="39"/>
    <w:unhideWhenUsed/>
    <w:qFormat/>
    <w:rsid w:val="001357F8"/>
    <w:pPr>
      <w:spacing w:line="259" w:lineRule="auto"/>
      <w:jc w:val="left"/>
      <w:outlineLvl w:val="9"/>
    </w:pPr>
    <w:rPr>
      <w:rFonts w:asciiTheme="majorHAnsi" w:hAnsiTheme="majorHAnsi"/>
      <w:b w:val="0"/>
      <w:kern w:val="0"/>
      <w:sz w:val="32"/>
      <w14:ligatures w14:val="none"/>
    </w:rPr>
  </w:style>
  <w:style w:type="table" w:styleId="TableGrid">
    <w:name w:val="Table Grid"/>
    <w:basedOn w:val="TableNormal"/>
    <w:uiPriority w:val="39"/>
    <w:rsid w:val="00AC0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F6997"/>
    <w:pPr>
      <w:spacing w:after="200" w:line="240" w:lineRule="auto"/>
    </w:pPr>
    <w:rPr>
      <w:i/>
      <w:iCs/>
      <w:color w:val="44546A" w:themeColor="text2"/>
      <w:sz w:val="18"/>
      <w:szCs w:val="18"/>
    </w:rPr>
  </w:style>
  <w:style w:type="table" w:styleId="PlainTable1">
    <w:name w:val="Plain Table 1"/>
    <w:basedOn w:val="TableNormal"/>
    <w:uiPriority w:val="41"/>
    <w:rsid w:val="00AA2DD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ord">
    <w:name w:val="mord"/>
    <w:basedOn w:val="DefaultParagraphFont"/>
    <w:rsid w:val="00AC7ED2"/>
  </w:style>
  <w:style w:type="character" w:customStyle="1" w:styleId="mrel">
    <w:name w:val="mrel"/>
    <w:basedOn w:val="DefaultParagraphFont"/>
    <w:rsid w:val="00AC7ED2"/>
  </w:style>
  <w:style w:type="character" w:customStyle="1" w:styleId="vlist-s">
    <w:name w:val="vlist-s"/>
    <w:basedOn w:val="DefaultParagraphFont"/>
    <w:rsid w:val="00AC7ED2"/>
  </w:style>
  <w:style w:type="character" w:customStyle="1" w:styleId="mbin">
    <w:name w:val="mbin"/>
    <w:basedOn w:val="DefaultParagraphFont"/>
    <w:rsid w:val="00AC7ED2"/>
  </w:style>
  <w:style w:type="paragraph" w:styleId="TOC1">
    <w:name w:val="toc 1"/>
    <w:basedOn w:val="Normal"/>
    <w:next w:val="Normal"/>
    <w:autoRedefine/>
    <w:uiPriority w:val="39"/>
    <w:unhideWhenUsed/>
    <w:rsid w:val="004B5EC6"/>
    <w:pPr>
      <w:spacing w:after="100"/>
    </w:pPr>
  </w:style>
  <w:style w:type="paragraph" w:styleId="TOC2">
    <w:name w:val="toc 2"/>
    <w:basedOn w:val="Normal"/>
    <w:next w:val="Normal"/>
    <w:autoRedefine/>
    <w:uiPriority w:val="39"/>
    <w:unhideWhenUsed/>
    <w:rsid w:val="004B5EC6"/>
    <w:pPr>
      <w:spacing w:after="100"/>
      <w:ind w:left="240"/>
    </w:pPr>
  </w:style>
  <w:style w:type="character" w:styleId="Hyperlink">
    <w:name w:val="Hyperlink"/>
    <w:basedOn w:val="DefaultParagraphFont"/>
    <w:uiPriority w:val="99"/>
    <w:unhideWhenUsed/>
    <w:rsid w:val="004B5EC6"/>
    <w:rPr>
      <w:color w:val="0563C1" w:themeColor="hyperlink"/>
      <w:u w:val="single"/>
    </w:rPr>
  </w:style>
  <w:style w:type="paragraph" w:styleId="Header">
    <w:name w:val="header"/>
    <w:basedOn w:val="Normal"/>
    <w:link w:val="HeaderChar"/>
    <w:uiPriority w:val="99"/>
    <w:unhideWhenUsed/>
    <w:rsid w:val="004B5E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5EC6"/>
    <w:rPr>
      <w:rFonts w:ascii="Times New Roman" w:hAnsi="Times New Roman"/>
      <w:sz w:val="24"/>
    </w:rPr>
  </w:style>
  <w:style w:type="paragraph" w:styleId="Footer">
    <w:name w:val="footer"/>
    <w:basedOn w:val="Normal"/>
    <w:link w:val="FooterChar"/>
    <w:uiPriority w:val="99"/>
    <w:unhideWhenUsed/>
    <w:rsid w:val="004B5E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EC6"/>
    <w:rPr>
      <w:rFonts w:ascii="Times New Roman" w:hAnsi="Times New Roman"/>
      <w:sz w:val="24"/>
    </w:rPr>
  </w:style>
  <w:style w:type="paragraph" w:styleId="TableofFigures">
    <w:name w:val="table of figures"/>
    <w:basedOn w:val="Normal"/>
    <w:next w:val="Normal"/>
    <w:uiPriority w:val="99"/>
    <w:unhideWhenUsed/>
    <w:rsid w:val="004B5EC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Working%20Ekram.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Profitability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'Rony Task'!$I$5</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Task'!$J$4:$N$4</c:f>
              <c:strCache>
                <c:ptCount val="5"/>
                <c:pt idx="1">
                  <c:v>Profitability</c:v>
                </c:pt>
                <c:pt idx="2">
                  <c:v>2024</c:v>
                </c:pt>
                <c:pt idx="3">
                  <c:v>2023</c:v>
                </c:pt>
                <c:pt idx="4">
                  <c:v>2022</c:v>
                </c:pt>
              </c:strCache>
            </c:strRef>
          </c:cat>
          <c:val>
            <c:numRef>
              <c:f>'Rony Task'!$J$5:$N$5</c:f>
              <c:numCache>
                <c:formatCode>General</c:formatCode>
                <c:ptCount val="5"/>
                <c:pt idx="1">
                  <c:v>0</c:v>
                </c:pt>
                <c:pt idx="2" formatCode="0.00%">
                  <c:v>0.28868083640811487</c:v>
                </c:pt>
                <c:pt idx="3" formatCode="0.00%">
                  <c:v>0.23203324002216635</c:v>
                </c:pt>
                <c:pt idx="4" formatCode="0.00%">
                  <c:v>0.28059275800505207</c:v>
                </c:pt>
              </c:numCache>
            </c:numRef>
          </c:val>
          <c:extLst>
            <c:ext xmlns:c16="http://schemas.microsoft.com/office/drawing/2014/chart" uri="{C3380CC4-5D6E-409C-BE32-E72D297353CC}">
              <c16:uniqueId val="{00000000-D50E-4C22-8380-8C811742FBC0}"/>
            </c:ext>
          </c:extLst>
        </c:ser>
        <c:ser>
          <c:idx val="1"/>
          <c:order val="1"/>
          <c:tx>
            <c:strRef>
              <c:f>'Rony Task'!$I$6</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Task'!$J$4:$N$4</c:f>
              <c:strCache>
                <c:ptCount val="5"/>
                <c:pt idx="1">
                  <c:v>Profitability</c:v>
                </c:pt>
                <c:pt idx="2">
                  <c:v>2024</c:v>
                </c:pt>
                <c:pt idx="3">
                  <c:v>2023</c:v>
                </c:pt>
                <c:pt idx="4">
                  <c:v>2022</c:v>
                </c:pt>
              </c:strCache>
            </c:strRef>
          </c:cat>
          <c:val>
            <c:numRef>
              <c:f>'Rony Task'!$J$6:$N$6</c:f>
              <c:numCache>
                <c:formatCode>General</c:formatCode>
                <c:ptCount val="5"/>
                <c:pt idx="1">
                  <c:v>0</c:v>
                </c:pt>
                <c:pt idx="2" formatCode="0.00%">
                  <c:v>-7.4311745022483097E-2</c:v>
                </c:pt>
                <c:pt idx="3" formatCode="0.00%">
                  <c:v>-0.27604869166441864</c:v>
                </c:pt>
                <c:pt idx="4" formatCode="0.00%">
                  <c:v>8.0727859838980649E-4</c:v>
                </c:pt>
              </c:numCache>
            </c:numRef>
          </c:val>
          <c:extLst>
            <c:ext xmlns:c16="http://schemas.microsoft.com/office/drawing/2014/chart" uri="{C3380CC4-5D6E-409C-BE32-E72D297353CC}">
              <c16:uniqueId val="{00000001-D50E-4C22-8380-8C811742FBC0}"/>
            </c:ext>
          </c:extLst>
        </c:ser>
        <c:dLbls>
          <c:dLblPos val="ctr"/>
          <c:showLegendKey val="0"/>
          <c:showVal val="1"/>
          <c:showCatName val="0"/>
          <c:showSerName val="0"/>
          <c:showPercent val="0"/>
          <c:showBubbleSize val="0"/>
        </c:dLbls>
        <c:gapWidth val="150"/>
        <c:overlap val="100"/>
        <c:axId val="383412047"/>
        <c:axId val="383393807"/>
      </c:barChart>
      <c:catAx>
        <c:axId val="383412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393807"/>
        <c:crosses val="autoZero"/>
        <c:auto val="1"/>
        <c:lblAlgn val="ctr"/>
        <c:lblOffset val="100"/>
        <c:noMultiLvlLbl val="0"/>
      </c:catAx>
      <c:valAx>
        <c:axId val="3833938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12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Liquidity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stacked"/>
        <c:varyColors val="0"/>
        <c:ser>
          <c:idx val="0"/>
          <c:order val="0"/>
          <c:tx>
            <c:strRef>
              <c:f>'Rony Task'!$I$9</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'Rony Task'!$J$8:$N$8</c:f>
              <c:strCache>
                <c:ptCount val="5"/>
                <c:pt idx="1">
                  <c:v>Liquidity</c:v>
                </c:pt>
                <c:pt idx="2">
                  <c:v>2024</c:v>
                </c:pt>
                <c:pt idx="3">
                  <c:v>2023</c:v>
                </c:pt>
                <c:pt idx="4">
                  <c:v>2022</c:v>
                </c:pt>
              </c:strCache>
            </c:strRef>
          </c:cat>
          <c:val>
            <c:numRef>
              <c:f>'Rony Task'!$J$9:$N$9</c:f>
              <c:numCache>
                <c:formatCode>General</c:formatCode>
                <c:ptCount val="5"/>
                <c:pt idx="1">
                  <c:v>0</c:v>
                </c:pt>
                <c:pt idx="2" formatCode="0.00">
                  <c:v>1.5319506478574272</c:v>
                </c:pt>
                <c:pt idx="3" formatCode="0.00">
                  <c:v>1.6062935934668752</c:v>
                </c:pt>
                <c:pt idx="4" formatCode="0.00">
                  <c:v>1.5615804280441441</c:v>
                </c:pt>
              </c:numCache>
            </c:numRef>
          </c:val>
          <c:extLst>
            <c:ext xmlns:c16="http://schemas.microsoft.com/office/drawing/2014/chart" uri="{C3380CC4-5D6E-409C-BE32-E72D297353CC}">
              <c16:uniqueId val="{00000000-74DF-48AD-819B-CA509E07FD7A}"/>
            </c:ext>
          </c:extLst>
        </c:ser>
        <c:ser>
          <c:idx val="1"/>
          <c:order val="1"/>
          <c:tx>
            <c:strRef>
              <c:f>'Rony Task'!$I$10</c:f>
              <c:strCache>
                <c:ptCount val="1"/>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'Rony Task'!$J$8:$N$8</c:f>
              <c:strCache>
                <c:ptCount val="5"/>
                <c:pt idx="1">
                  <c:v>Liquidity</c:v>
                </c:pt>
                <c:pt idx="2">
                  <c:v>2024</c:v>
                </c:pt>
                <c:pt idx="3">
                  <c:v>2023</c:v>
                </c:pt>
                <c:pt idx="4">
                  <c:v>2022</c:v>
                </c:pt>
              </c:strCache>
            </c:strRef>
          </c:cat>
          <c:val>
            <c:numRef>
              <c:f>'Rony Task'!$J$10:$N$10</c:f>
              <c:numCache>
                <c:formatCode>General</c:formatCode>
                <c:ptCount val="5"/>
                <c:pt idx="1">
                  <c:v>0</c:v>
                </c:pt>
                <c:pt idx="2" formatCode="0.00">
                  <c:v>1.0306271360974408</c:v>
                </c:pt>
                <c:pt idx="3" formatCode="0.00">
                  <c:v>1.0585176359619728</c:v>
                </c:pt>
                <c:pt idx="4" formatCode="0.00">
                  <c:v>0.9140123710578224</c:v>
                </c:pt>
              </c:numCache>
            </c:numRef>
          </c:val>
          <c:extLst>
            <c:ext xmlns:c16="http://schemas.microsoft.com/office/drawing/2014/chart" uri="{C3380CC4-5D6E-409C-BE32-E72D297353CC}">
              <c16:uniqueId val="{00000001-74DF-48AD-819B-CA509E07FD7A}"/>
            </c:ext>
          </c:extLst>
        </c:ser>
        <c:dLbls>
          <c:dLblPos val="inEnd"/>
          <c:showLegendKey val="0"/>
          <c:showVal val="1"/>
          <c:showCatName val="0"/>
          <c:showSerName val="0"/>
          <c:showPercent val="0"/>
          <c:showBubbleSize val="0"/>
        </c:dLbls>
        <c:gapWidth val="100"/>
        <c:overlap val="100"/>
        <c:axId val="383413487"/>
        <c:axId val="383397167"/>
      </c:barChart>
      <c:catAx>
        <c:axId val="383413487"/>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3397167"/>
        <c:crosses val="autoZero"/>
        <c:auto val="1"/>
        <c:lblAlgn val="ctr"/>
        <c:lblOffset val="100"/>
        <c:noMultiLvlLbl val="0"/>
      </c:catAx>
      <c:valAx>
        <c:axId val="383397167"/>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834134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Efficiency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'Rony Task'!$I$30</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Task'!$J$29:$N$29</c:f>
              <c:strCache>
                <c:ptCount val="5"/>
                <c:pt idx="1">
                  <c:v>Efficiency</c:v>
                </c:pt>
                <c:pt idx="2">
                  <c:v>2024</c:v>
                </c:pt>
                <c:pt idx="3">
                  <c:v>2023</c:v>
                </c:pt>
                <c:pt idx="4">
                  <c:v>2022</c:v>
                </c:pt>
              </c:strCache>
            </c:strRef>
          </c:cat>
          <c:val>
            <c:numRef>
              <c:f>'Rony Task'!$J$30:$N$30</c:f>
              <c:numCache>
                <c:formatCode>General</c:formatCode>
                <c:ptCount val="5"/>
                <c:pt idx="1">
                  <c:v>0</c:v>
                </c:pt>
                <c:pt idx="2" formatCode="0.00">
                  <c:v>3.3512897606605101</c:v>
                </c:pt>
                <c:pt idx="3" formatCode="0.00">
                  <c:v>2.8268010190235233</c:v>
                </c:pt>
                <c:pt idx="4" formatCode="0.00">
                  <c:v>2.8433205898416167</c:v>
                </c:pt>
              </c:numCache>
            </c:numRef>
          </c:val>
          <c:extLst>
            <c:ext xmlns:c16="http://schemas.microsoft.com/office/drawing/2014/chart" uri="{C3380CC4-5D6E-409C-BE32-E72D297353CC}">
              <c16:uniqueId val="{00000000-2582-46EF-B3C9-44F318D02219}"/>
            </c:ext>
          </c:extLst>
        </c:ser>
        <c:ser>
          <c:idx val="1"/>
          <c:order val="1"/>
          <c:tx>
            <c:strRef>
              <c:f>'Rony Task'!$I$31</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Task'!$J$29:$N$29</c:f>
              <c:strCache>
                <c:ptCount val="5"/>
                <c:pt idx="1">
                  <c:v>Efficiency</c:v>
                </c:pt>
                <c:pt idx="2">
                  <c:v>2024</c:v>
                </c:pt>
                <c:pt idx="3">
                  <c:v>2023</c:v>
                </c:pt>
                <c:pt idx="4">
                  <c:v>2022</c:v>
                </c:pt>
              </c:strCache>
            </c:strRef>
          </c:cat>
          <c:val>
            <c:numRef>
              <c:f>'Rony Task'!$J$31:$N$31</c:f>
              <c:numCache>
                <c:formatCode>General</c:formatCode>
                <c:ptCount val="5"/>
                <c:pt idx="1">
                  <c:v>0</c:v>
                </c:pt>
                <c:pt idx="2" formatCode="0.00">
                  <c:v>3.4825159406997153</c:v>
                </c:pt>
                <c:pt idx="3" formatCode="0.00">
                  <c:v>3.738359221488206</c:v>
                </c:pt>
                <c:pt idx="4" formatCode="0.00">
                  <c:v>4.4936972441743492</c:v>
                </c:pt>
              </c:numCache>
            </c:numRef>
          </c:val>
          <c:extLst>
            <c:ext xmlns:c16="http://schemas.microsoft.com/office/drawing/2014/chart" uri="{C3380CC4-5D6E-409C-BE32-E72D297353CC}">
              <c16:uniqueId val="{00000001-2582-46EF-B3C9-44F318D02219}"/>
            </c:ext>
          </c:extLst>
        </c:ser>
        <c:dLbls>
          <c:dLblPos val="ctr"/>
          <c:showLegendKey val="0"/>
          <c:showVal val="1"/>
          <c:showCatName val="0"/>
          <c:showSerName val="0"/>
          <c:showPercent val="0"/>
          <c:showBubbleSize val="0"/>
        </c:dLbls>
        <c:gapWidth val="150"/>
        <c:axId val="383430287"/>
        <c:axId val="383441327"/>
      </c:barChart>
      <c:catAx>
        <c:axId val="38343028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41327"/>
        <c:crosses val="autoZero"/>
        <c:auto val="1"/>
        <c:lblAlgn val="ctr"/>
        <c:lblOffset val="100"/>
        <c:noMultiLvlLbl val="0"/>
      </c:catAx>
      <c:valAx>
        <c:axId val="3834413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30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Gearing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'Rony Task'!$I$41</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Task'!$J$40:$N$40</c:f>
              <c:strCache>
                <c:ptCount val="5"/>
                <c:pt idx="1">
                  <c:v>Gearing</c:v>
                </c:pt>
                <c:pt idx="2">
                  <c:v>2024</c:v>
                </c:pt>
                <c:pt idx="3">
                  <c:v>2023</c:v>
                </c:pt>
                <c:pt idx="4">
                  <c:v>2022</c:v>
                </c:pt>
              </c:strCache>
            </c:strRef>
          </c:cat>
          <c:val>
            <c:numRef>
              <c:f>'Rony Task'!$J$41:$N$41</c:f>
              <c:numCache>
                <c:formatCode>General</c:formatCode>
                <c:ptCount val="5"/>
                <c:pt idx="1">
                  <c:v>0</c:v>
                </c:pt>
                <c:pt idx="2" formatCode="0.00">
                  <c:v>1.1119754416903431</c:v>
                </c:pt>
                <c:pt idx="3" formatCode="0.00">
                  <c:v>0.98900067069081155</c:v>
                </c:pt>
                <c:pt idx="4" formatCode="0.00">
                  <c:v>0.87835964918817011</c:v>
                </c:pt>
              </c:numCache>
            </c:numRef>
          </c:val>
          <c:extLst>
            <c:ext xmlns:c16="http://schemas.microsoft.com/office/drawing/2014/chart" uri="{C3380CC4-5D6E-409C-BE32-E72D297353CC}">
              <c16:uniqueId val="{00000000-C050-4C57-93DE-152841C8110D}"/>
            </c:ext>
          </c:extLst>
        </c:ser>
        <c:ser>
          <c:idx val="1"/>
          <c:order val="1"/>
          <c:tx>
            <c:strRef>
              <c:f>'Rony Task'!$I$42</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Task'!$J$40:$N$40</c:f>
              <c:strCache>
                <c:ptCount val="5"/>
                <c:pt idx="1">
                  <c:v>Gearing</c:v>
                </c:pt>
                <c:pt idx="2">
                  <c:v>2024</c:v>
                </c:pt>
                <c:pt idx="3">
                  <c:v>2023</c:v>
                </c:pt>
                <c:pt idx="4">
                  <c:v>2022</c:v>
                </c:pt>
              </c:strCache>
            </c:strRef>
          </c:cat>
          <c:val>
            <c:numRef>
              <c:f>'Rony Task'!$J$42:$N$42</c:f>
              <c:numCache>
                <c:formatCode>General</c:formatCode>
                <c:ptCount val="5"/>
                <c:pt idx="1">
                  <c:v>0</c:v>
                </c:pt>
                <c:pt idx="2" formatCode="0.00">
                  <c:v>-4.5513240107110979</c:v>
                </c:pt>
                <c:pt idx="3" formatCode="0.00">
                  <c:v>-19.690904893813482</c:v>
                </c:pt>
                <c:pt idx="4" formatCode="0.00">
                  <c:v>6.6127272727272723</c:v>
                </c:pt>
              </c:numCache>
            </c:numRef>
          </c:val>
          <c:extLst>
            <c:ext xmlns:c16="http://schemas.microsoft.com/office/drawing/2014/chart" uri="{C3380CC4-5D6E-409C-BE32-E72D297353CC}">
              <c16:uniqueId val="{00000001-C050-4C57-93DE-152841C8110D}"/>
            </c:ext>
          </c:extLst>
        </c:ser>
        <c:dLbls>
          <c:dLblPos val="outEnd"/>
          <c:showLegendKey val="0"/>
          <c:showVal val="1"/>
          <c:showCatName val="0"/>
          <c:showSerName val="0"/>
          <c:showPercent val="0"/>
          <c:showBubbleSize val="0"/>
        </c:dLbls>
        <c:gapWidth val="182"/>
        <c:axId val="383435567"/>
        <c:axId val="383431727"/>
      </c:barChart>
      <c:catAx>
        <c:axId val="3834355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31727"/>
        <c:crosses val="autoZero"/>
        <c:auto val="1"/>
        <c:lblAlgn val="ctr"/>
        <c:lblOffset val="100"/>
        <c:noMultiLvlLbl val="0"/>
      </c:catAx>
      <c:valAx>
        <c:axId val="3834317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355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'Rony Task'!$I$53</c:f>
              <c:strCache>
                <c:ptCount val="1"/>
              </c:strCache>
            </c:strRef>
          </c:tx>
          <c:spPr>
            <a:solidFill>
              <a:schemeClr val="accent1"/>
            </a:solidFill>
            <a:ln>
              <a:noFill/>
            </a:ln>
            <a:effectLst/>
          </c:spPr>
          <c:invertIfNegative val="0"/>
          <c:cat>
            <c:strRef>
              <c:f>'Rony Task'!$J$52:$N$52</c:f>
              <c:strCache>
                <c:ptCount val="5"/>
                <c:pt idx="1">
                  <c:v>Investment</c:v>
                </c:pt>
                <c:pt idx="2">
                  <c:v>2024</c:v>
                </c:pt>
                <c:pt idx="3">
                  <c:v>2023</c:v>
                </c:pt>
                <c:pt idx="4">
                  <c:v>2022</c:v>
                </c:pt>
              </c:strCache>
            </c:strRef>
          </c:cat>
          <c:val>
            <c:numRef>
              <c:f>'Rony Task'!$J$53:$N$53</c:f>
              <c:numCache>
                <c:formatCode>General</c:formatCode>
                <c:ptCount val="5"/>
                <c:pt idx="1">
                  <c:v>0</c:v>
                </c:pt>
                <c:pt idx="2" formatCode="0.00">
                  <c:v>-1.8542325796743575</c:v>
                </c:pt>
                <c:pt idx="3" formatCode="0.00">
                  <c:v>-7.6420070011668608</c:v>
                </c:pt>
                <c:pt idx="4" formatCode="0.00">
                  <c:v>3.2039675667165236E-2</c:v>
                </c:pt>
              </c:numCache>
            </c:numRef>
          </c:val>
          <c:extLst>
            <c:ext xmlns:c16="http://schemas.microsoft.com/office/drawing/2014/chart" uri="{C3380CC4-5D6E-409C-BE32-E72D297353CC}">
              <c16:uniqueId val="{00000000-DEAC-4046-AFC8-A46B8D23B6AF}"/>
            </c:ext>
          </c:extLst>
        </c:ser>
        <c:ser>
          <c:idx val="1"/>
          <c:order val="1"/>
          <c:tx>
            <c:strRef>
              <c:f>'Rony Task'!$I$54</c:f>
              <c:strCache>
                <c:ptCount val="1"/>
              </c:strCache>
            </c:strRef>
          </c:tx>
          <c:spPr>
            <a:solidFill>
              <a:schemeClr val="accent2"/>
            </a:solidFill>
            <a:ln>
              <a:noFill/>
            </a:ln>
            <a:effectLst/>
          </c:spPr>
          <c:invertIfNegative val="0"/>
          <c:cat>
            <c:strRef>
              <c:f>'Rony Task'!$J$52:$N$52</c:f>
              <c:strCache>
                <c:ptCount val="5"/>
                <c:pt idx="1">
                  <c:v>Investment</c:v>
                </c:pt>
                <c:pt idx="2">
                  <c:v>2024</c:v>
                </c:pt>
                <c:pt idx="3">
                  <c:v>2023</c:v>
                </c:pt>
                <c:pt idx="4">
                  <c:v>2022</c:v>
                </c:pt>
              </c:strCache>
            </c:strRef>
          </c:cat>
          <c:val>
            <c:numRef>
              <c:f>'Rony Task'!$J$54:$N$54</c:f>
              <c:numCache>
                <c:formatCode>General</c:formatCode>
                <c:ptCount val="5"/>
                <c:pt idx="1">
                  <c:v>0</c:v>
                </c:pt>
                <c:pt idx="2" formatCode="0.00%">
                  <c:v>-0.1569445805166389</c:v>
                </c:pt>
                <c:pt idx="3" formatCode="0.00%">
                  <c:v>-0.54906103286384977</c:v>
                </c:pt>
                <c:pt idx="4" formatCode="0.00%">
                  <c:v>1.5163595448685946E-3</c:v>
                </c:pt>
              </c:numCache>
            </c:numRef>
          </c:val>
          <c:extLst>
            <c:ext xmlns:c16="http://schemas.microsoft.com/office/drawing/2014/chart" uri="{C3380CC4-5D6E-409C-BE32-E72D297353CC}">
              <c16:uniqueId val="{00000001-DEAC-4046-AFC8-A46B8D23B6AF}"/>
            </c:ext>
          </c:extLst>
        </c:ser>
        <c:dLbls>
          <c:showLegendKey val="0"/>
          <c:showVal val="0"/>
          <c:showCatName val="0"/>
          <c:showSerName val="0"/>
          <c:showPercent val="0"/>
          <c:showBubbleSize val="0"/>
        </c:dLbls>
        <c:gapWidth val="150"/>
        <c:overlap val="100"/>
        <c:axId val="383407247"/>
        <c:axId val="383408687"/>
      </c:barChart>
      <c:catAx>
        <c:axId val="38340724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08687"/>
        <c:crosses val="autoZero"/>
        <c:auto val="1"/>
        <c:lblAlgn val="ctr"/>
        <c:lblOffset val="100"/>
        <c:noMultiLvlLbl val="0"/>
      </c:catAx>
      <c:valAx>
        <c:axId val="38340868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07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Cash Flow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'Rony Task'!$I$65</c:f>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Task'!$J$64:$N$64</c:f>
              <c:strCache>
                <c:ptCount val="5"/>
                <c:pt idx="1">
                  <c:v>Cash Flow Ratios</c:v>
                </c:pt>
                <c:pt idx="2">
                  <c:v>2024</c:v>
                </c:pt>
                <c:pt idx="3">
                  <c:v>2023</c:v>
                </c:pt>
                <c:pt idx="4">
                  <c:v>2022</c:v>
                </c:pt>
              </c:strCache>
            </c:strRef>
          </c:cat>
          <c:val>
            <c:numRef>
              <c:f>'Rony Task'!$J$65:$N$65</c:f>
              <c:numCache>
                <c:formatCode>General</c:formatCode>
                <c:ptCount val="5"/>
                <c:pt idx="1">
                  <c:v>0</c:v>
                </c:pt>
                <c:pt idx="2" formatCode="0.00">
                  <c:v>9.3637667334213567E-2</c:v>
                </c:pt>
                <c:pt idx="3" formatCode="0.00">
                  <c:v>0.15631593317943754</c:v>
                </c:pt>
                <c:pt idx="4" formatCode="0.00">
                  <c:v>5.0472807232310728E-2</c:v>
                </c:pt>
              </c:numCache>
            </c:numRef>
          </c:val>
          <c:extLst>
            <c:ext xmlns:c16="http://schemas.microsoft.com/office/drawing/2014/chart" uri="{C3380CC4-5D6E-409C-BE32-E72D297353CC}">
              <c16:uniqueId val="{00000000-B95E-454D-A2E2-76274F4093A3}"/>
            </c:ext>
          </c:extLst>
        </c:ser>
        <c:ser>
          <c:idx val="1"/>
          <c:order val="1"/>
          <c:tx>
            <c:strRef>
              <c:f>'Rony Task'!$I$66</c:f>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Task'!$J$64:$N$64</c:f>
              <c:strCache>
                <c:ptCount val="5"/>
                <c:pt idx="1">
                  <c:v>Cash Flow Ratios</c:v>
                </c:pt>
                <c:pt idx="2">
                  <c:v>2024</c:v>
                </c:pt>
                <c:pt idx="3">
                  <c:v>2023</c:v>
                </c:pt>
                <c:pt idx="4">
                  <c:v>2022</c:v>
                </c:pt>
              </c:strCache>
            </c:strRef>
          </c:cat>
          <c:val>
            <c:numRef>
              <c:f>'Rony Task'!$J$66:$N$66</c:f>
              <c:numCache>
                <c:formatCode>General</c:formatCode>
                <c:ptCount val="5"/>
                <c:pt idx="1">
                  <c:v>0</c:v>
                </c:pt>
                <c:pt idx="2" formatCode="0.00">
                  <c:v>8.7060716949879297E-2</c:v>
                </c:pt>
                <c:pt idx="3" formatCode="0.00">
                  <c:v>0.14235498892354989</c:v>
                </c:pt>
                <c:pt idx="4" formatCode="0.00">
                  <c:v>4.6344329118541548E-2</c:v>
                </c:pt>
              </c:numCache>
            </c:numRef>
          </c:val>
          <c:extLst>
            <c:ext xmlns:c16="http://schemas.microsoft.com/office/drawing/2014/chart" uri="{C3380CC4-5D6E-409C-BE32-E72D297353CC}">
              <c16:uniqueId val="{00000001-B95E-454D-A2E2-76274F4093A3}"/>
            </c:ext>
          </c:extLst>
        </c:ser>
        <c:dLbls>
          <c:dLblPos val="outEnd"/>
          <c:showLegendKey val="0"/>
          <c:showVal val="1"/>
          <c:showCatName val="0"/>
          <c:showSerName val="0"/>
          <c:showPercent val="0"/>
          <c:showBubbleSize val="0"/>
        </c:dLbls>
        <c:gapWidth val="219"/>
        <c:overlap val="-27"/>
        <c:axId val="383430767"/>
        <c:axId val="383428847"/>
      </c:barChart>
      <c:catAx>
        <c:axId val="3834307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28847"/>
        <c:crosses val="autoZero"/>
        <c:auto val="1"/>
        <c:lblAlgn val="ctr"/>
        <c:lblOffset val="100"/>
        <c:noMultiLvlLbl val="0"/>
      </c:catAx>
      <c:valAx>
        <c:axId val="383428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4307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Investment</a:t>
            </a:r>
            <a:r>
              <a:rPr lang="en-US" baseline="0"/>
              <a:t> Appraisal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'Rony Task'!$B$137</c:f>
              <c:strCache>
                <c:ptCount val="1"/>
                <c:pt idx="0">
                  <c:v>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Task'!$C$136:$G$136</c:f>
              <c:strCache>
                <c:ptCount val="5"/>
                <c:pt idx="0">
                  <c:v>PBP</c:v>
                </c:pt>
                <c:pt idx="1">
                  <c:v>ARR</c:v>
                </c:pt>
                <c:pt idx="2">
                  <c:v>NPV</c:v>
                </c:pt>
                <c:pt idx="3">
                  <c:v>PI</c:v>
                </c:pt>
                <c:pt idx="4">
                  <c:v>IRR</c:v>
                </c:pt>
              </c:strCache>
            </c:strRef>
          </c:cat>
          <c:val>
            <c:numRef>
              <c:f>'Rony Task'!$C$137:$G$137</c:f>
              <c:numCache>
                <c:formatCode>0.00%</c:formatCode>
                <c:ptCount val="5"/>
                <c:pt idx="0" formatCode="General">
                  <c:v>3.4</c:v>
                </c:pt>
                <c:pt idx="1">
                  <c:v>0.14000000000000001</c:v>
                </c:pt>
                <c:pt idx="2" formatCode="General">
                  <c:v>0</c:v>
                </c:pt>
                <c:pt idx="3" formatCode="General">
                  <c:v>1.0329999999999999</c:v>
                </c:pt>
                <c:pt idx="4">
                  <c:v>0.1133</c:v>
                </c:pt>
              </c:numCache>
            </c:numRef>
          </c:val>
          <c:extLst>
            <c:ext xmlns:c16="http://schemas.microsoft.com/office/drawing/2014/chart" uri="{C3380CC4-5D6E-409C-BE32-E72D297353CC}">
              <c16:uniqueId val="{00000000-B735-4134-A462-E113A75CC667}"/>
            </c:ext>
          </c:extLst>
        </c:ser>
        <c:ser>
          <c:idx val="1"/>
          <c:order val="1"/>
          <c:tx>
            <c:strRef>
              <c:f>'Rony Task'!$B$138</c:f>
              <c:strCache>
                <c:ptCount val="1"/>
                <c:pt idx="0">
                  <c:v>B</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Task'!$C$136:$G$136</c:f>
              <c:strCache>
                <c:ptCount val="5"/>
                <c:pt idx="0">
                  <c:v>PBP</c:v>
                </c:pt>
                <c:pt idx="1">
                  <c:v>ARR</c:v>
                </c:pt>
                <c:pt idx="2">
                  <c:v>NPV</c:v>
                </c:pt>
                <c:pt idx="3">
                  <c:v>PI</c:v>
                </c:pt>
                <c:pt idx="4">
                  <c:v>IRR</c:v>
                </c:pt>
              </c:strCache>
            </c:strRef>
          </c:cat>
          <c:val>
            <c:numRef>
              <c:f>'Rony Task'!$C$138:$G$138</c:f>
              <c:numCache>
                <c:formatCode>0.00%</c:formatCode>
                <c:ptCount val="5"/>
                <c:pt idx="0" formatCode="General">
                  <c:v>5</c:v>
                </c:pt>
                <c:pt idx="1">
                  <c:v>0</c:v>
                </c:pt>
                <c:pt idx="2" formatCode="General">
                  <c:v>0</c:v>
                </c:pt>
                <c:pt idx="3" formatCode="General">
                  <c:v>0.75800000000000001</c:v>
                </c:pt>
                <c:pt idx="4">
                  <c:v>0</c:v>
                </c:pt>
              </c:numCache>
            </c:numRef>
          </c:val>
          <c:extLst>
            <c:ext xmlns:c16="http://schemas.microsoft.com/office/drawing/2014/chart" uri="{C3380CC4-5D6E-409C-BE32-E72D297353CC}">
              <c16:uniqueId val="{00000001-B735-4134-A462-E113A75CC667}"/>
            </c:ext>
          </c:extLst>
        </c:ser>
        <c:ser>
          <c:idx val="2"/>
          <c:order val="2"/>
          <c:tx>
            <c:strRef>
              <c:f>'Rony Task'!$B$139</c:f>
              <c:strCache>
                <c:ptCount val="1"/>
                <c:pt idx="0">
                  <c:v>C</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'Rony Task'!$C$136:$G$136</c:f>
              <c:strCache>
                <c:ptCount val="5"/>
                <c:pt idx="0">
                  <c:v>PBP</c:v>
                </c:pt>
                <c:pt idx="1">
                  <c:v>ARR</c:v>
                </c:pt>
                <c:pt idx="2">
                  <c:v>NPV</c:v>
                </c:pt>
                <c:pt idx="3">
                  <c:v>PI</c:v>
                </c:pt>
                <c:pt idx="4">
                  <c:v>IRR</c:v>
                </c:pt>
              </c:strCache>
            </c:strRef>
          </c:cat>
          <c:val>
            <c:numRef>
              <c:f>'Rony Task'!$C$139:$G$139</c:f>
              <c:numCache>
                <c:formatCode>0.00%</c:formatCode>
                <c:ptCount val="5"/>
                <c:pt idx="0" formatCode="General">
                  <c:v>3.6</c:v>
                </c:pt>
                <c:pt idx="1">
                  <c:v>0.2</c:v>
                </c:pt>
                <c:pt idx="2" formatCode="General">
                  <c:v>0</c:v>
                </c:pt>
                <c:pt idx="3" formatCode="General">
                  <c:v>1.085</c:v>
                </c:pt>
                <c:pt idx="4">
                  <c:v>0.12720000000000001</c:v>
                </c:pt>
              </c:numCache>
            </c:numRef>
          </c:val>
          <c:extLst>
            <c:ext xmlns:c16="http://schemas.microsoft.com/office/drawing/2014/chart" uri="{C3380CC4-5D6E-409C-BE32-E72D297353CC}">
              <c16:uniqueId val="{00000002-B735-4134-A462-E113A75CC667}"/>
            </c:ext>
          </c:extLst>
        </c:ser>
        <c:dLbls>
          <c:dLblPos val="ctr"/>
          <c:showLegendKey val="0"/>
          <c:showVal val="1"/>
          <c:showCatName val="0"/>
          <c:showSerName val="0"/>
          <c:showPercent val="0"/>
          <c:showBubbleSize val="0"/>
        </c:dLbls>
        <c:gapWidth val="150"/>
        <c:overlap val="100"/>
        <c:axId val="369634927"/>
        <c:axId val="369613327"/>
      </c:barChart>
      <c:catAx>
        <c:axId val="3696349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613327"/>
        <c:crosses val="autoZero"/>
        <c:auto val="1"/>
        <c:lblAlgn val="ctr"/>
        <c:lblOffset val="100"/>
        <c:noMultiLvlLbl val="0"/>
      </c:catAx>
      <c:valAx>
        <c:axId val="36961332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634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F051F-DE2E-413B-A656-AE6D5CD9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34</Pages>
  <Words>7934</Words>
  <Characters>45225</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Thelma Dhussey (2516910)</cp:lastModifiedBy>
  <cp:revision>2</cp:revision>
  <dcterms:created xsi:type="dcterms:W3CDTF">2025-12-18T19:24:00Z</dcterms:created>
  <dcterms:modified xsi:type="dcterms:W3CDTF">2025-12-18T19:24:00Z</dcterms:modified>
</cp:coreProperties>
</file>