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800884513"/>
        <w:docPartObj>
          <w:docPartGallery w:val="Cover Pages"/>
          <w:docPartUnique/>
        </w:docPartObj>
      </w:sdtPr>
      <w:sdtEndPr>
        <w:rPr>
          <w:color w:val="auto"/>
        </w:rPr>
      </w:sdtEndPr>
      <w:sdtContent>
        <w:p w14:paraId="7CE383EA" w14:textId="373F70FC" w:rsidR="00E21AAF" w:rsidRDefault="00E21AAF">
          <w:pPr>
            <w:pStyle w:val="NoSpacing"/>
            <w:spacing w:before="1540" w:after="240"/>
            <w:jc w:val="center"/>
            <w:rPr>
              <w:color w:val="4472C4" w:themeColor="accent1"/>
            </w:rPr>
          </w:pPr>
          <w:r>
            <w:rPr>
              <w:noProof/>
              <w:color w:val="4472C4" w:themeColor="accent1"/>
            </w:rPr>
            <w:drawing>
              <wp:inline distT="0" distB="0" distL="0" distR="0" wp14:anchorId="3A9A72D3" wp14:editId="5233CDE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07CD48032044944A67A401D465465D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F48AFB4" w14:textId="755392F2" w:rsidR="00E21AAF" w:rsidRDefault="00E21AA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managing people lcbb5004</w:t>
              </w:r>
            </w:p>
          </w:sdtContent>
        </w:sdt>
        <w:sdt>
          <w:sdtPr>
            <w:rPr>
              <w:color w:val="4472C4" w:themeColor="accent1"/>
              <w:sz w:val="28"/>
              <w:szCs w:val="28"/>
            </w:rPr>
            <w:alias w:val="Subtitle"/>
            <w:tag w:val=""/>
            <w:id w:val="328029620"/>
            <w:placeholder>
              <w:docPart w:val="5ED9490102587A45B24FA38F1FA382E7"/>
            </w:placeholder>
            <w:dataBinding w:prefixMappings="xmlns:ns0='http://purl.org/dc/elements/1.1/' xmlns:ns1='http://schemas.openxmlformats.org/package/2006/metadata/core-properties' " w:xpath="/ns1:coreProperties[1]/ns0:subject[1]" w:storeItemID="{6C3C8BC8-F283-45AE-878A-BAB7291924A1}"/>
            <w:text/>
          </w:sdtPr>
          <w:sdtEndPr/>
          <w:sdtContent>
            <w:p w14:paraId="6289646E" w14:textId="233AA9D3" w:rsidR="00E21AAF" w:rsidRDefault="00E21AAF">
              <w:pPr>
                <w:pStyle w:val="NoSpacing"/>
                <w:jc w:val="center"/>
                <w:rPr>
                  <w:color w:val="4472C4" w:themeColor="accent1"/>
                  <w:sz w:val="28"/>
                  <w:szCs w:val="28"/>
                </w:rPr>
              </w:pPr>
              <w:r>
                <w:rPr>
                  <w:color w:val="4472C4" w:themeColor="accent1"/>
                  <w:sz w:val="28"/>
                  <w:szCs w:val="28"/>
                </w:rPr>
                <w:t>Assessment Number 1</w:t>
              </w:r>
            </w:p>
          </w:sdtContent>
        </w:sdt>
        <w:p w14:paraId="4BDEBA35" w14:textId="77777777" w:rsidR="00E21AAF" w:rsidRDefault="00E21AA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86E5103" wp14:editId="2B26A7D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D77BEC1" w14:textId="37F972B5" w:rsidR="00E21AAF" w:rsidRDefault="00E21AAF">
                                    <w:pPr>
                                      <w:pStyle w:val="NoSpacing"/>
                                      <w:spacing w:after="40"/>
                                      <w:jc w:val="center"/>
                                      <w:rPr>
                                        <w:caps/>
                                        <w:color w:val="4472C4" w:themeColor="accent1"/>
                                        <w:sz w:val="28"/>
                                        <w:szCs w:val="28"/>
                                      </w:rPr>
                                    </w:pPr>
                                    <w:r>
                                      <w:rPr>
                                        <w:caps/>
                                        <w:color w:val="4472C4" w:themeColor="accent1"/>
                                        <w:sz w:val="28"/>
                                        <w:szCs w:val="28"/>
                                      </w:rPr>
                                      <w:t>student name: angel rachev</w:t>
                                    </w:r>
                                  </w:p>
                                </w:sdtContent>
                              </w:sdt>
                              <w:p w14:paraId="35DDCAAE" w14:textId="1CA665F5" w:rsidR="00E21AAF" w:rsidRDefault="009F13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21AAF">
                                      <w:rPr>
                                        <w:caps/>
                                        <w:color w:val="4472C4" w:themeColor="accent1"/>
                                      </w:rPr>
                                      <w:t>student id:</w:t>
                                    </w:r>
                                    <w:r w:rsidR="00161D87">
                                      <w:rPr>
                                        <w:caps/>
                                        <w:color w:val="4472C4" w:themeColor="accent1"/>
                                      </w:rPr>
                                      <w:t xml:space="preserve"> 1916961</w:t>
                                    </w:r>
                                  </w:sdtContent>
                                </w:sdt>
                              </w:p>
                              <w:p w14:paraId="18B54384" w14:textId="1D5E2CE5" w:rsidR="00E21AAF" w:rsidRDefault="00E21AAF" w:rsidP="00E21AAF">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6E510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D77BEC1" w14:textId="37F972B5" w:rsidR="00E21AAF" w:rsidRDefault="00E21AAF">
                              <w:pPr>
                                <w:pStyle w:val="NoSpacing"/>
                                <w:spacing w:after="40"/>
                                <w:jc w:val="center"/>
                                <w:rPr>
                                  <w:caps/>
                                  <w:color w:val="4472C4" w:themeColor="accent1"/>
                                  <w:sz w:val="28"/>
                                  <w:szCs w:val="28"/>
                                </w:rPr>
                              </w:pPr>
                              <w:r>
                                <w:rPr>
                                  <w:caps/>
                                  <w:color w:val="4472C4" w:themeColor="accent1"/>
                                  <w:sz w:val="28"/>
                                  <w:szCs w:val="28"/>
                                </w:rPr>
                                <w:t>student name: angel rachev</w:t>
                              </w:r>
                            </w:p>
                          </w:sdtContent>
                        </w:sdt>
                        <w:p w14:paraId="35DDCAAE" w14:textId="1CA665F5" w:rsidR="00E21AAF" w:rsidRDefault="009F13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21AAF">
                                <w:rPr>
                                  <w:caps/>
                                  <w:color w:val="4472C4" w:themeColor="accent1"/>
                                </w:rPr>
                                <w:t>student id:</w:t>
                              </w:r>
                              <w:r w:rsidR="00161D87">
                                <w:rPr>
                                  <w:caps/>
                                  <w:color w:val="4472C4" w:themeColor="accent1"/>
                                </w:rPr>
                                <w:t xml:space="preserve"> 1916961</w:t>
                              </w:r>
                            </w:sdtContent>
                          </w:sdt>
                        </w:p>
                        <w:p w14:paraId="18B54384" w14:textId="1D5E2CE5" w:rsidR="00E21AAF" w:rsidRDefault="00E21AAF" w:rsidP="00E21AAF">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0502F04E" wp14:editId="5CC98F1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765770" w14:textId="71CCEB39" w:rsidR="00E21AAF" w:rsidRDefault="00E21AAF">
          <w:pPr>
            <w:spacing w:after="0" w:line="240" w:lineRule="auto"/>
          </w:pPr>
          <w:r>
            <w:br w:type="page"/>
          </w:r>
        </w:p>
      </w:sdtContent>
    </w:sdt>
    <w:sdt>
      <w:sdtPr>
        <w:rPr>
          <w:rFonts w:ascii="Arial" w:eastAsiaTheme="minorHAnsi" w:hAnsi="Arial" w:cstheme="minorBidi"/>
          <w:b w:val="0"/>
          <w:bCs w:val="0"/>
          <w:color w:val="auto"/>
          <w:sz w:val="24"/>
          <w:szCs w:val="22"/>
          <w:lang w:val="en-GB"/>
        </w:rPr>
        <w:id w:val="1493756117"/>
        <w:docPartObj>
          <w:docPartGallery w:val="Table of Contents"/>
          <w:docPartUnique/>
        </w:docPartObj>
      </w:sdtPr>
      <w:sdtEndPr>
        <w:rPr>
          <w:noProof/>
        </w:rPr>
      </w:sdtEndPr>
      <w:sdtContent>
        <w:p w14:paraId="4ACB1CAC" w14:textId="4614F194" w:rsidR="00E21AAF" w:rsidRDefault="00E21AAF">
          <w:pPr>
            <w:pStyle w:val="TOCHeading"/>
          </w:pPr>
          <w:r>
            <w:t>Table of Contents</w:t>
          </w:r>
        </w:p>
        <w:p w14:paraId="3F114845" w14:textId="1781C4F6" w:rsidR="00E21AAF" w:rsidRDefault="00E21AA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0734112" w:history="1">
            <w:r w:rsidRPr="000B734C">
              <w:rPr>
                <w:rStyle w:val="Hyperlink"/>
                <w:noProof/>
              </w:rPr>
              <w:t>Introduction</w:t>
            </w:r>
            <w:r>
              <w:rPr>
                <w:noProof/>
                <w:webHidden/>
              </w:rPr>
              <w:tab/>
            </w:r>
            <w:r>
              <w:rPr>
                <w:noProof/>
                <w:webHidden/>
              </w:rPr>
              <w:fldChar w:fldCharType="begin"/>
            </w:r>
            <w:r>
              <w:rPr>
                <w:noProof/>
                <w:webHidden/>
              </w:rPr>
              <w:instrText xml:space="preserve"> PAGEREF _Toc80734112 \h </w:instrText>
            </w:r>
            <w:r>
              <w:rPr>
                <w:noProof/>
                <w:webHidden/>
              </w:rPr>
            </w:r>
            <w:r>
              <w:rPr>
                <w:noProof/>
                <w:webHidden/>
              </w:rPr>
              <w:fldChar w:fldCharType="separate"/>
            </w:r>
            <w:r>
              <w:rPr>
                <w:noProof/>
                <w:webHidden/>
              </w:rPr>
              <w:t>2</w:t>
            </w:r>
            <w:r>
              <w:rPr>
                <w:noProof/>
                <w:webHidden/>
              </w:rPr>
              <w:fldChar w:fldCharType="end"/>
            </w:r>
          </w:hyperlink>
        </w:p>
        <w:p w14:paraId="150E5456" w14:textId="45E33C4E" w:rsidR="00E21AAF" w:rsidRDefault="009F13B0">
          <w:pPr>
            <w:pStyle w:val="TOC1"/>
            <w:tabs>
              <w:tab w:val="right" w:leader="dot" w:pos="9016"/>
            </w:tabs>
            <w:rPr>
              <w:noProof/>
            </w:rPr>
          </w:pPr>
          <w:hyperlink w:anchor="_Toc80734113" w:history="1">
            <w:r w:rsidR="00E21AAF" w:rsidRPr="000B734C">
              <w:rPr>
                <w:rStyle w:val="Hyperlink"/>
                <w:noProof/>
              </w:rPr>
              <w:t>Task 1</w:t>
            </w:r>
            <w:r w:rsidR="00E21AAF">
              <w:rPr>
                <w:noProof/>
                <w:webHidden/>
              </w:rPr>
              <w:tab/>
            </w:r>
            <w:r w:rsidR="00E21AAF">
              <w:rPr>
                <w:noProof/>
                <w:webHidden/>
              </w:rPr>
              <w:fldChar w:fldCharType="begin"/>
            </w:r>
            <w:r w:rsidR="00E21AAF">
              <w:rPr>
                <w:noProof/>
                <w:webHidden/>
              </w:rPr>
              <w:instrText xml:space="preserve"> PAGEREF _Toc80734113 \h </w:instrText>
            </w:r>
            <w:r w:rsidR="00E21AAF">
              <w:rPr>
                <w:noProof/>
                <w:webHidden/>
              </w:rPr>
            </w:r>
            <w:r w:rsidR="00E21AAF">
              <w:rPr>
                <w:noProof/>
                <w:webHidden/>
              </w:rPr>
              <w:fldChar w:fldCharType="separate"/>
            </w:r>
            <w:r w:rsidR="00E21AAF">
              <w:rPr>
                <w:noProof/>
                <w:webHidden/>
              </w:rPr>
              <w:t>2</w:t>
            </w:r>
            <w:r w:rsidR="00E21AAF">
              <w:rPr>
                <w:noProof/>
                <w:webHidden/>
              </w:rPr>
              <w:fldChar w:fldCharType="end"/>
            </w:r>
          </w:hyperlink>
        </w:p>
        <w:p w14:paraId="61C635D7" w14:textId="46CBD06F" w:rsidR="00E21AAF" w:rsidRDefault="009F13B0">
          <w:pPr>
            <w:pStyle w:val="TOC1"/>
            <w:tabs>
              <w:tab w:val="right" w:leader="dot" w:pos="9016"/>
            </w:tabs>
            <w:rPr>
              <w:noProof/>
            </w:rPr>
          </w:pPr>
          <w:hyperlink w:anchor="_Toc80734114" w:history="1">
            <w:r w:rsidR="00E21AAF" w:rsidRPr="000B734C">
              <w:rPr>
                <w:rStyle w:val="Hyperlink"/>
                <w:noProof/>
              </w:rPr>
              <w:t>Task 2</w:t>
            </w:r>
            <w:r w:rsidR="00E21AAF">
              <w:rPr>
                <w:noProof/>
                <w:webHidden/>
              </w:rPr>
              <w:tab/>
            </w:r>
            <w:r w:rsidR="00E21AAF">
              <w:rPr>
                <w:noProof/>
                <w:webHidden/>
              </w:rPr>
              <w:fldChar w:fldCharType="begin"/>
            </w:r>
            <w:r w:rsidR="00E21AAF">
              <w:rPr>
                <w:noProof/>
                <w:webHidden/>
              </w:rPr>
              <w:instrText xml:space="preserve"> PAGEREF _Toc80734114 \h </w:instrText>
            </w:r>
            <w:r w:rsidR="00E21AAF">
              <w:rPr>
                <w:noProof/>
                <w:webHidden/>
              </w:rPr>
            </w:r>
            <w:r w:rsidR="00E21AAF">
              <w:rPr>
                <w:noProof/>
                <w:webHidden/>
              </w:rPr>
              <w:fldChar w:fldCharType="separate"/>
            </w:r>
            <w:r w:rsidR="00E21AAF">
              <w:rPr>
                <w:noProof/>
                <w:webHidden/>
              </w:rPr>
              <w:t>6</w:t>
            </w:r>
            <w:r w:rsidR="00E21AAF">
              <w:rPr>
                <w:noProof/>
                <w:webHidden/>
              </w:rPr>
              <w:fldChar w:fldCharType="end"/>
            </w:r>
          </w:hyperlink>
        </w:p>
        <w:p w14:paraId="0C0C67B4" w14:textId="15B54365" w:rsidR="00E21AAF" w:rsidRDefault="009F13B0">
          <w:pPr>
            <w:pStyle w:val="TOC1"/>
            <w:tabs>
              <w:tab w:val="right" w:leader="dot" w:pos="9016"/>
            </w:tabs>
            <w:rPr>
              <w:noProof/>
            </w:rPr>
          </w:pPr>
          <w:hyperlink w:anchor="_Toc80734115" w:history="1">
            <w:r w:rsidR="00E21AAF" w:rsidRPr="000B734C">
              <w:rPr>
                <w:rStyle w:val="Hyperlink"/>
                <w:noProof/>
              </w:rPr>
              <w:t>Conclusion</w:t>
            </w:r>
            <w:r w:rsidR="00E21AAF">
              <w:rPr>
                <w:noProof/>
                <w:webHidden/>
              </w:rPr>
              <w:tab/>
            </w:r>
            <w:r w:rsidR="00E21AAF">
              <w:rPr>
                <w:noProof/>
                <w:webHidden/>
              </w:rPr>
              <w:fldChar w:fldCharType="begin"/>
            </w:r>
            <w:r w:rsidR="00E21AAF">
              <w:rPr>
                <w:noProof/>
                <w:webHidden/>
              </w:rPr>
              <w:instrText xml:space="preserve"> PAGEREF _Toc80734115 \h </w:instrText>
            </w:r>
            <w:r w:rsidR="00E21AAF">
              <w:rPr>
                <w:noProof/>
                <w:webHidden/>
              </w:rPr>
            </w:r>
            <w:r w:rsidR="00E21AAF">
              <w:rPr>
                <w:noProof/>
                <w:webHidden/>
              </w:rPr>
              <w:fldChar w:fldCharType="separate"/>
            </w:r>
            <w:r w:rsidR="00E21AAF">
              <w:rPr>
                <w:noProof/>
                <w:webHidden/>
              </w:rPr>
              <w:t>8</w:t>
            </w:r>
            <w:r w:rsidR="00E21AAF">
              <w:rPr>
                <w:noProof/>
                <w:webHidden/>
              </w:rPr>
              <w:fldChar w:fldCharType="end"/>
            </w:r>
          </w:hyperlink>
        </w:p>
        <w:p w14:paraId="52F31BC3" w14:textId="18463091" w:rsidR="00E21AAF" w:rsidRDefault="009F13B0">
          <w:pPr>
            <w:pStyle w:val="TOC1"/>
            <w:tabs>
              <w:tab w:val="right" w:leader="dot" w:pos="9016"/>
            </w:tabs>
            <w:rPr>
              <w:noProof/>
            </w:rPr>
          </w:pPr>
          <w:hyperlink w:anchor="_Toc80734116" w:history="1">
            <w:r w:rsidR="00E21AAF" w:rsidRPr="000B734C">
              <w:rPr>
                <w:rStyle w:val="Hyperlink"/>
                <w:noProof/>
              </w:rPr>
              <w:t>References</w:t>
            </w:r>
            <w:r w:rsidR="00E21AAF">
              <w:rPr>
                <w:noProof/>
                <w:webHidden/>
              </w:rPr>
              <w:tab/>
            </w:r>
            <w:r w:rsidR="00E21AAF">
              <w:rPr>
                <w:noProof/>
                <w:webHidden/>
              </w:rPr>
              <w:fldChar w:fldCharType="begin"/>
            </w:r>
            <w:r w:rsidR="00E21AAF">
              <w:rPr>
                <w:noProof/>
                <w:webHidden/>
              </w:rPr>
              <w:instrText xml:space="preserve"> PAGEREF _Toc80734116 \h </w:instrText>
            </w:r>
            <w:r w:rsidR="00E21AAF">
              <w:rPr>
                <w:noProof/>
                <w:webHidden/>
              </w:rPr>
            </w:r>
            <w:r w:rsidR="00E21AAF">
              <w:rPr>
                <w:noProof/>
                <w:webHidden/>
              </w:rPr>
              <w:fldChar w:fldCharType="separate"/>
            </w:r>
            <w:r w:rsidR="00E21AAF">
              <w:rPr>
                <w:noProof/>
                <w:webHidden/>
              </w:rPr>
              <w:t>9</w:t>
            </w:r>
            <w:r w:rsidR="00E21AAF">
              <w:rPr>
                <w:noProof/>
                <w:webHidden/>
              </w:rPr>
              <w:fldChar w:fldCharType="end"/>
            </w:r>
          </w:hyperlink>
        </w:p>
        <w:p w14:paraId="6D17BED5" w14:textId="57C1EFAF" w:rsidR="00E21AAF" w:rsidRDefault="00E21AAF">
          <w:r>
            <w:rPr>
              <w:b/>
              <w:bCs/>
              <w:noProof/>
            </w:rPr>
            <w:fldChar w:fldCharType="end"/>
          </w:r>
        </w:p>
      </w:sdtContent>
    </w:sdt>
    <w:p w14:paraId="0BA24116" w14:textId="77777777" w:rsidR="00FE6EE1" w:rsidRDefault="009F13B0"/>
    <w:p w14:paraId="20886CFB" w14:textId="2CC9A9E2" w:rsidR="00E21AAF" w:rsidRDefault="00E21AAF"/>
    <w:p w14:paraId="4F870EA1" w14:textId="0B4913ED" w:rsidR="00E21AAF" w:rsidRDefault="00E21AAF"/>
    <w:p w14:paraId="0D8E31FC" w14:textId="23203D95" w:rsidR="00E21AAF" w:rsidRDefault="00E21AAF"/>
    <w:p w14:paraId="26E736FA" w14:textId="0F34D0FE" w:rsidR="00E21AAF" w:rsidRDefault="00E21AAF"/>
    <w:p w14:paraId="78424E47" w14:textId="22C1E7DD" w:rsidR="00E21AAF" w:rsidRDefault="00E21AAF"/>
    <w:p w14:paraId="03E8DCAF" w14:textId="1766DF6C" w:rsidR="00E21AAF" w:rsidRDefault="00E21AAF"/>
    <w:p w14:paraId="6095EE66" w14:textId="72E7B9C9" w:rsidR="00E21AAF" w:rsidRDefault="00E21AAF"/>
    <w:p w14:paraId="3ECF4217" w14:textId="30273FC0" w:rsidR="00E21AAF" w:rsidRDefault="00E21AAF"/>
    <w:p w14:paraId="6CC588F5" w14:textId="71240188" w:rsidR="00E21AAF" w:rsidRDefault="00E21AAF"/>
    <w:p w14:paraId="0D5BB938" w14:textId="12DD41BC" w:rsidR="00E21AAF" w:rsidRDefault="00E21AAF"/>
    <w:p w14:paraId="4D2F791A" w14:textId="3145AFF1" w:rsidR="00E21AAF" w:rsidRDefault="00E21AAF"/>
    <w:p w14:paraId="597B6DB1" w14:textId="6F2C0187" w:rsidR="00E21AAF" w:rsidRDefault="00E21AAF"/>
    <w:p w14:paraId="06439D45" w14:textId="6AF5120B" w:rsidR="00E21AAF" w:rsidRDefault="00E21AAF"/>
    <w:p w14:paraId="56C20FC1" w14:textId="6DE33E58" w:rsidR="00E21AAF" w:rsidRDefault="00E21AAF"/>
    <w:p w14:paraId="41DBB100" w14:textId="242230BB" w:rsidR="00E21AAF" w:rsidRDefault="00E21AAF"/>
    <w:p w14:paraId="4EB446B5" w14:textId="7509603F" w:rsidR="00E21AAF" w:rsidRDefault="00E21AAF"/>
    <w:p w14:paraId="03BE5092" w14:textId="372591EF" w:rsidR="00E21AAF" w:rsidRDefault="00E21AAF"/>
    <w:p w14:paraId="375C4DB3" w14:textId="6B1D97A1" w:rsidR="00E21AAF" w:rsidRDefault="00E21AAF"/>
    <w:p w14:paraId="694EDFE4" w14:textId="11F016F5" w:rsidR="00E21AAF" w:rsidRDefault="00E21AAF"/>
    <w:p w14:paraId="01C67A0C" w14:textId="3644DB80" w:rsidR="00E21AAF" w:rsidRDefault="00E21AAF"/>
    <w:p w14:paraId="4AD94E02" w14:textId="41933383" w:rsidR="00E21AAF" w:rsidRDefault="00E21AAF" w:rsidP="00E21AAF">
      <w:pPr>
        <w:pStyle w:val="Heading1"/>
      </w:pPr>
      <w:bookmarkStart w:id="0" w:name="_Toc80734112"/>
      <w:r>
        <w:lastRenderedPageBreak/>
        <w:t>Introduction</w:t>
      </w:r>
      <w:bookmarkEnd w:id="0"/>
    </w:p>
    <w:p w14:paraId="1277730D" w14:textId="22DB16F7" w:rsidR="00E21AAF" w:rsidRDefault="00E21AAF" w:rsidP="00E21AAF">
      <w:r w:rsidRPr="00E21AAF">
        <w:t xml:space="preserve">Being a viable HR professional means taking fundamental steps to adequately and productively meet human capabilities, </w:t>
      </w:r>
      <w:proofErr w:type="gramStart"/>
      <w:r w:rsidRPr="00E21AAF">
        <w:t>responsibilities</w:t>
      </w:r>
      <w:proofErr w:type="gramEnd"/>
      <w:r w:rsidRPr="00E21AAF">
        <w:t xml:space="preserve"> and practices to support authoritative goals and exhibitions. Human resources professionals are involved and engaged in hierarchical activities to help people come together and commit to completing authoritative goals and objectives. Individual experts are seen as crucial issues to help directors ensure that associations cope in the unique workplace.</w:t>
      </w:r>
      <w:r>
        <w:t xml:space="preserve"> </w:t>
      </w:r>
    </w:p>
    <w:p w14:paraId="39B6A8C3" w14:textId="4905B526" w:rsidR="00E21AAF" w:rsidRDefault="00E21AAF" w:rsidP="00E21AAF">
      <w:pPr>
        <w:pStyle w:val="Heading1"/>
      </w:pPr>
      <w:bookmarkStart w:id="1" w:name="_Toc80734113"/>
      <w:r>
        <w:t>Task 1</w:t>
      </w:r>
      <w:bookmarkEnd w:id="1"/>
    </w:p>
    <w:p w14:paraId="3A991EEF" w14:textId="77777777" w:rsidR="00E21AAF" w:rsidRDefault="00E21AAF" w:rsidP="00E21AAF">
      <w:r>
        <w:t>HR protects reputable representatives from contacting them and ensuring that they are treated properly (Ulrich et al., 2012). They take responsibility for understanding the requirements and interests of workers and thus take the right steps to help them. Human resources specialists promote methodologies to help each of the departments' capacities. As pointed out by Harrison (2015), conventional human resources jobs have unequivocally evolved to recruit and lay off workers. Nevertheless, in today's business climate, HR is fully engaged in rehearsals that help individuals and influence their attendance and performance in the association.</w:t>
      </w:r>
    </w:p>
    <w:p w14:paraId="1F449516" w14:textId="77777777" w:rsidR="00E21AAF" w:rsidRDefault="00E21AAF" w:rsidP="00E21AAF">
      <w:r>
        <w:t xml:space="preserve">For example, at Tesco, the organization was limited to ensuring business consistency in the approaches and practices of each part of the staff. The obligation to manage human assets was fulfilled by the exercises of the managers such as collecting, </w:t>
      </w:r>
      <w:proofErr w:type="gramStart"/>
      <w:r>
        <w:t>disclosing</w:t>
      </w:r>
      <w:proofErr w:type="gramEnd"/>
      <w:r>
        <w:t xml:space="preserve"> and keeping records. However, the association has recently launched a key human asset with more and better staff training. These human resources experts take responsibility for completing human resources in a more expert and developed way. The CIPD Professional Guide guides human resources experts to do their job </w:t>
      </w:r>
      <w:proofErr w:type="spellStart"/>
      <w:r>
        <w:t>skillfully</w:t>
      </w:r>
      <w:proofErr w:type="spellEnd"/>
      <w:r>
        <w:t>.</w:t>
      </w:r>
    </w:p>
    <w:p w14:paraId="251833CD" w14:textId="77777777" w:rsidR="00E21AAF" w:rsidRDefault="00E21AAF" w:rsidP="00E21AAF">
      <w:r>
        <w:t xml:space="preserve">The CIPD management is an apparatus that clarifies the central information, the </w:t>
      </w:r>
      <w:proofErr w:type="spellStart"/>
      <w:r>
        <w:t>center's</w:t>
      </w:r>
      <w:proofErr w:type="spellEnd"/>
      <w:r>
        <w:t xml:space="preserve"> practices and identifies the regions with expert information that help human resources experts to complete their duties and responsibilities. The champion of expert guidance referred to the above-mentioned issues of better work and working life for each of the experts. The picture below is a depiction of the CIPD Manual for 2018.</w:t>
      </w:r>
    </w:p>
    <w:p w14:paraId="1338D8A8" w14:textId="160B95CC" w:rsidR="00E21AAF" w:rsidRPr="00E21AAF" w:rsidRDefault="00E21AAF" w:rsidP="00E21AAF">
      <w:pPr>
        <w:spacing w:after="0" w:line="240" w:lineRule="auto"/>
        <w:rPr>
          <w:rFonts w:ascii="Times New Roman" w:eastAsia="Times New Roman" w:hAnsi="Times New Roman" w:cs="Times New Roman"/>
          <w:szCs w:val="24"/>
          <w:lang w:eastAsia="en-GB"/>
        </w:rPr>
      </w:pPr>
      <w:r w:rsidRPr="00E21AAF">
        <w:rPr>
          <w:rFonts w:ascii="Times New Roman" w:eastAsia="Times New Roman" w:hAnsi="Times New Roman" w:cs="Times New Roman"/>
          <w:szCs w:val="24"/>
          <w:lang w:eastAsia="en-GB"/>
        </w:rPr>
        <w:lastRenderedPageBreak/>
        <w:fldChar w:fldCharType="begin"/>
      </w:r>
      <w:r w:rsidRPr="00E21AAF">
        <w:rPr>
          <w:rFonts w:ascii="Times New Roman" w:eastAsia="Times New Roman" w:hAnsi="Times New Roman" w:cs="Times New Roman"/>
          <w:szCs w:val="24"/>
          <w:lang w:eastAsia="en-GB"/>
        </w:rPr>
        <w:instrText xml:space="preserve"> INCLUDEPICTURE "/var/folders/87/6qpq3j7177g0td965h49pxlc0000gn/T/com.microsoft.Word/WebArchiveCopyPasteTempFiles/page3image45865056" \* MERGEFORMATINET </w:instrText>
      </w:r>
      <w:r w:rsidRPr="00E21AAF">
        <w:rPr>
          <w:rFonts w:ascii="Times New Roman" w:eastAsia="Times New Roman" w:hAnsi="Times New Roman" w:cs="Times New Roman"/>
          <w:szCs w:val="24"/>
          <w:lang w:eastAsia="en-GB"/>
        </w:rPr>
        <w:fldChar w:fldCharType="separate"/>
      </w:r>
      <w:r w:rsidRPr="00E21AAF">
        <w:rPr>
          <w:rFonts w:ascii="Times New Roman" w:eastAsia="Times New Roman" w:hAnsi="Times New Roman" w:cs="Times New Roman"/>
          <w:noProof/>
          <w:szCs w:val="24"/>
          <w:lang w:eastAsia="en-GB"/>
        </w:rPr>
        <w:drawing>
          <wp:inline distT="0" distB="0" distL="0" distR="0" wp14:anchorId="102C6C06" wp14:editId="01D2FB9E">
            <wp:extent cx="5175250" cy="4443730"/>
            <wp:effectExtent l="0" t="0" r="6350" b="1270"/>
            <wp:docPr id="1" name="Picture 1" descr="page3image45865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3image4586505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5250" cy="4443730"/>
                    </a:xfrm>
                    <a:prstGeom prst="rect">
                      <a:avLst/>
                    </a:prstGeom>
                    <a:noFill/>
                    <a:ln>
                      <a:noFill/>
                    </a:ln>
                  </pic:spPr>
                </pic:pic>
              </a:graphicData>
            </a:graphic>
          </wp:inline>
        </w:drawing>
      </w:r>
      <w:r w:rsidRPr="00E21AAF">
        <w:rPr>
          <w:rFonts w:ascii="Times New Roman" w:eastAsia="Times New Roman" w:hAnsi="Times New Roman" w:cs="Times New Roman"/>
          <w:szCs w:val="24"/>
          <w:lang w:eastAsia="en-GB"/>
        </w:rPr>
        <w:fldChar w:fldCharType="end"/>
      </w:r>
    </w:p>
    <w:p w14:paraId="4B90DA9A" w14:textId="77777777" w:rsidR="00E21AAF" w:rsidRDefault="00E21AAF" w:rsidP="00E21AAF"/>
    <w:p w14:paraId="7E865755" w14:textId="77777777" w:rsidR="00E21AAF" w:rsidRDefault="00E21AAF" w:rsidP="00E21AAF">
      <w:r>
        <w:t xml:space="preserve">Information about the </w:t>
      </w:r>
      <w:proofErr w:type="spellStart"/>
      <w:r>
        <w:t>center</w:t>
      </w:r>
      <w:proofErr w:type="spellEnd"/>
      <w:r>
        <w:t>: Individual practices</w:t>
      </w:r>
    </w:p>
    <w:p w14:paraId="02D14DBF" w14:textId="77777777" w:rsidR="00E21AAF" w:rsidRDefault="00E21AAF" w:rsidP="00E21AAF">
      <w:r>
        <w:t xml:space="preserve">They understand individual rehearsals that decide the relationship between experts and workers. This is a central information region that experts </w:t>
      </w:r>
      <w:proofErr w:type="gramStart"/>
      <w:r>
        <w:t>take into account</w:t>
      </w:r>
      <w:proofErr w:type="gramEnd"/>
      <w:r>
        <w:t xml:space="preserve"> when determining the value that associations invest in people working in the association. The individual skills that need to be considered in building viable relationships with individuals are approaches, guidelines, workforce ordering, and prosperity (Armstrong and Taylor, 2020). The skills required in the supervision of individual experts are cooperation, assistance, advice, partnership with managers and training and mentoring. Understanding individual rehearsals, experts use the available data to create an incentive for individuals and associations. Given the poor quality of the data available in the association, the reasonable value of Tesco was erased, affecting the information regions of individuals. To stay away from this, HR must support </w:t>
      </w:r>
      <w:proofErr w:type="gramStart"/>
      <w:r>
        <w:t>others</w:t>
      </w:r>
      <w:proofErr w:type="gramEnd"/>
      <w:r>
        <w:t xml:space="preserve"> experts who ensure that they work morally to help a reputable culture and development.</w:t>
      </w:r>
    </w:p>
    <w:p w14:paraId="32A04139" w14:textId="77777777" w:rsidR="00E21AAF" w:rsidRDefault="00E21AAF" w:rsidP="00E21AAF">
      <w:r>
        <w:t xml:space="preserve">Behavior of the </w:t>
      </w:r>
      <w:proofErr w:type="spellStart"/>
      <w:r>
        <w:t>center</w:t>
      </w:r>
      <w:proofErr w:type="spellEnd"/>
      <w:r>
        <w:t>: dynamics of the situation</w:t>
      </w:r>
    </w:p>
    <w:p w14:paraId="48F30153" w14:textId="77777777" w:rsidR="00E21AAF" w:rsidRDefault="00E21AAF" w:rsidP="00E21AAF">
      <w:r>
        <w:t xml:space="preserve">Experts take responsibility for defining the strategies to be chosen in distinctive working conditions. Before </w:t>
      </w:r>
      <w:proofErr w:type="gramStart"/>
      <w:r>
        <w:t>making a decision</w:t>
      </w:r>
      <w:proofErr w:type="gramEnd"/>
      <w:r>
        <w:t xml:space="preserve">, experts take responsibility for assessing potential alternatives that need to be adapted to hierarchical qualities </w:t>
      </w:r>
      <w:r>
        <w:lastRenderedPageBreak/>
        <w:t xml:space="preserve">(Griggs, Holden, Rae, &amp; Rebellious, 2015). </w:t>
      </w:r>
      <w:proofErr w:type="gramStart"/>
      <w:r>
        <w:t>In order to</w:t>
      </w:r>
      <w:proofErr w:type="gramEnd"/>
      <w:r>
        <w:t xml:space="preserve"> adhere to the best certain authoritative choices, experts must have administrative skills and be adaptable to produce energy in the work environment. Experts need to know about the strategies and techniques to follow before focusing on the last hierarchical choice.</w:t>
      </w:r>
    </w:p>
    <w:p w14:paraId="2D86A0EC" w14:textId="77777777" w:rsidR="00E21AAF" w:rsidRDefault="00E21AAF" w:rsidP="00E21AAF">
      <w:r>
        <w:t>Expert information: learning and progress</w:t>
      </w:r>
    </w:p>
    <w:p w14:paraId="20D85A6C" w14:textId="77777777" w:rsidR="00E21AAF" w:rsidRDefault="00E21AAF" w:rsidP="00E21AAF">
      <w:r>
        <w:t>Training and development are an expert region in which experts derive enormous benefit from learning and completing their own and expert regions. Associations have a responsibility to promote a culture in which experts learn and find themselves fully committed to incentives that help learning. Individual experts are responsible for creating curricula that compel the support of a positive serious commitment that is committed to individual, group, and authoritative development (Harrison, Tosi, Anderson, &amp; Elliott, 2020). To improve legal training, HR maintains the diversity and inclusion of all authoritative representatives to avoid separation. This shows that the accession of different regions with expert information supports authority.</w:t>
      </w:r>
    </w:p>
    <w:p w14:paraId="6B615FC7" w14:textId="77777777" w:rsidR="00E21AAF" w:rsidRDefault="00E21AAF" w:rsidP="00E21AAF">
      <w:r>
        <w:t xml:space="preserve">Task The on-board procedures are extremely important within the association. These strategies make the administration of activities more powerful and more sensible. Last year, I was essential to an endeavor in which we were committed to implementing another ERP framework at Tesco. I was relieved of my duty as group leader, where I had to direct others to complete the task. I completed the on-board management course, which addresses the five stages of starting, organizing, implementing, </w:t>
      </w:r>
      <w:proofErr w:type="gramStart"/>
      <w:r>
        <w:t>executing</w:t>
      </w:r>
      <w:proofErr w:type="gramEnd"/>
      <w:r>
        <w:t xml:space="preserve"> and controlling, and finally concluding a project (Meredith, Schaefer &amp; Shelf, 2017). The two procedures that were applied to single improvements </w:t>
      </w:r>
      <w:proofErr w:type="gramStart"/>
      <w:r>
        <w:t>include;</w:t>
      </w:r>
      <w:proofErr w:type="gramEnd"/>
    </w:p>
    <w:p w14:paraId="11A453B3" w14:textId="77777777" w:rsidR="00E21AAF" w:rsidRDefault="00E21AAF" w:rsidP="00E21AAF">
      <w:r>
        <w:t>Insightful goals</w:t>
      </w:r>
    </w:p>
    <w:p w14:paraId="682BBDFC" w14:textId="77777777" w:rsidR="00E21AAF" w:rsidRDefault="00E21AAF" w:rsidP="00E21AAF">
      <w:r>
        <w:t>Brilliant destinations are defined to ensure that the goals that people have set for themselves are achievable and clear. Insightful (Explicit, quantifiable, feasible, relevant, time-limited).</w:t>
      </w:r>
    </w:p>
    <w:p w14:paraId="71246315" w14:textId="77777777" w:rsidR="00E21AAF" w:rsidRDefault="00E21AAF" w:rsidP="00E21AAF">
      <w:r>
        <w:t xml:space="preserve">Explicit goals are those that have a greater chance of being achieved. They must answer who is involved in achieving the goal, what needs to be done, </w:t>
      </w:r>
      <w:proofErr w:type="gramStart"/>
      <w:r>
        <w:t>where,</w:t>
      </w:r>
      <w:proofErr w:type="gramEnd"/>
      <w:r>
        <w:t xml:space="preserve"> when and why the goal is essential for a person or task. The explicit goals of the endeavor were created by the pioneers of the project, who understand the task and what exactly needs to be improved. Key objectives are quantifiable when the partners involved have the obligation to quantify progress towards the objective. The objectives must be achievable when the project partners will challenge each other </w:t>
      </w:r>
      <w:proofErr w:type="gramStart"/>
      <w:r>
        <w:t>in order to</w:t>
      </w:r>
      <w:proofErr w:type="gramEnd"/>
      <w:r>
        <w:t xml:space="preserve"> distinguish the correct risk assets and capacity. With the help of the group, the supervisors of the companies should try to see if the undertakings have been effectively carried out before and to measure the ability to complete the task. Goals should be reasonable when risk managers need to use assets and time to ensure they focus on the association. Goals should be limited in time, and this time should not be necessary. Task managers must have time to interrupt entrepreneurs. The </w:t>
      </w:r>
      <w:r>
        <w:lastRenderedPageBreak/>
        <w:t xml:space="preserve">main goals that we had the opportunity to set together with the group for upgrading the useful completion of the endeavor to implement the ERP framework are listed in the table </w:t>
      </w:r>
      <w:proofErr w:type="gramStart"/>
      <w:r>
        <w:t>below;</w:t>
      </w:r>
      <w:proofErr w:type="gramEnd"/>
    </w:p>
    <w:p w14:paraId="1BFA041B" w14:textId="77777777" w:rsidR="00E21AAF" w:rsidRDefault="00E21AAF" w:rsidP="00E21AAF">
      <w:r>
        <w:t xml:space="preserve">The job breakdown structure is an achievement located in a progressive circulation of work that must be completed by the enterprise group </w:t>
      </w:r>
      <w:proofErr w:type="gramStart"/>
      <w:r>
        <w:t>in order to</w:t>
      </w:r>
      <w:proofErr w:type="gramEnd"/>
      <w:r>
        <w:t xml:space="preserve"> reach the task destinations in order to promote important expectations. The structure of the breakdown of work for the above purposes </w:t>
      </w:r>
      <w:proofErr w:type="gramStart"/>
      <w:r>
        <w:t>includes;</w:t>
      </w:r>
      <w:proofErr w:type="gramEnd"/>
    </w:p>
    <w:p w14:paraId="617C53CD" w14:textId="77777777" w:rsidR="00E21AAF" w:rsidRDefault="00E21AAF" w:rsidP="00E21AAF">
      <w:r>
        <w:t>The central goal of the agreement was to implement an ERP framework within the association. After setting the brilliant goals, I promoted an action plan. A meeting was held to promote the action plan on the proposed implementation in the framework of business tasks. The central goal for the implementation of the ERP, the financial plan for the new framework, the number of representatives needed for the whole endeavor, and the investigation of current problems and potential arrangements were discussed at this meeting. Following the promotion of the action plan, I was at a very basic level in charge of social affairs assets.</w:t>
      </w:r>
    </w:p>
    <w:p w14:paraId="79A7D110" w14:textId="77777777" w:rsidR="00E21AAF" w:rsidRDefault="00E21AAF" w:rsidP="00E21AAF">
      <w:r>
        <w:t>Recognize critical thinking procedures</w:t>
      </w:r>
    </w:p>
    <w:p w14:paraId="360C3ABD" w14:textId="77777777" w:rsidR="00E21AAF" w:rsidRDefault="00E21AAF" w:rsidP="00E21AAF">
      <w:r>
        <w:t xml:space="preserve">Critical thinking methods are approaches for distinguishing a problem, determining the cause, recognizing, </w:t>
      </w:r>
      <w:proofErr w:type="gramStart"/>
      <w:r>
        <w:t>focusing</w:t>
      </w:r>
      <w:proofErr w:type="gramEnd"/>
      <w:r>
        <w:t xml:space="preserve"> and fulfilling the agreement and breaking its viability. </w:t>
      </w:r>
      <w:proofErr w:type="gramStart"/>
      <w:r>
        <w:t>In order to</w:t>
      </w:r>
      <w:proofErr w:type="gramEnd"/>
      <w:r>
        <w:t xml:space="preserve"> deal successfully with problems, human resources experts need to be verifiable to gain a thorough insight into the main engine of the best agreement.</w:t>
      </w:r>
    </w:p>
    <w:p w14:paraId="0E363C1B" w14:textId="77777777" w:rsidR="00E21AAF" w:rsidRDefault="00E21AAF" w:rsidP="00E21AAF">
      <w:r>
        <w:t>Comparative analysis</w:t>
      </w:r>
    </w:p>
    <w:p w14:paraId="18066D9D" w14:textId="49A7E964" w:rsidR="00E21AAF" w:rsidRDefault="00E21AAF" w:rsidP="00E21AAF">
      <w:r>
        <w:t xml:space="preserve">Benchmarking is a method of critical thinking that human resources experts use to get to the heart of an issue. He recognizes the holes in an association by making continuous progress and making fundamental changes in an association. Benchmarking reinforces the shortcomings of an association, improves training, helps increase the expectations of associations and works on customer needs. The benchmarking measure includes four critical stages, which are organization, research, </w:t>
      </w:r>
      <w:proofErr w:type="gramStart"/>
      <w:r>
        <w:t>involvement</w:t>
      </w:r>
      <w:proofErr w:type="gramEnd"/>
      <w:r>
        <w:t xml:space="preserve"> and activity. Suppose a human resources expert recognizes a problem with the inability of representatives when they are unable to perform their duties at an acceptable rate.</w:t>
      </w:r>
    </w:p>
    <w:p w14:paraId="3319B243" w14:textId="77777777" w:rsidR="00E21AAF" w:rsidRDefault="00E21AAF" w:rsidP="00E21AAF">
      <w:r>
        <w:t>With all that in mind, he may choose to use the benchmarking procedure to find the main engine of the problem and the best arrangement. Here, HR finds an agreement to find out why the representatives cannot pass on and investigates the possible cause of the problem. After reconciliation, he realized that the problem was caused by a lack of preparation and appropriate direction when he was recently appointed, and he took the plunge to support the representatives by arranging the meeting for guidance and instructions. This brings out an excellent understanding among the workers in the association, performance, improvement of mentality and culture, achieved goals and objectives and performance.</w:t>
      </w:r>
    </w:p>
    <w:p w14:paraId="49F9ACDF" w14:textId="7BD87440" w:rsidR="00E21AAF" w:rsidRDefault="00E21AAF" w:rsidP="00E21AAF">
      <w:r>
        <w:lastRenderedPageBreak/>
        <w:t>HR professionals use 5Whys as a critical thinking strategy that helps get to the root of the problem by intuitively examining workers to investigate the cause of the problem. When using the 5Whys procedure, HR wonders why repeatedly, with each answer asking why it forms the premise of the following query. Its main point is to trace the specific cause of the problem. 5Whys is used to characterize the problem, measure its main engine, study the problem, improve by finding the cause, and controlling the problem by dealing with it when using the cause of the problem as a reverse arrangement (</w:t>
      </w:r>
      <w:proofErr w:type="spellStart"/>
      <w:r>
        <w:t>Myszewski</w:t>
      </w:r>
      <w:proofErr w:type="spellEnd"/>
      <w:r>
        <w:t>, 2013). Staff receive a grunt from a non-customer who accepts their items on schedule. He chooses to use the 5Whys method to deal with the problem; 1) for what reason did you not deliver items to customers on schedule? Because I had numerous shipments to do along the way. 2) For what reason did you have numerous shipments along the way? Because I am the only one who has the right to pass this course. 3) For what reason is the only one designated to pass this course? 4) Since we are five colleagues in transport and the courses are also five, each takes one course. 5) For what reason would you say that you are five colleagues in transport, not ten? Because the other five transport colleagues are working on the store to replace the workers who left due to exhaustion. Here HR can recognize the main driving force of employee turnover due to depletion. In this way, he can come up with an answer for additional support to fix the problem and prevent it from recurring. The 5Whys strategy helps identify the root cause of a problem and take corrective action in a simpler and faster way that you do not expect to conduct an actual investigation.</w:t>
      </w:r>
    </w:p>
    <w:p w14:paraId="0A69B431" w14:textId="3583D5EF" w:rsidR="00E21AAF" w:rsidRDefault="00E21AAF" w:rsidP="00E21AAF">
      <w:pPr>
        <w:pStyle w:val="Heading1"/>
      </w:pPr>
      <w:bookmarkStart w:id="2" w:name="_Toc80734114"/>
      <w:r>
        <w:t>Task 2</w:t>
      </w:r>
      <w:bookmarkEnd w:id="2"/>
    </w:p>
    <w:p w14:paraId="1BF7823A" w14:textId="77777777" w:rsidR="00E21AAF" w:rsidRDefault="00E21AAF" w:rsidP="00E21AAF">
      <w:r>
        <w:t xml:space="preserve">The overall group dynamics are the forces that unconsciously interfere with the typical manners through which a collection completes the exercises, deciding their adequacy. As pointed out by Bruce Tuckman (1965), the group goes through various stages as they develop and build relationships as the style of authority changes. These stages </w:t>
      </w:r>
      <w:proofErr w:type="gramStart"/>
      <w:r>
        <w:t>are;</w:t>
      </w:r>
      <w:proofErr w:type="gramEnd"/>
      <w:r>
        <w:t xml:space="preserve"> Formation, the main phase of group progress in which individuals encounter multiple conflicts in group goals, play uncertain roles and responsibilities, and many internal disputes. At this stage, pioneers experience difficulties while colleagues test their resilience and ignore the rules and </w:t>
      </w:r>
      <w:proofErr w:type="spellStart"/>
      <w:r>
        <w:t>behaviors</w:t>
      </w:r>
      <w:proofErr w:type="spellEnd"/>
      <w:r>
        <w:t xml:space="preserve"> that pioneers set about group goals and objectives.</w:t>
      </w:r>
    </w:p>
    <w:p w14:paraId="014BAE49" w14:textId="77777777" w:rsidR="00E21AAF" w:rsidRDefault="00E21AAF" w:rsidP="00E21AAF">
      <w:r>
        <w:t>The next stage is furious, in which the colleague encounters numerous conflicts, as everyone tries to lay a good foundation for themselves and to characterize their positions. There are piles of vulnerabilities and battles for people seeking power. To allow progress at this stage, a lot of penance, support and a spotlight in the group's goals and tasks are needed, as the motivation of the group is clear here.</w:t>
      </w:r>
    </w:p>
    <w:p w14:paraId="05DBC6BA" w14:textId="2A7841D6" w:rsidR="00E21AAF" w:rsidRDefault="00E21AAF" w:rsidP="00E21AAF">
      <w:r>
        <w:t xml:space="preserve">The third stage is normalization. Here, each job and responsibilities are unmistakably characterized and recognized by colleagues. Colleagues agree and the agreement between colleagues is framed to respond to the pioneers, regarding the initiative responsibilities shared between colleagues. At this stage, colleagues talk about </w:t>
      </w:r>
      <w:r>
        <w:lastRenderedPageBreak/>
        <w:t xml:space="preserve">progress measures and their work standards and participate in intuitive social, systemic administrations and fun exercises that promote solidarity, </w:t>
      </w:r>
      <w:proofErr w:type="gramStart"/>
      <w:r>
        <w:t>respect</w:t>
      </w:r>
      <w:proofErr w:type="gramEnd"/>
      <w:r>
        <w:t xml:space="preserve"> and responsibility. Critical choices are also arranged by colleagues, while small choices are left to people or small groups in the association. Here it is possible to mark and separate from different principles.</w:t>
      </w:r>
    </w:p>
    <w:p w14:paraId="49726EDC" w14:textId="77777777" w:rsidR="00E21AAF" w:rsidRDefault="00E21AAF" w:rsidP="00E21AAF">
      <w:r>
        <w:t xml:space="preserve">The fourth stage is implementation. At this stage, colleagues have an unmistakable vision and do not need a request from the pioneers. Here, each of the conflicts is clearly settled, important changes </w:t>
      </w:r>
      <w:proofErr w:type="gramStart"/>
      <w:r>
        <w:t>occur</w:t>
      </w:r>
      <w:proofErr w:type="gramEnd"/>
      <w:r>
        <w:t xml:space="preserve"> and colleagues work together to achieve goals and destinations, stylizing and solving problems as they progress and sticking to huge solutions to the standards agreed with the pioneer. They obviously understand the motivation and rationale for their work. Here, self-government is capable, as each colleague focuses on achieving goals and mutual support. They collaborate collectively, seeking help from pioneers for individual and group goals and destinations for progress. Representatives of the pioneers lead the exercises in a group with the common goal of achieving hierarchical destinations. Here the only administration and duty are deeply capable and develop proactive abilities.</w:t>
      </w:r>
    </w:p>
    <w:p w14:paraId="4613D745" w14:textId="77777777" w:rsidR="00E21AAF" w:rsidRDefault="00E21AAF" w:rsidP="00E21AAF">
      <w:r>
        <w:t>As pointed out by Bruce Tuckman (1975), the fifth stage is the deferral stage, which is the separation of the group after the effective consumption of the enterprise and the satisfaction of the cause and goals of the group. This stage is essential for colleagues and their prosperity, as it is the place where they are perceived and appreciated for their efforts to make the endeavor effective, on an individual level and as a whole group. At this stage, grief is capable when colleagues have encouraged close relationships and the time has come to break. The feeling of insecurity is felt when colleagues are compromised by the change. This is the most delicate and weak stage and requires an appropriate conclusion.</w:t>
      </w:r>
    </w:p>
    <w:p w14:paraId="02365ABF" w14:textId="77777777" w:rsidR="00E21AAF" w:rsidRDefault="00E21AAF" w:rsidP="00E21AAF">
      <w:r>
        <w:t>Techniques for dealing with collisions in the work environment.</w:t>
      </w:r>
    </w:p>
    <w:p w14:paraId="7A43FB58" w14:textId="77777777" w:rsidR="00E21AAF" w:rsidRDefault="00E21AAF" w:rsidP="00E21AAF">
      <w:r>
        <w:t>Collisions are conflicts between colleagues that arise due to contrasts in thinking, perspectives, achieving level, interests, needs and the way people perceive problems. Conflicts can cause disputes, physical and psychological violence, loss of trust, harmony and solidarity, frustration and inadequacy when not resolved (Lipsky, 2015). There are different types of struggles: struggle with oneself, struggle with others, clashes with innovation, clashes with climate, irreconcilable circumstances, clashes with predestination and clashes with the celestial.</w:t>
      </w:r>
    </w:p>
    <w:p w14:paraId="1D0E5463" w14:textId="77777777" w:rsidR="00E21AAF" w:rsidRDefault="00E21AAF" w:rsidP="00E21AAF">
      <w:r>
        <w:t>Coordinated efforts</w:t>
      </w:r>
    </w:p>
    <w:p w14:paraId="62828A61" w14:textId="49C81648" w:rsidR="00E21AAF" w:rsidRDefault="00E21AAF" w:rsidP="00E21AAF">
      <w:r>
        <w:t xml:space="preserve">In an association, the manager decides not to follow the hierarchical rules given to support workers by achieving their goals and objectives. With all this in mind, the director determines the rules that </w:t>
      </w:r>
      <w:proofErr w:type="spellStart"/>
      <w:r>
        <w:t>favor</w:t>
      </w:r>
      <w:proofErr w:type="spellEnd"/>
      <w:r>
        <w:t xml:space="preserve"> him to achieve his own goals, taking advantage of minors. This achieves a struggle in which workers feel constantly anxious, less inspired, focused, and encourage feelings of weakness. As a professional trained in human resources, this contradiction is best resolved through </w:t>
      </w:r>
      <w:r>
        <w:lastRenderedPageBreak/>
        <w:t xml:space="preserve">cooperation. HR must speak well with the manager, understand his </w:t>
      </w:r>
      <w:proofErr w:type="gramStart"/>
      <w:r>
        <w:t>reasons</w:t>
      </w:r>
      <w:proofErr w:type="gramEnd"/>
      <w:r>
        <w:t xml:space="preserve"> and organize an intelligent meeting between HR, the manager and the representatives in order to unconditionally solve their difficulties. Everyone gets the opportunity to clarify their circumstances and will see and solve the difficulties, understanding that they are fully fulfilled after achieving a shared goal. By the end of the meeting, everyone must cope with the eclipse and will cooperate, </w:t>
      </w:r>
      <w:proofErr w:type="gramStart"/>
      <w:r>
        <w:t>taking into account</w:t>
      </w:r>
      <w:proofErr w:type="gramEnd"/>
      <w:r>
        <w:t xml:space="preserve"> and trusting each other's expectations. This is a mutually beneficial agreement.</w:t>
      </w:r>
    </w:p>
    <w:p w14:paraId="5B637176" w14:textId="26C0C792" w:rsidR="00E21AAF" w:rsidRDefault="00E21AAF" w:rsidP="00E21AAF">
      <w:pPr>
        <w:pStyle w:val="Heading1"/>
      </w:pPr>
      <w:bookmarkStart w:id="3" w:name="_Toc80734115"/>
      <w:r>
        <w:t>Conclusion</w:t>
      </w:r>
      <w:bookmarkEnd w:id="3"/>
    </w:p>
    <w:p w14:paraId="0AA59FBD" w14:textId="2E909A61" w:rsidR="00E21AAF" w:rsidRDefault="00E21AAF" w:rsidP="00E21AAF">
      <w:r w:rsidRPr="00E21AAF">
        <w:t xml:space="preserve">The association receives a comparison with task administration. This leads to a struggle in which the representatives feel upset, low determination, loss of security and low efficiency. </w:t>
      </w:r>
      <w:proofErr w:type="gramStart"/>
      <w:r w:rsidRPr="00E21AAF">
        <w:t>As a human resources expert, this claim</w:t>
      </w:r>
      <w:proofErr w:type="gramEnd"/>
      <w:r w:rsidRPr="00E21AAF">
        <w:t xml:space="preserve"> can be resolved anywhere through rivalry. The present circumstance needs a quick reaction </w:t>
      </w:r>
      <w:proofErr w:type="gramStart"/>
      <w:r w:rsidRPr="00E21AAF">
        <w:t>in order to</w:t>
      </w:r>
      <w:proofErr w:type="gramEnd"/>
      <w:r w:rsidRPr="00E21AAF">
        <w:t xml:space="preserve"> protect oneself from misfortunes in a continuous endeavor. Here, HR must use the ability to influence employees, disregard the orders of new managers and follow them to save the company from collapse. Towards the end, given everything, the unfit relative can leave his position as boss, as the representatives do not obey his orders, the hierarchical goals and destinations are reasonably fulfilled according to the rules of the HR.</w:t>
      </w:r>
    </w:p>
    <w:p w14:paraId="7C7F457D" w14:textId="3999CCD7" w:rsidR="00E21AAF" w:rsidRDefault="00E21AAF" w:rsidP="00E21AAF"/>
    <w:p w14:paraId="5C541478" w14:textId="20A21A8F" w:rsidR="00E21AAF" w:rsidRDefault="00E21AAF" w:rsidP="00E21AAF"/>
    <w:p w14:paraId="05E1A70F" w14:textId="3CD2AC63" w:rsidR="00E21AAF" w:rsidRDefault="00E21AAF" w:rsidP="00E21AAF"/>
    <w:p w14:paraId="792C25CE" w14:textId="2DB359DB" w:rsidR="00E21AAF" w:rsidRDefault="00E21AAF" w:rsidP="00E21AAF"/>
    <w:p w14:paraId="548AF083" w14:textId="7139B624" w:rsidR="00E21AAF" w:rsidRDefault="00E21AAF" w:rsidP="00E21AAF"/>
    <w:p w14:paraId="4E0D7A23" w14:textId="761382AE" w:rsidR="00E21AAF" w:rsidRDefault="00E21AAF" w:rsidP="00E21AAF"/>
    <w:p w14:paraId="6589319D" w14:textId="5B413D29" w:rsidR="00E21AAF" w:rsidRDefault="00E21AAF" w:rsidP="00E21AAF"/>
    <w:p w14:paraId="70D421A9" w14:textId="151C5372" w:rsidR="00E21AAF" w:rsidRDefault="00E21AAF" w:rsidP="00E21AAF"/>
    <w:p w14:paraId="7ABA0A69" w14:textId="4E2E61B8" w:rsidR="00E21AAF" w:rsidRDefault="00E21AAF" w:rsidP="00E21AAF"/>
    <w:p w14:paraId="6467A82F" w14:textId="77ABF2D4" w:rsidR="00E21AAF" w:rsidRDefault="00E21AAF" w:rsidP="00E21AAF"/>
    <w:p w14:paraId="1A8FB477" w14:textId="160B000A" w:rsidR="00E21AAF" w:rsidRDefault="00E21AAF" w:rsidP="00E21AAF"/>
    <w:p w14:paraId="3F0D4C0F" w14:textId="7C2BBFC6" w:rsidR="00E21AAF" w:rsidRDefault="00E21AAF" w:rsidP="00E21AAF"/>
    <w:p w14:paraId="35691773" w14:textId="1BB56ED2" w:rsidR="00E21AAF" w:rsidRDefault="00E21AAF" w:rsidP="00E21AAF"/>
    <w:p w14:paraId="1A69322D" w14:textId="77777777" w:rsidR="00E21AAF" w:rsidRDefault="00E21AAF" w:rsidP="00E21AAF"/>
    <w:p w14:paraId="1B272541" w14:textId="2091AF31" w:rsidR="00E21AAF" w:rsidRDefault="00E21AAF" w:rsidP="00E21AAF">
      <w:pPr>
        <w:pStyle w:val="Heading1"/>
      </w:pPr>
      <w:bookmarkStart w:id="4" w:name="_Toc80734116"/>
      <w:r>
        <w:lastRenderedPageBreak/>
        <w:t>References</w:t>
      </w:r>
      <w:bookmarkEnd w:id="4"/>
    </w:p>
    <w:p w14:paraId="72001042" w14:textId="77777777" w:rsidR="00E21AAF" w:rsidRDefault="00E21AAF" w:rsidP="00E21AAF">
      <w:proofErr w:type="spellStart"/>
      <w:r>
        <w:t>AcoGriggs</w:t>
      </w:r>
      <w:proofErr w:type="spellEnd"/>
      <w:r>
        <w:t xml:space="preserve">, V., Holden, R., Rae, J. and Lawless, </w:t>
      </w:r>
      <w:proofErr w:type="gramStart"/>
      <w:r>
        <w:t>A..</w:t>
      </w:r>
      <w:proofErr w:type="gramEnd"/>
      <w:r>
        <w:t xml:space="preserve"> (2015) Professional learning in human resource management: problematising the teaching of reflective practice. Studies in Continuing Education, 37(2), pp.202-217.</w:t>
      </w:r>
    </w:p>
    <w:p w14:paraId="0FFA9F2E" w14:textId="53C3355B" w:rsidR="00E21AAF" w:rsidRDefault="00E21AAF" w:rsidP="00E21AAF">
      <w:r>
        <w:t xml:space="preserve">Armstrong, M. and Taylor, S. (2020) Armstrong's Handbook </w:t>
      </w:r>
      <w:proofErr w:type="gramStart"/>
      <w:r>
        <w:t>Of</w:t>
      </w:r>
      <w:proofErr w:type="gramEnd"/>
      <w:r>
        <w:t xml:space="preserve"> Human Resource Management Practice. Kogan Page Publishers.</w:t>
      </w:r>
    </w:p>
    <w:p w14:paraId="02E2D19C" w14:textId="54B09B74" w:rsidR="00E21AAF" w:rsidRDefault="00E21AAF" w:rsidP="00E21AAF">
      <w:r w:rsidRPr="00E21AAF">
        <w:t xml:space="preserve">Fenech, R., </w:t>
      </w:r>
      <w:proofErr w:type="spellStart"/>
      <w:r w:rsidRPr="00E21AAF">
        <w:t>Baguant</w:t>
      </w:r>
      <w:proofErr w:type="spellEnd"/>
      <w:r w:rsidRPr="00E21AAF">
        <w:t xml:space="preserve">, P., &amp; </w:t>
      </w:r>
      <w:proofErr w:type="spellStart"/>
      <w:r w:rsidRPr="00E21AAF">
        <w:t>Ivanovc</w:t>
      </w:r>
      <w:proofErr w:type="spellEnd"/>
      <w:r w:rsidRPr="00E21AAF">
        <w:t>, D. (2019) The changing role of human resource</w:t>
      </w:r>
      <w:r>
        <w:t xml:space="preserve"> management in an era of digital transformation. Journal of management information and decision sciences, 22(2), 1-10.</w:t>
      </w:r>
    </w:p>
    <w:p w14:paraId="16489074" w14:textId="33B69AAD" w:rsidR="00E21AAF" w:rsidRDefault="00E21AAF" w:rsidP="00E21AAF">
      <w:r w:rsidRPr="00E21AAF">
        <w:t>Harrison, L., (2015) Professionalism in human resource management: Evolution of a standard. People and strategy., 38(4), p.9.</w:t>
      </w:r>
    </w:p>
    <w:p w14:paraId="7F58BE74" w14:textId="33728A8D" w:rsidR="00E21AAF" w:rsidRDefault="00E21AAF" w:rsidP="00E21AAF">
      <w:r w:rsidRPr="00E21AAF">
        <w:t xml:space="preserve">Harrison, P., </w:t>
      </w:r>
      <w:proofErr w:type="spellStart"/>
      <w:r w:rsidRPr="00E21AAF">
        <w:t>Tosey</w:t>
      </w:r>
      <w:proofErr w:type="spellEnd"/>
      <w:r w:rsidRPr="00E21AAF">
        <w:t xml:space="preserve">, P., Anderson, V. and Elliott, C., (2020) HRD professional education provision in the UK: past, </w:t>
      </w:r>
      <w:proofErr w:type="gramStart"/>
      <w:r w:rsidRPr="00E21AAF">
        <w:t>present</w:t>
      </w:r>
      <w:proofErr w:type="gramEnd"/>
      <w:r w:rsidRPr="00E21AAF">
        <w:t xml:space="preserve"> and future. Human Resource Development International, pp.1- 19.</w:t>
      </w:r>
    </w:p>
    <w:p w14:paraId="024F128B" w14:textId="77777777" w:rsidR="00E21AAF" w:rsidRDefault="00E21AAF" w:rsidP="00E21AAF">
      <w:r>
        <w:t xml:space="preserve">Lipsky, D. (2015) The future of conflict management systems. Conflict Resolution Quarterly, 33(S1), </w:t>
      </w:r>
      <w:proofErr w:type="gramStart"/>
      <w:r>
        <w:t>pp.S</w:t>
      </w:r>
      <w:proofErr w:type="gramEnd"/>
      <w:r>
        <w:t>27-S34.</w:t>
      </w:r>
    </w:p>
    <w:p w14:paraId="4C3A0083" w14:textId="0BCCB189" w:rsidR="00E21AAF" w:rsidRDefault="00E21AAF" w:rsidP="00E21AAF">
      <w:r>
        <w:t>Meredith, J., Shafer, S. and Mantel Jr, S. (2017). Project Management: A Strategic Managerial Approach. John Wiley &amp; Sons.</w:t>
      </w:r>
    </w:p>
    <w:p w14:paraId="46C38E77" w14:textId="3BAFABB9" w:rsidR="00E21AAF" w:rsidRDefault="00E21AAF" w:rsidP="00E21AAF">
      <w:proofErr w:type="spellStart"/>
      <w:r>
        <w:t>Myszewski</w:t>
      </w:r>
      <w:proofErr w:type="spellEnd"/>
      <w:r>
        <w:t>, J. M. (2013) On improvement story by 5 whys. The TQM Journal.</w:t>
      </w:r>
    </w:p>
    <w:p w14:paraId="5D5BB1E5" w14:textId="1025E025" w:rsidR="00E21AAF" w:rsidRDefault="00E21AAF" w:rsidP="00E21AAF">
      <w:r w:rsidRPr="00E21AAF">
        <w:t>Ulrich, D., Younger, J., Brockbank, W., &amp; Ulrich, M. (2012) HR talent and the new HR</w:t>
      </w:r>
      <w:r>
        <w:t xml:space="preserve"> competencies. Strategic HR Review.</w:t>
      </w:r>
    </w:p>
    <w:p w14:paraId="1814AD15" w14:textId="1DC80420" w:rsidR="00E21AAF" w:rsidRDefault="00E21AAF" w:rsidP="00E21AAF">
      <w:proofErr w:type="spellStart"/>
      <w:r w:rsidRPr="00E21AAF">
        <w:t>Wallensteen</w:t>
      </w:r>
      <w:proofErr w:type="spellEnd"/>
      <w:r w:rsidRPr="00E21AAF">
        <w:t>, P. (2018) Understanding Conflict Resolution. SAGE Publications Limited.</w:t>
      </w:r>
    </w:p>
    <w:sectPr w:rsidR="00E21AAF" w:rsidSect="00E21AAF">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3EFA2" w14:textId="77777777" w:rsidR="009F13B0" w:rsidRDefault="009F13B0" w:rsidP="00E21AAF">
      <w:pPr>
        <w:spacing w:after="0" w:line="240" w:lineRule="auto"/>
      </w:pPr>
      <w:r>
        <w:separator/>
      </w:r>
    </w:p>
  </w:endnote>
  <w:endnote w:type="continuationSeparator" w:id="0">
    <w:p w14:paraId="71DED9F2" w14:textId="77777777" w:rsidR="009F13B0" w:rsidRDefault="009F13B0" w:rsidP="00E21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6952499"/>
      <w:docPartObj>
        <w:docPartGallery w:val="Page Numbers (Bottom of Page)"/>
        <w:docPartUnique/>
      </w:docPartObj>
    </w:sdtPr>
    <w:sdtEndPr>
      <w:rPr>
        <w:rStyle w:val="PageNumber"/>
      </w:rPr>
    </w:sdtEndPr>
    <w:sdtContent>
      <w:p w14:paraId="2D551D9D" w14:textId="6A27DE7E" w:rsidR="00E21AAF" w:rsidRDefault="00E21AAF"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93273D" w14:textId="77777777" w:rsidR="00E21AAF" w:rsidRDefault="00E21AAF" w:rsidP="00E21A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2464050"/>
      <w:docPartObj>
        <w:docPartGallery w:val="Page Numbers (Bottom of Page)"/>
        <w:docPartUnique/>
      </w:docPartObj>
    </w:sdtPr>
    <w:sdtEndPr>
      <w:rPr>
        <w:rStyle w:val="PageNumber"/>
      </w:rPr>
    </w:sdtEndPr>
    <w:sdtContent>
      <w:p w14:paraId="4844DE18" w14:textId="0B118730" w:rsidR="00E21AAF" w:rsidRDefault="00E21AAF"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21F1C6" w14:textId="77777777" w:rsidR="00E21AAF" w:rsidRDefault="00E21AAF" w:rsidP="00E21A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D2B46" w14:textId="77777777" w:rsidR="009F13B0" w:rsidRDefault="009F13B0" w:rsidP="00E21AAF">
      <w:pPr>
        <w:spacing w:after="0" w:line="240" w:lineRule="auto"/>
      </w:pPr>
      <w:r>
        <w:separator/>
      </w:r>
    </w:p>
  </w:footnote>
  <w:footnote w:type="continuationSeparator" w:id="0">
    <w:p w14:paraId="4C2731AD" w14:textId="77777777" w:rsidR="009F13B0" w:rsidRDefault="009F13B0" w:rsidP="00E21A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AAF"/>
    <w:rsid w:val="00161D87"/>
    <w:rsid w:val="002C4925"/>
    <w:rsid w:val="005433BA"/>
    <w:rsid w:val="007A3D60"/>
    <w:rsid w:val="009F13B0"/>
    <w:rsid w:val="00E21AAF"/>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F6159"/>
  <w15:chartTrackingRefBased/>
  <w15:docId w15:val="{98889C66-AD8E-0C4F-BB70-2476AA921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E21A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21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AAF"/>
    <w:rPr>
      <w:rFonts w:ascii="Arial" w:hAnsi="Arial"/>
      <w:szCs w:val="22"/>
    </w:rPr>
  </w:style>
  <w:style w:type="character" w:styleId="PageNumber">
    <w:name w:val="page number"/>
    <w:basedOn w:val="DefaultParagraphFont"/>
    <w:uiPriority w:val="99"/>
    <w:semiHidden/>
    <w:unhideWhenUsed/>
    <w:rsid w:val="00E21AAF"/>
  </w:style>
  <w:style w:type="character" w:customStyle="1" w:styleId="Heading1Char">
    <w:name w:val="Heading 1 Char"/>
    <w:basedOn w:val="DefaultParagraphFont"/>
    <w:link w:val="Heading1"/>
    <w:uiPriority w:val="9"/>
    <w:rsid w:val="00E21AAF"/>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21AAF"/>
    <w:rPr>
      <w:rFonts w:eastAsiaTheme="minorEastAsia"/>
      <w:sz w:val="22"/>
      <w:szCs w:val="22"/>
      <w:lang w:val="en-US" w:eastAsia="zh-CN"/>
    </w:rPr>
  </w:style>
  <w:style w:type="character" w:customStyle="1" w:styleId="NoSpacingChar">
    <w:name w:val="No Spacing Char"/>
    <w:basedOn w:val="DefaultParagraphFont"/>
    <w:link w:val="NoSpacing"/>
    <w:uiPriority w:val="1"/>
    <w:rsid w:val="00E21AAF"/>
    <w:rPr>
      <w:rFonts w:eastAsiaTheme="minorEastAsia"/>
      <w:sz w:val="22"/>
      <w:szCs w:val="22"/>
      <w:lang w:val="en-US" w:eastAsia="zh-CN"/>
    </w:rPr>
  </w:style>
  <w:style w:type="paragraph" w:styleId="TOCHeading">
    <w:name w:val="TOC Heading"/>
    <w:basedOn w:val="Heading1"/>
    <w:next w:val="Normal"/>
    <w:uiPriority w:val="39"/>
    <w:unhideWhenUsed/>
    <w:qFormat/>
    <w:rsid w:val="00E21AAF"/>
    <w:pPr>
      <w:spacing w:before="480"/>
      <w:outlineLvl w:val="9"/>
    </w:pPr>
    <w:rPr>
      <w:b/>
      <w:bCs/>
      <w:sz w:val="28"/>
      <w:szCs w:val="28"/>
      <w:lang w:val="en-US"/>
    </w:rPr>
  </w:style>
  <w:style w:type="paragraph" w:styleId="TOC1">
    <w:name w:val="toc 1"/>
    <w:basedOn w:val="Normal"/>
    <w:next w:val="Normal"/>
    <w:autoRedefine/>
    <w:uiPriority w:val="39"/>
    <w:unhideWhenUsed/>
    <w:rsid w:val="00E21AAF"/>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E21AAF"/>
    <w:rPr>
      <w:color w:val="0563C1" w:themeColor="hyperlink"/>
      <w:u w:val="single"/>
    </w:rPr>
  </w:style>
  <w:style w:type="paragraph" w:styleId="TOC2">
    <w:name w:val="toc 2"/>
    <w:basedOn w:val="Normal"/>
    <w:next w:val="Normal"/>
    <w:autoRedefine/>
    <w:uiPriority w:val="39"/>
    <w:semiHidden/>
    <w:unhideWhenUsed/>
    <w:rsid w:val="00E21AAF"/>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E21AAF"/>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21AAF"/>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21AAF"/>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21AAF"/>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21AAF"/>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21AAF"/>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21AAF"/>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544076">
      <w:bodyDiv w:val="1"/>
      <w:marLeft w:val="0"/>
      <w:marRight w:val="0"/>
      <w:marTop w:val="0"/>
      <w:marBottom w:val="0"/>
      <w:divBdr>
        <w:top w:val="none" w:sz="0" w:space="0" w:color="auto"/>
        <w:left w:val="none" w:sz="0" w:space="0" w:color="auto"/>
        <w:bottom w:val="none" w:sz="0" w:space="0" w:color="auto"/>
        <w:right w:val="none" w:sz="0" w:space="0" w:color="auto"/>
      </w:divBdr>
      <w:divsChild>
        <w:div w:id="19330794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07CD48032044944A67A401D465465DC"/>
        <w:category>
          <w:name w:val="General"/>
          <w:gallery w:val="placeholder"/>
        </w:category>
        <w:types>
          <w:type w:val="bbPlcHdr"/>
        </w:types>
        <w:behaviors>
          <w:behavior w:val="content"/>
        </w:behaviors>
        <w:guid w:val="{2C12A8E9-5ADA-F245-997B-FD65F6ED485F}"/>
      </w:docPartPr>
      <w:docPartBody>
        <w:p w:rsidR="003522B1" w:rsidRDefault="008F6A3A" w:rsidP="008F6A3A">
          <w:pPr>
            <w:pStyle w:val="A07CD48032044944A67A401D465465DC"/>
          </w:pPr>
          <w:r>
            <w:rPr>
              <w:rFonts w:asciiTheme="majorHAnsi" w:eastAsiaTheme="majorEastAsia" w:hAnsiTheme="majorHAnsi" w:cstheme="majorBidi"/>
              <w:caps/>
              <w:color w:val="4472C4" w:themeColor="accent1"/>
              <w:sz w:val="80"/>
              <w:szCs w:val="80"/>
            </w:rPr>
            <w:t>[Document title]</w:t>
          </w:r>
        </w:p>
      </w:docPartBody>
    </w:docPart>
    <w:docPart>
      <w:docPartPr>
        <w:name w:val="5ED9490102587A45B24FA38F1FA382E7"/>
        <w:category>
          <w:name w:val="General"/>
          <w:gallery w:val="placeholder"/>
        </w:category>
        <w:types>
          <w:type w:val="bbPlcHdr"/>
        </w:types>
        <w:behaviors>
          <w:behavior w:val="content"/>
        </w:behaviors>
        <w:guid w:val="{1949B72D-D71D-AC49-81D4-9B9F499006BD}"/>
      </w:docPartPr>
      <w:docPartBody>
        <w:p w:rsidR="003522B1" w:rsidRDefault="008F6A3A" w:rsidP="008F6A3A">
          <w:pPr>
            <w:pStyle w:val="5ED9490102587A45B24FA38F1FA382E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A3A"/>
    <w:rsid w:val="000B787D"/>
    <w:rsid w:val="003522B1"/>
    <w:rsid w:val="0078083D"/>
    <w:rsid w:val="008F6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7CD48032044944A67A401D465465DC">
    <w:name w:val="A07CD48032044944A67A401D465465DC"/>
    <w:rsid w:val="008F6A3A"/>
  </w:style>
  <w:style w:type="paragraph" w:customStyle="1" w:styleId="5ED9490102587A45B24FA38F1FA382E7">
    <w:name w:val="5ED9490102587A45B24FA38F1FA382E7"/>
    <w:rsid w:val="008F6A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angel rachev</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9B0648-C78D-4C4E-BC94-2C5B2C5C2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10</Pages>
  <Words>2911</Words>
  <Characters>16215</Characters>
  <Application>Microsoft Office Word</Application>
  <DocSecurity>0</DocSecurity>
  <Lines>317</Lines>
  <Paragraphs>101</Paragraphs>
  <ScaleCrop>false</ScaleCrop>
  <Company>student id: 1916961</Company>
  <LinksUpToDate>false</LinksUpToDate>
  <CharactersWithSpaces>19025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lcbb5004</dc:title>
  <dc:subject>Assessment Number 1</dc:subject>
  <dc:creator>Anna Kuseva</dc:creator>
  <cp:keywords/>
  <dc:description/>
  <cp:lastModifiedBy>Anna Kuseva</cp:lastModifiedBy>
  <cp:revision>2</cp:revision>
  <dcterms:created xsi:type="dcterms:W3CDTF">2021-08-24T18:10:00Z</dcterms:created>
  <dcterms:modified xsi:type="dcterms:W3CDTF">2021-08-24T19:26:00Z</dcterms:modified>
</cp:coreProperties>
</file>