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18E3" w:rsidRDefault="00CD35A1" w:rsidP="00CD35A1">
      <w:pPr>
        <w:jc w:val="center"/>
        <w:rPr>
          <w:b/>
          <w:sz w:val="44"/>
        </w:rPr>
      </w:pPr>
      <w:r w:rsidRPr="00CD35A1">
        <w:rPr>
          <w:b/>
          <w:sz w:val="44"/>
        </w:rPr>
        <w:t xml:space="preserve">Financial Management </w:t>
      </w:r>
    </w:p>
    <w:p w:rsidR="00C718E3" w:rsidRDefault="00C718E3" w:rsidP="00CD35A1">
      <w:pPr>
        <w:jc w:val="center"/>
        <w:rPr>
          <w:b/>
          <w:sz w:val="44"/>
        </w:rPr>
      </w:pPr>
    </w:p>
    <w:p w:rsidR="00C718E3" w:rsidRDefault="00C718E3" w:rsidP="00CD35A1">
      <w:pPr>
        <w:jc w:val="center"/>
        <w:rPr>
          <w:b/>
          <w:sz w:val="44"/>
        </w:rPr>
      </w:pPr>
    </w:p>
    <w:p w:rsidR="00C718E3" w:rsidRDefault="00C718E3" w:rsidP="00CD35A1">
      <w:pPr>
        <w:jc w:val="center"/>
        <w:rPr>
          <w:b/>
          <w:sz w:val="44"/>
        </w:rPr>
      </w:pPr>
      <w:r>
        <w:rPr>
          <w:b/>
          <w:sz w:val="44"/>
        </w:rPr>
        <w:t xml:space="preserve">By </w:t>
      </w:r>
    </w:p>
    <w:p w:rsidR="00CD35A1" w:rsidRPr="00CD35A1" w:rsidRDefault="00C718E3" w:rsidP="00CD35A1">
      <w:pPr>
        <w:jc w:val="center"/>
        <w:rPr>
          <w:b/>
        </w:rPr>
      </w:pPr>
      <w:proofErr w:type="spellStart"/>
      <w:r>
        <w:rPr>
          <w:b/>
          <w:sz w:val="44"/>
        </w:rPr>
        <w:t>Amba</w:t>
      </w:r>
      <w:proofErr w:type="spellEnd"/>
      <w:r>
        <w:rPr>
          <w:b/>
          <w:sz w:val="44"/>
        </w:rPr>
        <w:t xml:space="preserve"> Lambert </w:t>
      </w:r>
      <w:proofErr w:type="spellStart"/>
      <w:r>
        <w:rPr>
          <w:b/>
          <w:sz w:val="44"/>
        </w:rPr>
        <w:t>Efekele</w:t>
      </w:r>
      <w:proofErr w:type="spellEnd"/>
      <w:r w:rsidR="00CD35A1" w:rsidRPr="00CD35A1">
        <w:rPr>
          <w:b/>
        </w:rPr>
        <w:br w:type="page"/>
      </w:r>
    </w:p>
    <w:sdt>
      <w:sdtPr>
        <w:rPr>
          <w:rFonts w:eastAsiaTheme="minorHAnsi" w:cstheme="minorBidi"/>
          <w:b w:val="0"/>
          <w:color w:val="auto"/>
          <w:sz w:val="24"/>
          <w:szCs w:val="22"/>
        </w:rPr>
        <w:id w:val="-1503651394"/>
        <w:docPartObj>
          <w:docPartGallery w:val="Table of Contents"/>
          <w:docPartUnique/>
        </w:docPartObj>
      </w:sdtPr>
      <w:sdtEndPr>
        <w:rPr>
          <w:bCs/>
          <w:noProof/>
        </w:rPr>
      </w:sdtEndPr>
      <w:sdtContent>
        <w:p w:rsidR="00CD35A1" w:rsidRDefault="00CD35A1" w:rsidP="00CD35A1">
          <w:pPr>
            <w:pStyle w:val="Heading1"/>
            <w:spacing w:before="0" w:after="0"/>
            <w:jc w:val="center"/>
          </w:pPr>
          <w:r>
            <w:t>Table of Contents</w:t>
          </w:r>
        </w:p>
        <w:p w:rsidR="00CD35A1" w:rsidRDefault="00D501C1" w:rsidP="00CD35A1">
          <w:pPr>
            <w:pStyle w:val="TOC1"/>
            <w:tabs>
              <w:tab w:val="right" w:leader="dot" w:pos="9350"/>
            </w:tabs>
            <w:spacing w:after="0"/>
            <w:rPr>
              <w:noProof/>
            </w:rPr>
          </w:pPr>
          <w:hyperlink w:anchor="_Toc60927290" w:history="1">
            <w:r w:rsidR="00CD35A1" w:rsidRPr="008D492F">
              <w:rPr>
                <w:rStyle w:val="Hyperlink"/>
                <w:noProof/>
              </w:rPr>
              <w:t>Introduction</w:t>
            </w:r>
            <w:r w:rsidR="00CD35A1">
              <w:rPr>
                <w:noProof/>
                <w:webHidden/>
              </w:rPr>
              <w:tab/>
            </w:r>
            <w:r w:rsidR="00CD35A1">
              <w:rPr>
                <w:noProof/>
                <w:webHidden/>
              </w:rPr>
              <w:fldChar w:fldCharType="begin"/>
            </w:r>
            <w:r w:rsidR="00CD35A1">
              <w:rPr>
                <w:noProof/>
                <w:webHidden/>
              </w:rPr>
              <w:instrText xml:space="preserve"> PAGEREF _Toc60927290 \h </w:instrText>
            </w:r>
            <w:r w:rsidR="00CD35A1">
              <w:rPr>
                <w:noProof/>
                <w:webHidden/>
              </w:rPr>
            </w:r>
            <w:r w:rsidR="00CD35A1">
              <w:rPr>
                <w:noProof/>
                <w:webHidden/>
              </w:rPr>
              <w:fldChar w:fldCharType="separate"/>
            </w:r>
            <w:r w:rsidR="00CD35A1">
              <w:rPr>
                <w:noProof/>
                <w:webHidden/>
              </w:rPr>
              <w:t>3</w:t>
            </w:r>
            <w:r w:rsidR="00CD35A1">
              <w:rPr>
                <w:noProof/>
                <w:webHidden/>
              </w:rPr>
              <w:fldChar w:fldCharType="end"/>
            </w:r>
          </w:hyperlink>
        </w:p>
        <w:p w:rsidR="00CD35A1" w:rsidRDefault="00D501C1" w:rsidP="00CD35A1">
          <w:pPr>
            <w:pStyle w:val="TOC1"/>
            <w:tabs>
              <w:tab w:val="right" w:leader="dot" w:pos="9350"/>
            </w:tabs>
            <w:spacing w:after="0"/>
            <w:rPr>
              <w:noProof/>
            </w:rPr>
          </w:pPr>
          <w:hyperlink w:anchor="_Toc60927291" w:history="1">
            <w:r w:rsidR="00CD35A1" w:rsidRPr="008D492F">
              <w:rPr>
                <w:rStyle w:val="Hyperlink"/>
                <w:noProof/>
              </w:rPr>
              <w:t>Part A</w:t>
            </w:r>
            <w:r w:rsidR="00CD35A1">
              <w:rPr>
                <w:noProof/>
                <w:webHidden/>
              </w:rPr>
              <w:tab/>
              <w:t>4</w:t>
            </w:r>
          </w:hyperlink>
        </w:p>
        <w:p w:rsidR="00CD35A1" w:rsidRDefault="00D501C1" w:rsidP="00CD35A1">
          <w:pPr>
            <w:pStyle w:val="TOC2"/>
            <w:tabs>
              <w:tab w:val="right" w:leader="dot" w:pos="9350"/>
            </w:tabs>
            <w:spacing w:after="0"/>
            <w:rPr>
              <w:noProof/>
            </w:rPr>
          </w:pPr>
          <w:hyperlink w:anchor="_Toc60927292" w:history="1">
            <w:r w:rsidR="00CD35A1" w:rsidRPr="008D492F">
              <w:rPr>
                <w:rStyle w:val="Hyperlink"/>
                <w:noProof/>
              </w:rPr>
              <w:t>Organizational overview of M&amp;S (Marks &amp; Spencer)</w:t>
            </w:r>
            <w:r w:rsidR="00CD35A1">
              <w:rPr>
                <w:noProof/>
                <w:webHidden/>
              </w:rPr>
              <w:tab/>
              <w:t>4</w:t>
            </w:r>
          </w:hyperlink>
        </w:p>
        <w:p w:rsidR="00CD35A1" w:rsidRDefault="00D501C1" w:rsidP="00CD35A1">
          <w:pPr>
            <w:pStyle w:val="TOC1"/>
            <w:tabs>
              <w:tab w:val="right" w:leader="dot" w:pos="9350"/>
            </w:tabs>
            <w:spacing w:after="0"/>
            <w:rPr>
              <w:noProof/>
            </w:rPr>
          </w:pPr>
          <w:hyperlink w:anchor="_Toc60927293" w:history="1">
            <w:r w:rsidR="00CD35A1" w:rsidRPr="008D492F">
              <w:rPr>
                <w:rStyle w:val="Hyperlink"/>
                <w:noProof/>
              </w:rPr>
              <w:t>Part B</w:t>
            </w:r>
            <w:r w:rsidR="00CD35A1">
              <w:rPr>
                <w:noProof/>
                <w:webHidden/>
              </w:rPr>
              <w:tab/>
              <w:t>6</w:t>
            </w:r>
          </w:hyperlink>
        </w:p>
        <w:p w:rsidR="00CD35A1" w:rsidRDefault="00D501C1" w:rsidP="00CD35A1">
          <w:pPr>
            <w:pStyle w:val="TOC2"/>
            <w:tabs>
              <w:tab w:val="right" w:leader="dot" w:pos="9350"/>
            </w:tabs>
            <w:spacing w:after="0"/>
            <w:rPr>
              <w:noProof/>
            </w:rPr>
          </w:pPr>
          <w:hyperlink w:anchor="_Toc60927294" w:history="1">
            <w:r w:rsidR="00CD35A1" w:rsidRPr="008D492F">
              <w:rPr>
                <w:rStyle w:val="Hyperlink"/>
                <w:noProof/>
              </w:rPr>
              <w:t>Critically review the financial performance of M&amp;S and compare with key competitors</w:t>
            </w:r>
            <w:r w:rsidR="00CD35A1">
              <w:rPr>
                <w:noProof/>
                <w:webHidden/>
              </w:rPr>
              <w:tab/>
              <w:t>6</w:t>
            </w:r>
          </w:hyperlink>
        </w:p>
        <w:p w:rsidR="00CD35A1" w:rsidRDefault="00D501C1" w:rsidP="00CD35A1">
          <w:pPr>
            <w:pStyle w:val="TOC3"/>
            <w:tabs>
              <w:tab w:val="right" w:leader="dot" w:pos="9350"/>
            </w:tabs>
            <w:spacing w:after="0"/>
            <w:rPr>
              <w:noProof/>
            </w:rPr>
          </w:pPr>
          <w:hyperlink w:anchor="_Toc60927295" w:history="1">
            <w:r w:rsidR="00CD35A1" w:rsidRPr="008D492F">
              <w:rPr>
                <w:rStyle w:val="Hyperlink"/>
                <w:noProof/>
              </w:rPr>
              <w:t>Profitability Ratio</w:t>
            </w:r>
            <w:r w:rsidR="00CD35A1">
              <w:rPr>
                <w:noProof/>
                <w:webHidden/>
              </w:rPr>
              <w:tab/>
              <w:t>6</w:t>
            </w:r>
          </w:hyperlink>
        </w:p>
        <w:p w:rsidR="00CD35A1" w:rsidRDefault="00D501C1" w:rsidP="00CD35A1">
          <w:pPr>
            <w:pStyle w:val="TOC3"/>
            <w:tabs>
              <w:tab w:val="right" w:leader="dot" w:pos="9350"/>
            </w:tabs>
            <w:spacing w:after="0"/>
            <w:rPr>
              <w:noProof/>
            </w:rPr>
          </w:pPr>
          <w:hyperlink w:anchor="_Toc60927296" w:history="1">
            <w:r w:rsidR="00CD35A1" w:rsidRPr="008D492F">
              <w:rPr>
                <w:rStyle w:val="Hyperlink"/>
                <w:noProof/>
              </w:rPr>
              <w:t>Liquidity ratios</w:t>
            </w:r>
            <w:r w:rsidR="00CD35A1">
              <w:rPr>
                <w:noProof/>
                <w:webHidden/>
              </w:rPr>
              <w:tab/>
              <w:t>8</w:t>
            </w:r>
          </w:hyperlink>
        </w:p>
        <w:p w:rsidR="00CD35A1" w:rsidRDefault="00D501C1" w:rsidP="00CD35A1">
          <w:pPr>
            <w:pStyle w:val="TOC3"/>
            <w:tabs>
              <w:tab w:val="right" w:leader="dot" w:pos="9350"/>
            </w:tabs>
            <w:spacing w:after="0"/>
            <w:rPr>
              <w:noProof/>
            </w:rPr>
          </w:pPr>
          <w:hyperlink w:anchor="_Toc60927297" w:history="1">
            <w:r w:rsidR="00CD35A1" w:rsidRPr="008D492F">
              <w:rPr>
                <w:rStyle w:val="Hyperlink"/>
                <w:noProof/>
              </w:rPr>
              <w:t>Gearing ratio</w:t>
            </w:r>
            <w:r w:rsidR="00CD35A1">
              <w:rPr>
                <w:noProof/>
                <w:webHidden/>
              </w:rPr>
              <w:tab/>
              <w:t>10</w:t>
            </w:r>
          </w:hyperlink>
        </w:p>
        <w:p w:rsidR="00CD35A1" w:rsidRDefault="00D501C1" w:rsidP="00CD35A1">
          <w:pPr>
            <w:pStyle w:val="TOC3"/>
            <w:tabs>
              <w:tab w:val="right" w:leader="dot" w:pos="9350"/>
            </w:tabs>
            <w:spacing w:after="0"/>
            <w:rPr>
              <w:noProof/>
            </w:rPr>
          </w:pPr>
          <w:hyperlink w:anchor="_Toc60927298" w:history="1">
            <w:r w:rsidR="00CD35A1" w:rsidRPr="008D492F">
              <w:rPr>
                <w:rStyle w:val="Hyperlink"/>
                <w:noProof/>
              </w:rPr>
              <w:t>Efficiency ratios</w:t>
            </w:r>
            <w:r w:rsidR="00CD35A1">
              <w:rPr>
                <w:noProof/>
                <w:webHidden/>
              </w:rPr>
              <w:tab/>
              <w:t>11</w:t>
            </w:r>
          </w:hyperlink>
        </w:p>
        <w:p w:rsidR="00CD35A1" w:rsidRDefault="00D501C1" w:rsidP="00CD35A1">
          <w:pPr>
            <w:pStyle w:val="TOC2"/>
            <w:tabs>
              <w:tab w:val="right" w:leader="dot" w:pos="9350"/>
            </w:tabs>
            <w:spacing w:after="0"/>
            <w:rPr>
              <w:noProof/>
            </w:rPr>
          </w:pPr>
          <w:hyperlink w:anchor="_Toc60927299" w:history="1">
            <w:r w:rsidR="00CD35A1" w:rsidRPr="008D492F">
              <w:rPr>
                <w:rStyle w:val="Hyperlink"/>
                <w:noProof/>
              </w:rPr>
              <w:t>Recommendation for improving financial performance</w:t>
            </w:r>
            <w:r w:rsidR="00CD35A1">
              <w:rPr>
                <w:noProof/>
                <w:webHidden/>
              </w:rPr>
              <w:tab/>
              <w:t>14</w:t>
            </w:r>
          </w:hyperlink>
        </w:p>
        <w:p w:rsidR="00CD35A1" w:rsidRDefault="00D501C1" w:rsidP="00CD35A1">
          <w:pPr>
            <w:pStyle w:val="TOC1"/>
            <w:tabs>
              <w:tab w:val="right" w:leader="dot" w:pos="9350"/>
            </w:tabs>
            <w:spacing w:after="0"/>
            <w:rPr>
              <w:noProof/>
            </w:rPr>
          </w:pPr>
          <w:hyperlink w:anchor="_Toc60927300" w:history="1">
            <w:r w:rsidR="00CD35A1" w:rsidRPr="008D492F">
              <w:rPr>
                <w:rStyle w:val="Hyperlink"/>
                <w:noProof/>
              </w:rPr>
              <w:t>Part C</w:t>
            </w:r>
            <w:r w:rsidR="00CD35A1">
              <w:rPr>
                <w:noProof/>
                <w:webHidden/>
              </w:rPr>
              <w:tab/>
              <w:t>15</w:t>
            </w:r>
          </w:hyperlink>
        </w:p>
        <w:p w:rsidR="00CD35A1" w:rsidRDefault="00D501C1" w:rsidP="00CD35A1">
          <w:pPr>
            <w:pStyle w:val="TOC2"/>
            <w:tabs>
              <w:tab w:val="right" w:leader="dot" w:pos="9350"/>
            </w:tabs>
            <w:spacing w:after="0"/>
            <w:rPr>
              <w:noProof/>
            </w:rPr>
          </w:pPr>
          <w:hyperlink w:anchor="_Toc60927301" w:history="1">
            <w:r w:rsidR="00CD35A1" w:rsidRPr="008D492F">
              <w:rPr>
                <w:rStyle w:val="Hyperlink"/>
                <w:noProof/>
              </w:rPr>
              <w:t>Payback period calculation of project A and Project B</w:t>
            </w:r>
            <w:r w:rsidR="00CD35A1">
              <w:rPr>
                <w:noProof/>
                <w:webHidden/>
              </w:rPr>
              <w:tab/>
              <w:t>15</w:t>
            </w:r>
          </w:hyperlink>
        </w:p>
        <w:p w:rsidR="00CD35A1" w:rsidRDefault="00D501C1" w:rsidP="00CD35A1">
          <w:pPr>
            <w:pStyle w:val="TOC2"/>
            <w:tabs>
              <w:tab w:val="right" w:leader="dot" w:pos="9350"/>
            </w:tabs>
            <w:spacing w:after="0"/>
            <w:rPr>
              <w:noProof/>
            </w:rPr>
          </w:pPr>
          <w:hyperlink w:anchor="_Toc60927302" w:history="1">
            <w:r w:rsidR="00CD35A1" w:rsidRPr="008D492F">
              <w:rPr>
                <w:rStyle w:val="Hyperlink"/>
                <w:noProof/>
              </w:rPr>
              <w:t>ARR calculation of project A and Project B</w:t>
            </w:r>
            <w:r w:rsidR="00CD35A1">
              <w:rPr>
                <w:noProof/>
                <w:webHidden/>
              </w:rPr>
              <w:tab/>
              <w:t>16</w:t>
            </w:r>
          </w:hyperlink>
        </w:p>
        <w:p w:rsidR="00CD35A1" w:rsidRDefault="00D501C1" w:rsidP="00CD35A1">
          <w:pPr>
            <w:pStyle w:val="TOC2"/>
            <w:tabs>
              <w:tab w:val="right" w:leader="dot" w:pos="9350"/>
            </w:tabs>
            <w:spacing w:after="0"/>
            <w:rPr>
              <w:noProof/>
            </w:rPr>
          </w:pPr>
          <w:hyperlink w:anchor="_Toc60927303" w:history="1">
            <w:r w:rsidR="00CD35A1" w:rsidRPr="008D492F">
              <w:rPr>
                <w:rStyle w:val="Hyperlink"/>
                <w:noProof/>
              </w:rPr>
              <w:t>NPV calculation of project A and Project B</w:t>
            </w:r>
            <w:r w:rsidR="00CD35A1">
              <w:rPr>
                <w:noProof/>
                <w:webHidden/>
              </w:rPr>
              <w:tab/>
              <w:t>17</w:t>
            </w:r>
          </w:hyperlink>
        </w:p>
        <w:p w:rsidR="00CD35A1" w:rsidRDefault="00D501C1" w:rsidP="00CD35A1">
          <w:pPr>
            <w:pStyle w:val="TOC2"/>
            <w:tabs>
              <w:tab w:val="right" w:leader="dot" w:pos="9350"/>
            </w:tabs>
            <w:spacing w:after="0"/>
            <w:rPr>
              <w:noProof/>
            </w:rPr>
          </w:pPr>
          <w:hyperlink w:anchor="_Toc60927304" w:history="1">
            <w:r w:rsidR="00CD35A1" w:rsidRPr="008D492F">
              <w:rPr>
                <w:rStyle w:val="Hyperlink"/>
                <w:noProof/>
              </w:rPr>
              <w:t>Critically discuss the advantages and limitations of PBP, ARR, and NPV</w:t>
            </w:r>
            <w:r w:rsidR="00CD35A1">
              <w:rPr>
                <w:noProof/>
                <w:webHidden/>
              </w:rPr>
              <w:tab/>
              <w:t>19</w:t>
            </w:r>
          </w:hyperlink>
        </w:p>
        <w:p w:rsidR="00CD35A1" w:rsidRDefault="00D501C1" w:rsidP="00CD35A1">
          <w:pPr>
            <w:pStyle w:val="TOC3"/>
            <w:tabs>
              <w:tab w:val="right" w:leader="dot" w:pos="9350"/>
            </w:tabs>
            <w:spacing w:after="0"/>
            <w:rPr>
              <w:noProof/>
            </w:rPr>
          </w:pPr>
          <w:hyperlink w:anchor="_Toc60927305" w:history="1">
            <w:r w:rsidR="00CD35A1" w:rsidRPr="008D492F">
              <w:rPr>
                <w:rStyle w:val="Hyperlink"/>
                <w:noProof/>
              </w:rPr>
              <w:t>Payback period (PBP)</w:t>
            </w:r>
            <w:r w:rsidR="00CD35A1">
              <w:rPr>
                <w:noProof/>
                <w:webHidden/>
              </w:rPr>
              <w:tab/>
              <w:t>19</w:t>
            </w:r>
          </w:hyperlink>
        </w:p>
        <w:p w:rsidR="00CD35A1" w:rsidRDefault="00D501C1" w:rsidP="00CD35A1">
          <w:pPr>
            <w:pStyle w:val="TOC3"/>
            <w:tabs>
              <w:tab w:val="right" w:leader="dot" w:pos="9350"/>
            </w:tabs>
            <w:spacing w:after="0"/>
            <w:rPr>
              <w:noProof/>
            </w:rPr>
          </w:pPr>
          <w:hyperlink w:anchor="_Toc60927306" w:history="1">
            <w:r w:rsidR="00CD35A1" w:rsidRPr="008D492F">
              <w:rPr>
                <w:rStyle w:val="Hyperlink"/>
                <w:noProof/>
              </w:rPr>
              <w:t>Average rate of return (ARR)</w:t>
            </w:r>
            <w:r w:rsidR="00CD35A1">
              <w:rPr>
                <w:noProof/>
                <w:webHidden/>
              </w:rPr>
              <w:tab/>
              <w:t>19</w:t>
            </w:r>
          </w:hyperlink>
        </w:p>
        <w:p w:rsidR="00CD35A1" w:rsidRDefault="00D501C1" w:rsidP="00CD35A1">
          <w:pPr>
            <w:pStyle w:val="TOC3"/>
            <w:tabs>
              <w:tab w:val="right" w:leader="dot" w:pos="9350"/>
            </w:tabs>
            <w:spacing w:after="0"/>
            <w:rPr>
              <w:noProof/>
            </w:rPr>
          </w:pPr>
          <w:hyperlink w:anchor="_Toc60927307" w:history="1">
            <w:r w:rsidR="00CD35A1" w:rsidRPr="008D492F">
              <w:rPr>
                <w:rStyle w:val="Hyperlink"/>
                <w:noProof/>
              </w:rPr>
              <w:t>Net present value (NPV)</w:t>
            </w:r>
            <w:r w:rsidR="00CD35A1">
              <w:rPr>
                <w:noProof/>
                <w:webHidden/>
              </w:rPr>
              <w:tab/>
              <w:t>20</w:t>
            </w:r>
          </w:hyperlink>
        </w:p>
        <w:p w:rsidR="00CD35A1" w:rsidRDefault="00D501C1" w:rsidP="00CD35A1">
          <w:pPr>
            <w:pStyle w:val="TOC1"/>
            <w:tabs>
              <w:tab w:val="right" w:leader="dot" w:pos="9350"/>
            </w:tabs>
            <w:spacing w:after="0"/>
            <w:rPr>
              <w:noProof/>
            </w:rPr>
          </w:pPr>
          <w:hyperlink w:anchor="_Toc60927308" w:history="1">
            <w:r w:rsidR="00CD35A1" w:rsidRPr="008D492F">
              <w:rPr>
                <w:rStyle w:val="Hyperlink"/>
                <w:noProof/>
              </w:rPr>
              <w:t>Conclusion</w:t>
            </w:r>
            <w:r w:rsidR="00CD35A1">
              <w:rPr>
                <w:noProof/>
                <w:webHidden/>
              </w:rPr>
              <w:tab/>
              <w:t>21</w:t>
            </w:r>
          </w:hyperlink>
        </w:p>
        <w:p w:rsidR="00CD35A1" w:rsidRDefault="00D501C1" w:rsidP="00CD35A1">
          <w:pPr>
            <w:pStyle w:val="TOC1"/>
            <w:tabs>
              <w:tab w:val="right" w:leader="dot" w:pos="9350"/>
            </w:tabs>
            <w:spacing w:after="0"/>
            <w:rPr>
              <w:noProof/>
            </w:rPr>
          </w:pPr>
          <w:hyperlink w:anchor="_Toc60927309" w:history="1">
            <w:r w:rsidR="00CD35A1" w:rsidRPr="008D492F">
              <w:rPr>
                <w:rStyle w:val="Hyperlink"/>
                <w:noProof/>
              </w:rPr>
              <w:t>References</w:t>
            </w:r>
            <w:r w:rsidR="00CD35A1">
              <w:rPr>
                <w:noProof/>
                <w:webHidden/>
              </w:rPr>
              <w:tab/>
              <w:t>22</w:t>
            </w:r>
          </w:hyperlink>
        </w:p>
        <w:p w:rsidR="00CD35A1" w:rsidRDefault="00D501C1" w:rsidP="00CD35A1">
          <w:pPr>
            <w:spacing w:after="0"/>
          </w:pPr>
        </w:p>
      </w:sdtContent>
    </w:sdt>
    <w:p w:rsidR="00DB1B76" w:rsidRDefault="00DB1B76" w:rsidP="00860E31">
      <w:pPr>
        <w:spacing w:line="360" w:lineRule="auto"/>
      </w:pPr>
      <w:r>
        <w:br w:type="page"/>
      </w:r>
    </w:p>
    <w:p w:rsidR="000B2076" w:rsidRPr="00860E31" w:rsidRDefault="000B2076" w:rsidP="00860E31">
      <w:pPr>
        <w:pStyle w:val="Heading1"/>
      </w:pPr>
      <w:bookmarkStart w:id="0" w:name="_Toc60927290"/>
      <w:r w:rsidRPr="00860E31">
        <w:lastRenderedPageBreak/>
        <w:t>Introduction</w:t>
      </w:r>
      <w:bookmarkEnd w:id="0"/>
      <w:r w:rsidRPr="00860E31">
        <w:t xml:space="preserve"> </w:t>
      </w:r>
    </w:p>
    <w:p w:rsidR="000B2076" w:rsidRDefault="00817AA6" w:rsidP="00860E31">
      <w:pPr>
        <w:spacing w:line="360" w:lineRule="auto"/>
        <w:rPr>
          <w:b/>
        </w:rPr>
      </w:pPr>
      <w:r>
        <w:t xml:space="preserve">The holistic purpose of the financial management assignment is to critically analyze, interpret, and assess the financial performance of last five years of a public limited company. However, the study chooses, M&amp;S (Marks and Spencer) as the selected organization for the study. </w:t>
      </w:r>
      <w:r w:rsidR="00672BF3">
        <w:t xml:space="preserve">The study comprises of three parts. In part-A, it will provide brief information about the M&amp;S along with business model, market segments, customer base, and other. </w:t>
      </w:r>
      <w:r w:rsidR="000432C7">
        <w:t xml:space="preserve">In part-B, the study will analyze and interpret the last financial performance of M&amp;S by calculating </w:t>
      </w:r>
      <w:r w:rsidR="00133A47">
        <w:t>ratios, including profitability, gearing, efficiency,</w:t>
      </w:r>
      <w:r w:rsidR="00220CB6">
        <w:t xml:space="preserve"> and liquidity ratios. Finally, in part-C, it will calculate the PBP, ARR, and NPV of the given project A and B and recommend M&amp;S to choose any of one. Moreover, it will critically discuss the advantages and limitation of PBP, ARR, and NPV methods. </w:t>
      </w:r>
      <w:r w:rsidR="000B2076">
        <w:rPr>
          <w:b/>
        </w:rPr>
        <w:br w:type="page"/>
      </w:r>
    </w:p>
    <w:p w:rsidR="00860E31" w:rsidRDefault="00860E31" w:rsidP="00860E31">
      <w:pPr>
        <w:pStyle w:val="Heading1"/>
      </w:pPr>
      <w:bookmarkStart w:id="1" w:name="_Toc60927291"/>
      <w:r>
        <w:lastRenderedPageBreak/>
        <w:t>Part A</w:t>
      </w:r>
      <w:bookmarkEnd w:id="1"/>
    </w:p>
    <w:p w:rsidR="000432C7" w:rsidRPr="00860E31" w:rsidRDefault="00DD0C28" w:rsidP="00860E31">
      <w:pPr>
        <w:pStyle w:val="Heading2"/>
      </w:pPr>
      <w:bookmarkStart w:id="2" w:name="_Toc60927292"/>
      <w:r w:rsidRPr="00860E31">
        <w:t>Organizational overview of M&amp;S (Marks &amp; Spencer)</w:t>
      </w:r>
      <w:bookmarkEnd w:id="2"/>
    </w:p>
    <w:p w:rsidR="003C5F09" w:rsidRDefault="00964951" w:rsidP="00860E31">
      <w:pPr>
        <w:spacing w:line="360" w:lineRule="auto"/>
      </w:pPr>
      <w:r>
        <w:t xml:space="preserve">The study selects M&amp; (Marks &amp; Spencer) as the chosen company, which is the leading retail brand in the UK as well international retail industry. </w:t>
      </w:r>
      <w:r w:rsidR="00746DCE">
        <w:t xml:space="preserve">As a family </w:t>
      </w:r>
      <w:r w:rsidR="00C901DA">
        <w:t>accountable</w:t>
      </w:r>
      <w:r w:rsidR="00746DCE">
        <w:t xml:space="preserve"> business, M&amp;S operates its business in clothing and home, food, and other segments, shown the below business model of M&amp;S in figure-1 (M&amp;S, 2020). </w:t>
      </w:r>
      <w:r w:rsidR="003C5F09">
        <w:t>M&amp;S employs both offline (in-store) and online revenue channel</w:t>
      </w:r>
      <w:r w:rsidR="002B66DA">
        <w:t>s</w:t>
      </w:r>
      <w:r w:rsidR="003C5F09">
        <w:t xml:space="preserve"> to sell their products and services to the target customer in both the UK and international markets. For example; at present, M&amp;S has 1519 retail stores and 42 online active sites in the UK and 62 international markets (M&amp;S, 2020).</w:t>
      </w:r>
      <w:r w:rsidR="00755E58">
        <w:t xml:space="preserve"> Moreover, the company has 31 million customer base in the UK retail industry. </w:t>
      </w:r>
    </w:p>
    <w:p w:rsidR="00C901DA" w:rsidRDefault="00C901DA" w:rsidP="00860E31">
      <w:pPr>
        <w:keepNext/>
        <w:spacing w:line="360" w:lineRule="auto"/>
      </w:pPr>
      <w:r>
        <w:rPr>
          <w:noProof/>
          <w:lang w:val="en-GB" w:eastAsia="en-GB"/>
        </w:rPr>
        <w:drawing>
          <wp:inline distT="0" distB="0" distL="0" distR="0" wp14:anchorId="4D624E5B" wp14:editId="4F64C4A9">
            <wp:extent cx="5271146" cy="3477178"/>
            <wp:effectExtent l="0" t="0" r="571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99015" cy="3495562"/>
                    </a:xfrm>
                    <a:prstGeom prst="rect">
                      <a:avLst/>
                    </a:prstGeom>
                  </pic:spPr>
                </pic:pic>
              </a:graphicData>
            </a:graphic>
          </wp:inline>
        </w:drawing>
      </w:r>
    </w:p>
    <w:p w:rsidR="00C901DA" w:rsidRDefault="00C901DA" w:rsidP="00860E31">
      <w:pPr>
        <w:pStyle w:val="Caption"/>
        <w:spacing w:line="360" w:lineRule="auto"/>
      </w:pPr>
      <w:r>
        <w:t xml:space="preserve">Figure </w:t>
      </w:r>
      <w:r>
        <w:rPr>
          <w:noProof/>
        </w:rPr>
        <w:t>1</w:t>
      </w:r>
      <w:r>
        <w:t xml:space="preserve"> Business Model of M&amp;S (Source: M&amp;S, 2020).</w:t>
      </w:r>
    </w:p>
    <w:p w:rsidR="00C901DA" w:rsidRDefault="00746DCE" w:rsidP="00860E31">
      <w:pPr>
        <w:spacing w:line="360" w:lineRule="auto"/>
      </w:pPr>
      <w:r>
        <w:t xml:space="preserve">In food segment, M&amp;S offers fresh food items from sustainable sources with outstanding quality into five categories, including protein deli and dairy, in-store bakery and ambient, produce, hospitality and ‘Food on Move’, and meals dessert and frozen (M&amp;S, 2020). </w:t>
      </w:r>
      <w:r w:rsidR="00342F40">
        <w:t xml:space="preserve">In clothing and home segment, the company serves own-branded stylish clothing and home accessories through the following categories, including Menswear, kids-wear, </w:t>
      </w:r>
      <w:proofErr w:type="spellStart"/>
      <w:r w:rsidR="00D72678">
        <w:t>womenswear</w:t>
      </w:r>
      <w:proofErr w:type="spellEnd"/>
      <w:r w:rsidR="00D72678">
        <w:t xml:space="preserve">, lingerie, and home (M&amp;S, </w:t>
      </w:r>
      <w:r w:rsidR="00D72678">
        <w:lastRenderedPageBreak/>
        <w:t xml:space="preserve">2020). </w:t>
      </w:r>
      <w:r w:rsidR="006D588E">
        <w:t xml:space="preserve">In international segment, M&amp;S exports outstanding quality, fresh and stylish food, clothing, and home accessories across the EU, Asia, and Middle East markets. </w:t>
      </w:r>
      <w:r w:rsidR="00906D7F">
        <w:t xml:space="preserve">In terms of services, M&amp;S provides financial services, including credit cards, insurance, saving and current accounts through M&amp;S Banks. Besides, M&amp;S energy is an important part of service by which the company offers renewable energy (M&amp;S, 2020). </w:t>
      </w:r>
    </w:p>
    <w:p w:rsidR="00755E58" w:rsidRDefault="0042562A" w:rsidP="00860E31">
      <w:pPr>
        <w:spacing w:line="360" w:lineRule="auto"/>
      </w:pPr>
      <w:r>
        <w:t xml:space="preserve">As a popular international employer brand, M&amp;S has employed 78000 employees across the UK and international markets (M&amp;S, 2020). </w:t>
      </w:r>
      <w:r w:rsidR="00A764CA">
        <w:t xml:space="preserve">This means that the company has robust organizational team in the domestic and international market and the team members </w:t>
      </w:r>
      <w:r w:rsidR="005F70E6">
        <w:t xml:space="preserve">demonstrate skills and experiences along with innovation and creativity, and </w:t>
      </w:r>
      <w:r w:rsidR="002B66DA">
        <w:t xml:space="preserve">they are </w:t>
      </w:r>
      <w:r w:rsidR="005F70E6">
        <w:t>committed to serv</w:t>
      </w:r>
      <w:r w:rsidR="002B66DA">
        <w:t>ing</w:t>
      </w:r>
      <w:r w:rsidR="005F70E6">
        <w:t xml:space="preserve"> better customer services. </w:t>
      </w:r>
    </w:p>
    <w:p w:rsidR="00C901DA" w:rsidRDefault="005F70E6" w:rsidP="00860E31">
      <w:pPr>
        <w:spacing w:line="360" w:lineRule="auto"/>
      </w:pPr>
      <w:r>
        <w:t xml:space="preserve">Moreover, M&amp;S develops integrated online platform across the UK and international market with the support of OCADO. In 2020, M&amp;S holds 50% of OCADO investment through relationship partnership between OCADO and M&amp;S (M&amp;S, 2020). </w:t>
      </w:r>
      <w:r w:rsidR="002B6F80">
        <w:t xml:space="preserve">In 2018, M&amp;S has decided to close 100 unproductive stores and open 75 large food stores with 2022 as a means of reducing operating cost, and establishing food brands in customer mind (M&amp;S, 2020). </w:t>
      </w:r>
      <w:r w:rsidR="00CB0993">
        <w:t>In the financial year 2018/2018, the retail giant has experienced 5.5% like for like sales decreasing due to buying error (major supply chain crisis), and then, the company has develop</w:t>
      </w:r>
      <w:r w:rsidR="002B66DA">
        <w:t>ed</w:t>
      </w:r>
      <w:r w:rsidR="00CB0993">
        <w:t xml:space="preserve"> an integrated supply chain management by including loyal and ethical suppliers. </w:t>
      </w:r>
      <w:r w:rsidR="0044265F">
        <w:t xml:space="preserve">In the last five years, the company has experienced profit warning in 2020 due to </w:t>
      </w:r>
      <w:proofErr w:type="spellStart"/>
      <w:r w:rsidR="0044265F">
        <w:t>Brexit</w:t>
      </w:r>
      <w:proofErr w:type="spellEnd"/>
      <w:r w:rsidR="0044265F">
        <w:t xml:space="preserve"> uncertainty and Covid-19 outbreak across the world, these are the major reason of profit warning, according to M&amp;S (2020). </w:t>
      </w:r>
    </w:p>
    <w:p w:rsidR="00C901DA" w:rsidRDefault="00C901DA" w:rsidP="00860E31">
      <w:pPr>
        <w:spacing w:line="360" w:lineRule="auto"/>
      </w:pPr>
      <w:r>
        <w:br w:type="page"/>
      </w:r>
    </w:p>
    <w:p w:rsidR="00BA5B3A" w:rsidRPr="00B5650A" w:rsidRDefault="00860E31" w:rsidP="00860E31">
      <w:pPr>
        <w:pStyle w:val="Heading1"/>
      </w:pPr>
      <w:bookmarkStart w:id="3" w:name="_Toc60927293"/>
      <w:r>
        <w:lastRenderedPageBreak/>
        <w:t>Part B</w:t>
      </w:r>
      <w:bookmarkEnd w:id="3"/>
      <w:r>
        <w:t xml:space="preserve"> </w:t>
      </w:r>
    </w:p>
    <w:p w:rsidR="00BA5B3A" w:rsidRPr="00B5650A" w:rsidRDefault="00BA5B3A" w:rsidP="00860E31">
      <w:pPr>
        <w:pStyle w:val="Heading2"/>
      </w:pPr>
      <w:bookmarkStart w:id="4" w:name="_Toc60927294"/>
      <w:r w:rsidRPr="00B5650A">
        <w:t>Critically review the financial performance of M&amp;S and compare with key competitors</w:t>
      </w:r>
      <w:bookmarkEnd w:id="4"/>
    </w:p>
    <w:p w:rsidR="00BA5B3A" w:rsidRDefault="00BA5B3A" w:rsidP="00860E31">
      <w:pPr>
        <w:spacing w:line="360" w:lineRule="auto"/>
      </w:pPr>
      <w:r>
        <w:t>Financial performance refers to the ability of an organization to generate revenue and profit by utilizing internal resources and assets in a</w:t>
      </w:r>
      <w:r w:rsidR="00A165C7">
        <w:t xml:space="preserve">n effective and efficient way (Brigham &amp; Houston, 2015). Besides, Shapiro &amp; </w:t>
      </w:r>
      <w:proofErr w:type="spellStart"/>
      <w:r w:rsidR="00A165C7">
        <w:t>Hanouna</w:t>
      </w:r>
      <w:proofErr w:type="spellEnd"/>
      <w:r w:rsidR="00A165C7">
        <w:t xml:space="preserve"> (2019)</w:t>
      </w:r>
      <w:r>
        <w:t xml:space="preserve"> argued that the term ‘financial performance’ is used to measuring the overall financial health of an organization within in a certain time. However, the section aims to critically measure the financial performance of M&amp;S and compare with the key competitors in the UK market. According to IBIS World (2020) Tesco, Sainsbury’, Morrison, Primark, </w:t>
      </w:r>
      <w:proofErr w:type="spellStart"/>
      <w:r>
        <w:t>Asda</w:t>
      </w:r>
      <w:proofErr w:type="spellEnd"/>
      <w:r>
        <w:t xml:space="preserve"> </w:t>
      </w:r>
      <w:proofErr w:type="spellStart"/>
      <w:r>
        <w:t>etc</w:t>
      </w:r>
      <w:proofErr w:type="spellEnd"/>
      <w:r>
        <w:t xml:space="preserve"> are the main competitor of M&amp;S in the UK market. </w:t>
      </w:r>
    </w:p>
    <w:p w:rsidR="00BA5B3A" w:rsidRDefault="00BA5B3A" w:rsidP="00860E31">
      <w:pPr>
        <w:spacing w:line="360" w:lineRule="auto"/>
      </w:pPr>
      <w:r>
        <w:t xml:space="preserve">Of many financial analysis and performance measurement tools, the current study employs ratio analysis as the key tool of measuring and analysis the financial performance of M&amp;S. To do this, the study calculates profitability ratio, efficiency ratio, liquidity ratio, and gearing ratio of M&amp;S based on the last five year financial performance. </w:t>
      </w:r>
    </w:p>
    <w:p w:rsidR="00BA5B3A" w:rsidRPr="00860E31" w:rsidRDefault="00BA5B3A" w:rsidP="00860E31">
      <w:pPr>
        <w:pStyle w:val="Heading3"/>
      </w:pPr>
      <w:bookmarkStart w:id="5" w:name="_Toc60927295"/>
      <w:r w:rsidRPr="00860E31">
        <w:t>Profitability Ratio</w:t>
      </w:r>
      <w:bookmarkEnd w:id="5"/>
      <w:r w:rsidRPr="00860E31">
        <w:t xml:space="preserve"> </w:t>
      </w:r>
    </w:p>
    <w:p w:rsidR="00BA5B3A" w:rsidRDefault="00BA5B3A" w:rsidP="00860E31">
      <w:pPr>
        <w:spacing w:line="360" w:lineRule="auto"/>
      </w:pPr>
      <w:r>
        <w:t xml:space="preserve">The main purpose of profitability ratio is to measure the capability of an organization to generate profit for owner by utilizing the internal assets, equity, and </w:t>
      </w:r>
      <w:r w:rsidR="00A165C7">
        <w:t>resources in a certain period (Banerjee, 2015</w:t>
      </w:r>
      <w:r>
        <w:t xml:space="preserve">). Therefore, the study calculates the operating profit ratio, net profit ratio, ROA ratio and ROE ratio as a means of measuring the ability of M&amp;S to generate profit for owner and shareholders. </w:t>
      </w:r>
    </w:p>
    <w:p w:rsidR="00BA5B3A" w:rsidRDefault="00BA5B3A" w:rsidP="00860E31">
      <w:pPr>
        <w:spacing w:line="360" w:lineRule="auto"/>
      </w:pPr>
      <w:r>
        <w:t>Operating profit ratio is a profitability ratio that measures the efficiency of an organization to generate operating profit through running its operation befor</w:t>
      </w:r>
      <w:r w:rsidR="00A165C7">
        <w:t>e paying the tax and interest (Arnold, 2013</w:t>
      </w:r>
      <w:r>
        <w:t>). The operating profitability ratio analysis of M&amp;S showed that the operation profitability condition of M&amp;S was good in 2016 comparing with las</w:t>
      </w:r>
      <w:r w:rsidR="002B66DA">
        <w:t>t</w:t>
      </w:r>
      <w:r>
        <w:t xml:space="preserve"> five years, and the worst position in 2018. The possible reason would be due to decreasing operation profit in 2018 due to increa</w:t>
      </w:r>
      <w:r w:rsidR="00A165C7">
        <w:t xml:space="preserve">sing operational cost in 2018. </w:t>
      </w:r>
      <w:proofErr w:type="spellStart"/>
      <w:r w:rsidR="00A165C7">
        <w:t>Apte</w:t>
      </w:r>
      <w:proofErr w:type="spellEnd"/>
      <w:r w:rsidR="00A165C7">
        <w:t xml:space="preserve"> &amp; </w:t>
      </w:r>
      <w:proofErr w:type="spellStart"/>
      <w:r w:rsidR="00A165C7">
        <w:t>Kapshe</w:t>
      </w:r>
      <w:proofErr w:type="spellEnd"/>
      <w:r w:rsidR="00A165C7">
        <w:t xml:space="preserve"> (2020)</w:t>
      </w:r>
      <w:r>
        <w:t xml:space="preserve"> stated that the increasing operational cost such as cost of goods sold may negatively influence operation profit ratio. Comparing with competitors, the operating profit of Tesco was the better position than M&amp;S because the company has gained 3.5% average operation profit ratio in the last five years (IBIS World, 2020). </w:t>
      </w:r>
    </w:p>
    <w:p w:rsidR="00BA5B3A" w:rsidRPr="00540A8E" w:rsidRDefault="00BA5B3A" w:rsidP="00860E31">
      <w:pPr>
        <w:spacing w:line="360" w:lineRule="auto"/>
      </w:pPr>
      <w:r>
        <w:lastRenderedPageBreak/>
        <w:t>In terms of net profit, the financial condition of M&amp;S was better in 2016 with 3.83% net profit ratio compared with last five years. Whereas, the worst position w</w:t>
      </w:r>
      <w:r w:rsidR="002B66DA">
        <w:t>as</w:t>
      </w:r>
      <w:r>
        <w:t xml:space="preserve"> in 2020 and 2018. This means that the company fail to reduce its tax and interest rate in other four years, except 2016. This is because due to decreasing revenue and increasing tax and interest rate are the main reason o</w:t>
      </w:r>
      <w:r w:rsidR="00A165C7">
        <w:t>f decreasing net profit ratio (Bandy, 2014</w:t>
      </w:r>
      <w:r>
        <w:t xml:space="preserve">). However, comparing with competitors, the operating profit of M&amp;S was not good in the last five years, because Tesco, Sainsbury, and </w:t>
      </w:r>
      <w:proofErr w:type="spellStart"/>
      <w:r>
        <w:t>Asda</w:t>
      </w:r>
      <w:proofErr w:type="spellEnd"/>
      <w:r>
        <w:t xml:space="preserve"> have gained 3.3%. 3.0, 2.9% and 2.78% average net profit ratio in the last five years accordingly (Mintel, 2020). </w:t>
      </w:r>
    </w:p>
    <w:tbl>
      <w:tblPr>
        <w:tblStyle w:val="TableGrid"/>
        <w:tblW w:w="5000" w:type="pct"/>
        <w:tblLayout w:type="fixed"/>
        <w:tblLook w:val="04A0" w:firstRow="1" w:lastRow="0" w:firstColumn="1" w:lastColumn="0" w:noHBand="0" w:noVBand="1"/>
      </w:tblPr>
      <w:tblGrid>
        <w:gridCol w:w="1385"/>
        <w:gridCol w:w="1538"/>
        <w:gridCol w:w="1575"/>
        <w:gridCol w:w="1780"/>
        <w:gridCol w:w="1638"/>
        <w:gridCol w:w="1434"/>
      </w:tblGrid>
      <w:tr w:rsidR="00BA5B3A" w:rsidTr="000432C7">
        <w:trPr>
          <w:trHeight w:val="518"/>
        </w:trPr>
        <w:tc>
          <w:tcPr>
            <w:tcW w:w="740" w:type="pct"/>
          </w:tcPr>
          <w:p w:rsidR="00BA5B3A" w:rsidRPr="00AC7AD4" w:rsidRDefault="00BA5B3A" w:rsidP="00860E31">
            <w:pPr>
              <w:spacing w:line="360" w:lineRule="auto"/>
              <w:rPr>
                <w:b/>
              </w:rPr>
            </w:pPr>
            <w:r w:rsidRPr="00AC7AD4">
              <w:rPr>
                <w:b/>
              </w:rPr>
              <w:t xml:space="preserve">Ratio and formula </w:t>
            </w:r>
          </w:p>
        </w:tc>
        <w:tc>
          <w:tcPr>
            <w:tcW w:w="822" w:type="pct"/>
          </w:tcPr>
          <w:p w:rsidR="00BA5B3A" w:rsidRPr="00AC7AD4" w:rsidRDefault="00BA5B3A" w:rsidP="00860E31">
            <w:pPr>
              <w:spacing w:line="360" w:lineRule="auto"/>
              <w:rPr>
                <w:b/>
              </w:rPr>
            </w:pPr>
            <w:r w:rsidRPr="00AC7AD4">
              <w:rPr>
                <w:b/>
              </w:rPr>
              <w:t>2020</w:t>
            </w:r>
          </w:p>
        </w:tc>
        <w:tc>
          <w:tcPr>
            <w:tcW w:w="842" w:type="pct"/>
          </w:tcPr>
          <w:p w:rsidR="00BA5B3A" w:rsidRPr="00AC7AD4" w:rsidRDefault="00BA5B3A" w:rsidP="00860E31">
            <w:pPr>
              <w:spacing w:line="360" w:lineRule="auto"/>
              <w:rPr>
                <w:b/>
              </w:rPr>
            </w:pPr>
            <w:r w:rsidRPr="00AC7AD4">
              <w:rPr>
                <w:b/>
              </w:rPr>
              <w:t>2019</w:t>
            </w:r>
          </w:p>
        </w:tc>
        <w:tc>
          <w:tcPr>
            <w:tcW w:w="952" w:type="pct"/>
          </w:tcPr>
          <w:p w:rsidR="00BA5B3A" w:rsidRPr="00AC7AD4" w:rsidRDefault="00BA5B3A" w:rsidP="00860E31">
            <w:pPr>
              <w:spacing w:line="360" w:lineRule="auto"/>
              <w:rPr>
                <w:b/>
              </w:rPr>
            </w:pPr>
            <w:r w:rsidRPr="00AC7AD4">
              <w:rPr>
                <w:b/>
              </w:rPr>
              <w:t>2018</w:t>
            </w:r>
          </w:p>
        </w:tc>
        <w:tc>
          <w:tcPr>
            <w:tcW w:w="876" w:type="pct"/>
          </w:tcPr>
          <w:p w:rsidR="00BA5B3A" w:rsidRPr="00AC7AD4" w:rsidRDefault="00BA5B3A" w:rsidP="00860E31">
            <w:pPr>
              <w:spacing w:line="360" w:lineRule="auto"/>
              <w:rPr>
                <w:b/>
              </w:rPr>
            </w:pPr>
            <w:r w:rsidRPr="00AC7AD4">
              <w:rPr>
                <w:b/>
              </w:rPr>
              <w:t>2017</w:t>
            </w:r>
          </w:p>
        </w:tc>
        <w:tc>
          <w:tcPr>
            <w:tcW w:w="767" w:type="pct"/>
          </w:tcPr>
          <w:p w:rsidR="00BA5B3A" w:rsidRPr="00AC7AD4" w:rsidRDefault="00BA5B3A" w:rsidP="00860E31">
            <w:pPr>
              <w:spacing w:line="360" w:lineRule="auto"/>
              <w:rPr>
                <w:b/>
              </w:rPr>
            </w:pPr>
            <w:r w:rsidRPr="00AC7AD4">
              <w:rPr>
                <w:b/>
              </w:rPr>
              <w:t>2016</w:t>
            </w:r>
          </w:p>
        </w:tc>
      </w:tr>
      <w:tr w:rsidR="00BA5B3A" w:rsidTr="000432C7">
        <w:trPr>
          <w:trHeight w:val="1556"/>
        </w:trPr>
        <w:tc>
          <w:tcPr>
            <w:tcW w:w="740" w:type="pct"/>
          </w:tcPr>
          <w:p w:rsidR="00BA5B3A" w:rsidRDefault="00BA5B3A" w:rsidP="00860E31">
            <w:pPr>
              <w:spacing w:line="360" w:lineRule="auto"/>
            </w:pPr>
            <w:r>
              <w:t>Operating profit ratio= [(Operating profit/ Net revenue) * 100]</w:t>
            </w:r>
          </w:p>
        </w:tc>
        <w:tc>
          <w:tcPr>
            <w:tcW w:w="822" w:type="pct"/>
          </w:tcPr>
          <w:p w:rsidR="00BA5B3A" w:rsidRDefault="00BA5B3A" w:rsidP="00860E31">
            <w:pPr>
              <w:spacing w:line="360" w:lineRule="auto"/>
            </w:pPr>
            <w:r>
              <w:t>[(254.8/ 10181.9) *100]</w:t>
            </w:r>
          </w:p>
          <w:p w:rsidR="00BA5B3A" w:rsidRDefault="00BA5B3A" w:rsidP="00860E31">
            <w:pPr>
              <w:spacing w:line="360" w:lineRule="auto"/>
            </w:pPr>
            <w:r>
              <w:t>=2.49%</w:t>
            </w:r>
          </w:p>
        </w:tc>
        <w:tc>
          <w:tcPr>
            <w:tcW w:w="842" w:type="pct"/>
          </w:tcPr>
          <w:p w:rsidR="00BA5B3A" w:rsidRDefault="00BA5B3A" w:rsidP="00860E31">
            <w:pPr>
              <w:spacing w:line="360" w:lineRule="auto"/>
            </w:pPr>
            <w:r>
              <w:t>[(298.1/ 10277.3) *100]</w:t>
            </w:r>
          </w:p>
          <w:p w:rsidR="00BA5B3A" w:rsidRDefault="00BA5B3A" w:rsidP="00860E31">
            <w:pPr>
              <w:spacing w:line="360" w:lineRule="auto"/>
            </w:pPr>
            <w:r>
              <w:t>=2.9%</w:t>
            </w:r>
          </w:p>
        </w:tc>
        <w:tc>
          <w:tcPr>
            <w:tcW w:w="952" w:type="pct"/>
          </w:tcPr>
          <w:p w:rsidR="00BA5B3A" w:rsidRDefault="00BA5B3A" w:rsidP="00860E31">
            <w:pPr>
              <w:spacing w:line="360" w:lineRule="auto"/>
            </w:pPr>
            <w:r>
              <w:t>[(156.5/ 10698.2) *100]</w:t>
            </w:r>
          </w:p>
          <w:p w:rsidR="00BA5B3A" w:rsidRDefault="00BA5B3A" w:rsidP="00860E31">
            <w:pPr>
              <w:spacing w:line="360" w:lineRule="auto"/>
            </w:pPr>
            <w:r>
              <w:t>=1.46%</w:t>
            </w:r>
          </w:p>
        </w:tc>
        <w:tc>
          <w:tcPr>
            <w:tcW w:w="876" w:type="pct"/>
          </w:tcPr>
          <w:p w:rsidR="00BA5B3A" w:rsidRDefault="00BA5B3A" w:rsidP="00860E31">
            <w:pPr>
              <w:spacing w:line="360" w:lineRule="auto"/>
            </w:pPr>
            <w:r>
              <w:t>[(253.2/ 10622) *100]</w:t>
            </w:r>
          </w:p>
          <w:p w:rsidR="00BA5B3A" w:rsidRDefault="00BA5B3A" w:rsidP="00860E31">
            <w:pPr>
              <w:spacing w:line="360" w:lineRule="auto"/>
            </w:pPr>
            <w:r>
              <w:t>=2.38%</w:t>
            </w:r>
          </w:p>
        </w:tc>
        <w:tc>
          <w:tcPr>
            <w:tcW w:w="767" w:type="pct"/>
          </w:tcPr>
          <w:p w:rsidR="00BA5B3A" w:rsidRDefault="00BA5B3A" w:rsidP="00860E31">
            <w:pPr>
              <w:spacing w:line="360" w:lineRule="auto"/>
            </w:pPr>
            <w:r>
              <w:t>[(284.1/ 10555.4) *100]</w:t>
            </w:r>
          </w:p>
          <w:p w:rsidR="00BA5B3A" w:rsidRDefault="00BA5B3A" w:rsidP="00860E31">
            <w:pPr>
              <w:spacing w:line="360" w:lineRule="auto"/>
            </w:pPr>
            <w:r>
              <w:t>=2.69%</w:t>
            </w:r>
          </w:p>
        </w:tc>
      </w:tr>
      <w:tr w:rsidR="00BA5B3A" w:rsidTr="000432C7">
        <w:trPr>
          <w:trHeight w:val="1296"/>
        </w:trPr>
        <w:tc>
          <w:tcPr>
            <w:tcW w:w="740" w:type="pct"/>
          </w:tcPr>
          <w:p w:rsidR="00BA5B3A" w:rsidRDefault="00BA5B3A" w:rsidP="00860E31">
            <w:pPr>
              <w:spacing w:line="360" w:lineRule="auto"/>
            </w:pPr>
            <w:r>
              <w:t>Net profit ratio= [(Net profit/ Net revenue) * 100]</w:t>
            </w:r>
          </w:p>
        </w:tc>
        <w:tc>
          <w:tcPr>
            <w:tcW w:w="822" w:type="pct"/>
          </w:tcPr>
          <w:p w:rsidR="00BA5B3A" w:rsidRDefault="00BA5B3A" w:rsidP="00860E31">
            <w:pPr>
              <w:spacing w:line="360" w:lineRule="auto"/>
            </w:pPr>
            <w:r>
              <w:t>[(27.4/ 10181.9) *100]</w:t>
            </w:r>
          </w:p>
          <w:p w:rsidR="00BA5B3A" w:rsidRDefault="00BA5B3A" w:rsidP="00860E31">
            <w:pPr>
              <w:spacing w:line="360" w:lineRule="auto"/>
            </w:pPr>
            <w:r>
              <w:t>=0.27%</w:t>
            </w:r>
          </w:p>
        </w:tc>
        <w:tc>
          <w:tcPr>
            <w:tcW w:w="842" w:type="pct"/>
          </w:tcPr>
          <w:p w:rsidR="00BA5B3A" w:rsidRDefault="00BA5B3A" w:rsidP="00860E31">
            <w:pPr>
              <w:spacing w:line="360" w:lineRule="auto"/>
            </w:pPr>
            <w:r>
              <w:t>[(45.3/ 10277.3) *100]</w:t>
            </w:r>
          </w:p>
          <w:p w:rsidR="00BA5B3A" w:rsidRDefault="00BA5B3A" w:rsidP="00860E31">
            <w:pPr>
              <w:spacing w:line="360" w:lineRule="auto"/>
            </w:pPr>
            <w:r>
              <w:t>=0.44%</w:t>
            </w:r>
          </w:p>
        </w:tc>
        <w:tc>
          <w:tcPr>
            <w:tcW w:w="952" w:type="pct"/>
          </w:tcPr>
          <w:p w:rsidR="00BA5B3A" w:rsidRDefault="00BA5B3A" w:rsidP="00860E31">
            <w:pPr>
              <w:spacing w:line="360" w:lineRule="auto"/>
            </w:pPr>
            <w:r>
              <w:t>[(29.1/ 10698.2) *100]</w:t>
            </w:r>
          </w:p>
          <w:p w:rsidR="00BA5B3A" w:rsidRDefault="00BA5B3A" w:rsidP="00860E31">
            <w:pPr>
              <w:spacing w:line="360" w:lineRule="auto"/>
            </w:pPr>
            <w:r>
              <w:t>=0.27%</w:t>
            </w:r>
          </w:p>
        </w:tc>
        <w:tc>
          <w:tcPr>
            <w:tcW w:w="876" w:type="pct"/>
          </w:tcPr>
          <w:p w:rsidR="00BA5B3A" w:rsidRDefault="00BA5B3A" w:rsidP="00860E31">
            <w:pPr>
              <w:spacing w:line="360" w:lineRule="auto"/>
            </w:pPr>
            <w:r>
              <w:t>[(115.7/ 10622) *100]</w:t>
            </w:r>
          </w:p>
          <w:p w:rsidR="00BA5B3A" w:rsidRDefault="00BA5B3A" w:rsidP="00860E31">
            <w:pPr>
              <w:spacing w:line="360" w:lineRule="auto"/>
            </w:pPr>
            <w:r>
              <w:t>=1.09%</w:t>
            </w:r>
          </w:p>
        </w:tc>
        <w:tc>
          <w:tcPr>
            <w:tcW w:w="767" w:type="pct"/>
          </w:tcPr>
          <w:p w:rsidR="00BA5B3A" w:rsidRDefault="00BA5B3A" w:rsidP="00860E31">
            <w:pPr>
              <w:spacing w:line="360" w:lineRule="auto"/>
            </w:pPr>
            <w:r>
              <w:t>[(404.4/ 10555.4) *100]</w:t>
            </w:r>
          </w:p>
          <w:p w:rsidR="00BA5B3A" w:rsidRDefault="00BA5B3A" w:rsidP="00860E31">
            <w:pPr>
              <w:spacing w:line="360" w:lineRule="auto"/>
            </w:pPr>
            <w:r>
              <w:t>=3.83%</w:t>
            </w:r>
          </w:p>
        </w:tc>
      </w:tr>
      <w:tr w:rsidR="00BA5B3A" w:rsidTr="000432C7">
        <w:trPr>
          <w:trHeight w:val="777"/>
        </w:trPr>
        <w:tc>
          <w:tcPr>
            <w:tcW w:w="740" w:type="pct"/>
          </w:tcPr>
          <w:p w:rsidR="00BA5B3A" w:rsidRDefault="00BA5B3A" w:rsidP="00860E31">
            <w:pPr>
              <w:spacing w:line="360" w:lineRule="auto"/>
            </w:pPr>
            <w:r>
              <w:t>ROA ratio = [(Net income/ Total assets) *100]</w:t>
            </w:r>
          </w:p>
        </w:tc>
        <w:tc>
          <w:tcPr>
            <w:tcW w:w="822" w:type="pct"/>
          </w:tcPr>
          <w:p w:rsidR="00BA5B3A" w:rsidRDefault="00BA5B3A" w:rsidP="00860E31">
            <w:pPr>
              <w:spacing w:line="360" w:lineRule="auto"/>
            </w:pPr>
            <w:r>
              <w:t>[(27.4/10183.9) *100]</w:t>
            </w:r>
          </w:p>
          <w:p w:rsidR="00BA5B3A" w:rsidRDefault="00BA5B3A" w:rsidP="00860E31">
            <w:pPr>
              <w:spacing w:line="360" w:lineRule="auto"/>
            </w:pPr>
            <w:r>
              <w:t>=0.27%</w:t>
            </w:r>
          </w:p>
        </w:tc>
        <w:tc>
          <w:tcPr>
            <w:tcW w:w="842" w:type="pct"/>
          </w:tcPr>
          <w:p w:rsidR="00BA5B3A" w:rsidRDefault="00BA5B3A" w:rsidP="00860E31">
            <w:pPr>
              <w:spacing w:line="360" w:lineRule="auto"/>
            </w:pPr>
            <w:r>
              <w:t>[(45.3/8851.0) *100]</w:t>
            </w:r>
          </w:p>
          <w:p w:rsidR="00BA5B3A" w:rsidRDefault="00BA5B3A" w:rsidP="00860E31">
            <w:pPr>
              <w:spacing w:line="360" w:lineRule="auto"/>
            </w:pPr>
            <w:r>
              <w:t>=0.51%</w:t>
            </w:r>
          </w:p>
        </w:tc>
        <w:tc>
          <w:tcPr>
            <w:tcW w:w="952" w:type="pct"/>
          </w:tcPr>
          <w:p w:rsidR="00BA5B3A" w:rsidRDefault="00BA5B3A" w:rsidP="00860E31">
            <w:pPr>
              <w:spacing w:line="360" w:lineRule="auto"/>
            </w:pPr>
            <w:r>
              <w:t>[(29.1/7550.2)*100]</w:t>
            </w:r>
          </w:p>
          <w:p w:rsidR="00BA5B3A" w:rsidRDefault="00BA5B3A" w:rsidP="00860E31">
            <w:pPr>
              <w:spacing w:line="360" w:lineRule="auto"/>
            </w:pPr>
            <w:r>
              <w:t>=0.38%</w:t>
            </w:r>
          </w:p>
        </w:tc>
        <w:tc>
          <w:tcPr>
            <w:tcW w:w="876" w:type="pct"/>
          </w:tcPr>
          <w:p w:rsidR="00BA5B3A" w:rsidRDefault="00BA5B3A" w:rsidP="00860E31">
            <w:pPr>
              <w:spacing w:line="360" w:lineRule="auto"/>
            </w:pPr>
            <w:r>
              <w:t>[(115.7/8292.5) *100]</w:t>
            </w:r>
          </w:p>
          <w:p w:rsidR="00BA5B3A" w:rsidRDefault="00BA5B3A" w:rsidP="00860E31">
            <w:pPr>
              <w:spacing w:line="360" w:lineRule="auto"/>
            </w:pPr>
            <w:r>
              <w:t>=1.39%</w:t>
            </w:r>
          </w:p>
        </w:tc>
        <w:tc>
          <w:tcPr>
            <w:tcW w:w="767" w:type="pct"/>
          </w:tcPr>
          <w:p w:rsidR="00BA5B3A" w:rsidRDefault="00BA5B3A" w:rsidP="00860E31">
            <w:pPr>
              <w:spacing w:line="360" w:lineRule="auto"/>
            </w:pPr>
            <w:r>
              <w:t>[(404.4/8476.4) *100]</w:t>
            </w:r>
          </w:p>
          <w:p w:rsidR="00BA5B3A" w:rsidRDefault="00BA5B3A" w:rsidP="00860E31">
            <w:pPr>
              <w:spacing w:line="360" w:lineRule="auto"/>
            </w:pPr>
            <w:r>
              <w:t>=4.77%</w:t>
            </w:r>
          </w:p>
        </w:tc>
      </w:tr>
      <w:tr w:rsidR="00BA5B3A" w:rsidTr="000432C7">
        <w:trPr>
          <w:trHeight w:val="1037"/>
        </w:trPr>
        <w:tc>
          <w:tcPr>
            <w:tcW w:w="740" w:type="pct"/>
          </w:tcPr>
          <w:p w:rsidR="00BA5B3A" w:rsidRDefault="00BA5B3A" w:rsidP="00860E31">
            <w:pPr>
              <w:spacing w:line="360" w:lineRule="auto"/>
            </w:pPr>
            <w:r>
              <w:t>ROE ratio= [(Net income/ Shareholder</w:t>
            </w:r>
            <w:r>
              <w:lastRenderedPageBreak/>
              <w:t>’s equity) *100]</w:t>
            </w:r>
          </w:p>
        </w:tc>
        <w:tc>
          <w:tcPr>
            <w:tcW w:w="822" w:type="pct"/>
          </w:tcPr>
          <w:p w:rsidR="00BA5B3A" w:rsidRDefault="00BA5B3A" w:rsidP="00860E31">
            <w:pPr>
              <w:spacing w:line="360" w:lineRule="auto"/>
            </w:pPr>
            <w:r>
              <w:lastRenderedPageBreak/>
              <w:t>[(27.4/ 3702.5) *100]</w:t>
            </w:r>
          </w:p>
          <w:p w:rsidR="00BA5B3A" w:rsidRDefault="00BA5B3A" w:rsidP="00860E31">
            <w:pPr>
              <w:spacing w:line="360" w:lineRule="auto"/>
            </w:pPr>
            <w:r>
              <w:t>=0.74%</w:t>
            </w:r>
          </w:p>
        </w:tc>
        <w:tc>
          <w:tcPr>
            <w:tcW w:w="842" w:type="pct"/>
          </w:tcPr>
          <w:p w:rsidR="00BA5B3A" w:rsidRDefault="00BA5B3A" w:rsidP="00860E31">
            <w:pPr>
              <w:spacing w:line="360" w:lineRule="auto"/>
            </w:pPr>
            <w:r>
              <w:t>[(45.3/ 2469.5) *100]</w:t>
            </w:r>
          </w:p>
          <w:p w:rsidR="00BA5B3A" w:rsidRDefault="00BA5B3A" w:rsidP="00860E31">
            <w:pPr>
              <w:spacing w:line="360" w:lineRule="auto"/>
            </w:pPr>
            <w:r>
              <w:t>=1.84%</w:t>
            </w:r>
          </w:p>
        </w:tc>
        <w:tc>
          <w:tcPr>
            <w:tcW w:w="952" w:type="pct"/>
          </w:tcPr>
          <w:p w:rsidR="00BA5B3A" w:rsidRDefault="00BA5B3A" w:rsidP="00860E31">
            <w:pPr>
              <w:spacing w:line="360" w:lineRule="auto"/>
            </w:pPr>
            <w:r>
              <w:t>[(29.1/2956.7) *100]</w:t>
            </w:r>
          </w:p>
          <w:p w:rsidR="00BA5B3A" w:rsidRDefault="00BA5B3A" w:rsidP="00860E31">
            <w:pPr>
              <w:spacing w:line="360" w:lineRule="auto"/>
            </w:pPr>
            <w:r>
              <w:t>=0.98%</w:t>
            </w:r>
          </w:p>
        </w:tc>
        <w:tc>
          <w:tcPr>
            <w:tcW w:w="876" w:type="pct"/>
          </w:tcPr>
          <w:p w:rsidR="00BA5B3A" w:rsidRDefault="00BA5B3A" w:rsidP="00860E31">
            <w:pPr>
              <w:spacing w:line="360" w:lineRule="auto"/>
            </w:pPr>
            <w:r>
              <w:t>[(115.7/3156.3) *100]</w:t>
            </w:r>
          </w:p>
          <w:p w:rsidR="00BA5B3A" w:rsidRDefault="00BA5B3A" w:rsidP="00860E31">
            <w:pPr>
              <w:spacing w:line="360" w:lineRule="auto"/>
            </w:pPr>
            <w:r>
              <w:t>=3.64%</w:t>
            </w:r>
          </w:p>
        </w:tc>
        <w:tc>
          <w:tcPr>
            <w:tcW w:w="767" w:type="pct"/>
          </w:tcPr>
          <w:p w:rsidR="00BA5B3A" w:rsidRDefault="00BA5B3A" w:rsidP="00860E31">
            <w:pPr>
              <w:spacing w:line="360" w:lineRule="auto"/>
            </w:pPr>
            <w:r>
              <w:t>[(404.4/3445.2) *100]</w:t>
            </w:r>
          </w:p>
          <w:p w:rsidR="00BA5B3A" w:rsidRDefault="00BA5B3A" w:rsidP="00860E31">
            <w:pPr>
              <w:spacing w:line="360" w:lineRule="auto"/>
            </w:pPr>
            <w:r>
              <w:t>=11.73%</w:t>
            </w:r>
          </w:p>
        </w:tc>
      </w:tr>
    </w:tbl>
    <w:p w:rsidR="00BA5B3A" w:rsidRDefault="00BA5B3A" w:rsidP="00860E31">
      <w:pPr>
        <w:spacing w:line="360" w:lineRule="auto"/>
      </w:pPr>
    </w:p>
    <w:p w:rsidR="00BA5B3A" w:rsidRDefault="00BA5B3A" w:rsidP="00860E31">
      <w:pPr>
        <w:spacing w:line="360" w:lineRule="auto"/>
      </w:pPr>
      <w:r>
        <w:t>Along with operating profit and net profit ratios, the study also calculates the ROA and ROE ratios of M&amp;S to measure the capability of generating net income against the total as</w:t>
      </w:r>
      <w:r w:rsidR="00A165C7">
        <w:t>sets and shareholders’ equity (Schick, 2013</w:t>
      </w:r>
      <w:r>
        <w:t>). However, the study found that the ROA ratio of M&amp;S was 4.77% in 2016, followed by 1.38% in 2017, 0.38% in 2018, 0.51 in 2019, and 0.27% in 2020. This means that the company gained the highest ROA in 2016 and the lowest ROA in 2020. Similarly, the study also found that the ROE ratio of M&amp;S was the highest position in 2016 (11.73%), and the lowest in 2020 (0.74%). The possible reason would be due to experiencing -1.9% revenue growth, and -20.2% profit</w:t>
      </w:r>
      <w:r w:rsidR="00A165C7">
        <w:t xml:space="preserve"> growth in 2020. In this case, Bandy (2014)</w:t>
      </w:r>
      <w:r>
        <w:t xml:space="preserve"> argued that when an organization fails to gain revenue growth in a financial year, the company will experience low ROA and ROE ratios. </w:t>
      </w:r>
    </w:p>
    <w:p w:rsidR="00BA5B3A" w:rsidRDefault="00BA5B3A" w:rsidP="00860E31">
      <w:pPr>
        <w:spacing w:line="360" w:lineRule="auto"/>
      </w:pPr>
      <w:r>
        <w:t>However, in the case of ROA and ROE ratios in the last five year, Tesco was the better position comparing with M&amp;S and other retailer</w:t>
      </w:r>
      <w:r w:rsidR="002B66DA">
        <w:t>s</w:t>
      </w:r>
      <w:r>
        <w:t xml:space="preserve"> in the UK because the company has gained 4.5% average ROA and 4.35% ROE ratios in the last five years, accordi</w:t>
      </w:r>
      <w:r w:rsidR="00DB1B76">
        <w:t xml:space="preserve">ng to </w:t>
      </w:r>
      <w:proofErr w:type="spellStart"/>
      <w:r w:rsidR="00DB1B76">
        <w:t>PWc</w:t>
      </w:r>
      <w:proofErr w:type="spellEnd"/>
      <w:r w:rsidR="00DB1B76">
        <w:t xml:space="preserve"> (2020). According to </w:t>
      </w:r>
      <w:proofErr w:type="spellStart"/>
      <w:r w:rsidR="00DB1B76">
        <w:t>Cronwall</w:t>
      </w:r>
      <w:proofErr w:type="spellEnd"/>
      <w:r w:rsidR="00DB1B76">
        <w:t xml:space="preserve"> et al., (2019)</w:t>
      </w:r>
      <w:r>
        <w:t xml:space="preserve">, decreasing net income due to increasing operational cost, tax, interest rate, increasing cost of finance, decreasing financial income </w:t>
      </w:r>
      <w:r w:rsidR="002B66DA">
        <w:t>is</w:t>
      </w:r>
      <w:r>
        <w:t xml:space="preserve"> the several reason</w:t>
      </w:r>
      <w:r w:rsidR="002B66DA">
        <w:t>s</w:t>
      </w:r>
      <w:r>
        <w:t xml:space="preserve"> of decreasing net income that directly or indirectly influences R</w:t>
      </w:r>
      <w:r w:rsidR="00860E31">
        <w:t xml:space="preserve">OE and ROA of an organization. </w:t>
      </w:r>
    </w:p>
    <w:p w:rsidR="00BA5B3A" w:rsidRPr="007E6538" w:rsidRDefault="00BA5B3A" w:rsidP="00860E31">
      <w:pPr>
        <w:pStyle w:val="Heading3"/>
      </w:pPr>
      <w:bookmarkStart w:id="6" w:name="_Toc60927296"/>
      <w:r w:rsidRPr="007E6538">
        <w:t>Liquidity ratios</w:t>
      </w:r>
      <w:bookmarkEnd w:id="6"/>
      <w:r w:rsidRPr="007E6538">
        <w:t xml:space="preserve"> </w:t>
      </w:r>
    </w:p>
    <w:p w:rsidR="00BA5B3A" w:rsidRDefault="00DB1B76" w:rsidP="00860E31">
      <w:pPr>
        <w:spacing w:line="360" w:lineRule="auto"/>
      </w:pPr>
      <w:r>
        <w:t xml:space="preserve">Research by </w:t>
      </w:r>
      <w:proofErr w:type="spellStart"/>
      <w:r>
        <w:t>Siminca</w:t>
      </w:r>
      <w:proofErr w:type="spellEnd"/>
      <w:r>
        <w:t xml:space="preserve"> et al., (2017)</w:t>
      </w:r>
      <w:r w:rsidR="00BA5B3A">
        <w:t xml:space="preserve"> stated that liquidity ratios are the key part of financial ratio that contributes to measur</w:t>
      </w:r>
      <w:r w:rsidR="002B66DA">
        <w:t>ing</w:t>
      </w:r>
      <w:r w:rsidR="00BA5B3A">
        <w:t xml:space="preserve"> the ability of an organization to repay both short and long term liabilities by utilizing the current assets. However, of many liquidity ratios, the study calculates current ratio, quick ratio, and operating cash flow ratio of M&amp;S to measure the capability to repay its short and long term obligations by using current assets. </w:t>
      </w:r>
    </w:p>
    <w:p w:rsidR="00BA5B3A" w:rsidRDefault="00DB1B76" w:rsidP="00860E31">
      <w:pPr>
        <w:spacing w:line="360" w:lineRule="auto"/>
      </w:pPr>
      <w:r>
        <w:t>According to Madura (2020)</w:t>
      </w:r>
      <w:r w:rsidR="00BA5B3A">
        <w:t>, current ratio means the working capital ratio, which measure</w:t>
      </w:r>
      <w:r w:rsidR="002B66DA">
        <w:t>s</w:t>
      </w:r>
      <w:r w:rsidR="00BA5B3A">
        <w:t xml:space="preserve"> the extent to which an organization enables to repay its short term ratios by usin</w:t>
      </w:r>
      <w:r>
        <w:t xml:space="preserve">g the current assets. Further, </w:t>
      </w:r>
      <w:proofErr w:type="spellStart"/>
      <w:r>
        <w:t>Bekaert</w:t>
      </w:r>
      <w:proofErr w:type="spellEnd"/>
      <w:r>
        <w:t xml:space="preserve"> &amp; </w:t>
      </w:r>
      <w:proofErr w:type="spellStart"/>
      <w:r>
        <w:t>Hordick</w:t>
      </w:r>
      <w:proofErr w:type="spellEnd"/>
      <w:r>
        <w:t xml:space="preserve"> (2017)</w:t>
      </w:r>
      <w:r w:rsidR="00BA5B3A">
        <w:t xml:space="preserve"> claimed that the current ratios identify the effectiveness of repaying short term obligations of a business that are required to pay with a financial years. </w:t>
      </w:r>
      <w:r w:rsidR="00BA5B3A">
        <w:lastRenderedPageBreak/>
        <w:t xml:space="preserve">However, the current ratio analysis found that the last five years financial performance of M&amp;S was less than the value of 1 to repay the short term obligations. For example; the current ratio of M&amp;S was 0.73 in 2017, followed by 0.72 in 2018, 0.69 in 2016, 0.66 in 2020, and 0.62 in 2019. This means the that most effective capability of M&amp;S was in 2017 to repay the short term obligations compared with </w:t>
      </w:r>
      <w:r>
        <w:t>other four years. In the case, Schick (2013)</w:t>
      </w:r>
      <w:r w:rsidR="00BA5B3A">
        <w:t xml:space="preserve"> stated that an organization should 1:1 of current assets and current liability to repay the short term obligations.  According to this benchmarking, the current ratios of the last five year of M&amp;S were not up to the mark. </w:t>
      </w:r>
    </w:p>
    <w:p w:rsidR="00BA5B3A" w:rsidRDefault="00BA5B3A" w:rsidP="00860E31">
      <w:pPr>
        <w:spacing w:line="360" w:lineRule="auto"/>
      </w:pPr>
      <w:r>
        <w:t xml:space="preserve">On the other hand, the average current ratios of Sainsbury was better in the UK retail industry with 1.1 average current ratio value, followed by 0.90 was Tesco, .80 was </w:t>
      </w:r>
      <w:proofErr w:type="spellStart"/>
      <w:r>
        <w:t>Asda’s</w:t>
      </w:r>
      <w:proofErr w:type="spellEnd"/>
      <w:r>
        <w:t xml:space="preserve"> average current ratio value of the last five years. By comparing with competitors, the capability of M&amp;S was low to repay the short term obligations. However, the possible reason would be due to investing in new growth project, offering cash dividend, and increasi</w:t>
      </w:r>
      <w:r w:rsidR="00DB1B76">
        <w:t>ng current liabilities of M&amp;S (Madura, 2020</w:t>
      </w:r>
      <w:r>
        <w:t>). For example; in 2020, the company holds 50% of shares of OCADO that would be the reason of decreasing capability of repay</w:t>
      </w:r>
      <w:r w:rsidR="002B66DA">
        <w:t>ing</w:t>
      </w:r>
      <w:r>
        <w:t xml:space="preserve"> short term obligations in 2020 (M&amp;S, 2020). </w:t>
      </w:r>
    </w:p>
    <w:tbl>
      <w:tblPr>
        <w:tblStyle w:val="TableGrid"/>
        <w:tblW w:w="5000" w:type="pct"/>
        <w:tblLook w:val="04A0" w:firstRow="1" w:lastRow="0" w:firstColumn="1" w:lastColumn="0" w:noHBand="0" w:noVBand="1"/>
      </w:tblPr>
      <w:tblGrid>
        <w:gridCol w:w="2189"/>
        <w:gridCol w:w="1116"/>
        <w:gridCol w:w="1763"/>
        <w:gridCol w:w="1583"/>
        <w:gridCol w:w="1583"/>
        <w:gridCol w:w="1116"/>
      </w:tblGrid>
      <w:tr w:rsidR="00BA5B3A" w:rsidTr="000432C7">
        <w:trPr>
          <w:trHeight w:val="518"/>
        </w:trPr>
        <w:tc>
          <w:tcPr>
            <w:tcW w:w="1441" w:type="pct"/>
          </w:tcPr>
          <w:p w:rsidR="00BA5B3A" w:rsidRPr="00AC7AD4" w:rsidRDefault="00BA5B3A" w:rsidP="00860E31">
            <w:pPr>
              <w:spacing w:line="360" w:lineRule="auto"/>
              <w:rPr>
                <w:b/>
              </w:rPr>
            </w:pPr>
            <w:r w:rsidRPr="00AC7AD4">
              <w:rPr>
                <w:b/>
              </w:rPr>
              <w:t xml:space="preserve">Ratio and formula </w:t>
            </w:r>
          </w:p>
        </w:tc>
        <w:tc>
          <w:tcPr>
            <w:tcW w:w="831" w:type="pct"/>
          </w:tcPr>
          <w:p w:rsidR="00BA5B3A" w:rsidRPr="00AC7AD4" w:rsidRDefault="00BA5B3A" w:rsidP="00860E31">
            <w:pPr>
              <w:spacing w:line="360" w:lineRule="auto"/>
              <w:rPr>
                <w:b/>
              </w:rPr>
            </w:pPr>
            <w:r w:rsidRPr="00AC7AD4">
              <w:rPr>
                <w:b/>
              </w:rPr>
              <w:t>2020</w:t>
            </w:r>
          </w:p>
        </w:tc>
        <w:tc>
          <w:tcPr>
            <w:tcW w:w="919" w:type="pct"/>
          </w:tcPr>
          <w:p w:rsidR="00BA5B3A" w:rsidRPr="00AC7AD4" w:rsidRDefault="00BA5B3A" w:rsidP="00860E31">
            <w:pPr>
              <w:spacing w:line="360" w:lineRule="auto"/>
              <w:rPr>
                <w:b/>
              </w:rPr>
            </w:pPr>
            <w:r w:rsidRPr="00AC7AD4">
              <w:rPr>
                <w:b/>
              </w:rPr>
              <w:t>2019</w:t>
            </w:r>
          </w:p>
        </w:tc>
        <w:tc>
          <w:tcPr>
            <w:tcW w:w="656" w:type="pct"/>
          </w:tcPr>
          <w:p w:rsidR="00BA5B3A" w:rsidRPr="00AC7AD4" w:rsidRDefault="00BA5B3A" w:rsidP="00860E31">
            <w:pPr>
              <w:spacing w:line="360" w:lineRule="auto"/>
              <w:rPr>
                <w:b/>
              </w:rPr>
            </w:pPr>
            <w:r w:rsidRPr="00AC7AD4">
              <w:rPr>
                <w:b/>
              </w:rPr>
              <w:t>2018</w:t>
            </w:r>
          </w:p>
        </w:tc>
        <w:tc>
          <w:tcPr>
            <w:tcW w:w="525" w:type="pct"/>
          </w:tcPr>
          <w:p w:rsidR="00BA5B3A" w:rsidRPr="00AC7AD4" w:rsidRDefault="00BA5B3A" w:rsidP="00860E31">
            <w:pPr>
              <w:spacing w:line="360" w:lineRule="auto"/>
              <w:rPr>
                <w:b/>
              </w:rPr>
            </w:pPr>
            <w:r w:rsidRPr="00AC7AD4">
              <w:rPr>
                <w:b/>
              </w:rPr>
              <w:t>2017</w:t>
            </w:r>
          </w:p>
        </w:tc>
        <w:tc>
          <w:tcPr>
            <w:tcW w:w="628" w:type="pct"/>
          </w:tcPr>
          <w:p w:rsidR="00BA5B3A" w:rsidRPr="00AC7AD4" w:rsidRDefault="00BA5B3A" w:rsidP="00860E31">
            <w:pPr>
              <w:spacing w:line="360" w:lineRule="auto"/>
              <w:rPr>
                <w:b/>
              </w:rPr>
            </w:pPr>
            <w:r w:rsidRPr="00AC7AD4">
              <w:rPr>
                <w:b/>
              </w:rPr>
              <w:t>2016</w:t>
            </w:r>
          </w:p>
        </w:tc>
      </w:tr>
      <w:tr w:rsidR="00BA5B3A" w:rsidTr="000432C7">
        <w:trPr>
          <w:trHeight w:val="1187"/>
        </w:trPr>
        <w:tc>
          <w:tcPr>
            <w:tcW w:w="1441" w:type="pct"/>
          </w:tcPr>
          <w:p w:rsidR="00BA5B3A" w:rsidRDefault="00BA5B3A" w:rsidP="00860E31">
            <w:pPr>
              <w:spacing w:line="360" w:lineRule="auto"/>
            </w:pPr>
            <w:r>
              <w:t>Current ratio = [Current Asset / Current liabilities]</w:t>
            </w:r>
          </w:p>
        </w:tc>
        <w:tc>
          <w:tcPr>
            <w:tcW w:w="831" w:type="pct"/>
          </w:tcPr>
          <w:p w:rsidR="00BA5B3A" w:rsidRDefault="00BA5B3A" w:rsidP="00860E31">
            <w:pPr>
              <w:spacing w:line="360" w:lineRule="auto"/>
            </w:pPr>
            <w:r>
              <w:t>[1215.0/ 1849.4]</w:t>
            </w:r>
          </w:p>
          <w:p w:rsidR="00BA5B3A" w:rsidRDefault="00BA5B3A" w:rsidP="00860E31">
            <w:pPr>
              <w:spacing w:line="360" w:lineRule="auto"/>
            </w:pPr>
            <w:r>
              <w:t>=0.66</w:t>
            </w:r>
          </w:p>
        </w:tc>
        <w:tc>
          <w:tcPr>
            <w:tcW w:w="919" w:type="pct"/>
          </w:tcPr>
          <w:p w:rsidR="00BA5B3A" w:rsidRDefault="00BA5B3A" w:rsidP="00860E31">
            <w:pPr>
              <w:spacing w:line="360" w:lineRule="auto"/>
            </w:pPr>
            <w:r>
              <w:t>[1435.1/2324.9]</w:t>
            </w:r>
          </w:p>
          <w:p w:rsidR="00BA5B3A" w:rsidRDefault="00BA5B3A" w:rsidP="00860E31">
            <w:pPr>
              <w:spacing w:line="360" w:lineRule="auto"/>
            </w:pPr>
            <w:r>
              <w:t>=0.62</w:t>
            </w:r>
          </w:p>
        </w:tc>
        <w:tc>
          <w:tcPr>
            <w:tcW w:w="656" w:type="pct"/>
          </w:tcPr>
          <w:p w:rsidR="00BA5B3A" w:rsidRDefault="00BA5B3A" w:rsidP="00860E31">
            <w:pPr>
              <w:spacing w:line="360" w:lineRule="auto"/>
            </w:pPr>
            <w:r>
              <w:t>[1317.9/1826]</w:t>
            </w:r>
          </w:p>
          <w:p w:rsidR="00BA5B3A" w:rsidRDefault="00BA5B3A" w:rsidP="00860E31">
            <w:pPr>
              <w:spacing w:line="360" w:lineRule="auto"/>
            </w:pPr>
            <w:r>
              <w:t>=0.72</w:t>
            </w:r>
          </w:p>
        </w:tc>
        <w:tc>
          <w:tcPr>
            <w:tcW w:w="525" w:type="pct"/>
          </w:tcPr>
          <w:p w:rsidR="00BA5B3A" w:rsidRDefault="00BA5B3A" w:rsidP="00860E31">
            <w:pPr>
              <w:spacing w:line="360" w:lineRule="auto"/>
            </w:pPr>
            <w:r>
              <w:t>[1723.3/2368]</w:t>
            </w:r>
          </w:p>
          <w:p w:rsidR="00BA5B3A" w:rsidRDefault="00BA5B3A" w:rsidP="00860E31">
            <w:pPr>
              <w:spacing w:line="360" w:lineRule="auto"/>
            </w:pPr>
            <w:r>
              <w:t>=0.73</w:t>
            </w:r>
          </w:p>
        </w:tc>
        <w:tc>
          <w:tcPr>
            <w:tcW w:w="628" w:type="pct"/>
          </w:tcPr>
          <w:p w:rsidR="00BA5B3A" w:rsidRDefault="00BA5B3A" w:rsidP="00860E31">
            <w:pPr>
              <w:spacing w:line="360" w:lineRule="auto"/>
            </w:pPr>
            <w:r>
              <w:t>[1461.4/ 2104.8]</w:t>
            </w:r>
          </w:p>
          <w:p w:rsidR="00BA5B3A" w:rsidRDefault="00BA5B3A" w:rsidP="00860E31">
            <w:pPr>
              <w:spacing w:line="360" w:lineRule="auto"/>
            </w:pPr>
            <w:r>
              <w:t>=0.69</w:t>
            </w:r>
          </w:p>
        </w:tc>
      </w:tr>
      <w:tr w:rsidR="00BA5B3A" w:rsidTr="000432C7">
        <w:trPr>
          <w:trHeight w:val="1439"/>
        </w:trPr>
        <w:tc>
          <w:tcPr>
            <w:tcW w:w="1441" w:type="pct"/>
          </w:tcPr>
          <w:p w:rsidR="00BA5B3A" w:rsidRDefault="00BA5B3A" w:rsidP="00860E31">
            <w:pPr>
              <w:spacing w:line="360" w:lineRule="auto"/>
            </w:pPr>
            <w:r>
              <w:t>Quick ratio = [(Current assets- inventories)/ Current liabilities]</w:t>
            </w:r>
          </w:p>
        </w:tc>
        <w:tc>
          <w:tcPr>
            <w:tcW w:w="831" w:type="pct"/>
          </w:tcPr>
          <w:p w:rsidR="00BA5B3A" w:rsidRDefault="00BA5B3A" w:rsidP="00860E31">
            <w:pPr>
              <w:spacing w:line="360" w:lineRule="auto"/>
            </w:pPr>
            <w:r>
              <w:t>[(1215.0- 564.1)/ 1849.4]</w:t>
            </w:r>
          </w:p>
          <w:p w:rsidR="00BA5B3A" w:rsidRDefault="00BA5B3A" w:rsidP="00860E31">
            <w:pPr>
              <w:spacing w:line="360" w:lineRule="auto"/>
            </w:pPr>
            <w:r>
              <w:t>=0.35</w:t>
            </w:r>
          </w:p>
        </w:tc>
        <w:tc>
          <w:tcPr>
            <w:tcW w:w="919" w:type="pct"/>
          </w:tcPr>
          <w:p w:rsidR="00BA5B3A" w:rsidRDefault="00BA5B3A" w:rsidP="00860E31">
            <w:pPr>
              <w:spacing w:line="360" w:lineRule="auto"/>
            </w:pPr>
            <w:r>
              <w:t>[(1435.1- 700.4)/2324.9]</w:t>
            </w:r>
          </w:p>
          <w:p w:rsidR="00BA5B3A" w:rsidRDefault="00BA5B3A" w:rsidP="00860E31">
            <w:pPr>
              <w:spacing w:line="360" w:lineRule="auto"/>
            </w:pPr>
            <w:r>
              <w:t>=0.32</w:t>
            </w:r>
          </w:p>
        </w:tc>
        <w:tc>
          <w:tcPr>
            <w:tcW w:w="656" w:type="pct"/>
          </w:tcPr>
          <w:p w:rsidR="00BA5B3A" w:rsidRDefault="00BA5B3A" w:rsidP="00860E31">
            <w:pPr>
              <w:spacing w:line="360" w:lineRule="auto"/>
            </w:pPr>
            <w:r>
              <w:t>[(1317.9- 781)/1826]</w:t>
            </w:r>
          </w:p>
          <w:p w:rsidR="00BA5B3A" w:rsidRDefault="00BA5B3A" w:rsidP="00860E31">
            <w:pPr>
              <w:spacing w:line="360" w:lineRule="auto"/>
            </w:pPr>
            <w:r>
              <w:t>=0.29</w:t>
            </w:r>
          </w:p>
        </w:tc>
        <w:tc>
          <w:tcPr>
            <w:tcW w:w="525" w:type="pct"/>
          </w:tcPr>
          <w:p w:rsidR="00BA5B3A" w:rsidRDefault="00BA5B3A" w:rsidP="00860E31">
            <w:pPr>
              <w:spacing w:line="360" w:lineRule="auto"/>
            </w:pPr>
            <w:r>
              <w:t>[(1723.3- 758.5)/2368]</w:t>
            </w:r>
          </w:p>
          <w:p w:rsidR="00BA5B3A" w:rsidRDefault="00BA5B3A" w:rsidP="00860E31">
            <w:pPr>
              <w:spacing w:line="360" w:lineRule="auto"/>
            </w:pPr>
            <w:r>
              <w:t>=0.41</w:t>
            </w:r>
          </w:p>
        </w:tc>
        <w:tc>
          <w:tcPr>
            <w:tcW w:w="628" w:type="pct"/>
          </w:tcPr>
          <w:p w:rsidR="00BA5B3A" w:rsidRDefault="00BA5B3A" w:rsidP="00860E31">
            <w:pPr>
              <w:spacing w:line="360" w:lineRule="auto"/>
            </w:pPr>
            <w:r>
              <w:t>[(1461.4- 799.9)/ 2104.8]</w:t>
            </w:r>
          </w:p>
          <w:p w:rsidR="00BA5B3A" w:rsidRDefault="00BA5B3A" w:rsidP="00860E31">
            <w:pPr>
              <w:spacing w:line="360" w:lineRule="auto"/>
            </w:pPr>
            <w:r>
              <w:t>=0.31</w:t>
            </w:r>
          </w:p>
        </w:tc>
      </w:tr>
      <w:tr w:rsidR="00BA5B3A" w:rsidTr="000432C7">
        <w:trPr>
          <w:trHeight w:val="777"/>
        </w:trPr>
        <w:tc>
          <w:tcPr>
            <w:tcW w:w="1441" w:type="pct"/>
          </w:tcPr>
          <w:p w:rsidR="00BA5B3A" w:rsidRDefault="00BA5B3A" w:rsidP="00860E31">
            <w:pPr>
              <w:spacing w:line="360" w:lineRule="auto"/>
            </w:pPr>
            <w:r>
              <w:t xml:space="preserve">Operating cash flow ratio = [Operating cash flow/current liabilities]. </w:t>
            </w:r>
          </w:p>
        </w:tc>
        <w:tc>
          <w:tcPr>
            <w:tcW w:w="831" w:type="pct"/>
          </w:tcPr>
          <w:p w:rsidR="00BA5B3A" w:rsidRDefault="00BA5B3A" w:rsidP="00860E31">
            <w:pPr>
              <w:spacing w:line="360" w:lineRule="auto"/>
            </w:pPr>
            <w:r>
              <w:t>[973.1/ 1849.4]</w:t>
            </w:r>
          </w:p>
          <w:p w:rsidR="00BA5B3A" w:rsidRDefault="00BA5B3A" w:rsidP="00860E31">
            <w:pPr>
              <w:spacing w:line="360" w:lineRule="auto"/>
            </w:pPr>
            <w:r>
              <w:t>=0.53</w:t>
            </w:r>
          </w:p>
        </w:tc>
        <w:tc>
          <w:tcPr>
            <w:tcW w:w="919" w:type="pct"/>
          </w:tcPr>
          <w:p w:rsidR="00BA5B3A" w:rsidRDefault="00BA5B3A" w:rsidP="00860E31">
            <w:pPr>
              <w:spacing w:line="360" w:lineRule="auto"/>
            </w:pPr>
            <w:r>
              <w:t>[1244.7/2324.9]</w:t>
            </w:r>
          </w:p>
          <w:p w:rsidR="00BA5B3A" w:rsidRDefault="00BA5B3A" w:rsidP="00860E31">
            <w:pPr>
              <w:spacing w:line="360" w:lineRule="auto"/>
            </w:pPr>
            <w:r>
              <w:t>=0.16</w:t>
            </w:r>
          </w:p>
        </w:tc>
        <w:tc>
          <w:tcPr>
            <w:tcW w:w="656" w:type="pct"/>
          </w:tcPr>
          <w:p w:rsidR="00BA5B3A" w:rsidRDefault="00BA5B3A" w:rsidP="00860E31">
            <w:pPr>
              <w:spacing w:line="360" w:lineRule="auto"/>
            </w:pPr>
            <w:r>
              <w:t>[849.8/1826]</w:t>
            </w:r>
          </w:p>
          <w:p w:rsidR="00BA5B3A" w:rsidRDefault="00BA5B3A" w:rsidP="00860E31">
            <w:pPr>
              <w:spacing w:line="360" w:lineRule="auto"/>
            </w:pPr>
            <w:r>
              <w:t>=0.46</w:t>
            </w:r>
          </w:p>
        </w:tc>
        <w:tc>
          <w:tcPr>
            <w:tcW w:w="525" w:type="pct"/>
          </w:tcPr>
          <w:p w:rsidR="00BA5B3A" w:rsidRDefault="00BA5B3A" w:rsidP="00860E31">
            <w:pPr>
              <w:spacing w:line="360" w:lineRule="auto"/>
            </w:pPr>
            <w:r>
              <w:t>[1067.7/2368]</w:t>
            </w:r>
          </w:p>
          <w:p w:rsidR="00BA5B3A" w:rsidRDefault="00BA5B3A" w:rsidP="00860E31">
            <w:pPr>
              <w:spacing w:line="360" w:lineRule="auto"/>
            </w:pPr>
            <w:r>
              <w:t>=0.45</w:t>
            </w:r>
          </w:p>
        </w:tc>
        <w:tc>
          <w:tcPr>
            <w:tcW w:w="628" w:type="pct"/>
          </w:tcPr>
          <w:p w:rsidR="00BA5B3A" w:rsidRDefault="00BA5B3A" w:rsidP="00860E31">
            <w:pPr>
              <w:spacing w:line="360" w:lineRule="auto"/>
            </w:pPr>
            <w:r>
              <w:t>[1212/ 2104.8]</w:t>
            </w:r>
          </w:p>
          <w:p w:rsidR="00BA5B3A" w:rsidRDefault="00BA5B3A" w:rsidP="00860E31">
            <w:pPr>
              <w:spacing w:line="360" w:lineRule="auto"/>
            </w:pPr>
            <w:r>
              <w:t>=0.57</w:t>
            </w:r>
          </w:p>
        </w:tc>
      </w:tr>
    </w:tbl>
    <w:p w:rsidR="00BA5B3A" w:rsidRDefault="00BA5B3A" w:rsidP="00860E31">
      <w:pPr>
        <w:spacing w:line="360" w:lineRule="auto"/>
      </w:pPr>
    </w:p>
    <w:p w:rsidR="00BA5B3A" w:rsidRDefault="00BA5B3A" w:rsidP="00860E31">
      <w:pPr>
        <w:spacing w:line="360" w:lineRule="auto"/>
      </w:pPr>
      <w:r>
        <w:t>Quick ratio refers to the acid-test ratio of an organization, which measure the efficiency of an organization to co</w:t>
      </w:r>
      <w:r w:rsidR="002B66DA">
        <w:t>n</w:t>
      </w:r>
      <w:r>
        <w:t>vert its current assets into cash to repay the short term obligations, which are required to re</w:t>
      </w:r>
      <w:r w:rsidR="00DB1B76">
        <w:t xml:space="preserve">pay within one financial year (Shapiro &amp; </w:t>
      </w:r>
      <w:proofErr w:type="spellStart"/>
      <w:r w:rsidR="00DB1B76">
        <w:t>Hanouna</w:t>
      </w:r>
      <w:proofErr w:type="spellEnd"/>
      <w:r w:rsidR="00DB1B76">
        <w:t>, 2019</w:t>
      </w:r>
      <w:r>
        <w:t xml:space="preserve">). The quick ratio analysis </w:t>
      </w:r>
      <w:r>
        <w:lastRenderedPageBreak/>
        <w:t>of M&amp;S found that the capability of the company was less than 0.50 to convert the current assets into cash. However, comparing with benchmarking, the ability of M&amp;S was very low to convert that current assets into cash because, like current ratio, an organization is required to gain the capability of 1:1 value between current assets subtracting invent</w:t>
      </w:r>
      <w:r w:rsidR="00DB1B76">
        <w:t>ories and current liabilities (Arnold, 2013</w:t>
      </w:r>
      <w:r>
        <w:t xml:space="preserve">). On the other hand, the capability of converting the current assets into cash was better of </w:t>
      </w:r>
      <w:proofErr w:type="spellStart"/>
      <w:r>
        <w:t>Asda</w:t>
      </w:r>
      <w:proofErr w:type="spellEnd"/>
      <w:r>
        <w:t xml:space="preserve"> in the last five years compared with other competitors of M&amp;S. This is because the company has gained 0.90 average value of quick ratio in the last five years, followed by 0.80 of Tesco, and 0.76 of Sainsbury. Comparing with competitors, the effectiveness of converting current assets into cask of M&amp;S was less than the value of 0.5. </w:t>
      </w:r>
    </w:p>
    <w:p w:rsidR="00BA5B3A" w:rsidRDefault="00BA5B3A" w:rsidP="00860E31">
      <w:pPr>
        <w:spacing w:line="360" w:lineRule="auto"/>
      </w:pPr>
      <w:r>
        <w:t xml:space="preserve">Moreover, the operating cash ratio of an organization indicates that efficiency to generate cash flow through running operating activities within a financial year to </w:t>
      </w:r>
      <w:r w:rsidR="00DB1B76">
        <w:t>repay the current liabilities (Banerjee, 2015</w:t>
      </w:r>
      <w:r>
        <w:t>). This means that the ratio allows understanding the effectiveness of cash generation of an organization to repay its current liabilities through operating operational activities. However, the study found that the highest capability of M&amp;S to generate cash flow through operational activities in 0.57 in 2016 and 0.53 in 2020, and rest of the three years performance w</w:t>
      </w:r>
      <w:r w:rsidR="002B66DA">
        <w:t>as</w:t>
      </w:r>
      <w:r>
        <w:t xml:space="preserve"> less than 0.50. The main reason would be due to increasing operational cost against the operational income within </w:t>
      </w:r>
      <w:r w:rsidR="00DB1B76">
        <w:t xml:space="preserve">a financial year, according to </w:t>
      </w:r>
      <w:proofErr w:type="spellStart"/>
      <w:r w:rsidR="00DB1B76">
        <w:t>Apte</w:t>
      </w:r>
      <w:proofErr w:type="spellEnd"/>
      <w:r w:rsidR="00DB1B76">
        <w:t xml:space="preserve"> &amp; </w:t>
      </w:r>
      <w:proofErr w:type="spellStart"/>
      <w:r w:rsidR="00DB1B76">
        <w:t>Kapshe</w:t>
      </w:r>
      <w:proofErr w:type="spellEnd"/>
      <w:r w:rsidR="00DB1B76">
        <w:t xml:space="preserve"> (2020)</w:t>
      </w:r>
      <w:r>
        <w:t xml:space="preserve">. In this case, the report of IBIS World (2020) showed that the ability of generating cash through operating activities of Tesco was better comparing with M&amp;S because the average operating cash ratio of Tesco was 1.02. </w:t>
      </w:r>
      <w:r w:rsidR="002B66DA">
        <w:t>Besides</w:t>
      </w:r>
      <w:r>
        <w:t xml:space="preserve">, the Sainsbury and </w:t>
      </w:r>
      <w:proofErr w:type="spellStart"/>
      <w:r>
        <w:t>Asda</w:t>
      </w:r>
      <w:proofErr w:type="spellEnd"/>
      <w:r>
        <w:t xml:space="preserve"> also gain better position of M&amp;S with 0.90 and 0.87 value of operating cash ratio but the position of Morrison was lower than M&amp;S with average 0.30 of operating cash ratio in the last five years. </w:t>
      </w:r>
    </w:p>
    <w:p w:rsidR="00BA5B3A" w:rsidRPr="00B12933" w:rsidRDefault="00BA5B3A" w:rsidP="00860E31">
      <w:pPr>
        <w:pStyle w:val="Heading3"/>
      </w:pPr>
      <w:bookmarkStart w:id="7" w:name="_Toc60927297"/>
      <w:r w:rsidRPr="00B12933">
        <w:t>Gearing ratio</w:t>
      </w:r>
      <w:bookmarkEnd w:id="7"/>
    </w:p>
    <w:p w:rsidR="00BA5B3A" w:rsidRDefault="00DB1B76" w:rsidP="00860E31">
      <w:pPr>
        <w:spacing w:line="360" w:lineRule="auto"/>
      </w:pPr>
      <w:r>
        <w:t>Bandy (2014)</w:t>
      </w:r>
      <w:r w:rsidR="00BA5B3A">
        <w:t xml:space="preserve"> signified that as financial ratio, the gearing ratio refer</w:t>
      </w:r>
      <w:r w:rsidR="002B66DA">
        <w:t>s</w:t>
      </w:r>
      <w:r w:rsidR="00BA5B3A">
        <w:t xml:space="preserve"> to the extent to which an organization operates its financial activities either equity fund or debt capital. This means that gearing ratio contributes to measuring the capital structure of an organization. It is calculated by dividing the total debt by t</w:t>
      </w:r>
      <w:r>
        <w:t>he total equity. In this case, Madura (2020)</w:t>
      </w:r>
      <w:r w:rsidR="00BA5B3A">
        <w:t xml:space="preserve"> argued that if the value of gearing ratio is more than 1, it indicates that the company’s debt capital is more than its equity capital. The ratio analysis found that the gearing ratio of M&amp;S were 1.65 and 1.08 in 2019 and 2020 and rest of the three years were, 0.62 in 2018, 0.61 in 2017, and 0.62 in 2016. This means </w:t>
      </w:r>
      <w:r w:rsidR="00BA5B3A">
        <w:lastRenderedPageBreak/>
        <w:t>that the capital structure of M&amp;S in 2019 and 2020 is debt funded than equity funded, whereas rest of the three years the capital structure were equity funded more</w:t>
      </w:r>
      <w:r>
        <w:t xml:space="preserve"> than debt funded. In the case Schick (2013)</w:t>
      </w:r>
      <w:r w:rsidR="00BA5B3A">
        <w:t xml:space="preserve"> argued that debt funded capital structure increases the operation cost of an organization by increasing cost of interest. However, the main reason would be due to increasing debt capital in 2020 and 2019 due to</w:t>
      </w:r>
      <w:r>
        <w:t xml:space="preserve"> investing in growth project</w:t>
      </w:r>
      <w:r w:rsidR="00BA5B3A">
        <w:t xml:space="preserve">. For example; in 2019, M&amp;S invested to develop integrated supply chain and develop 25000 new products, and in 2020, the company holds 50% share of OCADO that would be the main reason of increasing debt capital in 2020 and 2019 (M&amp;S, 2020). </w:t>
      </w:r>
    </w:p>
    <w:tbl>
      <w:tblPr>
        <w:tblStyle w:val="TableGrid"/>
        <w:tblW w:w="5000" w:type="pct"/>
        <w:tblLook w:val="04A0" w:firstRow="1" w:lastRow="0" w:firstColumn="1" w:lastColumn="0" w:noHBand="0" w:noVBand="1"/>
      </w:tblPr>
      <w:tblGrid>
        <w:gridCol w:w="1518"/>
        <w:gridCol w:w="1516"/>
        <w:gridCol w:w="1517"/>
        <w:gridCol w:w="1517"/>
        <w:gridCol w:w="1519"/>
        <w:gridCol w:w="1763"/>
      </w:tblGrid>
      <w:tr w:rsidR="00BA5B3A" w:rsidTr="000432C7">
        <w:trPr>
          <w:trHeight w:val="518"/>
        </w:trPr>
        <w:tc>
          <w:tcPr>
            <w:tcW w:w="829" w:type="pct"/>
          </w:tcPr>
          <w:p w:rsidR="00BA5B3A" w:rsidRPr="00AC7AD4" w:rsidRDefault="00BA5B3A" w:rsidP="00860E31">
            <w:pPr>
              <w:spacing w:line="360" w:lineRule="auto"/>
              <w:rPr>
                <w:b/>
              </w:rPr>
            </w:pPr>
            <w:r w:rsidRPr="00AC7AD4">
              <w:rPr>
                <w:b/>
              </w:rPr>
              <w:t xml:space="preserve">Ratio and formula </w:t>
            </w:r>
          </w:p>
        </w:tc>
        <w:tc>
          <w:tcPr>
            <w:tcW w:w="828" w:type="pct"/>
          </w:tcPr>
          <w:p w:rsidR="00BA5B3A" w:rsidRPr="00AC7AD4" w:rsidRDefault="00BA5B3A" w:rsidP="00860E31">
            <w:pPr>
              <w:spacing w:line="360" w:lineRule="auto"/>
              <w:rPr>
                <w:b/>
              </w:rPr>
            </w:pPr>
            <w:r w:rsidRPr="00AC7AD4">
              <w:rPr>
                <w:b/>
              </w:rPr>
              <w:t>2020</w:t>
            </w:r>
          </w:p>
        </w:tc>
        <w:tc>
          <w:tcPr>
            <w:tcW w:w="828" w:type="pct"/>
          </w:tcPr>
          <w:p w:rsidR="00BA5B3A" w:rsidRPr="00AC7AD4" w:rsidRDefault="00BA5B3A" w:rsidP="00860E31">
            <w:pPr>
              <w:spacing w:line="360" w:lineRule="auto"/>
              <w:rPr>
                <w:b/>
              </w:rPr>
            </w:pPr>
            <w:r w:rsidRPr="00AC7AD4">
              <w:rPr>
                <w:b/>
              </w:rPr>
              <w:t>2019</w:t>
            </w:r>
          </w:p>
        </w:tc>
        <w:tc>
          <w:tcPr>
            <w:tcW w:w="828" w:type="pct"/>
          </w:tcPr>
          <w:p w:rsidR="00BA5B3A" w:rsidRPr="00AC7AD4" w:rsidRDefault="00BA5B3A" w:rsidP="00860E31">
            <w:pPr>
              <w:spacing w:line="360" w:lineRule="auto"/>
              <w:rPr>
                <w:b/>
              </w:rPr>
            </w:pPr>
            <w:r w:rsidRPr="00AC7AD4">
              <w:rPr>
                <w:b/>
              </w:rPr>
              <w:t>2018</w:t>
            </w:r>
          </w:p>
        </w:tc>
        <w:tc>
          <w:tcPr>
            <w:tcW w:w="829" w:type="pct"/>
          </w:tcPr>
          <w:p w:rsidR="00BA5B3A" w:rsidRPr="00AC7AD4" w:rsidRDefault="00BA5B3A" w:rsidP="00860E31">
            <w:pPr>
              <w:spacing w:line="360" w:lineRule="auto"/>
              <w:rPr>
                <w:b/>
              </w:rPr>
            </w:pPr>
            <w:r w:rsidRPr="00AC7AD4">
              <w:rPr>
                <w:b/>
              </w:rPr>
              <w:t>2017</w:t>
            </w:r>
          </w:p>
        </w:tc>
        <w:tc>
          <w:tcPr>
            <w:tcW w:w="857" w:type="pct"/>
          </w:tcPr>
          <w:p w:rsidR="00BA5B3A" w:rsidRPr="00AC7AD4" w:rsidRDefault="00BA5B3A" w:rsidP="00860E31">
            <w:pPr>
              <w:spacing w:line="360" w:lineRule="auto"/>
              <w:rPr>
                <w:b/>
              </w:rPr>
            </w:pPr>
            <w:r w:rsidRPr="00AC7AD4">
              <w:rPr>
                <w:b/>
              </w:rPr>
              <w:t>2016</w:t>
            </w:r>
          </w:p>
        </w:tc>
      </w:tr>
      <w:tr w:rsidR="00BA5B3A" w:rsidTr="000432C7">
        <w:trPr>
          <w:trHeight w:val="1556"/>
        </w:trPr>
        <w:tc>
          <w:tcPr>
            <w:tcW w:w="829" w:type="pct"/>
          </w:tcPr>
          <w:p w:rsidR="00BA5B3A" w:rsidRDefault="00BA5B3A" w:rsidP="00860E31">
            <w:pPr>
              <w:spacing w:line="360" w:lineRule="auto"/>
            </w:pPr>
            <w:r>
              <w:t>Gearing ratio = [(Total debt/total equity)]</w:t>
            </w:r>
          </w:p>
        </w:tc>
        <w:tc>
          <w:tcPr>
            <w:tcW w:w="828" w:type="pct"/>
          </w:tcPr>
          <w:p w:rsidR="00BA5B3A" w:rsidRDefault="00BA5B3A" w:rsidP="00860E31">
            <w:pPr>
              <w:spacing w:line="360" w:lineRule="auto"/>
            </w:pPr>
            <w:r>
              <w:t>[4025.2/ 3708]</w:t>
            </w:r>
          </w:p>
          <w:p w:rsidR="00BA5B3A" w:rsidRDefault="00BA5B3A" w:rsidP="00860E31">
            <w:pPr>
              <w:spacing w:line="360" w:lineRule="auto"/>
            </w:pPr>
            <w:r>
              <w:t>=1.08</w:t>
            </w:r>
          </w:p>
        </w:tc>
        <w:tc>
          <w:tcPr>
            <w:tcW w:w="828" w:type="pct"/>
          </w:tcPr>
          <w:p w:rsidR="00BA5B3A" w:rsidRDefault="00BA5B3A" w:rsidP="00860E31">
            <w:pPr>
              <w:spacing w:line="360" w:lineRule="auto"/>
            </w:pPr>
            <w:r>
              <w:t>[4075.4/ 2469.2]</w:t>
            </w:r>
          </w:p>
          <w:p w:rsidR="00BA5B3A" w:rsidRDefault="00BA5B3A" w:rsidP="00860E31">
            <w:pPr>
              <w:spacing w:line="360" w:lineRule="auto"/>
            </w:pPr>
            <w:r>
              <w:t>=1.65</w:t>
            </w:r>
          </w:p>
        </w:tc>
        <w:tc>
          <w:tcPr>
            <w:tcW w:w="828" w:type="pct"/>
          </w:tcPr>
          <w:p w:rsidR="00BA5B3A" w:rsidRDefault="00BA5B3A" w:rsidP="00860E31">
            <w:pPr>
              <w:spacing w:line="360" w:lineRule="auto"/>
            </w:pPr>
            <w:r>
              <w:t>[1827.5/ 2954.2]</w:t>
            </w:r>
          </w:p>
          <w:p w:rsidR="00BA5B3A" w:rsidRDefault="00BA5B3A" w:rsidP="00860E31">
            <w:pPr>
              <w:spacing w:line="360" w:lineRule="auto"/>
            </w:pPr>
            <w:r>
              <w:t>=0.62</w:t>
            </w:r>
          </w:p>
        </w:tc>
        <w:tc>
          <w:tcPr>
            <w:tcW w:w="829" w:type="pct"/>
          </w:tcPr>
          <w:p w:rsidR="00BA5B3A" w:rsidRDefault="00BA5B3A" w:rsidP="00860E31">
            <w:pPr>
              <w:spacing w:line="360" w:lineRule="auto"/>
            </w:pPr>
            <w:r>
              <w:t>[1934.7/ 3150.4]</w:t>
            </w:r>
          </w:p>
          <w:p w:rsidR="00BA5B3A" w:rsidRDefault="00BA5B3A" w:rsidP="00860E31">
            <w:pPr>
              <w:spacing w:line="360" w:lineRule="auto"/>
            </w:pPr>
            <w:r>
              <w:t>=0.61</w:t>
            </w:r>
          </w:p>
        </w:tc>
        <w:tc>
          <w:tcPr>
            <w:tcW w:w="857" w:type="pct"/>
          </w:tcPr>
          <w:p w:rsidR="00BA5B3A" w:rsidRDefault="00BA5B3A" w:rsidP="00860E31">
            <w:pPr>
              <w:spacing w:line="360" w:lineRule="auto"/>
            </w:pPr>
            <w:r>
              <w:t>[2138.3/3443.4]</w:t>
            </w:r>
          </w:p>
          <w:p w:rsidR="00BA5B3A" w:rsidRDefault="00BA5B3A" w:rsidP="00860E31">
            <w:pPr>
              <w:spacing w:line="360" w:lineRule="auto"/>
            </w:pPr>
            <w:r>
              <w:t>=0.62</w:t>
            </w:r>
          </w:p>
        </w:tc>
      </w:tr>
    </w:tbl>
    <w:p w:rsidR="00BA5B3A" w:rsidRDefault="00BA5B3A" w:rsidP="00860E31">
      <w:pPr>
        <w:spacing w:line="360" w:lineRule="auto"/>
      </w:pPr>
    </w:p>
    <w:p w:rsidR="00BA5B3A" w:rsidRDefault="00BA5B3A" w:rsidP="00860E31">
      <w:pPr>
        <w:spacing w:line="360" w:lineRule="auto"/>
      </w:pPr>
      <w:r>
        <w:t xml:space="preserve">Comparing with key competitors, the gearing ratios of M&amp;S were better from 2018 to 2016 because in that time, the average gearing ratio of Tesco was 1.2, followed by1.1 for </w:t>
      </w:r>
      <w:proofErr w:type="spellStart"/>
      <w:r>
        <w:t>Asda</w:t>
      </w:r>
      <w:proofErr w:type="spellEnd"/>
      <w:r>
        <w:t xml:space="preserve">, and 1.3 and 1.02 for Sainsbury and Morrison (Mintel, 2020). However, in 2019 Tesco enables to reduce its debt capital but other competitors did not do it. Overall, the gearing ratio of the major competitors in the UK retail sector (including M&amp;S) were debt based capital structure. </w:t>
      </w:r>
    </w:p>
    <w:p w:rsidR="00BA5B3A" w:rsidRPr="007D6CF2" w:rsidRDefault="00BA5B3A" w:rsidP="00860E31">
      <w:pPr>
        <w:pStyle w:val="Heading3"/>
      </w:pPr>
      <w:bookmarkStart w:id="8" w:name="_Toc60927298"/>
      <w:r w:rsidRPr="007D6CF2">
        <w:t>Efficiency ratios</w:t>
      </w:r>
      <w:bookmarkEnd w:id="8"/>
    </w:p>
    <w:p w:rsidR="00BA5B3A" w:rsidRDefault="00DB1B76" w:rsidP="00860E31">
      <w:pPr>
        <w:spacing w:line="360" w:lineRule="auto"/>
      </w:pPr>
      <w:r>
        <w:t>According to Petty et al., (2015)</w:t>
      </w:r>
      <w:r w:rsidR="00BA5B3A">
        <w:t xml:space="preserve">, as the activity financial ratio, the efficiency ratio calculates the effectiveness of an organization to turnover and utilize its internal resources and capabilities to generate financial value.  The study calculates assets turnover ratio, inventory turnover ratio, and day’s sale in inventory ratio as the key efficiency ratios. </w:t>
      </w:r>
    </w:p>
    <w:p w:rsidR="00BA5B3A" w:rsidRDefault="00BA5B3A" w:rsidP="00860E31">
      <w:pPr>
        <w:spacing w:line="360" w:lineRule="auto"/>
      </w:pPr>
      <w:r>
        <w:t>Asset turnover ratio calculate</w:t>
      </w:r>
      <w:r w:rsidR="002B66DA">
        <w:t>s</w:t>
      </w:r>
      <w:r>
        <w:t xml:space="preserve"> the effectiveness of an organization to generate organization revenue by utilizing organizational net assets. The study found that the asset turnover capability of M&amp;S was better in 2019 with 4.16 ratio value, followed by 2.74 in 2020 and rest of the years were more than 3. This means that the company has experienced its low assets turnover capability in 2020. The possible reason would be due to changing external business environment in the UK, </w:t>
      </w:r>
      <w:r>
        <w:lastRenderedPageBreak/>
        <w:t xml:space="preserve">more especially due to </w:t>
      </w:r>
      <w:proofErr w:type="spellStart"/>
      <w:r>
        <w:t>Brexit</w:t>
      </w:r>
      <w:proofErr w:type="spellEnd"/>
      <w:r>
        <w:t xml:space="preserve"> uncertainty, and Covid-19 outbreak (M&amp;S, 2020). Comparing with competitor</w:t>
      </w:r>
      <w:r w:rsidR="002B66DA">
        <w:t>s</w:t>
      </w:r>
      <w:r>
        <w:t>, the assets turnover ratio of Tesco was 3.3 in 2020, but other competitors gained less than 2.50 ratio value in 2020 (</w:t>
      </w:r>
      <w:proofErr w:type="spellStart"/>
      <w:r>
        <w:t>Pwc</w:t>
      </w:r>
      <w:proofErr w:type="spellEnd"/>
      <w:r>
        <w:t xml:space="preserve">, 2020). This means that the asset turnover ratio of M&amp;S was better of its competitor accepted Tesco.  </w:t>
      </w:r>
    </w:p>
    <w:tbl>
      <w:tblPr>
        <w:tblStyle w:val="TableGrid"/>
        <w:tblW w:w="5000" w:type="pct"/>
        <w:tblLook w:val="04A0" w:firstRow="1" w:lastRow="0" w:firstColumn="1" w:lastColumn="0" w:noHBand="0" w:noVBand="1"/>
      </w:tblPr>
      <w:tblGrid>
        <w:gridCol w:w="1480"/>
        <w:gridCol w:w="1643"/>
        <w:gridCol w:w="1474"/>
        <w:gridCol w:w="1803"/>
        <w:gridCol w:w="1473"/>
        <w:gridCol w:w="1477"/>
      </w:tblGrid>
      <w:tr w:rsidR="00BA5B3A" w:rsidTr="000432C7">
        <w:trPr>
          <w:trHeight w:val="518"/>
        </w:trPr>
        <w:tc>
          <w:tcPr>
            <w:tcW w:w="825" w:type="pct"/>
          </w:tcPr>
          <w:p w:rsidR="00BA5B3A" w:rsidRPr="00AC7AD4" w:rsidRDefault="00BA5B3A" w:rsidP="00860E31">
            <w:pPr>
              <w:spacing w:line="360" w:lineRule="auto"/>
              <w:rPr>
                <w:b/>
              </w:rPr>
            </w:pPr>
            <w:r w:rsidRPr="00AC7AD4">
              <w:rPr>
                <w:b/>
              </w:rPr>
              <w:t xml:space="preserve">Ratio and formula </w:t>
            </w:r>
          </w:p>
        </w:tc>
        <w:tc>
          <w:tcPr>
            <w:tcW w:w="832" w:type="pct"/>
          </w:tcPr>
          <w:p w:rsidR="00BA5B3A" w:rsidRPr="00AC7AD4" w:rsidRDefault="00BA5B3A" w:rsidP="00860E31">
            <w:pPr>
              <w:spacing w:line="360" w:lineRule="auto"/>
              <w:rPr>
                <w:b/>
              </w:rPr>
            </w:pPr>
            <w:r w:rsidRPr="00AC7AD4">
              <w:rPr>
                <w:b/>
              </w:rPr>
              <w:t>2020</w:t>
            </w:r>
          </w:p>
        </w:tc>
        <w:tc>
          <w:tcPr>
            <w:tcW w:w="822" w:type="pct"/>
          </w:tcPr>
          <w:p w:rsidR="00BA5B3A" w:rsidRPr="00AC7AD4" w:rsidRDefault="00BA5B3A" w:rsidP="00860E31">
            <w:pPr>
              <w:spacing w:line="360" w:lineRule="auto"/>
              <w:rPr>
                <w:b/>
              </w:rPr>
            </w:pPr>
            <w:r w:rsidRPr="00AC7AD4">
              <w:rPr>
                <w:b/>
              </w:rPr>
              <w:t>2019</w:t>
            </w:r>
          </w:p>
        </w:tc>
        <w:tc>
          <w:tcPr>
            <w:tcW w:w="876" w:type="pct"/>
          </w:tcPr>
          <w:p w:rsidR="00BA5B3A" w:rsidRPr="00AC7AD4" w:rsidRDefault="00BA5B3A" w:rsidP="00860E31">
            <w:pPr>
              <w:spacing w:line="360" w:lineRule="auto"/>
              <w:rPr>
                <w:b/>
              </w:rPr>
            </w:pPr>
            <w:r w:rsidRPr="00AC7AD4">
              <w:rPr>
                <w:b/>
              </w:rPr>
              <w:t>2018</w:t>
            </w:r>
          </w:p>
        </w:tc>
        <w:tc>
          <w:tcPr>
            <w:tcW w:w="821" w:type="pct"/>
          </w:tcPr>
          <w:p w:rsidR="00BA5B3A" w:rsidRPr="00AC7AD4" w:rsidRDefault="00BA5B3A" w:rsidP="00860E31">
            <w:pPr>
              <w:spacing w:line="360" w:lineRule="auto"/>
              <w:rPr>
                <w:b/>
              </w:rPr>
            </w:pPr>
            <w:r w:rsidRPr="00AC7AD4">
              <w:rPr>
                <w:b/>
              </w:rPr>
              <w:t>2017</w:t>
            </w:r>
          </w:p>
        </w:tc>
        <w:tc>
          <w:tcPr>
            <w:tcW w:w="823" w:type="pct"/>
          </w:tcPr>
          <w:p w:rsidR="00BA5B3A" w:rsidRPr="00AC7AD4" w:rsidRDefault="00BA5B3A" w:rsidP="00860E31">
            <w:pPr>
              <w:spacing w:line="360" w:lineRule="auto"/>
              <w:rPr>
                <w:b/>
              </w:rPr>
            </w:pPr>
            <w:r w:rsidRPr="00AC7AD4">
              <w:rPr>
                <w:b/>
              </w:rPr>
              <w:t>2016</w:t>
            </w:r>
          </w:p>
        </w:tc>
      </w:tr>
      <w:tr w:rsidR="00BA5B3A" w:rsidTr="000432C7">
        <w:trPr>
          <w:trHeight w:val="1556"/>
        </w:trPr>
        <w:tc>
          <w:tcPr>
            <w:tcW w:w="825" w:type="pct"/>
          </w:tcPr>
          <w:p w:rsidR="00BA5B3A" w:rsidRDefault="00BA5B3A" w:rsidP="00860E31">
            <w:pPr>
              <w:spacing w:line="360" w:lineRule="auto"/>
            </w:pPr>
            <w:r>
              <w:t xml:space="preserve">Asset turnover ratio = [Revenue/ net assets] </w:t>
            </w:r>
          </w:p>
        </w:tc>
        <w:tc>
          <w:tcPr>
            <w:tcW w:w="832" w:type="pct"/>
          </w:tcPr>
          <w:p w:rsidR="00BA5B3A" w:rsidRDefault="00BA5B3A" w:rsidP="00860E31">
            <w:pPr>
              <w:spacing w:line="360" w:lineRule="auto"/>
            </w:pPr>
            <w:r>
              <w:t>[10181.9/ 3708.5]</w:t>
            </w:r>
          </w:p>
          <w:p w:rsidR="00BA5B3A" w:rsidRDefault="00BA5B3A" w:rsidP="00860E31">
            <w:pPr>
              <w:spacing w:line="360" w:lineRule="auto"/>
            </w:pPr>
            <w:r>
              <w:t>=2.74</w:t>
            </w:r>
          </w:p>
        </w:tc>
        <w:tc>
          <w:tcPr>
            <w:tcW w:w="822" w:type="pct"/>
          </w:tcPr>
          <w:p w:rsidR="00BA5B3A" w:rsidRDefault="00BA5B3A" w:rsidP="00860E31">
            <w:pPr>
              <w:spacing w:line="360" w:lineRule="auto"/>
            </w:pPr>
            <w:r>
              <w:t>[10277.3/ 2469.2]</w:t>
            </w:r>
          </w:p>
          <w:p w:rsidR="00BA5B3A" w:rsidRDefault="00BA5B3A" w:rsidP="00860E31">
            <w:pPr>
              <w:spacing w:line="360" w:lineRule="auto"/>
            </w:pPr>
            <w:r>
              <w:t>=4.16</w:t>
            </w:r>
          </w:p>
        </w:tc>
        <w:tc>
          <w:tcPr>
            <w:tcW w:w="876" w:type="pct"/>
          </w:tcPr>
          <w:p w:rsidR="00BA5B3A" w:rsidRDefault="00BA5B3A" w:rsidP="00860E31">
            <w:pPr>
              <w:spacing w:line="360" w:lineRule="auto"/>
            </w:pPr>
            <w:r>
              <w:t>[10698.2/2956.7 ]</w:t>
            </w:r>
          </w:p>
          <w:p w:rsidR="00BA5B3A" w:rsidRDefault="00BA5B3A" w:rsidP="00860E31">
            <w:pPr>
              <w:spacing w:line="360" w:lineRule="auto"/>
            </w:pPr>
            <w:r>
              <w:t>=3.62</w:t>
            </w:r>
          </w:p>
        </w:tc>
        <w:tc>
          <w:tcPr>
            <w:tcW w:w="821" w:type="pct"/>
          </w:tcPr>
          <w:p w:rsidR="00BA5B3A" w:rsidRDefault="00BA5B3A" w:rsidP="00860E31">
            <w:pPr>
              <w:spacing w:line="360" w:lineRule="auto"/>
            </w:pPr>
            <w:r>
              <w:t>[10622/ 3156.3]</w:t>
            </w:r>
          </w:p>
          <w:p w:rsidR="00BA5B3A" w:rsidRDefault="00BA5B3A" w:rsidP="00860E31">
            <w:pPr>
              <w:spacing w:line="360" w:lineRule="auto"/>
            </w:pPr>
            <w:r>
              <w:t>=3.36</w:t>
            </w:r>
          </w:p>
        </w:tc>
        <w:tc>
          <w:tcPr>
            <w:tcW w:w="823" w:type="pct"/>
          </w:tcPr>
          <w:p w:rsidR="00BA5B3A" w:rsidRDefault="00BA5B3A" w:rsidP="00860E31">
            <w:pPr>
              <w:spacing w:line="360" w:lineRule="auto"/>
            </w:pPr>
            <w:r>
              <w:t>[10555.4/ 3445.2]</w:t>
            </w:r>
          </w:p>
          <w:p w:rsidR="00BA5B3A" w:rsidRDefault="00BA5B3A" w:rsidP="00860E31">
            <w:pPr>
              <w:spacing w:line="360" w:lineRule="auto"/>
            </w:pPr>
            <w:r>
              <w:t>=3.06</w:t>
            </w:r>
          </w:p>
        </w:tc>
      </w:tr>
      <w:tr w:rsidR="00BA5B3A" w:rsidTr="000432C7">
        <w:trPr>
          <w:trHeight w:val="1296"/>
        </w:trPr>
        <w:tc>
          <w:tcPr>
            <w:tcW w:w="825" w:type="pct"/>
          </w:tcPr>
          <w:p w:rsidR="00BA5B3A" w:rsidRDefault="00BA5B3A" w:rsidP="00860E31">
            <w:pPr>
              <w:spacing w:line="360" w:lineRule="auto"/>
            </w:pPr>
            <w:r>
              <w:t>Inventory turnover ratio = [Cost of goods sold/ average inventory]</w:t>
            </w:r>
          </w:p>
        </w:tc>
        <w:tc>
          <w:tcPr>
            <w:tcW w:w="832" w:type="pct"/>
          </w:tcPr>
          <w:p w:rsidR="00BA5B3A" w:rsidRDefault="00BA5B3A" w:rsidP="00860E31">
            <w:pPr>
              <w:spacing w:line="360" w:lineRule="auto"/>
            </w:pPr>
            <w:r>
              <w:t>[6589.5/564.1]</w:t>
            </w:r>
          </w:p>
          <w:p w:rsidR="00BA5B3A" w:rsidRDefault="00BA5B3A" w:rsidP="00860E31">
            <w:pPr>
              <w:spacing w:line="360" w:lineRule="auto"/>
            </w:pPr>
            <w:r>
              <w:t xml:space="preserve">=11.68 </w:t>
            </w:r>
          </w:p>
        </w:tc>
        <w:tc>
          <w:tcPr>
            <w:tcW w:w="822" w:type="pct"/>
          </w:tcPr>
          <w:p w:rsidR="00BA5B3A" w:rsidRDefault="00BA5B3A" w:rsidP="00860E31">
            <w:pPr>
              <w:spacing w:line="360" w:lineRule="auto"/>
            </w:pPr>
            <w:r>
              <w:t>[6558.2/ 700.4]</w:t>
            </w:r>
          </w:p>
          <w:p w:rsidR="00BA5B3A" w:rsidRDefault="00BA5B3A" w:rsidP="00860E31">
            <w:pPr>
              <w:spacing w:line="360" w:lineRule="auto"/>
            </w:pPr>
            <w:r>
              <w:t>=9.36</w:t>
            </w:r>
          </w:p>
        </w:tc>
        <w:tc>
          <w:tcPr>
            <w:tcW w:w="876" w:type="pct"/>
          </w:tcPr>
          <w:p w:rsidR="00BA5B3A" w:rsidRDefault="00BA5B3A" w:rsidP="00860E31">
            <w:pPr>
              <w:spacing w:line="360" w:lineRule="auto"/>
            </w:pPr>
            <w:r>
              <w:t>[6650.9/ 781]</w:t>
            </w:r>
          </w:p>
          <w:p w:rsidR="00BA5B3A" w:rsidRDefault="00BA5B3A" w:rsidP="00860E31">
            <w:pPr>
              <w:spacing w:line="360" w:lineRule="auto"/>
            </w:pPr>
            <w:r>
              <w:t>=8.39</w:t>
            </w:r>
          </w:p>
        </w:tc>
        <w:tc>
          <w:tcPr>
            <w:tcW w:w="821" w:type="pct"/>
          </w:tcPr>
          <w:p w:rsidR="00BA5B3A" w:rsidRDefault="00BA5B3A" w:rsidP="00860E31">
            <w:pPr>
              <w:spacing w:line="360" w:lineRule="auto"/>
            </w:pPr>
            <w:r>
              <w:t>[6534.2/ 758.5]</w:t>
            </w:r>
          </w:p>
          <w:p w:rsidR="00BA5B3A" w:rsidRDefault="00BA5B3A" w:rsidP="00860E31">
            <w:pPr>
              <w:spacing w:line="360" w:lineRule="auto"/>
            </w:pPr>
            <w:r>
              <w:t>=8.61</w:t>
            </w:r>
          </w:p>
        </w:tc>
        <w:tc>
          <w:tcPr>
            <w:tcW w:w="823" w:type="pct"/>
          </w:tcPr>
          <w:p w:rsidR="00BA5B3A" w:rsidRDefault="00BA5B3A" w:rsidP="00860E31">
            <w:pPr>
              <w:spacing w:line="360" w:lineRule="auto"/>
            </w:pPr>
            <w:r>
              <w:t>[6427/ 799.9]</w:t>
            </w:r>
          </w:p>
          <w:p w:rsidR="00BA5B3A" w:rsidRDefault="00BA5B3A" w:rsidP="00860E31">
            <w:pPr>
              <w:spacing w:line="360" w:lineRule="auto"/>
            </w:pPr>
            <w:r>
              <w:t>=8.03</w:t>
            </w:r>
          </w:p>
        </w:tc>
      </w:tr>
      <w:tr w:rsidR="00BA5B3A" w:rsidTr="000432C7">
        <w:trPr>
          <w:trHeight w:val="777"/>
        </w:trPr>
        <w:tc>
          <w:tcPr>
            <w:tcW w:w="825" w:type="pct"/>
          </w:tcPr>
          <w:p w:rsidR="00BA5B3A" w:rsidRDefault="00BA5B3A" w:rsidP="00860E31">
            <w:pPr>
              <w:spacing w:line="360" w:lineRule="auto"/>
            </w:pPr>
            <w:r>
              <w:t xml:space="preserve">Days sales in inventory ratio = [365 days/ inventory turnover ratio] </w:t>
            </w:r>
          </w:p>
        </w:tc>
        <w:tc>
          <w:tcPr>
            <w:tcW w:w="832" w:type="pct"/>
          </w:tcPr>
          <w:p w:rsidR="00BA5B3A" w:rsidRDefault="00BA5B3A" w:rsidP="00860E31">
            <w:pPr>
              <w:spacing w:line="360" w:lineRule="auto"/>
            </w:pPr>
            <w:r>
              <w:t xml:space="preserve">[365/ </w:t>
            </w:r>
            <w:r w:rsidRPr="00AC7AD4">
              <w:t>2.74</w:t>
            </w:r>
            <w:r>
              <w:t xml:space="preserve">] </w:t>
            </w:r>
          </w:p>
          <w:p w:rsidR="00BA5B3A" w:rsidRDefault="00BA5B3A" w:rsidP="00860E31">
            <w:pPr>
              <w:spacing w:line="360" w:lineRule="auto"/>
            </w:pPr>
            <w:r>
              <w:t>=133.21</w:t>
            </w:r>
          </w:p>
        </w:tc>
        <w:tc>
          <w:tcPr>
            <w:tcW w:w="822" w:type="pct"/>
          </w:tcPr>
          <w:p w:rsidR="00BA5B3A" w:rsidRDefault="00BA5B3A" w:rsidP="00860E31">
            <w:pPr>
              <w:spacing w:line="360" w:lineRule="auto"/>
            </w:pPr>
            <w:r w:rsidRPr="005736CB">
              <w:t xml:space="preserve">[365/ </w:t>
            </w:r>
            <w:r w:rsidRPr="00AC7AD4">
              <w:t>4.16</w:t>
            </w:r>
            <w:r w:rsidRPr="005736CB">
              <w:t xml:space="preserve">] </w:t>
            </w:r>
          </w:p>
          <w:p w:rsidR="00BA5B3A" w:rsidRDefault="00BA5B3A" w:rsidP="00860E31">
            <w:pPr>
              <w:spacing w:line="360" w:lineRule="auto"/>
            </w:pPr>
            <w:r>
              <w:t>=87.74</w:t>
            </w:r>
          </w:p>
        </w:tc>
        <w:tc>
          <w:tcPr>
            <w:tcW w:w="876" w:type="pct"/>
          </w:tcPr>
          <w:p w:rsidR="00BA5B3A" w:rsidRDefault="00BA5B3A" w:rsidP="00860E31">
            <w:pPr>
              <w:spacing w:line="360" w:lineRule="auto"/>
            </w:pPr>
            <w:r w:rsidRPr="005736CB">
              <w:t xml:space="preserve">[365/ </w:t>
            </w:r>
            <w:r w:rsidRPr="00AC7AD4">
              <w:t>3.62</w:t>
            </w:r>
            <w:r w:rsidRPr="005736CB">
              <w:t xml:space="preserve">] </w:t>
            </w:r>
          </w:p>
          <w:p w:rsidR="00BA5B3A" w:rsidRDefault="00BA5B3A" w:rsidP="00860E31">
            <w:pPr>
              <w:spacing w:line="360" w:lineRule="auto"/>
            </w:pPr>
            <w:r>
              <w:t>=108.63</w:t>
            </w:r>
          </w:p>
        </w:tc>
        <w:tc>
          <w:tcPr>
            <w:tcW w:w="821" w:type="pct"/>
          </w:tcPr>
          <w:p w:rsidR="00BA5B3A" w:rsidRDefault="00BA5B3A" w:rsidP="00860E31">
            <w:pPr>
              <w:spacing w:line="360" w:lineRule="auto"/>
            </w:pPr>
            <w:r w:rsidRPr="005736CB">
              <w:t xml:space="preserve">[365/ </w:t>
            </w:r>
            <w:r w:rsidRPr="00AC7AD4">
              <w:t>3.36</w:t>
            </w:r>
            <w:r w:rsidRPr="005736CB">
              <w:t xml:space="preserve">] </w:t>
            </w:r>
          </w:p>
          <w:p w:rsidR="00BA5B3A" w:rsidRDefault="00BA5B3A" w:rsidP="00860E31">
            <w:pPr>
              <w:spacing w:line="360" w:lineRule="auto"/>
            </w:pPr>
            <w:r>
              <w:t>=108.63</w:t>
            </w:r>
          </w:p>
        </w:tc>
        <w:tc>
          <w:tcPr>
            <w:tcW w:w="823" w:type="pct"/>
          </w:tcPr>
          <w:p w:rsidR="00BA5B3A" w:rsidRDefault="00BA5B3A" w:rsidP="00860E31">
            <w:pPr>
              <w:spacing w:line="360" w:lineRule="auto"/>
            </w:pPr>
            <w:r w:rsidRPr="005736CB">
              <w:t>[365/</w:t>
            </w:r>
            <w:r w:rsidRPr="00AC7AD4">
              <w:t>3.06</w:t>
            </w:r>
            <w:r w:rsidRPr="005736CB">
              <w:t xml:space="preserve"> ] </w:t>
            </w:r>
          </w:p>
          <w:p w:rsidR="00BA5B3A" w:rsidRDefault="00BA5B3A" w:rsidP="00860E31">
            <w:pPr>
              <w:spacing w:line="360" w:lineRule="auto"/>
            </w:pPr>
            <w:r>
              <w:t>=119.28</w:t>
            </w:r>
          </w:p>
        </w:tc>
      </w:tr>
    </w:tbl>
    <w:p w:rsidR="00BA5B3A" w:rsidRDefault="00BA5B3A" w:rsidP="00860E31">
      <w:pPr>
        <w:spacing w:line="360" w:lineRule="auto"/>
      </w:pPr>
    </w:p>
    <w:p w:rsidR="00BA5B3A" w:rsidRDefault="00DB1B76" w:rsidP="00860E31">
      <w:pPr>
        <w:spacing w:line="360" w:lineRule="auto"/>
      </w:pPr>
      <w:r>
        <w:t>Banerjee (2015)</w:t>
      </w:r>
      <w:r w:rsidR="00BA5B3A">
        <w:t xml:space="preserve"> noted that inventory turnover ratio measures how much times a business enables to sells or replace its inventory withi</w:t>
      </w:r>
      <w:r>
        <w:t>n a certain time. In this case Arnold (2013)</w:t>
      </w:r>
      <w:r w:rsidR="00BA5B3A">
        <w:t xml:space="preserve"> commented that high inventory turnover ratio indicates that the company has gained more efficiency to turnover its inventory. The study found that the inventory turnover ratio of M&amp;S was 11.68 in 2020, but rest of the years the ratios were between 9 and 8. This means the M&amp;S enables to more time </w:t>
      </w:r>
      <w:r w:rsidR="00BA5B3A">
        <w:lastRenderedPageBreak/>
        <w:t>replaces its inventory in 2020 in the last five years. The possible reason would be due to increasing 20% of its online sales in 2020 for investing in OCADO platform (M&amp;S, 2020).</w:t>
      </w:r>
    </w:p>
    <w:p w:rsidR="00BA5B3A" w:rsidRDefault="00BA5B3A" w:rsidP="00860E31">
      <w:pPr>
        <w:spacing w:line="360" w:lineRule="auto"/>
      </w:pPr>
      <w:r>
        <w:t xml:space="preserve">Moreover, </w:t>
      </w:r>
      <w:proofErr w:type="gramStart"/>
      <w:r>
        <w:t>days</w:t>
      </w:r>
      <w:proofErr w:type="gramEnd"/>
      <w:r>
        <w:t xml:space="preserve"> sales in inventory ratio contribute to calculating the number of days </w:t>
      </w:r>
      <w:r w:rsidR="002B66DA">
        <w:t>is</w:t>
      </w:r>
      <w:r>
        <w:t xml:space="preserve"> required of a business to sell of its all inv</w:t>
      </w:r>
      <w:r w:rsidR="00DB1B76">
        <w:t>entor within a financial year (Petty et al., 2015</w:t>
      </w:r>
      <w:r>
        <w:t xml:space="preserve">). For example; the ratio analysis found that M&amp;S has taken 133.21 days to sell its all inventory in 2020, whereas 108.63 days for 2018 and 2017, 119.28 for 2016, and only 87.74 days in 2019. This means that M&amp;S has gained inventory sales efficiency in 2019 within the last five years but more time is taken in 2020. The possible reason would be due to lockdown measures in the UK, when the company closed down its in-store operation (M&amp;S, 2020). </w:t>
      </w:r>
    </w:p>
    <w:p w:rsidR="00BA5B3A" w:rsidRDefault="00BA5B3A" w:rsidP="00860E31">
      <w:pPr>
        <w:spacing w:line="360" w:lineRule="auto"/>
      </w:pPr>
      <w:r>
        <w:t>However, compar</w:t>
      </w:r>
      <w:r w:rsidR="002B66DA">
        <w:t>ed</w:t>
      </w:r>
      <w:r>
        <w:t xml:space="preserve"> with key competitors, not only M&amp;S but also other competitor failed to reduce their inventory days in 2020, and, in the case IBIS World (2020) noted that due to lockdown measure in the UK, the retailer failed to run the in-store operation that increases their inventory days. </w:t>
      </w:r>
      <w:r>
        <w:br w:type="page"/>
      </w:r>
    </w:p>
    <w:p w:rsidR="00BA5B3A" w:rsidRPr="00564A52" w:rsidRDefault="00BA5B3A" w:rsidP="00860E31">
      <w:pPr>
        <w:pStyle w:val="Heading2"/>
      </w:pPr>
      <w:bookmarkStart w:id="9" w:name="_Toc60927299"/>
      <w:r w:rsidRPr="00564A52">
        <w:lastRenderedPageBreak/>
        <w:t>Recommendation for improving financial performance</w:t>
      </w:r>
      <w:bookmarkEnd w:id="9"/>
      <w:r w:rsidRPr="00564A52">
        <w:t xml:space="preserve"> </w:t>
      </w:r>
    </w:p>
    <w:p w:rsidR="00BA5B3A" w:rsidRDefault="00BA5B3A" w:rsidP="00860E31">
      <w:pPr>
        <w:spacing w:line="360" w:lineRule="auto"/>
      </w:pPr>
      <w:r>
        <w:t xml:space="preserve">Drawing upon the ratios analysis, the study found that the overall financial performance of M&amp;S was not up to the mark compared with competitors. In this case, the study provides the following recommendations that contribute to increasing future financial performance. </w:t>
      </w:r>
    </w:p>
    <w:p w:rsidR="00BA5B3A" w:rsidRDefault="00BA5B3A" w:rsidP="00860E31">
      <w:pPr>
        <w:pStyle w:val="ListParagraph"/>
        <w:numPr>
          <w:ilvl w:val="0"/>
          <w:numId w:val="1"/>
        </w:numPr>
        <w:spacing w:line="360" w:lineRule="auto"/>
      </w:pPr>
      <w:r>
        <w:t xml:space="preserve">The study found that due to </w:t>
      </w:r>
      <w:proofErr w:type="spellStart"/>
      <w:r>
        <w:t>Brexit</w:t>
      </w:r>
      <w:proofErr w:type="spellEnd"/>
      <w:r>
        <w:t xml:space="preserve"> uncertainty, M&amp;S faced supply chain crisis that negatively influence</w:t>
      </w:r>
      <w:r w:rsidR="002B66DA">
        <w:t>s</w:t>
      </w:r>
      <w:r>
        <w:t xml:space="preserve"> its financial performance. In this situation, the company should develop independent </w:t>
      </w:r>
      <w:proofErr w:type="spellStart"/>
      <w:r>
        <w:t>Brexit</w:t>
      </w:r>
      <w:proofErr w:type="spellEnd"/>
      <w:r>
        <w:t xml:space="preserve"> Committee and devise post-</w:t>
      </w:r>
      <w:proofErr w:type="spellStart"/>
      <w:r>
        <w:t>Brexit</w:t>
      </w:r>
      <w:proofErr w:type="spellEnd"/>
      <w:r>
        <w:t xml:space="preserve"> business strategy. </w:t>
      </w:r>
    </w:p>
    <w:p w:rsidR="00BA5B3A" w:rsidRDefault="00BA5B3A" w:rsidP="00860E31">
      <w:pPr>
        <w:pStyle w:val="ListParagraph"/>
        <w:numPr>
          <w:ilvl w:val="0"/>
          <w:numId w:val="1"/>
        </w:numPr>
        <w:spacing w:line="360" w:lineRule="auto"/>
      </w:pPr>
      <w:r>
        <w:t xml:space="preserve">Due to lockdown and social distancing measures, the company has experienced negative profit in 2020 but experienced positive online sales growth. This means the retail industry has been shifted into online retailing, and so M&amp;S should focus on online retailing. </w:t>
      </w:r>
    </w:p>
    <w:p w:rsidR="00BA5B3A" w:rsidRDefault="00BA5B3A" w:rsidP="00860E31">
      <w:pPr>
        <w:pStyle w:val="ListParagraph"/>
        <w:numPr>
          <w:ilvl w:val="0"/>
          <w:numId w:val="1"/>
        </w:numPr>
        <w:spacing w:line="360" w:lineRule="auto"/>
      </w:pPr>
      <w:r>
        <w:t xml:space="preserve">Moreover, the study found that the present capital structure of M&amp;S is debt funded rather than equity funded that has been increased its cost of interest. In this case, the study recommended that M&amp;S should employ scrip dividend policy rather than cash dividend that contribute to maximizing shareholder’s satisfaction as well as increasing equity fund and retain earnings for the business. </w:t>
      </w:r>
    </w:p>
    <w:p w:rsidR="000B2076" w:rsidRDefault="000B2076" w:rsidP="00860E31">
      <w:pPr>
        <w:spacing w:line="360" w:lineRule="auto"/>
      </w:pPr>
    </w:p>
    <w:p w:rsidR="000B2076" w:rsidRDefault="000B2076" w:rsidP="00860E31">
      <w:pPr>
        <w:spacing w:line="360" w:lineRule="auto"/>
      </w:pPr>
      <w:r>
        <w:br w:type="page"/>
      </w:r>
    </w:p>
    <w:p w:rsidR="000B2076" w:rsidRPr="0020740B" w:rsidRDefault="000B2076" w:rsidP="00860E31">
      <w:pPr>
        <w:pStyle w:val="Heading1"/>
      </w:pPr>
      <w:bookmarkStart w:id="10" w:name="_Toc60927300"/>
      <w:r w:rsidRPr="0020740B">
        <w:lastRenderedPageBreak/>
        <w:t>Part C</w:t>
      </w:r>
      <w:bookmarkEnd w:id="10"/>
      <w:r w:rsidRPr="0020740B">
        <w:t xml:space="preserve"> </w:t>
      </w:r>
    </w:p>
    <w:p w:rsidR="000B2076" w:rsidRPr="0020740B" w:rsidRDefault="000B2076" w:rsidP="00860E31">
      <w:pPr>
        <w:pStyle w:val="Heading2"/>
      </w:pPr>
      <w:bookmarkStart w:id="11" w:name="_Toc60927301"/>
      <w:r w:rsidRPr="0020740B">
        <w:t>Payback period calculation of project A and Project B</w:t>
      </w:r>
      <w:bookmarkEnd w:id="11"/>
    </w:p>
    <w:p w:rsidR="000B2076" w:rsidRDefault="000B2076" w:rsidP="00860E31">
      <w:pPr>
        <w:spacing w:line="360" w:lineRule="auto"/>
      </w:pPr>
      <w:r>
        <w:t>Payback period is a simple investment recovery year of an investment project by calculating cumulative cash flow</w:t>
      </w:r>
      <w:r w:rsidR="00DB1B76">
        <w:t xml:space="preserve"> (Arnold, 2013)</w:t>
      </w:r>
      <w:r>
        <w:t xml:space="preserve">. </w:t>
      </w:r>
    </w:p>
    <w:p w:rsidR="000B2076" w:rsidRDefault="000B2076" w:rsidP="00860E31">
      <w:pPr>
        <w:spacing w:line="360" w:lineRule="auto"/>
      </w:pPr>
      <w:r>
        <w:t>Project A</w:t>
      </w:r>
    </w:p>
    <w:tbl>
      <w:tblPr>
        <w:tblStyle w:val="TableGrid"/>
        <w:tblW w:w="5000" w:type="pct"/>
        <w:tblLook w:val="04A0" w:firstRow="1" w:lastRow="0" w:firstColumn="1" w:lastColumn="0" w:noHBand="0" w:noVBand="1"/>
      </w:tblPr>
      <w:tblGrid>
        <w:gridCol w:w="1638"/>
        <w:gridCol w:w="3241"/>
        <w:gridCol w:w="4471"/>
      </w:tblGrid>
      <w:tr w:rsidR="000B2076" w:rsidRPr="00872519" w:rsidTr="000432C7">
        <w:trPr>
          <w:trHeight w:val="422"/>
        </w:trPr>
        <w:tc>
          <w:tcPr>
            <w:tcW w:w="876"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Year</w:t>
            </w:r>
          </w:p>
        </w:tc>
        <w:tc>
          <w:tcPr>
            <w:tcW w:w="1733"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Cash flow</w:t>
            </w:r>
          </w:p>
        </w:tc>
        <w:tc>
          <w:tcPr>
            <w:tcW w:w="2391"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Cumulative cash flow</w:t>
            </w:r>
          </w:p>
        </w:tc>
      </w:tr>
      <w:tr w:rsidR="000B2076" w:rsidRPr="00872519" w:rsidTr="000432C7">
        <w:trPr>
          <w:trHeight w:val="330"/>
        </w:trPr>
        <w:tc>
          <w:tcPr>
            <w:tcW w:w="876"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0</w:t>
            </w:r>
          </w:p>
        </w:tc>
        <w:tc>
          <w:tcPr>
            <w:tcW w:w="1733"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-85</w:t>
            </w:r>
          </w:p>
        </w:tc>
        <w:tc>
          <w:tcPr>
            <w:tcW w:w="2391"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85</w:t>
            </w:r>
          </w:p>
        </w:tc>
      </w:tr>
      <w:tr w:rsidR="000B2076" w:rsidRPr="00872519" w:rsidTr="000432C7">
        <w:trPr>
          <w:trHeight w:val="330"/>
        </w:trPr>
        <w:tc>
          <w:tcPr>
            <w:tcW w:w="876"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1</w:t>
            </w:r>
          </w:p>
        </w:tc>
        <w:tc>
          <w:tcPr>
            <w:tcW w:w="1733"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10</w:t>
            </w:r>
          </w:p>
        </w:tc>
        <w:tc>
          <w:tcPr>
            <w:tcW w:w="2391"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75</w:t>
            </w:r>
          </w:p>
        </w:tc>
      </w:tr>
      <w:tr w:rsidR="000B2076" w:rsidRPr="00872519" w:rsidTr="000432C7">
        <w:trPr>
          <w:trHeight w:val="330"/>
        </w:trPr>
        <w:tc>
          <w:tcPr>
            <w:tcW w:w="876"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2</w:t>
            </w:r>
          </w:p>
        </w:tc>
        <w:tc>
          <w:tcPr>
            <w:tcW w:w="1733"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20</w:t>
            </w:r>
          </w:p>
        </w:tc>
        <w:tc>
          <w:tcPr>
            <w:tcW w:w="2391"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55</w:t>
            </w:r>
          </w:p>
        </w:tc>
      </w:tr>
      <w:tr w:rsidR="000B2076" w:rsidRPr="00872519" w:rsidTr="000432C7">
        <w:trPr>
          <w:trHeight w:val="330"/>
        </w:trPr>
        <w:tc>
          <w:tcPr>
            <w:tcW w:w="876"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3</w:t>
            </w:r>
          </w:p>
        </w:tc>
        <w:tc>
          <w:tcPr>
            <w:tcW w:w="1733"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40</w:t>
            </w:r>
          </w:p>
        </w:tc>
        <w:tc>
          <w:tcPr>
            <w:tcW w:w="2391"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15</w:t>
            </w:r>
          </w:p>
        </w:tc>
      </w:tr>
      <w:tr w:rsidR="000B2076" w:rsidRPr="00872519" w:rsidTr="000432C7">
        <w:trPr>
          <w:trHeight w:val="330"/>
        </w:trPr>
        <w:tc>
          <w:tcPr>
            <w:tcW w:w="876"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4</w:t>
            </w:r>
          </w:p>
        </w:tc>
        <w:tc>
          <w:tcPr>
            <w:tcW w:w="1733"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55</w:t>
            </w:r>
          </w:p>
        </w:tc>
        <w:tc>
          <w:tcPr>
            <w:tcW w:w="2391"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-40</w:t>
            </w:r>
          </w:p>
        </w:tc>
      </w:tr>
      <w:tr w:rsidR="000B2076" w:rsidRPr="00872519" w:rsidTr="000432C7">
        <w:trPr>
          <w:trHeight w:val="330"/>
        </w:trPr>
        <w:tc>
          <w:tcPr>
            <w:tcW w:w="5000" w:type="pct"/>
            <w:gridSpan w:val="3"/>
          </w:tcPr>
          <w:p w:rsidR="000B2076" w:rsidRDefault="000B2076" w:rsidP="00860E31">
            <w:pPr>
              <w:spacing w:line="360" w:lineRule="auto"/>
              <w:rPr>
                <w:rFonts w:eastAsia="Times New Roman" w:cs="Times New Roman"/>
                <w:color w:val="000000"/>
                <w:szCs w:val="24"/>
              </w:rPr>
            </w:pPr>
            <w:r>
              <w:rPr>
                <w:rFonts w:eastAsia="Times New Roman" w:cs="Times New Roman"/>
                <w:color w:val="000000"/>
                <w:szCs w:val="24"/>
              </w:rPr>
              <w:t>[(40*3)-85]= 35</w:t>
            </w:r>
          </w:p>
          <w:p w:rsidR="000B2076" w:rsidRDefault="000B2076" w:rsidP="00860E31">
            <w:pPr>
              <w:spacing w:line="360" w:lineRule="auto"/>
              <w:rPr>
                <w:rFonts w:eastAsia="Times New Roman" w:cs="Times New Roman"/>
                <w:color w:val="000000"/>
                <w:szCs w:val="24"/>
              </w:rPr>
            </w:pPr>
            <w:r>
              <w:rPr>
                <w:rFonts w:eastAsia="Times New Roman" w:cs="Times New Roman"/>
                <w:color w:val="000000"/>
                <w:szCs w:val="24"/>
              </w:rPr>
              <w:t>[35/40] = 0.87</w:t>
            </w:r>
          </w:p>
          <w:p w:rsidR="000B2076" w:rsidRDefault="000B2076" w:rsidP="00860E31">
            <w:pPr>
              <w:spacing w:line="360" w:lineRule="auto"/>
              <w:rPr>
                <w:rFonts w:eastAsia="Times New Roman" w:cs="Times New Roman"/>
                <w:color w:val="000000"/>
                <w:szCs w:val="24"/>
              </w:rPr>
            </w:pPr>
            <w:r>
              <w:rPr>
                <w:rFonts w:eastAsia="Times New Roman" w:cs="Times New Roman"/>
                <w:color w:val="000000"/>
                <w:szCs w:val="24"/>
              </w:rPr>
              <w:t>Payback Period= (3+.87)</w:t>
            </w:r>
          </w:p>
          <w:p w:rsidR="000B2076" w:rsidRPr="00872519" w:rsidRDefault="000B2076" w:rsidP="00860E31">
            <w:pPr>
              <w:spacing w:line="360" w:lineRule="auto"/>
              <w:rPr>
                <w:rFonts w:eastAsia="Times New Roman" w:cs="Times New Roman"/>
                <w:color w:val="000000"/>
                <w:szCs w:val="24"/>
              </w:rPr>
            </w:pPr>
            <w:r>
              <w:rPr>
                <w:rFonts w:eastAsia="Times New Roman" w:cs="Times New Roman"/>
                <w:color w:val="000000"/>
                <w:szCs w:val="24"/>
              </w:rPr>
              <w:t xml:space="preserve">                         =3.87 years </w:t>
            </w:r>
          </w:p>
        </w:tc>
      </w:tr>
    </w:tbl>
    <w:p w:rsidR="000B2076" w:rsidRDefault="000B2076" w:rsidP="00860E31">
      <w:pPr>
        <w:spacing w:line="360" w:lineRule="auto"/>
      </w:pPr>
    </w:p>
    <w:p w:rsidR="000B2076" w:rsidRDefault="000B2076" w:rsidP="00860E31">
      <w:pPr>
        <w:spacing w:line="360" w:lineRule="auto"/>
      </w:pPr>
      <w:r>
        <w:t>Project B</w:t>
      </w:r>
    </w:p>
    <w:tbl>
      <w:tblPr>
        <w:tblStyle w:val="TableGrid"/>
        <w:tblW w:w="5000" w:type="pct"/>
        <w:tblLook w:val="04A0" w:firstRow="1" w:lastRow="0" w:firstColumn="1" w:lastColumn="0" w:noHBand="0" w:noVBand="1"/>
      </w:tblPr>
      <w:tblGrid>
        <w:gridCol w:w="2490"/>
        <w:gridCol w:w="2523"/>
        <w:gridCol w:w="4337"/>
      </w:tblGrid>
      <w:tr w:rsidR="000B2076" w:rsidRPr="00872519" w:rsidTr="000432C7">
        <w:trPr>
          <w:trHeight w:val="330"/>
        </w:trPr>
        <w:tc>
          <w:tcPr>
            <w:tcW w:w="1332" w:type="pct"/>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Year</w:t>
            </w:r>
          </w:p>
        </w:tc>
        <w:tc>
          <w:tcPr>
            <w:tcW w:w="1349" w:type="pct"/>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Cash flow</w:t>
            </w:r>
          </w:p>
        </w:tc>
        <w:tc>
          <w:tcPr>
            <w:tcW w:w="2319" w:type="pct"/>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Cumulative cash flow</w:t>
            </w:r>
          </w:p>
        </w:tc>
      </w:tr>
      <w:tr w:rsidR="000B2076" w:rsidRPr="00872519" w:rsidTr="000432C7">
        <w:trPr>
          <w:trHeight w:val="330"/>
        </w:trPr>
        <w:tc>
          <w:tcPr>
            <w:tcW w:w="1332" w:type="pct"/>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0</w:t>
            </w:r>
          </w:p>
        </w:tc>
        <w:tc>
          <w:tcPr>
            <w:tcW w:w="1349" w:type="pct"/>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-90</w:t>
            </w:r>
          </w:p>
        </w:tc>
        <w:tc>
          <w:tcPr>
            <w:tcW w:w="2319" w:type="pct"/>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90</w:t>
            </w:r>
          </w:p>
        </w:tc>
      </w:tr>
      <w:tr w:rsidR="000B2076" w:rsidRPr="00872519" w:rsidTr="000432C7">
        <w:trPr>
          <w:trHeight w:val="330"/>
        </w:trPr>
        <w:tc>
          <w:tcPr>
            <w:tcW w:w="1332"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1</w:t>
            </w:r>
          </w:p>
        </w:tc>
        <w:tc>
          <w:tcPr>
            <w:tcW w:w="1349"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25</w:t>
            </w:r>
          </w:p>
        </w:tc>
        <w:tc>
          <w:tcPr>
            <w:tcW w:w="2319"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65</w:t>
            </w:r>
          </w:p>
        </w:tc>
      </w:tr>
      <w:tr w:rsidR="000B2076" w:rsidRPr="00872519" w:rsidTr="000432C7">
        <w:trPr>
          <w:trHeight w:val="330"/>
        </w:trPr>
        <w:tc>
          <w:tcPr>
            <w:tcW w:w="1332"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2</w:t>
            </w:r>
          </w:p>
        </w:tc>
        <w:tc>
          <w:tcPr>
            <w:tcW w:w="1349"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30</w:t>
            </w:r>
          </w:p>
        </w:tc>
        <w:tc>
          <w:tcPr>
            <w:tcW w:w="2319"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35</w:t>
            </w:r>
          </w:p>
        </w:tc>
      </w:tr>
      <w:tr w:rsidR="000B2076" w:rsidRPr="00872519" w:rsidTr="000432C7">
        <w:trPr>
          <w:trHeight w:val="330"/>
        </w:trPr>
        <w:tc>
          <w:tcPr>
            <w:tcW w:w="1332" w:type="pct"/>
            <w:shd w:val="clear" w:color="auto" w:fill="92D050"/>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3</w:t>
            </w:r>
          </w:p>
        </w:tc>
        <w:tc>
          <w:tcPr>
            <w:tcW w:w="1349" w:type="pct"/>
            <w:shd w:val="clear" w:color="auto" w:fill="92D050"/>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35</w:t>
            </w:r>
          </w:p>
        </w:tc>
        <w:tc>
          <w:tcPr>
            <w:tcW w:w="2319" w:type="pct"/>
            <w:shd w:val="clear" w:color="auto" w:fill="92D050"/>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0</w:t>
            </w:r>
          </w:p>
        </w:tc>
      </w:tr>
      <w:tr w:rsidR="000B2076" w:rsidRPr="00872519" w:rsidTr="000432C7">
        <w:trPr>
          <w:trHeight w:val="330"/>
        </w:trPr>
        <w:tc>
          <w:tcPr>
            <w:tcW w:w="1332"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4</w:t>
            </w:r>
          </w:p>
        </w:tc>
        <w:tc>
          <w:tcPr>
            <w:tcW w:w="1349"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40</w:t>
            </w:r>
          </w:p>
        </w:tc>
        <w:tc>
          <w:tcPr>
            <w:tcW w:w="2319" w:type="pct"/>
            <w:hideMark/>
          </w:tcPr>
          <w:p w:rsidR="000B2076" w:rsidRPr="00872519" w:rsidRDefault="000B2076" w:rsidP="00860E31">
            <w:pPr>
              <w:spacing w:line="360" w:lineRule="auto"/>
              <w:rPr>
                <w:rFonts w:eastAsia="Times New Roman" w:cs="Times New Roman"/>
                <w:color w:val="000000"/>
                <w:szCs w:val="24"/>
              </w:rPr>
            </w:pPr>
            <w:r w:rsidRPr="00872519">
              <w:rPr>
                <w:rFonts w:eastAsia="Times New Roman" w:cs="Times New Roman"/>
                <w:color w:val="000000"/>
                <w:szCs w:val="24"/>
              </w:rPr>
              <w:t>-40</w:t>
            </w:r>
          </w:p>
        </w:tc>
      </w:tr>
      <w:tr w:rsidR="000B2076" w:rsidRPr="00872519" w:rsidTr="000432C7">
        <w:trPr>
          <w:trHeight w:val="330"/>
        </w:trPr>
        <w:tc>
          <w:tcPr>
            <w:tcW w:w="5000" w:type="pct"/>
            <w:gridSpan w:val="3"/>
          </w:tcPr>
          <w:p w:rsidR="000B2076" w:rsidRDefault="000B2076" w:rsidP="00860E31">
            <w:pPr>
              <w:spacing w:line="360" w:lineRule="auto"/>
              <w:rPr>
                <w:rFonts w:eastAsia="Times New Roman" w:cs="Times New Roman"/>
                <w:color w:val="000000"/>
                <w:szCs w:val="24"/>
              </w:rPr>
            </w:pPr>
            <w:r>
              <w:rPr>
                <w:rFonts w:eastAsia="Times New Roman" w:cs="Times New Roman"/>
                <w:color w:val="000000"/>
                <w:szCs w:val="24"/>
              </w:rPr>
              <w:t>[(35*3)-90] = 15</w:t>
            </w:r>
          </w:p>
          <w:p w:rsidR="000B2076" w:rsidRDefault="000B2076" w:rsidP="00860E31">
            <w:pPr>
              <w:spacing w:line="360" w:lineRule="auto"/>
              <w:rPr>
                <w:rFonts w:eastAsia="Times New Roman" w:cs="Times New Roman"/>
                <w:color w:val="000000"/>
                <w:szCs w:val="24"/>
              </w:rPr>
            </w:pPr>
            <w:r>
              <w:rPr>
                <w:rFonts w:eastAsia="Times New Roman" w:cs="Times New Roman"/>
                <w:color w:val="000000"/>
                <w:szCs w:val="24"/>
              </w:rPr>
              <w:t>[15/35]= 0.43</w:t>
            </w:r>
          </w:p>
          <w:p w:rsidR="000B2076" w:rsidRDefault="000B2076" w:rsidP="00860E31">
            <w:pPr>
              <w:spacing w:line="360" w:lineRule="auto"/>
              <w:rPr>
                <w:rFonts w:eastAsia="Times New Roman" w:cs="Times New Roman"/>
                <w:color w:val="000000"/>
                <w:szCs w:val="24"/>
              </w:rPr>
            </w:pPr>
            <w:r>
              <w:rPr>
                <w:rFonts w:eastAsia="Times New Roman" w:cs="Times New Roman"/>
                <w:color w:val="000000"/>
                <w:szCs w:val="24"/>
              </w:rPr>
              <w:t>Payback Period= (3+.43)</w:t>
            </w:r>
          </w:p>
          <w:p w:rsidR="000B2076" w:rsidRPr="00872519" w:rsidRDefault="000B2076" w:rsidP="00860E31">
            <w:pPr>
              <w:spacing w:line="360" w:lineRule="auto"/>
              <w:rPr>
                <w:rFonts w:eastAsia="Times New Roman" w:cs="Times New Roman"/>
                <w:color w:val="000000"/>
                <w:szCs w:val="24"/>
              </w:rPr>
            </w:pPr>
            <w:r>
              <w:rPr>
                <w:rFonts w:eastAsia="Times New Roman" w:cs="Times New Roman"/>
                <w:color w:val="000000"/>
                <w:szCs w:val="24"/>
              </w:rPr>
              <w:t xml:space="preserve">                         =3.43 years </w:t>
            </w:r>
          </w:p>
        </w:tc>
      </w:tr>
    </w:tbl>
    <w:p w:rsidR="000B2076" w:rsidRDefault="000B2076" w:rsidP="00860E31">
      <w:pPr>
        <w:spacing w:line="360" w:lineRule="auto"/>
      </w:pPr>
    </w:p>
    <w:p w:rsidR="000B2076" w:rsidRDefault="000B2076" w:rsidP="00860E31">
      <w:pPr>
        <w:spacing w:line="360" w:lineRule="auto"/>
      </w:pPr>
      <w:r w:rsidRPr="00310F6F">
        <w:rPr>
          <w:b/>
        </w:rPr>
        <w:lastRenderedPageBreak/>
        <w:t xml:space="preserve">Evaluation and </w:t>
      </w:r>
      <w:r w:rsidRPr="005B65FF">
        <w:rPr>
          <w:b/>
        </w:rPr>
        <w:t>Recommendation:</w:t>
      </w:r>
      <w:r>
        <w:t xml:space="preserve"> Comparing between project A and Project B, the study found that the Project b will be required less time to recover the initial investment. S0, the study recommended that if M&amp;S chose one project between project A and B, the company should choose Project B because it will be required less time </w:t>
      </w:r>
      <w:r w:rsidR="00860E31">
        <w:t>to recover initial investment.</w:t>
      </w:r>
    </w:p>
    <w:p w:rsidR="000B2076" w:rsidRPr="0020740B" w:rsidRDefault="000B2076" w:rsidP="00860E31">
      <w:pPr>
        <w:pStyle w:val="Heading2"/>
      </w:pPr>
      <w:bookmarkStart w:id="12" w:name="_Toc60927302"/>
      <w:r w:rsidRPr="0020740B">
        <w:t>ARR calculation of project A and Project B</w:t>
      </w:r>
      <w:bookmarkEnd w:id="12"/>
    </w:p>
    <w:p w:rsidR="000B2076" w:rsidRDefault="000B2076" w:rsidP="00860E31">
      <w:pPr>
        <w:spacing w:line="360" w:lineRule="auto"/>
      </w:pPr>
      <w:r>
        <w:t>ARR is an investment appraisal technique, which facilitates to choose an investment project based on the average rate of profit of a project</w:t>
      </w:r>
      <w:r w:rsidR="00DB1B76">
        <w:t xml:space="preserve"> (Banerjee, 2015)</w:t>
      </w:r>
      <w:r>
        <w:t xml:space="preserve">. </w:t>
      </w:r>
    </w:p>
    <w:p w:rsidR="000B2076" w:rsidRPr="00882537" w:rsidRDefault="000B2076" w:rsidP="00860E31">
      <w:pPr>
        <w:spacing w:line="360" w:lineRule="auto"/>
        <w:rPr>
          <w:b/>
        </w:rPr>
      </w:pPr>
      <w:r w:rsidRPr="00882537">
        <w:rPr>
          <w:b/>
        </w:rPr>
        <w:t>Project A</w:t>
      </w:r>
    </w:p>
    <w:tbl>
      <w:tblPr>
        <w:tblStyle w:val="TableGrid"/>
        <w:tblW w:w="5000" w:type="pct"/>
        <w:tblLook w:val="04A0" w:firstRow="1" w:lastRow="0" w:firstColumn="1" w:lastColumn="0" w:noHBand="0" w:noVBand="1"/>
      </w:tblPr>
      <w:tblGrid>
        <w:gridCol w:w="2305"/>
        <w:gridCol w:w="3119"/>
        <w:gridCol w:w="2366"/>
        <w:gridCol w:w="1560"/>
      </w:tblGrid>
      <w:tr w:rsidR="000B2076" w:rsidRPr="00742254" w:rsidTr="000432C7">
        <w:trPr>
          <w:trHeight w:val="300"/>
        </w:trPr>
        <w:tc>
          <w:tcPr>
            <w:tcW w:w="1233" w:type="pct"/>
            <w:noWrap/>
            <w:hideMark/>
          </w:tcPr>
          <w:p w:rsidR="000B2076" w:rsidRPr="00742254" w:rsidRDefault="000B2076" w:rsidP="00860E31">
            <w:pPr>
              <w:spacing w:line="360" w:lineRule="auto"/>
            </w:pPr>
            <w:r w:rsidRPr="00742254">
              <w:t>Year</w:t>
            </w:r>
          </w:p>
        </w:tc>
        <w:tc>
          <w:tcPr>
            <w:tcW w:w="1668" w:type="pct"/>
            <w:noWrap/>
            <w:hideMark/>
          </w:tcPr>
          <w:p w:rsidR="000B2076" w:rsidRPr="00742254" w:rsidRDefault="000B2076" w:rsidP="00860E31">
            <w:pPr>
              <w:spacing w:line="360" w:lineRule="auto"/>
            </w:pPr>
            <w:r w:rsidRPr="00742254">
              <w:t>Cash flow</w:t>
            </w:r>
          </w:p>
        </w:tc>
        <w:tc>
          <w:tcPr>
            <w:tcW w:w="1265" w:type="pct"/>
            <w:noWrap/>
            <w:hideMark/>
          </w:tcPr>
          <w:p w:rsidR="000B2076" w:rsidRPr="00742254" w:rsidRDefault="000B2076" w:rsidP="00860E31">
            <w:pPr>
              <w:spacing w:line="360" w:lineRule="auto"/>
            </w:pPr>
            <w:r w:rsidRPr="00742254">
              <w:t>Dep</w:t>
            </w:r>
            <w:r>
              <w:t xml:space="preserve">reciation </w:t>
            </w:r>
          </w:p>
        </w:tc>
        <w:tc>
          <w:tcPr>
            <w:tcW w:w="834" w:type="pct"/>
            <w:noWrap/>
            <w:hideMark/>
          </w:tcPr>
          <w:p w:rsidR="000B2076" w:rsidRPr="00742254" w:rsidRDefault="000B2076" w:rsidP="00860E31">
            <w:pPr>
              <w:spacing w:line="360" w:lineRule="auto"/>
            </w:pPr>
            <w:r>
              <w:t xml:space="preserve">Net profit </w:t>
            </w:r>
          </w:p>
        </w:tc>
      </w:tr>
      <w:tr w:rsidR="000B2076" w:rsidRPr="00742254" w:rsidTr="000432C7">
        <w:trPr>
          <w:trHeight w:val="300"/>
        </w:trPr>
        <w:tc>
          <w:tcPr>
            <w:tcW w:w="1233" w:type="pct"/>
            <w:noWrap/>
            <w:hideMark/>
          </w:tcPr>
          <w:p w:rsidR="000B2076" w:rsidRPr="00742254" w:rsidRDefault="000B2076" w:rsidP="00860E31">
            <w:pPr>
              <w:spacing w:line="360" w:lineRule="auto"/>
            </w:pPr>
            <w:r w:rsidRPr="00742254">
              <w:t>1</w:t>
            </w:r>
          </w:p>
        </w:tc>
        <w:tc>
          <w:tcPr>
            <w:tcW w:w="1668" w:type="pct"/>
            <w:noWrap/>
            <w:hideMark/>
          </w:tcPr>
          <w:p w:rsidR="000B2076" w:rsidRPr="00742254" w:rsidRDefault="000B2076" w:rsidP="00860E31">
            <w:pPr>
              <w:spacing w:line="360" w:lineRule="auto"/>
            </w:pPr>
            <w:r w:rsidRPr="00742254">
              <w:t>10</w:t>
            </w:r>
          </w:p>
        </w:tc>
        <w:tc>
          <w:tcPr>
            <w:tcW w:w="1265" w:type="pct"/>
            <w:noWrap/>
            <w:hideMark/>
          </w:tcPr>
          <w:p w:rsidR="000B2076" w:rsidRPr="00742254" w:rsidRDefault="000B2076" w:rsidP="00860E31">
            <w:pPr>
              <w:spacing w:line="360" w:lineRule="auto"/>
            </w:pPr>
            <w:r w:rsidRPr="00742254">
              <w:t>21.25</w:t>
            </w:r>
          </w:p>
        </w:tc>
        <w:tc>
          <w:tcPr>
            <w:tcW w:w="834" w:type="pct"/>
            <w:noWrap/>
            <w:hideMark/>
          </w:tcPr>
          <w:p w:rsidR="000B2076" w:rsidRPr="00742254" w:rsidRDefault="000B2076" w:rsidP="00860E31">
            <w:pPr>
              <w:spacing w:line="360" w:lineRule="auto"/>
            </w:pPr>
            <w:r w:rsidRPr="00742254">
              <w:t>-11.25</w:t>
            </w:r>
          </w:p>
        </w:tc>
      </w:tr>
      <w:tr w:rsidR="000B2076" w:rsidRPr="00742254" w:rsidTr="000432C7">
        <w:trPr>
          <w:trHeight w:val="300"/>
        </w:trPr>
        <w:tc>
          <w:tcPr>
            <w:tcW w:w="1233" w:type="pct"/>
            <w:noWrap/>
            <w:hideMark/>
          </w:tcPr>
          <w:p w:rsidR="000B2076" w:rsidRPr="00742254" w:rsidRDefault="000B2076" w:rsidP="00860E31">
            <w:pPr>
              <w:spacing w:line="360" w:lineRule="auto"/>
            </w:pPr>
            <w:r w:rsidRPr="00742254">
              <w:t>2</w:t>
            </w:r>
          </w:p>
        </w:tc>
        <w:tc>
          <w:tcPr>
            <w:tcW w:w="1668" w:type="pct"/>
            <w:noWrap/>
            <w:hideMark/>
          </w:tcPr>
          <w:p w:rsidR="000B2076" w:rsidRPr="00742254" w:rsidRDefault="000B2076" w:rsidP="00860E31">
            <w:pPr>
              <w:spacing w:line="360" w:lineRule="auto"/>
            </w:pPr>
            <w:r w:rsidRPr="00742254">
              <w:t>20</w:t>
            </w:r>
          </w:p>
        </w:tc>
        <w:tc>
          <w:tcPr>
            <w:tcW w:w="1265" w:type="pct"/>
            <w:noWrap/>
            <w:hideMark/>
          </w:tcPr>
          <w:p w:rsidR="000B2076" w:rsidRPr="00742254" w:rsidRDefault="000B2076" w:rsidP="00860E31">
            <w:pPr>
              <w:spacing w:line="360" w:lineRule="auto"/>
            </w:pPr>
            <w:r w:rsidRPr="00742254">
              <w:t>21.25</w:t>
            </w:r>
          </w:p>
        </w:tc>
        <w:tc>
          <w:tcPr>
            <w:tcW w:w="834" w:type="pct"/>
            <w:noWrap/>
            <w:hideMark/>
          </w:tcPr>
          <w:p w:rsidR="000B2076" w:rsidRPr="00742254" w:rsidRDefault="000B2076" w:rsidP="00860E31">
            <w:pPr>
              <w:spacing w:line="360" w:lineRule="auto"/>
            </w:pPr>
            <w:r w:rsidRPr="00742254">
              <w:t>-1.25</w:t>
            </w:r>
          </w:p>
        </w:tc>
      </w:tr>
      <w:tr w:rsidR="000B2076" w:rsidRPr="00742254" w:rsidTr="000432C7">
        <w:trPr>
          <w:trHeight w:val="300"/>
        </w:trPr>
        <w:tc>
          <w:tcPr>
            <w:tcW w:w="1233" w:type="pct"/>
            <w:noWrap/>
            <w:hideMark/>
          </w:tcPr>
          <w:p w:rsidR="000B2076" w:rsidRPr="00742254" w:rsidRDefault="000B2076" w:rsidP="00860E31">
            <w:pPr>
              <w:spacing w:line="360" w:lineRule="auto"/>
            </w:pPr>
            <w:r w:rsidRPr="00742254">
              <w:t>3</w:t>
            </w:r>
          </w:p>
        </w:tc>
        <w:tc>
          <w:tcPr>
            <w:tcW w:w="1668" w:type="pct"/>
            <w:noWrap/>
            <w:hideMark/>
          </w:tcPr>
          <w:p w:rsidR="000B2076" w:rsidRPr="00742254" w:rsidRDefault="000B2076" w:rsidP="00860E31">
            <w:pPr>
              <w:spacing w:line="360" w:lineRule="auto"/>
            </w:pPr>
            <w:r w:rsidRPr="00742254">
              <w:t>40</w:t>
            </w:r>
          </w:p>
        </w:tc>
        <w:tc>
          <w:tcPr>
            <w:tcW w:w="1265" w:type="pct"/>
            <w:noWrap/>
            <w:hideMark/>
          </w:tcPr>
          <w:p w:rsidR="000B2076" w:rsidRPr="00742254" w:rsidRDefault="000B2076" w:rsidP="00860E31">
            <w:pPr>
              <w:spacing w:line="360" w:lineRule="auto"/>
            </w:pPr>
            <w:r w:rsidRPr="00742254">
              <w:t>21.25</w:t>
            </w:r>
          </w:p>
        </w:tc>
        <w:tc>
          <w:tcPr>
            <w:tcW w:w="834" w:type="pct"/>
            <w:noWrap/>
            <w:hideMark/>
          </w:tcPr>
          <w:p w:rsidR="000B2076" w:rsidRPr="00742254" w:rsidRDefault="000B2076" w:rsidP="00860E31">
            <w:pPr>
              <w:spacing w:line="360" w:lineRule="auto"/>
            </w:pPr>
            <w:r w:rsidRPr="00742254">
              <w:t>18.75</w:t>
            </w:r>
          </w:p>
        </w:tc>
      </w:tr>
      <w:tr w:rsidR="000B2076" w:rsidRPr="00742254" w:rsidTr="000432C7">
        <w:trPr>
          <w:trHeight w:val="300"/>
        </w:trPr>
        <w:tc>
          <w:tcPr>
            <w:tcW w:w="1233" w:type="pct"/>
            <w:noWrap/>
            <w:hideMark/>
          </w:tcPr>
          <w:p w:rsidR="000B2076" w:rsidRPr="00742254" w:rsidRDefault="000B2076" w:rsidP="00860E31">
            <w:pPr>
              <w:spacing w:line="360" w:lineRule="auto"/>
            </w:pPr>
            <w:r w:rsidRPr="00742254">
              <w:t>4</w:t>
            </w:r>
          </w:p>
        </w:tc>
        <w:tc>
          <w:tcPr>
            <w:tcW w:w="1668" w:type="pct"/>
            <w:noWrap/>
            <w:hideMark/>
          </w:tcPr>
          <w:p w:rsidR="000B2076" w:rsidRPr="00742254" w:rsidRDefault="000B2076" w:rsidP="00860E31">
            <w:pPr>
              <w:spacing w:line="360" w:lineRule="auto"/>
            </w:pPr>
            <w:r w:rsidRPr="00742254">
              <w:t>55</w:t>
            </w:r>
          </w:p>
        </w:tc>
        <w:tc>
          <w:tcPr>
            <w:tcW w:w="1265" w:type="pct"/>
            <w:noWrap/>
            <w:hideMark/>
          </w:tcPr>
          <w:p w:rsidR="000B2076" w:rsidRPr="00742254" w:rsidRDefault="000B2076" w:rsidP="00860E31">
            <w:pPr>
              <w:spacing w:line="360" w:lineRule="auto"/>
            </w:pPr>
            <w:r w:rsidRPr="00742254">
              <w:t>21.25</w:t>
            </w:r>
          </w:p>
        </w:tc>
        <w:tc>
          <w:tcPr>
            <w:tcW w:w="834" w:type="pct"/>
            <w:noWrap/>
            <w:hideMark/>
          </w:tcPr>
          <w:p w:rsidR="000B2076" w:rsidRPr="00742254" w:rsidRDefault="000B2076" w:rsidP="00860E31">
            <w:pPr>
              <w:spacing w:line="360" w:lineRule="auto"/>
            </w:pPr>
            <w:r w:rsidRPr="00742254">
              <w:t>33.75</w:t>
            </w:r>
          </w:p>
        </w:tc>
      </w:tr>
      <w:tr w:rsidR="000B2076" w:rsidRPr="00742254" w:rsidTr="000432C7">
        <w:trPr>
          <w:trHeight w:val="300"/>
        </w:trPr>
        <w:tc>
          <w:tcPr>
            <w:tcW w:w="1233" w:type="pct"/>
            <w:noWrap/>
            <w:hideMark/>
          </w:tcPr>
          <w:p w:rsidR="000B2076" w:rsidRPr="00742254" w:rsidRDefault="000B2076" w:rsidP="00860E31">
            <w:pPr>
              <w:spacing w:line="360" w:lineRule="auto"/>
            </w:pPr>
            <w:r>
              <w:t xml:space="preserve">Total net profit </w:t>
            </w:r>
          </w:p>
        </w:tc>
        <w:tc>
          <w:tcPr>
            <w:tcW w:w="1668" w:type="pct"/>
            <w:noWrap/>
            <w:hideMark/>
          </w:tcPr>
          <w:p w:rsidR="000B2076" w:rsidRPr="00742254" w:rsidRDefault="000B2076" w:rsidP="00860E31">
            <w:pPr>
              <w:spacing w:line="360" w:lineRule="auto"/>
            </w:pPr>
          </w:p>
        </w:tc>
        <w:tc>
          <w:tcPr>
            <w:tcW w:w="1265" w:type="pct"/>
            <w:noWrap/>
            <w:hideMark/>
          </w:tcPr>
          <w:p w:rsidR="000B2076" w:rsidRPr="00742254" w:rsidRDefault="000B2076" w:rsidP="00860E31">
            <w:pPr>
              <w:spacing w:line="360" w:lineRule="auto"/>
            </w:pPr>
          </w:p>
        </w:tc>
        <w:tc>
          <w:tcPr>
            <w:tcW w:w="834" w:type="pct"/>
            <w:noWrap/>
            <w:hideMark/>
          </w:tcPr>
          <w:p w:rsidR="000B2076" w:rsidRPr="00742254" w:rsidRDefault="000B2076" w:rsidP="00860E31">
            <w:pPr>
              <w:spacing w:line="360" w:lineRule="auto"/>
            </w:pPr>
            <w:r w:rsidRPr="00742254">
              <w:t>40</w:t>
            </w:r>
          </w:p>
        </w:tc>
      </w:tr>
    </w:tbl>
    <w:p w:rsidR="000B2076" w:rsidRDefault="000B2076" w:rsidP="00860E31">
      <w:pPr>
        <w:spacing w:line="360" w:lineRule="auto"/>
      </w:pPr>
    </w:p>
    <w:p w:rsidR="000B2076" w:rsidRDefault="000B2076" w:rsidP="00860E31">
      <w:pPr>
        <w:spacing w:line="360" w:lineRule="auto"/>
      </w:pPr>
      <w:r>
        <w:t>Average profit = (Total profit/ total years)</w:t>
      </w:r>
    </w:p>
    <w:p w:rsidR="000B2076" w:rsidRDefault="000B2076" w:rsidP="00860E31">
      <w:pPr>
        <w:spacing w:line="360" w:lineRule="auto"/>
      </w:pPr>
      <w:r>
        <w:t>= (40/4) = 10</w:t>
      </w:r>
    </w:p>
    <w:p w:rsidR="000B2076" w:rsidRDefault="000B2076" w:rsidP="00860E31">
      <w:pPr>
        <w:spacing w:line="360" w:lineRule="auto"/>
      </w:pPr>
      <w:r>
        <w:t>Average capital investment = [(Initial investment + Residual value)/ 2]</w:t>
      </w:r>
    </w:p>
    <w:p w:rsidR="000B2076" w:rsidRDefault="000B2076" w:rsidP="00860E31">
      <w:pPr>
        <w:spacing w:line="360" w:lineRule="auto"/>
      </w:pPr>
      <w:r>
        <w:t>[(85+0)/2] = 42.5</w:t>
      </w:r>
    </w:p>
    <w:p w:rsidR="000B2076" w:rsidRDefault="000B2076" w:rsidP="00860E31">
      <w:pPr>
        <w:spacing w:line="360" w:lineRule="auto"/>
      </w:pPr>
      <w:r>
        <w:t>ARR = [(Average profit *100)/ Average capital investment]</w:t>
      </w:r>
    </w:p>
    <w:p w:rsidR="000B2076" w:rsidRDefault="000B2076" w:rsidP="00860E31">
      <w:pPr>
        <w:spacing w:line="360" w:lineRule="auto"/>
      </w:pPr>
      <w:r>
        <w:t>= [(10*100)/</w:t>
      </w:r>
      <w:r w:rsidRPr="00312431">
        <w:t xml:space="preserve"> </w:t>
      </w:r>
      <w:r>
        <w:t>42.5]</w:t>
      </w:r>
    </w:p>
    <w:p w:rsidR="000B2076" w:rsidRDefault="000B2076" w:rsidP="00860E31">
      <w:pPr>
        <w:spacing w:line="360" w:lineRule="auto"/>
      </w:pPr>
      <w:r>
        <w:t>=23.53%</w:t>
      </w:r>
    </w:p>
    <w:p w:rsidR="000B2076" w:rsidRPr="00882537" w:rsidRDefault="000B2076" w:rsidP="00860E31">
      <w:pPr>
        <w:spacing w:line="360" w:lineRule="auto"/>
        <w:rPr>
          <w:b/>
        </w:rPr>
      </w:pPr>
      <w:r w:rsidRPr="00882537">
        <w:rPr>
          <w:b/>
        </w:rPr>
        <w:t>Project B</w:t>
      </w:r>
    </w:p>
    <w:tbl>
      <w:tblPr>
        <w:tblStyle w:val="TableGrid"/>
        <w:tblW w:w="5000" w:type="pct"/>
        <w:tblLook w:val="04A0" w:firstRow="1" w:lastRow="0" w:firstColumn="1" w:lastColumn="0" w:noHBand="0" w:noVBand="1"/>
      </w:tblPr>
      <w:tblGrid>
        <w:gridCol w:w="1964"/>
        <w:gridCol w:w="3967"/>
        <w:gridCol w:w="1456"/>
        <w:gridCol w:w="1963"/>
      </w:tblGrid>
      <w:tr w:rsidR="000B2076" w:rsidRPr="00312431" w:rsidTr="000432C7">
        <w:trPr>
          <w:trHeight w:val="300"/>
        </w:trPr>
        <w:tc>
          <w:tcPr>
            <w:tcW w:w="1072" w:type="pct"/>
            <w:noWrap/>
            <w:hideMark/>
          </w:tcPr>
          <w:p w:rsidR="000B2076" w:rsidRPr="00312431" w:rsidRDefault="000B2076" w:rsidP="00860E31">
            <w:pPr>
              <w:spacing w:line="360" w:lineRule="auto"/>
            </w:pPr>
            <w:r w:rsidRPr="00312431">
              <w:t>Year</w:t>
            </w:r>
          </w:p>
        </w:tc>
        <w:tc>
          <w:tcPr>
            <w:tcW w:w="2143" w:type="pct"/>
            <w:noWrap/>
            <w:hideMark/>
          </w:tcPr>
          <w:p w:rsidR="000B2076" w:rsidRPr="00312431" w:rsidRDefault="000B2076" w:rsidP="00860E31">
            <w:pPr>
              <w:spacing w:line="360" w:lineRule="auto"/>
            </w:pPr>
            <w:r w:rsidRPr="00312431">
              <w:t>Cash flow</w:t>
            </w:r>
          </w:p>
        </w:tc>
        <w:tc>
          <w:tcPr>
            <w:tcW w:w="714" w:type="pct"/>
          </w:tcPr>
          <w:p w:rsidR="000B2076" w:rsidRPr="00742254" w:rsidRDefault="000B2076" w:rsidP="00860E31">
            <w:pPr>
              <w:spacing w:line="360" w:lineRule="auto"/>
            </w:pPr>
            <w:r w:rsidRPr="00742254">
              <w:t>Dep</w:t>
            </w:r>
            <w:r>
              <w:t xml:space="preserve">reciation </w:t>
            </w:r>
          </w:p>
        </w:tc>
        <w:tc>
          <w:tcPr>
            <w:tcW w:w="1071" w:type="pct"/>
            <w:noWrap/>
            <w:hideMark/>
          </w:tcPr>
          <w:p w:rsidR="000B2076" w:rsidRPr="00742254" w:rsidRDefault="000B2076" w:rsidP="00860E31">
            <w:pPr>
              <w:spacing w:line="360" w:lineRule="auto"/>
            </w:pPr>
            <w:r>
              <w:t xml:space="preserve">Net profit </w:t>
            </w:r>
          </w:p>
        </w:tc>
      </w:tr>
      <w:tr w:rsidR="000B2076" w:rsidRPr="00312431" w:rsidTr="000432C7">
        <w:trPr>
          <w:trHeight w:val="300"/>
        </w:trPr>
        <w:tc>
          <w:tcPr>
            <w:tcW w:w="1072" w:type="pct"/>
            <w:noWrap/>
            <w:hideMark/>
          </w:tcPr>
          <w:p w:rsidR="000B2076" w:rsidRPr="00312431" w:rsidRDefault="000B2076" w:rsidP="00860E31">
            <w:pPr>
              <w:spacing w:line="360" w:lineRule="auto"/>
            </w:pPr>
            <w:r w:rsidRPr="00312431">
              <w:t>1</w:t>
            </w:r>
          </w:p>
        </w:tc>
        <w:tc>
          <w:tcPr>
            <w:tcW w:w="2143" w:type="pct"/>
            <w:noWrap/>
            <w:hideMark/>
          </w:tcPr>
          <w:p w:rsidR="000B2076" w:rsidRPr="00312431" w:rsidRDefault="000B2076" w:rsidP="00860E31">
            <w:pPr>
              <w:spacing w:line="360" w:lineRule="auto"/>
            </w:pPr>
            <w:r w:rsidRPr="00312431">
              <w:t>25</w:t>
            </w:r>
          </w:p>
        </w:tc>
        <w:tc>
          <w:tcPr>
            <w:tcW w:w="714" w:type="pct"/>
            <w:noWrap/>
            <w:hideMark/>
          </w:tcPr>
          <w:p w:rsidR="000B2076" w:rsidRPr="00312431" w:rsidRDefault="000B2076" w:rsidP="00860E31">
            <w:pPr>
              <w:spacing w:line="360" w:lineRule="auto"/>
            </w:pPr>
            <w:r w:rsidRPr="00312431">
              <w:t>22.5</w:t>
            </w:r>
          </w:p>
        </w:tc>
        <w:tc>
          <w:tcPr>
            <w:tcW w:w="1071" w:type="pct"/>
            <w:noWrap/>
            <w:hideMark/>
          </w:tcPr>
          <w:p w:rsidR="000B2076" w:rsidRPr="00312431" w:rsidRDefault="000B2076" w:rsidP="00860E31">
            <w:pPr>
              <w:spacing w:line="360" w:lineRule="auto"/>
            </w:pPr>
            <w:r w:rsidRPr="00312431">
              <w:t>2.5</w:t>
            </w:r>
          </w:p>
        </w:tc>
      </w:tr>
      <w:tr w:rsidR="000B2076" w:rsidRPr="00312431" w:rsidTr="000432C7">
        <w:trPr>
          <w:trHeight w:val="300"/>
        </w:trPr>
        <w:tc>
          <w:tcPr>
            <w:tcW w:w="1072" w:type="pct"/>
            <w:noWrap/>
            <w:hideMark/>
          </w:tcPr>
          <w:p w:rsidR="000B2076" w:rsidRPr="00312431" w:rsidRDefault="000B2076" w:rsidP="00860E31">
            <w:pPr>
              <w:spacing w:line="360" w:lineRule="auto"/>
            </w:pPr>
            <w:r w:rsidRPr="00312431">
              <w:t>2</w:t>
            </w:r>
          </w:p>
        </w:tc>
        <w:tc>
          <w:tcPr>
            <w:tcW w:w="2143" w:type="pct"/>
            <w:noWrap/>
            <w:hideMark/>
          </w:tcPr>
          <w:p w:rsidR="000B2076" w:rsidRPr="00312431" w:rsidRDefault="000B2076" w:rsidP="00860E31">
            <w:pPr>
              <w:spacing w:line="360" w:lineRule="auto"/>
            </w:pPr>
            <w:r w:rsidRPr="00312431">
              <w:t>30</w:t>
            </w:r>
          </w:p>
        </w:tc>
        <w:tc>
          <w:tcPr>
            <w:tcW w:w="714" w:type="pct"/>
            <w:noWrap/>
            <w:hideMark/>
          </w:tcPr>
          <w:p w:rsidR="000B2076" w:rsidRPr="00312431" w:rsidRDefault="000B2076" w:rsidP="00860E31">
            <w:pPr>
              <w:spacing w:line="360" w:lineRule="auto"/>
            </w:pPr>
            <w:r w:rsidRPr="00312431">
              <w:t>22.5</w:t>
            </w:r>
          </w:p>
        </w:tc>
        <w:tc>
          <w:tcPr>
            <w:tcW w:w="1071" w:type="pct"/>
            <w:noWrap/>
            <w:hideMark/>
          </w:tcPr>
          <w:p w:rsidR="000B2076" w:rsidRPr="00312431" w:rsidRDefault="000B2076" w:rsidP="00860E31">
            <w:pPr>
              <w:spacing w:line="360" w:lineRule="auto"/>
            </w:pPr>
            <w:r w:rsidRPr="00312431">
              <w:t>7.5</w:t>
            </w:r>
          </w:p>
        </w:tc>
      </w:tr>
      <w:tr w:rsidR="000B2076" w:rsidRPr="00312431" w:rsidTr="000432C7">
        <w:trPr>
          <w:trHeight w:val="300"/>
        </w:trPr>
        <w:tc>
          <w:tcPr>
            <w:tcW w:w="1072" w:type="pct"/>
            <w:noWrap/>
            <w:hideMark/>
          </w:tcPr>
          <w:p w:rsidR="000B2076" w:rsidRPr="00312431" w:rsidRDefault="000B2076" w:rsidP="00860E31">
            <w:pPr>
              <w:spacing w:line="360" w:lineRule="auto"/>
            </w:pPr>
            <w:r w:rsidRPr="00312431">
              <w:lastRenderedPageBreak/>
              <w:t>3</w:t>
            </w:r>
          </w:p>
        </w:tc>
        <w:tc>
          <w:tcPr>
            <w:tcW w:w="2143" w:type="pct"/>
            <w:noWrap/>
            <w:hideMark/>
          </w:tcPr>
          <w:p w:rsidR="000B2076" w:rsidRPr="00312431" w:rsidRDefault="000B2076" w:rsidP="00860E31">
            <w:pPr>
              <w:spacing w:line="360" w:lineRule="auto"/>
            </w:pPr>
            <w:r w:rsidRPr="00312431">
              <w:t>35</w:t>
            </w:r>
          </w:p>
        </w:tc>
        <w:tc>
          <w:tcPr>
            <w:tcW w:w="714" w:type="pct"/>
            <w:noWrap/>
            <w:hideMark/>
          </w:tcPr>
          <w:p w:rsidR="000B2076" w:rsidRPr="00312431" w:rsidRDefault="000B2076" w:rsidP="00860E31">
            <w:pPr>
              <w:spacing w:line="360" w:lineRule="auto"/>
            </w:pPr>
            <w:r w:rsidRPr="00312431">
              <w:t>22.5</w:t>
            </w:r>
          </w:p>
        </w:tc>
        <w:tc>
          <w:tcPr>
            <w:tcW w:w="1071" w:type="pct"/>
            <w:noWrap/>
            <w:hideMark/>
          </w:tcPr>
          <w:p w:rsidR="000B2076" w:rsidRPr="00312431" w:rsidRDefault="000B2076" w:rsidP="00860E31">
            <w:pPr>
              <w:spacing w:line="360" w:lineRule="auto"/>
            </w:pPr>
            <w:r w:rsidRPr="00312431">
              <w:t>12.5</w:t>
            </w:r>
          </w:p>
        </w:tc>
      </w:tr>
      <w:tr w:rsidR="000B2076" w:rsidRPr="00312431" w:rsidTr="000432C7">
        <w:trPr>
          <w:trHeight w:val="300"/>
        </w:trPr>
        <w:tc>
          <w:tcPr>
            <w:tcW w:w="1072" w:type="pct"/>
            <w:noWrap/>
            <w:hideMark/>
          </w:tcPr>
          <w:p w:rsidR="000B2076" w:rsidRPr="00312431" w:rsidRDefault="000B2076" w:rsidP="00860E31">
            <w:pPr>
              <w:spacing w:line="360" w:lineRule="auto"/>
            </w:pPr>
            <w:r w:rsidRPr="00312431">
              <w:t>4</w:t>
            </w:r>
          </w:p>
        </w:tc>
        <w:tc>
          <w:tcPr>
            <w:tcW w:w="2143" w:type="pct"/>
            <w:noWrap/>
            <w:hideMark/>
          </w:tcPr>
          <w:p w:rsidR="000B2076" w:rsidRPr="00312431" w:rsidRDefault="000B2076" w:rsidP="00860E31">
            <w:pPr>
              <w:spacing w:line="360" w:lineRule="auto"/>
            </w:pPr>
            <w:r w:rsidRPr="00312431">
              <w:t>40</w:t>
            </w:r>
          </w:p>
        </w:tc>
        <w:tc>
          <w:tcPr>
            <w:tcW w:w="714" w:type="pct"/>
            <w:noWrap/>
            <w:hideMark/>
          </w:tcPr>
          <w:p w:rsidR="000B2076" w:rsidRPr="00312431" w:rsidRDefault="000B2076" w:rsidP="00860E31">
            <w:pPr>
              <w:spacing w:line="360" w:lineRule="auto"/>
            </w:pPr>
            <w:r w:rsidRPr="00312431">
              <w:t>22.5</w:t>
            </w:r>
          </w:p>
        </w:tc>
        <w:tc>
          <w:tcPr>
            <w:tcW w:w="1071" w:type="pct"/>
            <w:noWrap/>
            <w:hideMark/>
          </w:tcPr>
          <w:p w:rsidR="000B2076" w:rsidRPr="00312431" w:rsidRDefault="000B2076" w:rsidP="00860E31">
            <w:pPr>
              <w:spacing w:line="360" w:lineRule="auto"/>
            </w:pPr>
            <w:r w:rsidRPr="00312431">
              <w:t>17.5</w:t>
            </w:r>
          </w:p>
        </w:tc>
      </w:tr>
      <w:tr w:rsidR="000B2076" w:rsidRPr="00312431" w:rsidTr="000432C7">
        <w:trPr>
          <w:trHeight w:val="300"/>
        </w:trPr>
        <w:tc>
          <w:tcPr>
            <w:tcW w:w="1072" w:type="pct"/>
            <w:noWrap/>
            <w:hideMark/>
          </w:tcPr>
          <w:p w:rsidR="000B2076" w:rsidRPr="00312431" w:rsidRDefault="000B2076" w:rsidP="00860E31">
            <w:pPr>
              <w:spacing w:line="360" w:lineRule="auto"/>
            </w:pPr>
            <w:r>
              <w:t>Total net profit</w:t>
            </w:r>
          </w:p>
        </w:tc>
        <w:tc>
          <w:tcPr>
            <w:tcW w:w="2143" w:type="pct"/>
            <w:noWrap/>
            <w:hideMark/>
          </w:tcPr>
          <w:p w:rsidR="000B2076" w:rsidRPr="00312431" w:rsidRDefault="000B2076" w:rsidP="00860E31">
            <w:pPr>
              <w:spacing w:line="360" w:lineRule="auto"/>
            </w:pPr>
          </w:p>
        </w:tc>
        <w:tc>
          <w:tcPr>
            <w:tcW w:w="714" w:type="pct"/>
            <w:noWrap/>
            <w:hideMark/>
          </w:tcPr>
          <w:p w:rsidR="000B2076" w:rsidRPr="00312431" w:rsidRDefault="000B2076" w:rsidP="00860E31">
            <w:pPr>
              <w:spacing w:line="360" w:lineRule="auto"/>
            </w:pPr>
          </w:p>
        </w:tc>
        <w:tc>
          <w:tcPr>
            <w:tcW w:w="1071" w:type="pct"/>
            <w:noWrap/>
            <w:hideMark/>
          </w:tcPr>
          <w:p w:rsidR="000B2076" w:rsidRPr="00312431" w:rsidRDefault="000B2076" w:rsidP="00860E31">
            <w:pPr>
              <w:spacing w:line="360" w:lineRule="auto"/>
            </w:pPr>
            <w:r w:rsidRPr="00312431">
              <w:t>40</w:t>
            </w:r>
          </w:p>
        </w:tc>
      </w:tr>
    </w:tbl>
    <w:p w:rsidR="000B2076" w:rsidRDefault="000B2076" w:rsidP="00860E31">
      <w:pPr>
        <w:spacing w:line="360" w:lineRule="auto"/>
      </w:pPr>
    </w:p>
    <w:p w:rsidR="000B2076" w:rsidRDefault="000B2076" w:rsidP="00860E31">
      <w:pPr>
        <w:spacing w:line="360" w:lineRule="auto"/>
      </w:pPr>
      <w:r>
        <w:t>Average profit = (Total profit/ total years)</w:t>
      </w:r>
    </w:p>
    <w:p w:rsidR="000B2076" w:rsidRDefault="000B2076" w:rsidP="00860E31">
      <w:pPr>
        <w:spacing w:line="360" w:lineRule="auto"/>
      </w:pPr>
      <w:r>
        <w:t>= (40/4) = 10</w:t>
      </w:r>
    </w:p>
    <w:p w:rsidR="000B2076" w:rsidRDefault="000B2076" w:rsidP="00860E31">
      <w:pPr>
        <w:spacing w:line="360" w:lineRule="auto"/>
      </w:pPr>
      <w:r>
        <w:t>Average capital investment = [(Initial investment + Residual value)/ 2]</w:t>
      </w:r>
    </w:p>
    <w:p w:rsidR="000B2076" w:rsidRDefault="000B2076" w:rsidP="00860E31">
      <w:pPr>
        <w:spacing w:line="360" w:lineRule="auto"/>
      </w:pPr>
      <w:r>
        <w:t>[(90+0)/2] = 45</w:t>
      </w:r>
    </w:p>
    <w:p w:rsidR="000B2076" w:rsidRDefault="000B2076" w:rsidP="00860E31">
      <w:pPr>
        <w:spacing w:line="360" w:lineRule="auto"/>
      </w:pPr>
      <w:r>
        <w:t>ARR = [(Average profit *100)/ Average capital investment]</w:t>
      </w:r>
    </w:p>
    <w:p w:rsidR="000B2076" w:rsidRDefault="000B2076" w:rsidP="00860E31">
      <w:pPr>
        <w:spacing w:line="360" w:lineRule="auto"/>
      </w:pPr>
      <w:r>
        <w:t>= [(10*100)/</w:t>
      </w:r>
      <w:r w:rsidRPr="00312431">
        <w:t xml:space="preserve"> </w:t>
      </w:r>
      <w:r>
        <w:t>45]</w:t>
      </w:r>
    </w:p>
    <w:p w:rsidR="000B2076" w:rsidRDefault="000B2076" w:rsidP="00860E31">
      <w:pPr>
        <w:spacing w:line="360" w:lineRule="auto"/>
      </w:pPr>
      <w:r>
        <w:t>=22.22%</w:t>
      </w:r>
    </w:p>
    <w:p w:rsidR="000B2076" w:rsidRDefault="000B2076" w:rsidP="00860E31">
      <w:pPr>
        <w:spacing w:line="360" w:lineRule="auto"/>
      </w:pPr>
      <w:r>
        <w:rPr>
          <w:b/>
        </w:rPr>
        <w:t xml:space="preserve">Evaluation and </w:t>
      </w:r>
      <w:r w:rsidRPr="00D84DE8">
        <w:rPr>
          <w:b/>
        </w:rPr>
        <w:t>Recommendation:</w:t>
      </w:r>
      <w:r>
        <w:t xml:space="preserve"> The ARR calculation result showed that the ARR for Project A is 23.53%, and Project B is 22.22%. This means that the project A will generate more average profit than Project B. So, if M&amp;S chooses the investment project between A and B based on the result ARR. The company should choose Project A. </w:t>
      </w:r>
    </w:p>
    <w:p w:rsidR="000B2076" w:rsidRPr="00310F6F" w:rsidRDefault="000B2076" w:rsidP="00860E31">
      <w:pPr>
        <w:pStyle w:val="Heading2"/>
      </w:pPr>
      <w:bookmarkStart w:id="13" w:name="_Toc60927303"/>
      <w:r w:rsidRPr="0020740B">
        <w:t>NPV calculation of project A and Project B</w:t>
      </w:r>
      <w:bookmarkEnd w:id="13"/>
    </w:p>
    <w:p w:rsidR="000B2076" w:rsidRDefault="000B2076" w:rsidP="00860E31">
      <w:pPr>
        <w:spacing w:line="360" w:lineRule="auto"/>
      </w:pPr>
      <w:r>
        <w:t xml:space="preserve">As an investment appraisal technique, NPV contribute to calculate the present value of a project based on its future cash flow. </w:t>
      </w:r>
    </w:p>
    <w:p w:rsidR="000B2076" w:rsidRDefault="000B2076" w:rsidP="00860E31">
      <w:pPr>
        <w:spacing w:line="360" w:lineRule="auto"/>
      </w:pPr>
      <w:r>
        <w:t>Project A</w:t>
      </w:r>
    </w:p>
    <w:tbl>
      <w:tblPr>
        <w:tblStyle w:val="TableGrid"/>
        <w:tblW w:w="5000" w:type="pct"/>
        <w:tblLook w:val="04A0" w:firstRow="1" w:lastRow="0" w:firstColumn="1" w:lastColumn="0" w:noHBand="0" w:noVBand="1"/>
      </w:tblPr>
      <w:tblGrid>
        <w:gridCol w:w="2407"/>
        <w:gridCol w:w="3296"/>
        <w:gridCol w:w="2059"/>
        <w:gridCol w:w="1588"/>
      </w:tblGrid>
      <w:tr w:rsidR="000B2076" w:rsidRPr="006D1050" w:rsidTr="000432C7">
        <w:trPr>
          <w:trHeight w:val="300"/>
        </w:trPr>
        <w:tc>
          <w:tcPr>
            <w:tcW w:w="1350"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Year</w:t>
            </w:r>
          </w:p>
        </w:tc>
        <w:tc>
          <w:tcPr>
            <w:tcW w:w="1825"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Cash flow</w:t>
            </w: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cost of capital 10.5%</w:t>
            </w: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 xml:space="preserve">Present value </w:t>
            </w:r>
          </w:p>
        </w:tc>
      </w:tr>
      <w:tr w:rsidR="000B2076" w:rsidRPr="006D1050" w:rsidTr="000432C7">
        <w:trPr>
          <w:trHeight w:val="300"/>
        </w:trPr>
        <w:tc>
          <w:tcPr>
            <w:tcW w:w="1350"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1</w:t>
            </w:r>
          </w:p>
        </w:tc>
        <w:tc>
          <w:tcPr>
            <w:tcW w:w="1825"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10</w:t>
            </w: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0.905</w:t>
            </w: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9.05</w:t>
            </w:r>
          </w:p>
        </w:tc>
      </w:tr>
      <w:tr w:rsidR="000B2076" w:rsidRPr="006D1050" w:rsidTr="000432C7">
        <w:trPr>
          <w:trHeight w:val="300"/>
        </w:trPr>
        <w:tc>
          <w:tcPr>
            <w:tcW w:w="1350"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2</w:t>
            </w:r>
          </w:p>
        </w:tc>
        <w:tc>
          <w:tcPr>
            <w:tcW w:w="1825"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20</w:t>
            </w: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0.819</w:t>
            </w: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16.38</w:t>
            </w:r>
          </w:p>
        </w:tc>
      </w:tr>
      <w:tr w:rsidR="000B2076" w:rsidRPr="006D1050" w:rsidTr="000432C7">
        <w:trPr>
          <w:trHeight w:val="300"/>
        </w:trPr>
        <w:tc>
          <w:tcPr>
            <w:tcW w:w="1350"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3</w:t>
            </w:r>
          </w:p>
        </w:tc>
        <w:tc>
          <w:tcPr>
            <w:tcW w:w="1825"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40</w:t>
            </w: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0.741</w:t>
            </w: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29.64</w:t>
            </w:r>
          </w:p>
        </w:tc>
      </w:tr>
      <w:tr w:rsidR="000B2076" w:rsidRPr="006D1050" w:rsidTr="000432C7">
        <w:trPr>
          <w:trHeight w:val="300"/>
        </w:trPr>
        <w:tc>
          <w:tcPr>
            <w:tcW w:w="1350"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4</w:t>
            </w:r>
          </w:p>
        </w:tc>
        <w:tc>
          <w:tcPr>
            <w:tcW w:w="1825"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55</w:t>
            </w: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0.563</w:t>
            </w: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30.965</w:t>
            </w:r>
          </w:p>
        </w:tc>
      </w:tr>
      <w:tr w:rsidR="000B2076" w:rsidRPr="006D1050" w:rsidTr="000432C7">
        <w:trPr>
          <w:trHeight w:val="300"/>
        </w:trPr>
        <w:tc>
          <w:tcPr>
            <w:tcW w:w="1350" w:type="pct"/>
            <w:noWrap/>
            <w:hideMark/>
          </w:tcPr>
          <w:p w:rsidR="000B2076" w:rsidRPr="006D1050" w:rsidRDefault="000B2076" w:rsidP="00860E31">
            <w:pPr>
              <w:spacing w:line="360" w:lineRule="auto"/>
              <w:rPr>
                <w:rFonts w:ascii="Calibri" w:eastAsia="Times New Roman" w:hAnsi="Calibri" w:cs="Calibri"/>
                <w:color w:val="000000"/>
                <w:sz w:val="22"/>
              </w:rPr>
            </w:pPr>
          </w:p>
        </w:tc>
        <w:tc>
          <w:tcPr>
            <w:tcW w:w="1825" w:type="pct"/>
            <w:noWrap/>
            <w:hideMark/>
          </w:tcPr>
          <w:p w:rsidR="000B2076" w:rsidRPr="006D1050" w:rsidRDefault="000B2076" w:rsidP="00860E31">
            <w:pPr>
              <w:spacing w:line="360" w:lineRule="auto"/>
              <w:rPr>
                <w:rFonts w:eastAsia="Times New Roman" w:cs="Times New Roman"/>
                <w:sz w:val="20"/>
                <w:szCs w:val="20"/>
              </w:rPr>
            </w:pPr>
          </w:p>
        </w:tc>
        <w:tc>
          <w:tcPr>
            <w:tcW w:w="913" w:type="pct"/>
            <w:noWrap/>
            <w:hideMark/>
          </w:tcPr>
          <w:p w:rsidR="000B2076" w:rsidRPr="006D1050" w:rsidRDefault="000B2076" w:rsidP="00860E31">
            <w:pPr>
              <w:spacing w:line="360" w:lineRule="auto"/>
              <w:rPr>
                <w:rFonts w:eastAsia="Times New Roman" w:cs="Times New Roman"/>
                <w:sz w:val="20"/>
                <w:szCs w:val="20"/>
              </w:rPr>
            </w:pPr>
          </w:p>
        </w:tc>
        <w:tc>
          <w:tcPr>
            <w:tcW w:w="913" w:type="pct"/>
            <w:noWrap/>
            <w:hideMark/>
          </w:tcPr>
          <w:p w:rsidR="000B2076" w:rsidRPr="006D1050" w:rsidRDefault="000B2076" w:rsidP="00860E31">
            <w:pPr>
              <w:spacing w:line="360" w:lineRule="auto"/>
              <w:rPr>
                <w:rFonts w:ascii="Calibri" w:eastAsia="Times New Roman" w:hAnsi="Calibri" w:cs="Calibri"/>
                <w:color w:val="000000"/>
                <w:sz w:val="22"/>
              </w:rPr>
            </w:pPr>
            <w:r w:rsidRPr="006D1050">
              <w:rPr>
                <w:rFonts w:ascii="Calibri" w:eastAsia="Times New Roman" w:hAnsi="Calibri" w:cs="Calibri"/>
                <w:color w:val="000000"/>
                <w:sz w:val="22"/>
              </w:rPr>
              <w:t>86.035</w:t>
            </w:r>
          </w:p>
        </w:tc>
      </w:tr>
    </w:tbl>
    <w:p w:rsidR="000B2076" w:rsidRDefault="000B2076" w:rsidP="00860E31">
      <w:pPr>
        <w:spacing w:line="360" w:lineRule="auto"/>
      </w:pPr>
    </w:p>
    <w:p w:rsidR="000B2076" w:rsidRDefault="000B2076" w:rsidP="00860E31">
      <w:pPr>
        <w:spacing w:line="360" w:lineRule="auto"/>
      </w:pPr>
      <w:r>
        <w:lastRenderedPageBreak/>
        <w:t>NPV= [(0.905+ 0.819 +0.741 +0.563) - 85]</w:t>
      </w:r>
    </w:p>
    <w:p w:rsidR="000B2076" w:rsidRDefault="000B2076" w:rsidP="00860E31">
      <w:pPr>
        <w:spacing w:line="360" w:lineRule="auto"/>
      </w:pPr>
      <w:r>
        <w:t>=1.035</w:t>
      </w:r>
    </w:p>
    <w:p w:rsidR="000B2076" w:rsidRDefault="000B2076" w:rsidP="00860E31">
      <w:pPr>
        <w:spacing w:line="360" w:lineRule="auto"/>
      </w:pPr>
      <w:r>
        <w:t>Project B</w:t>
      </w:r>
    </w:p>
    <w:tbl>
      <w:tblPr>
        <w:tblStyle w:val="TableGrid"/>
        <w:tblW w:w="5000" w:type="pct"/>
        <w:tblLook w:val="04A0" w:firstRow="1" w:lastRow="0" w:firstColumn="1" w:lastColumn="0" w:noHBand="0" w:noVBand="1"/>
      </w:tblPr>
      <w:tblGrid>
        <w:gridCol w:w="2346"/>
        <w:gridCol w:w="3234"/>
        <w:gridCol w:w="2243"/>
        <w:gridCol w:w="1527"/>
      </w:tblGrid>
      <w:tr w:rsidR="000B2076" w:rsidRPr="00722254" w:rsidTr="000432C7">
        <w:trPr>
          <w:trHeight w:val="300"/>
        </w:trPr>
        <w:tc>
          <w:tcPr>
            <w:tcW w:w="1350" w:type="pct"/>
            <w:noWrap/>
            <w:hideMark/>
          </w:tcPr>
          <w:p w:rsidR="000B2076" w:rsidRPr="00722254" w:rsidRDefault="000B2076" w:rsidP="00860E31">
            <w:pPr>
              <w:spacing w:line="360" w:lineRule="auto"/>
            </w:pPr>
            <w:r w:rsidRPr="00722254">
              <w:t>Year</w:t>
            </w:r>
          </w:p>
        </w:tc>
        <w:tc>
          <w:tcPr>
            <w:tcW w:w="1825" w:type="pct"/>
            <w:noWrap/>
            <w:hideMark/>
          </w:tcPr>
          <w:p w:rsidR="000B2076" w:rsidRPr="00722254" w:rsidRDefault="000B2076" w:rsidP="00860E31">
            <w:pPr>
              <w:spacing w:line="360" w:lineRule="auto"/>
            </w:pPr>
            <w:r w:rsidRPr="00722254">
              <w:t>Cash flow</w:t>
            </w:r>
          </w:p>
        </w:tc>
        <w:tc>
          <w:tcPr>
            <w:tcW w:w="913" w:type="pct"/>
            <w:noWrap/>
            <w:hideMark/>
          </w:tcPr>
          <w:p w:rsidR="000B2076" w:rsidRPr="00722254" w:rsidRDefault="000B2076" w:rsidP="00860E31">
            <w:pPr>
              <w:spacing w:line="360" w:lineRule="auto"/>
            </w:pPr>
            <w:r w:rsidRPr="00722254">
              <w:t>cost of capital 10.5%</w:t>
            </w:r>
          </w:p>
        </w:tc>
        <w:tc>
          <w:tcPr>
            <w:tcW w:w="913" w:type="pct"/>
            <w:noWrap/>
            <w:hideMark/>
          </w:tcPr>
          <w:p w:rsidR="000B2076" w:rsidRPr="00722254" w:rsidRDefault="000B2076" w:rsidP="00860E31">
            <w:pPr>
              <w:spacing w:line="360" w:lineRule="auto"/>
            </w:pPr>
            <w:r w:rsidRPr="00722254">
              <w:t xml:space="preserve">Present value </w:t>
            </w:r>
          </w:p>
        </w:tc>
      </w:tr>
      <w:tr w:rsidR="000B2076" w:rsidRPr="00722254" w:rsidTr="000432C7">
        <w:trPr>
          <w:trHeight w:val="300"/>
        </w:trPr>
        <w:tc>
          <w:tcPr>
            <w:tcW w:w="1350" w:type="pct"/>
            <w:noWrap/>
            <w:hideMark/>
          </w:tcPr>
          <w:p w:rsidR="000B2076" w:rsidRPr="00722254" w:rsidRDefault="000B2076" w:rsidP="00860E31">
            <w:pPr>
              <w:spacing w:line="360" w:lineRule="auto"/>
            </w:pPr>
            <w:r w:rsidRPr="00722254">
              <w:t>1</w:t>
            </w:r>
          </w:p>
        </w:tc>
        <w:tc>
          <w:tcPr>
            <w:tcW w:w="1825" w:type="pct"/>
            <w:noWrap/>
            <w:hideMark/>
          </w:tcPr>
          <w:p w:rsidR="000B2076" w:rsidRPr="00722254" w:rsidRDefault="000B2076" w:rsidP="00860E31">
            <w:pPr>
              <w:spacing w:line="360" w:lineRule="auto"/>
            </w:pPr>
            <w:r w:rsidRPr="00722254">
              <w:t>25</w:t>
            </w:r>
          </w:p>
        </w:tc>
        <w:tc>
          <w:tcPr>
            <w:tcW w:w="913" w:type="pct"/>
            <w:noWrap/>
            <w:hideMark/>
          </w:tcPr>
          <w:p w:rsidR="000B2076" w:rsidRPr="00722254" w:rsidRDefault="000B2076" w:rsidP="00860E31">
            <w:pPr>
              <w:spacing w:line="360" w:lineRule="auto"/>
            </w:pPr>
            <w:r w:rsidRPr="00722254">
              <w:t>0.905</w:t>
            </w:r>
          </w:p>
        </w:tc>
        <w:tc>
          <w:tcPr>
            <w:tcW w:w="913" w:type="pct"/>
            <w:noWrap/>
            <w:hideMark/>
          </w:tcPr>
          <w:p w:rsidR="000B2076" w:rsidRPr="00722254" w:rsidRDefault="000B2076" w:rsidP="00860E31">
            <w:pPr>
              <w:spacing w:line="360" w:lineRule="auto"/>
            </w:pPr>
            <w:r w:rsidRPr="00722254">
              <w:t>22.625</w:t>
            </w:r>
          </w:p>
        </w:tc>
      </w:tr>
      <w:tr w:rsidR="000B2076" w:rsidRPr="00722254" w:rsidTr="000432C7">
        <w:trPr>
          <w:trHeight w:val="300"/>
        </w:trPr>
        <w:tc>
          <w:tcPr>
            <w:tcW w:w="1350" w:type="pct"/>
            <w:noWrap/>
            <w:hideMark/>
          </w:tcPr>
          <w:p w:rsidR="000B2076" w:rsidRPr="00722254" w:rsidRDefault="000B2076" w:rsidP="00860E31">
            <w:pPr>
              <w:spacing w:line="360" w:lineRule="auto"/>
            </w:pPr>
            <w:r w:rsidRPr="00722254">
              <w:t>2</w:t>
            </w:r>
          </w:p>
        </w:tc>
        <w:tc>
          <w:tcPr>
            <w:tcW w:w="1825" w:type="pct"/>
            <w:noWrap/>
            <w:hideMark/>
          </w:tcPr>
          <w:p w:rsidR="000B2076" w:rsidRPr="00722254" w:rsidRDefault="000B2076" w:rsidP="00860E31">
            <w:pPr>
              <w:spacing w:line="360" w:lineRule="auto"/>
            </w:pPr>
            <w:r w:rsidRPr="00722254">
              <w:t>30</w:t>
            </w:r>
          </w:p>
        </w:tc>
        <w:tc>
          <w:tcPr>
            <w:tcW w:w="913" w:type="pct"/>
            <w:noWrap/>
            <w:hideMark/>
          </w:tcPr>
          <w:p w:rsidR="000B2076" w:rsidRPr="00722254" w:rsidRDefault="000B2076" w:rsidP="00860E31">
            <w:pPr>
              <w:spacing w:line="360" w:lineRule="auto"/>
            </w:pPr>
            <w:r w:rsidRPr="00722254">
              <w:t>0.819</w:t>
            </w:r>
          </w:p>
        </w:tc>
        <w:tc>
          <w:tcPr>
            <w:tcW w:w="913" w:type="pct"/>
            <w:noWrap/>
            <w:hideMark/>
          </w:tcPr>
          <w:p w:rsidR="000B2076" w:rsidRPr="00722254" w:rsidRDefault="000B2076" w:rsidP="00860E31">
            <w:pPr>
              <w:spacing w:line="360" w:lineRule="auto"/>
            </w:pPr>
            <w:r w:rsidRPr="00722254">
              <w:t>24.57</w:t>
            </w:r>
          </w:p>
        </w:tc>
      </w:tr>
      <w:tr w:rsidR="000B2076" w:rsidRPr="00722254" w:rsidTr="000432C7">
        <w:trPr>
          <w:trHeight w:val="300"/>
        </w:trPr>
        <w:tc>
          <w:tcPr>
            <w:tcW w:w="1350" w:type="pct"/>
            <w:noWrap/>
            <w:hideMark/>
          </w:tcPr>
          <w:p w:rsidR="000B2076" w:rsidRPr="00722254" w:rsidRDefault="000B2076" w:rsidP="00860E31">
            <w:pPr>
              <w:spacing w:line="360" w:lineRule="auto"/>
            </w:pPr>
            <w:r w:rsidRPr="00722254">
              <w:t>3</w:t>
            </w:r>
          </w:p>
        </w:tc>
        <w:tc>
          <w:tcPr>
            <w:tcW w:w="1825" w:type="pct"/>
            <w:noWrap/>
            <w:hideMark/>
          </w:tcPr>
          <w:p w:rsidR="000B2076" w:rsidRPr="00722254" w:rsidRDefault="000B2076" w:rsidP="00860E31">
            <w:pPr>
              <w:spacing w:line="360" w:lineRule="auto"/>
            </w:pPr>
            <w:r w:rsidRPr="00722254">
              <w:t>35</w:t>
            </w:r>
          </w:p>
        </w:tc>
        <w:tc>
          <w:tcPr>
            <w:tcW w:w="913" w:type="pct"/>
            <w:noWrap/>
            <w:hideMark/>
          </w:tcPr>
          <w:p w:rsidR="000B2076" w:rsidRPr="00722254" w:rsidRDefault="000B2076" w:rsidP="00860E31">
            <w:pPr>
              <w:spacing w:line="360" w:lineRule="auto"/>
            </w:pPr>
            <w:r w:rsidRPr="00722254">
              <w:t>0.741</w:t>
            </w:r>
          </w:p>
        </w:tc>
        <w:tc>
          <w:tcPr>
            <w:tcW w:w="913" w:type="pct"/>
            <w:noWrap/>
            <w:hideMark/>
          </w:tcPr>
          <w:p w:rsidR="000B2076" w:rsidRPr="00722254" w:rsidRDefault="000B2076" w:rsidP="00860E31">
            <w:pPr>
              <w:spacing w:line="360" w:lineRule="auto"/>
            </w:pPr>
            <w:r w:rsidRPr="00722254">
              <w:t>25.935</w:t>
            </w:r>
          </w:p>
        </w:tc>
      </w:tr>
      <w:tr w:rsidR="000B2076" w:rsidRPr="00722254" w:rsidTr="000432C7">
        <w:trPr>
          <w:trHeight w:val="300"/>
        </w:trPr>
        <w:tc>
          <w:tcPr>
            <w:tcW w:w="1350" w:type="pct"/>
            <w:noWrap/>
            <w:hideMark/>
          </w:tcPr>
          <w:p w:rsidR="000B2076" w:rsidRPr="00722254" w:rsidRDefault="000B2076" w:rsidP="00860E31">
            <w:pPr>
              <w:spacing w:line="360" w:lineRule="auto"/>
            </w:pPr>
            <w:r w:rsidRPr="00722254">
              <w:t>4</w:t>
            </w:r>
          </w:p>
        </w:tc>
        <w:tc>
          <w:tcPr>
            <w:tcW w:w="1825" w:type="pct"/>
            <w:noWrap/>
            <w:hideMark/>
          </w:tcPr>
          <w:p w:rsidR="000B2076" w:rsidRPr="00722254" w:rsidRDefault="000B2076" w:rsidP="00860E31">
            <w:pPr>
              <w:spacing w:line="360" w:lineRule="auto"/>
            </w:pPr>
            <w:r w:rsidRPr="00722254">
              <w:t>40</w:t>
            </w:r>
          </w:p>
        </w:tc>
        <w:tc>
          <w:tcPr>
            <w:tcW w:w="913" w:type="pct"/>
            <w:noWrap/>
            <w:hideMark/>
          </w:tcPr>
          <w:p w:rsidR="000B2076" w:rsidRPr="00722254" w:rsidRDefault="000B2076" w:rsidP="00860E31">
            <w:pPr>
              <w:spacing w:line="360" w:lineRule="auto"/>
            </w:pPr>
            <w:r w:rsidRPr="00722254">
              <w:t>0.563</w:t>
            </w:r>
          </w:p>
        </w:tc>
        <w:tc>
          <w:tcPr>
            <w:tcW w:w="913" w:type="pct"/>
            <w:noWrap/>
            <w:hideMark/>
          </w:tcPr>
          <w:p w:rsidR="000B2076" w:rsidRPr="00722254" w:rsidRDefault="000B2076" w:rsidP="00860E31">
            <w:pPr>
              <w:spacing w:line="360" w:lineRule="auto"/>
            </w:pPr>
            <w:r w:rsidRPr="00722254">
              <w:t>22.52</w:t>
            </w:r>
          </w:p>
        </w:tc>
      </w:tr>
      <w:tr w:rsidR="000B2076" w:rsidRPr="00722254" w:rsidTr="000432C7">
        <w:trPr>
          <w:trHeight w:val="300"/>
        </w:trPr>
        <w:tc>
          <w:tcPr>
            <w:tcW w:w="1350" w:type="pct"/>
            <w:noWrap/>
            <w:hideMark/>
          </w:tcPr>
          <w:p w:rsidR="000B2076" w:rsidRPr="00722254" w:rsidRDefault="000B2076" w:rsidP="00860E31">
            <w:pPr>
              <w:spacing w:line="360" w:lineRule="auto"/>
            </w:pPr>
          </w:p>
        </w:tc>
        <w:tc>
          <w:tcPr>
            <w:tcW w:w="1825" w:type="pct"/>
            <w:noWrap/>
            <w:hideMark/>
          </w:tcPr>
          <w:p w:rsidR="000B2076" w:rsidRPr="00722254" w:rsidRDefault="000B2076" w:rsidP="00860E31">
            <w:pPr>
              <w:spacing w:line="360" w:lineRule="auto"/>
            </w:pPr>
          </w:p>
        </w:tc>
        <w:tc>
          <w:tcPr>
            <w:tcW w:w="913" w:type="pct"/>
            <w:noWrap/>
            <w:hideMark/>
          </w:tcPr>
          <w:p w:rsidR="000B2076" w:rsidRPr="00722254" w:rsidRDefault="000B2076" w:rsidP="00860E31">
            <w:pPr>
              <w:spacing w:line="360" w:lineRule="auto"/>
            </w:pPr>
          </w:p>
        </w:tc>
        <w:tc>
          <w:tcPr>
            <w:tcW w:w="913" w:type="pct"/>
            <w:noWrap/>
            <w:hideMark/>
          </w:tcPr>
          <w:p w:rsidR="000B2076" w:rsidRPr="00722254" w:rsidRDefault="000B2076" w:rsidP="00860E31">
            <w:pPr>
              <w:spacing w:line="360" w:lineRule="auto"/>
            </w:pPr>
            <w:r w:rsidRPr="00722254">
              <w:t>95.65</w:t>
            </w:r>
          </w:p>
        </w:tc>
      </w:tr>
    </w:tbl>
    <w:p w:rsidR="000B2076" w:rsidRDefault="000B2076" w:rsidP="00860E31">
      <w:pPr>
        <w:spacing w:line="360" w:lineRule="auto"/>
      </w:pPr>
    </w:p>
    <w:p w:rsidR="000B2076" w:rsidRDefault="000B2076" w:rsidP="00860E31">
      <w:pPr>
        <w:spacing w:line="360" w:lineRule="auto"/>
      </w:pPr>
      <w:r>
        <w:t>NPV= [(22.625 +24.57 +25.935 +22.52) - 90]</w:t>
      </w:r>
    </w:p>
    <w:p w:rsidR="000B2076" w:rsidRDefault="000B2076" w:rsidP="00860E31">
      <w:pPr>
        <w:spacing w:line="360" w:lineRule="auto"/>
      </w:pPr>
      <w:r>
        <w:t>=5.65</w:t>
      </w:r>
    </w:p>
    <w:p w:rsidR="000B2076" w:rsidRDefault="000B2076" w:rsidP="00860E31">
      <w:pPr>
        <w:spacing w:line="360" w:lineRule="auto"/>
      </w:pPr>
      <w:r w:rsidRPr="00310F6F">
        <w:rPr>
          <w:b/>
        </w:rPr>
        <w:t xml:space="preserve">Evaluation and </w:t>
      </w:r>
      <w:r w:rsidRPr="007A5E13">
        <w:rPr>
          <w:b/>
        </w:rPr>
        <w:t>Recommendation:</w:t>
      </w:r>
      <w:r>
        <w:t xml:space="preserve"> The study found that the NPV for project A is 1.035 and Project B is 5.65. This means that both project generates positive NPV but Project B is generated more NPV than Project A. The possible reason would be due to offering consi</w:t>
      </w:r>
      <w:r w:rsidR="00DB1B76">
        <w:t>stent cash flow of project B</w:t>
      </w:r>
      <w:r>
        <w:t xml:space="preserve">. So, the study recommended M&amp;S to choose project B based </w:t>
      </w:r>
      <w:r w:rsidR="00DB1B76">
        <w:t>on the NPV calculation because Petty et al., (2015)</w:t>
      </w:r>
      <w:r>
        <w:t xml:space="preserve"> stated an organization should that investment project, which generates more positive NPV. </w:t>
      </w:r>
      <w:r>
        <w:br w:type="page"/>
      </w:r>
    </w:p>
    <w:p w:rsidR="000B2076" w:rsidRDefault="000B2076" w:rsidP="00860E31">
      <w:pPr>
        <w:spacing w:line="360" w:lineRule="auto"/>
      </w:pPr>
      <w:r>
        <w:lastRenderedPageBreak/>
        <w:t xml:space="preserve">Overall, the analysis of payback period, ARR and NPV calculation showed that Project B will be created more opportunities for M&amp;S as a new investment project comparing with Project A. This is because although the project A generates 1.31% more ARR, the project B is required less investment recovery time with high positive NPV. Therefore, the study recommended M&amp;S to choose Project B as the new investment project. </w:t>
      </w:r>
    </w:p>
    <w:p w:rsidR="000B2076" w:rsidRPr="005379A6" w:rsidRDefault="000B2076" w:rsidP="00860E31">
      <w:pPr>
        <w:pStyle w:val="Heading2"/>
      </w:pPr>
      <w:bookmarkStart w:id="14" w:name="_Toc60927304"/>
      <w:r w:rsidRPr="005379A6">
        <w:t>Critically discuss the advantages and limitations of PBP, ARR, and NPV</w:t>
      </w:r>
      <w:bookmarkEnd w:id="14"/>
    </w:p>
    <w:p w:rsidR="000B2076" w:rsidRPr="003D2889" w:rsidRDefault="000B2076" w:rsidP="00860E31">
      <w:pPr>
        <w:pStyle w:val="Heading3"/>
      </w:pPr>
      <w:bookmarkStart w:id="15" w:name="_Toc60927305"/>
      <w:r w:rsidRPr="003D2889">
        <w:t>Payback period (PBP)</w:t>
      </w:r>
      <w:bookmarkEnd w:id="15"/>
    </w:p>
    <w:p w:rsidR="000B2076" w:rsidRDefault="000B2076" w:rsidP="00860E31">
      <w:pPr>
        <w:spacing w:line="360" w:lineRule="auto"/>
      </w:pPr>
      <w:r>
        <w:t xml:space="preserve">The easiest investment appraisal technique, Payback period contribute to calculating the initial investment recovery year based on the cash flow and cumulative cash flow of an investment project. The main advantage of this investment appraisal technique is that it facilities </w:t>
      </w:r>
      <w:r w:rsidR="002B66DA">
        <w:t>understanding</w:t>
      </w:r>
      <w:r>
        <w:t xml:space="preserve"> the time, which is required to recover the initial investment of a certain investment proje</w:t>
      </w:r>
      <w:r w:rsidR="00DB1B76">
        <w:t>ct (Brigham &amp; Houston, 2015). In addition, Arnold (2013)</w:t>
      </w:r>
      <w:r>
        <w:t xml:space="preserve"> stated that payback period calculation is very simple comparing with NPV calculation, which is another advantage of PBP. For example; in the earlier section of part-C, the study calculates the PBP of project A and project B by calculating the cumulative cash flow of the projects. </w:t>
      </w:r>
    </w:p>
    <w:p w:rsidR="000B2076" w:rsidRDefault="00DB1B76" w:rsidP="00860E31">
      <w:pPr>
        <w:spacing w:line="360" w:lineRule="auto"/>
      </w:pPr>
      <w:r>
        <w:t>However, Banerjee (2015)</w:t>
      </w:r>
      <w:r w:rsidR="000B2076">
        <w:t xml:space="preserve"> critic that although payback period is easy to calculate the investment recovery year </w:t>
      </w:r>
      <w:r w:rsidR="002B66DA">
        <w:t>of an investment project, it does not fully support</w:t>
      </w:r>
      <w:r w:rsidR="000B2076">
        <w:t xml:space="preserve"> </w:t>
      </w:r>
      <w:r w:rsidR="002B66DA">
        <w:t>making</w:t>
      </w:r>
      <w:r w:rsidR="000B2076">
        <w:t xml:space="preserve"> investment decision. The reason is that PBP only consider</w:t>
      </w:r>
      <w:r w:rsidR="002B66DA">
        <w:t>s</w:t>
      </w:r>
      <w:r w:rsidR="000B2076">
        <w:t xml:space="preserve"> the cash flow of a project rather than time value of money. Besides, PBP does not shows the rate of return of a project compared w</w:t>
      </w:r>
      <w:r>
        <w:t>ith ARR investment appraisal. In this case, Petty et al., (2015)</w:t>
      </w:r>
      <w:r w:rsidR="000B2076">
        <w:t xml:space="preserve"> commented that an investor or an organization is required to know not only the investment recovery years but also needs to know the rate of return and value of future money in present value, which is absence in payback period method. So, the study assumed that payback period can be used to measure the investment recovery year of an investment project rather than makes investment decision. </w:t>
      </w:r>
    </w:p>
    <w:p w:rsidR="000B2076" w:rsidRPr="001C0753" w:rsidRDefault="000B2076" w:rsidP="00860E31">
      <w:pPr>
        <w:pStyle w:val="Heading3"/>
      </w:pPr>
      <w:bookmarkStart w:id="16" w:name="_Toc60927306"/>
      <w:r w:rsidRPr="001C0753">
        <w:t>Average rate of return (ARR)</w:t>
      </w:r>
      <w:bookmarkEnd w:id="16"/>
    </w:p>
    <w:p w:rsidR="000B2076" w:rsidRDefault="000B2076" w:rsidP="00860E31">
      <w:pPr>
        <w:spacing w:line="360" w:lineRule="auto"/>
      </w:pPr>
      <w:r>
        <w:t xml:space="preserve">The investment appraisal, ARR allows </w:t>
      </w:r>
      <w:r w:rsidR="002B66DA">
        <w:t>calculating</w:t>
      </w:r>
      <w:r>
        <w:t xml:space="preserve"> the average rate of return of an investment project rath</w:t>
      </w:r>
      <w:r w:rsidR="00DB1B76">
        <w:t>er than actual rate of return (Bandy, 2013</w:t>
      </w:r>
      <w:r>
        <w:t>). Like, payback period, the ARR method also considers as an easy method of calculating average rate of profit of a project. However, comparing with PBP, the main advantage of ARR is that it shows the profit rate of a project over the period of an investment lifecycle. This means that the ARR method contribute</w:t>
      </w:r>
      <w:r w:rsidR="002B66DA">
        <w:t>s</w:t>
      </w:r>
      <w:r>
        <w:t xml:space="preserve"> to b</w:t>
      </w:r>
      <w:r w:rsidR="002B66DA">
        <w:t>o</w:t>
      </w:r>
      <w:r>
        <w:t xml:space="preserve">osting up an </w:t>
      </w:r>
      <w:r>
        <w:lastRenderedPageBreak/>
        <w:t>investment decision making by considering the averag</w:t>
      </w:r>
      <w:r w:rsidR="00DB1B76">
        <w:t xml:space="preserve">e rate of return. </w:t>
      </w:r>
      <w:r w:rsidR="002B66DA">
        <w:t>Besides</w:t>
      </w:r>
      <w:r w:rsidR="00DB1B76">
        <w:t>, Schick (2013)</w:t>
      </w:r>
      <w:r>
        <w:t xml:space="preserve"> stated that ARR employs the depreciation as an important factor that directly influences the investment decision making. </w:t>
      </w:r>
    </w:p>
    <w:p w:rsidR="000B2076" w:rsidRDefault="00DB1B76" w:rsidP="00860E31">
      <w:pPr>
        <w:spacing w:line="360" w:lineRule="auto"/>
      </w:pPr>
      <w:r>
        <w:t>On the other hand, Cornwall et al., (2019)</w:t>
      </w:r>
      <w:r w:rsidR="000B2076">
        <w:t xml:space="preserve"> noted that although ARR shows the average rate of return of an investment project, it does not show the actual rate of return that may create complexity to make</w:t>
      </w:r>
      <w:r>
        <w:t xml:space="preserve"> investment decision. Besides, Madura (2020)</w:t>
      </w:r>
      <w:r w:rsidR="000B2076">
        <w:t xml:space="preserve"> reported that the main limitation of ARR method is that it does not consider the time value concept, which is a most influential factor of an investment decision. This because the value of today</w:t>
      </w:r>
      <w:r w:rsidR="002B66DA">
        <w:t>'</w:t>
      </w:r>
      <w:r w:rsidR="000B2076">
        <w:t xml:space="preserve">s’ money is not same to the save among of future value, and therefore, it is required to consider the time value concept during making an </w:t>
      </w:r>
      <w:r>
        <w:t>investment decision. Moreover, Bandy (2013)</w:t>
      </w:r>
      <w:r w:rsidR="000B2076">
        <w:t xml:space="preserve"> commented that it is difficult to choose one investment project, when similar ARR</w:t>
      </w:r>
      <w:r w:rsidR="002B66DA">
        <w:t>,</w:t>
      </w:r>
      <w:r w:rsidR="000B2076">
        <w:t xml:space="preserve"> offer</w:t>
      </w:r>
      <w:r w:rsidR="002B66DA">
        <w:t>ed by</w:t>
      </w:r>
      <w:r w:rsidR="000B2076">
        <w:t xml:space="preserve"> other investment project</w:t>
      </w:r>
      <w:r w:rsidR="002B66DA">
        <w:t>s</w:t>
      </w:r>
      <w:r w:rsidR="000B2076">
        <w:t xml:space="preserve"> at a time. The reason is the ARR does not show the terminal value of a project rather it only focus on average rate of profit of a project. </w:t>
      </w:r>
    </w:p>
    <w:p w:rsidR="000B2076" w:rsidRPr="00E703A4" w:rsidRDefault="000B2076" w:rsidP="00860E31">
      <w:pPr>
        <w:pStyle w:val="Heading3"/>
      </w:pPr>
      <w:bookmarkStart w:id="17" w:name="_Toc60927307"/>
      <w:r w:rsidRPr="00E703A4">
        <w:t>Net present value (NPV)</w:t>
      </w:r>
      <w:bookmarkEnd w:id="17"/>
    </w:p>
    <w:p w:rsidR="000B2076" w:rsidRDefault="000B2076" w:rsidP="00860E31">
      <w:pPr>
        <w:spacing w:line="360" w:lineRule="auto"/>
      </w:pPr>
      <w:r>
        <w:t>Comparing with PBP and ARR, NPV is most popular investment appraisal technique, which contribute</w:t>
      </w:r>
      <w:r w:rsidR="002B66DA">
        <w:t>s</w:t>
      </w:r>
      <w:r>
        <w:t xml:space="preserve"> to calculate the present value of an investment project based on the future</w:t>
      </w:r>
      <w:r w:rsidR="00DB1B76">
        <w:t xml:space="preserve"> value of cost of the project (</w:t>
      </w:r>
      <w:proofErr w:type="spellStart"/>
      <w:r w:rsidR="00DB1B76">
        <w:t>Siminica</w:t>
      </w:r>
      <w:proofErr w:type="spellEnd"/>
      <w:r w:rsidR="00DB1B76">
        <w:t xml:space="preserve"> et al., 2017</w:t>
      </w:r>
      <w:r>
        <w:t>). However, the main advantage of this investment project is to boost up investment decision making by calculating the present value of an investment project. Besides, considering cost of capital i</w:t>
      </w:r>
      <w:r w:rsidR="002B66DA">
        <w:t>s</w:t>
      </w:r>
      <w:r>
        <w:t xml:space="preserve"> an important factor of NPV method, which facilities </w:t>
      </w:r>
      <w:r w:rsidR="002B66DA">
        <w:t>understanding</w:t>
      </w:r>
      <w:r>
        <w:t xml:space="preserve"> the overall cost of capital over the lifecycle of a project</w:t>
      </w:r>
      <w:r w:rsidR="00DB1B76">
        <w:t xml:space="preserve"> (Banerjee, 2015)</w:t>
      </w:r>
      <w:r>
        <w:t xml:space="preserve">. For example; due to calculating the NPV of project A and project B, the study employs 10.5% cost of capital. On the other hand, the PBP and ARR ignore the issue ‘cost of capital’ during calculating result. </w:t>
      </w:r>
    </w:p>
    <w:p w:rsidR="000B2076" w:rsidRDefault="00CD35A1" w:rsidP="00860E31">
      <w:pPr>
        <w:spacing w:line="360" w:lineRule="auto"/>
      </w:pPr>
      <w:r>
        <w:t>According to Madura (2020)</w:t>
      </w:r>
      <w:r w:rsidR="000B2076">
        <w:t xml:space="preserve"> the result of NPV easily understand due to showing ei</w:t>
      </w:r>
      <w:r w:rsidR="00DB1B76">
        <w:t>ther positive or negative NPV (Petty et al., 2015</w:t>
      </w:r>
      <w:r w:rsidR="000B2076">
        <w:t>). In this case, the authors stated that NPV states that an investment project is acceptable, when it offers positive NPN. Besides if several projects are offered positive NPN, then, it is required to acceptable the project, which offers high positive NPV. However, the main limitation of NPV method is that it complex to calculate the NPN compar</w:t>
      </w:r>
      <w:r w:rsidR="00DB1B76">
        <w:t>ed with PBP and ARR. Moreover, Madura (2020)</w:t>
      </w:r>
      <w:r w:rsidR="000B2076">
        <w:t xml:space="preserve"> stated that NPV does not consider the sunk cost of a project that may increase future risk.</w:t>
      </w:r>
    </w:p>
    <w:p w:rsidR="00DB1B76" w:rsidRDefault="000B2076" w:rsidP="00860E31">
      <w:pPr>
        <w:spacing w:line="360" w:lineRule="auto"/>
        <w:rPr>
          <w:b/>
        </w:rPr>
      </w:pPr>
      <w:r>
        <w:lastRenderedPageBreak/>
        <w:t>Overall, the study found that comparing of different investment appraisal techniques such as PBP, ARR, and NPV, the NPV is the suitable method calculating effectiveness of an investment project because it shows the present value of an investment project.</w:t>
      </w:r>
      <w:r w:rsidR="00DB1B76">
        <w:tab/>
      </w:r>
      <w:r>
        <w:t xml:space="preserve"> </w:t>
      </w:r>
      <w:r>
        <w:br/>
      </w:r>
    </w:p>
    <w:p w:rsidR="000B2076" w:rsidRPr="000B2076" w:rsidRDefault="000B2076" w:rsidP="00860E31">
      <w:pPr>
        <w:pStyle w:val="Heading1"/>
      </w:pPr>
      <w:bookmarkStart w:id="18" w:name="_Toc60927308"/>
      <w:r w:rsidRPr="002D1069">
        <w:t>Conclusion</w:t>
      </w:r>
      <w:bookmarkEnd w:id="18"/>
      <w:r w:rsidRPr="002D1069">
        <w:t xml:space="preserve"> </w:t>
      </w:r>
    </w:p>
    <w:p w:rsidR="000B2076" w:rsidRDefault="000B2076" w:rsidP="00860E31">
      <w:pPr>
        <w:spacing w:line="360" w:lineRule="auto"/>
      </w:pPr>
      <w:r>
        <w:t>In conclusion, the study examined that M&amp;S has struggled to regain its financial performance because the company has experienced inconsistent financial performance in the last five years. The possible reason would be due to changing customer test, shifting industry toward online retailing, and changing of internal and external business environment. Comparing with key competitors, the study found that the financial performance of M&amp;S in the last five years w</w:t>
      </w:r>
      <w:r w:rsidR="002B66DA">
        <w:t>as</w:t>
      </w:r>
      <w:r>
        <w:t xml:space="preserve"> not up to the mark. In the case, of new investment project, the study recommended that M&amp;S should choose the project B because it offered high NPV and required less recovery time. Overall, the study found that comparing of different investment appraisal techniques such as PBP, ARR, and NPV, the NPV is the suitable method </w:t>
      </w:r>
      <w:r w:rsidR="002B66DA">
        <w:t xml:space="preserve">for </w:t>
      </w:r>
      <w:r>
        <w:t xml:space="preserve">calculating effectiveness of an investment project because it shows the present value of an investment project. </w:t>
      </w:r>
    </w:p>
    <w:p w:rsidR="000B2076" w:rsidRDefault="000B2076" w:rsidP="00860E31">
      <w:pPr>
        <w:spacing w:line="360" w:lineRule="auto"/>
      </w:pPr>
    </w:p>
    <w:p w:rsidR="00872519" w:rsidRDefault="00872519" w:rsidP="00860E31">
      <w:pPr>
        <w:pStyle w:val="Heading1"/>
      </w:pPr>
      <w:r>
        <w:br w:type="page"/>
      </w:r>
      <w:bookmarkStart w:id="19" w:name="_Toc60927309"/>
      <w:r w:rsidR="002B66DA">
        <w:lastRenderedPageBreak/>
        <w:t>References</w:t>
      </w:r>
      <w:bookmarkEnd w:id="19"/>
      <w:r w:rsidR="002B66DA">
        <w:t xml:space="preserve"> </w:t>
      </w:r>
    </w:p>
    <w:p w:rsidR="00860E31" w:rsidRPr="00860E31" w:rsidRDefault="00860E31" w:rsidP="00860E31">
      <w:pPr>
        <w:spacing w:line="360" w:lineRule="auto"/>
        <w:rPr>
          <w:rFonts w:cs="Times New Roman"/>
          <w:color w:val="222222"/>
          <w:szCs w:val="24"/>
          <w:shd w:val="clear" w:color="auto" w:fill="FFFFFF"/>
        </w:rPr>
      </w:pPr>
      <w:r w:rsidRPr="00860E31">
        <w:rPr>
          <w:rFonts w:cs="Times New Roman"/>
          <w:color w:val="222222"/>
          <w:szCs w:val="24"/>
          <w:shd w:val="clear" w:color="auto" w:fill="FFFFFF"/>
        </w:rPr>
        <w:t>Brigham, E. F., &amp; Houston, J. F. (2015) </w:t>
      </w:r>
      <w:r w:rsidRPr="00860E31">
        <w:rPr>
          <w:rFonts w:cs="Times New Roman"/>
          <w:i/>
          <w:iCs/>
          <w:color w:val="222222"/>
          <w:szCs w:val="24"/>
          <w:shd w:val="clear" w:color="auto" w:fill="FFFFFF"/>
        </w:rPr>
        <w:t>Fundamentals of financial management</w:t>
      </w:r>
      <w:r w:rsidRPr="00860E31">
        <w:rPr>
          <w:rFonts w:cs="Times New Roman"/>
          <w:color w:val="222222"/>
          <w:szCs w:val="24"/>
          <w:shd w:val="clear" w:color="auto" w:fill="FFFFFF"/>
        </w:rPr>
        <w:t>. Nelson Education.</w:t>
      </w:r>
    </w:p>
    <w:p w:rsidR="00860E31" w:rsidRPr="00860E31" w:rsidRDefault="00860E31" w:rsidP="00860E31">
      <w:pPr>
        <w:spacing w:line="360" w:lineRule="auto"/>
        <w:rPr>
          <w:rFonts w:cs="Times New Roman"/>
          <w:color w:val="222222"/>
          <w:szCs w:val="24"/>
          <w:shd w:val="clear" w:color="auto" w:fill="FFFFFF"/>
        </w:rPr>
      </w:pPr>
      <w:r w:rsidRPr="00860E31">
        <w:rPr>
          <w:rFonts w:cs="Times New Roman"/>
          <w:color w:val="222222"/>
          <w:szCs w:val="24"/>
          <w:shd w:val="clear" w:color="auto" w:fill="FFFFFF"/>
        </w:rPr>
        <w:t xml:space="preserve">Shapiro, A. C., &amp; </w:t>
      </w:r>
      <w:proofErr w:type="spellStart"/>
      <w:r w:rsidRPr="00860E31">
        <w:rPr>
          <w:rFonts w:cs="Times New Roman"/>
          <w:color w:val="222222"/>
          <w:szCs w:val="24"/>
          <w:shd w:val="clear" w:color="auto" w:fill="FFFFFF"/>
        </w:rPr>
        <w:t>Hanouna</w:t>
      </w:r>
      <w:proofErr w:type="spellEnd"/>
      <w:r w:rsidRPr="00860E31">
        <w:rPr>
          <w:rFonts w:cs="Times New Roman"/>
          <w:color w:val="222222"/>
          <w:szCs w:val="24"/>
          <w:shd w:val="clear" w:color="auto" w:fill="FFFFFF"/>
        </w:rPr>
        <w:t>, P. (2019) </w:t>
      </w:r>
      <w:r w:rsidRPr="00860E31">
        <w:rPr>
          <w:rFonts w:cs="Times New Roman"/>
          <w:i/>
          <w:iCs/>
          <w:color w:val="222222"/>
          <w:szCs w:val="24"/>
          <w:shd w:val="clear" w:color="auto" w:fill="FFFFFF"/>
        </w:rPr>
        <w:t>Multinational financial management</w:t>
      </w:r>
      <w:r w:rsidRPr="00860E31">
        <w:rPr>
          <w:rFonts w:cs="Times New Roman"/>
          <w:color w:val="222222"/>
          <w:szCs w:val="24"/>
          <w:shd w:val="clear" w:color="auto" w:fill="FFFFFF"/>
        </w:rPr>
        <w:t>. John Wiley &amp; Sons.</w:t>
      </w:r>
    </w:p>
    <w:p w:rsidR="00860E31" w:rsidRPr="00860E31" w:rsidRDefault="00860E31" w:rsidP="00860E31">
      <w:pPr>
        <w:spacing w:line="360" w:lineRule="auto"/>
        <w:rPr>
          <w:rFonts w:cs="Times New Roman"/>
          <w:color w:val="222222"/>
          <w:szCs w:val="24"/>
          <w:shd w:val="clear" w:color="auto" w:fill="FFFFFF"/>
        </w:rPr>
      </w:pPr>
      <w:r w:rsidRPr="00860E31">
        <w:rPr>
          <w:rFonts w:cs="Times New Roman"/>
          <w:color w:val="222222"/>
          <w:szCs w:val="24"/>
          <w:shd w:val="clear" w:color="auto" w:fill="FFFFFF"/>
        </w:rPr>
        <w:t>Banerjee, B. (2015) </w:t>
      </w:r>
      <w:r w:rsidRPr="00860E31">
        <w:rPr>
          <w:rFonts w:cs="Times New Roman"/>
          <w:i/>
          <w:iCs/>
          <w:color w:val="222222"/>
          <w:szCs w:val="24"/>
          <w:shd w:val="clear" w:color="auto" w:fill="FFFFFF"/>
        </w:rPr>
        <w:t>Fundamentals of financial management</w:t>
      </w:r>
      <w:r w:rsidRPr="00860E31">
        <w:rPr>
          <w:rFonts w:cs="Times New Roman"/>
          <w:color w:val="222222"/>
          <w:szCs w:val="24"/>
          <w:shd w:val="clear" w:color="auto" w:fill="FFFFFF"/>
        </w:rPr>
        <w:t xml:space="preserve">. PHI Learning Pvt. </w:t>
      </w:r>
      <w:proofErr w:type="gramStart"/>
      <w:r w:rsidRPr="00860E31">
        <w:rPr>
          <w:rFonts w:cs="Times New Roman"/>
          <w:color w:val="222222"/>
          <w:szCs w:val="24"/>
          <w:shd w:val="clear" w:color="auto" w:fill="FFFFFF"/>
        </w:rPr>
        <w:t>Ltd..</w:t>
      </w:r>
      <w:proofErr w:type="gramEnd"/>
    </w:p>
    <w:p w:rsidR="00860E31" w:rsidRPr="00860E31" w:rsidRDefault="00860E31" w:rsidP="00860E31">
      <w:pPr>
        <w:spacing w:line="360" w:lineRule="auto"/>
        <w:rPr>
          <w:rFonts w:cs="Times New Roman"/>
          <w:color w:val="222222"/>
          <w:szCs w:val="24"/>
          <w:shd w:val="clear" w:color="auto" w:fill="FFFFFF"/>
        </w:rPr>
      </w:pPr>
      <w:r w:rsidRPr="00860E31">
        <w:rPr>
          <w:rFonts w:cs="Times New Roman"/>
          <w:color w:val="222222"/>
          <w:szCs w:val="24"/>
          <w:shd w:val="clear" w:color="auto" w:fill="FFFFFF"/>
        </w:rPr>
        <w:t>Arnold, G. (2013) </w:t>
      </w:r>
      <w:proofErr w:type="gramStart"/>
      <w:r w:rsidRPr="00860E31">
        <w:rPr>
          <w:rFonts w:cs="Times New Roman"/>
          <w:i/>
          <w:iCs/>
          <w:color w:val="222222"/>
          <w:szCs w:val="24"/>
          <w:shd w:val="clear" w:color="auto" w:fill="FFFFFF"/>
        </w:rPr>
        <w:t>Corporate</w:t>
      </w:r>
      <w:proofErr w:type="gramEnd"/>
      <w:r w:rsidRPr="00860E31">
        <w:rPr>
          <w:rFonts w:cs="Times New Roman"/>
          <w:i/>
          <w:iCs/>
          <w:color w:val="222222"/>
          <w:szCs w:val="24"/>
          <w:shd w:val="clear" w:color="auto" w:fill="FFFFFF"/>
        </w:rPr>
        <w:t xml:space="preserve"> financial management</w:t>
      </w:r>
      <w:r w:rsidRPr="00860E31">
        <w:rPr>
          <w:rFonts w:cs="Times New Roman"/>
          <w:color w:val="222222"/>
          <w:szCs w:val="24"/>
          <w:shd w:val="clear" w:color="auto" w:fill="FFFFFF"/>
        </w:rPr>
        <w:t> (pp. 849-902). Pearson.</w:t>
      </w:r>
    </w:p>
    <w:p w:rsidR="00860E31" w:rsidRPr="00860E31" w:rsidRDefault="00860E31" w:rsidP="00860E31">
      <w:pPr>
        <w:spacing w:line="360" w:lineRule="auto"/>
        <w:rPr>
          <w:rFonts w:cs="Times New Roman"/>
          <w:color w:val="222222"/>
          <w:szCs w:val="24"/>
          <w:shd w:val="clear" w:color="auto" w:fill="FFFFFF"/>
        </w:rPr>
      </w:pPr>
      <w:proofErr w:type="spellStart"/>
      <w:r w:rsidRPr="00860E31">
        <w:rPr>
          <w:rFonts w:cs="Times New Roman"/>
          <w:color w:val="222222"/>
          <w:szCs w:val="24"/>
          <w:shd w:val="clear" w:color="auto" w:fill="FFFFFF"/>
        </w:rPr>
        <w:t>Apte</w:t>
      </w:r>
      <w:proofErr w:type="spellEnd"/>
      <w:r w:rsidRPr="00860E31">
        <w:rPr>
          <w:rFonts w:cs="Times New Roman"/>
          <w:color w:val="222222"/>
          <w:szCs w:val="24"/>
          <w:shd w:val="clear" w:color="auto" w:fill="FFFFFF"/>
        </w:rPr>
        <w:t xml:space="preserve">, P. G., &amp; </w:t>
      </w:r>
      <w:proofErr w:type="spellStart"/>
      <w:r w:rsidRPr="00860E31">
        <w:rPr>
          <w:rFonts w:cs="Times New Roman"/>
          <w:color w:val="222222"/>
          <w:szCs w:val="24"/>
          <w:shd w:val="clear" w:color="auto" w:fill="FFFFFF"/>
        </w:rPr>
        <w:t>Kapshe</w:t>
      </w:r>
      <w:proofErr w:type="spellEnd"/>
      <w:r w:rsidRPr="00860E31">
        <w:rPr>
          <w:rFonts w:cs="Times New Roman"/>
          <w:color w:val="222222"/>
          <w:szCs w:val="24"/>
          <w:shd w:val="clear" w:color="auto" w:fill="FFFFFF"/>
        </w:rPr>
        <w:t>, S. (2020). </w:t>
      </w:r>
      <w:r w:rsidRPr="00860E31">
        <w:rPr>
          <w:rFonts w:cs="Times New Roman"/>
          <w:i/>
          <w:iCs/>
          <w:color w:val="222222"/>
          <w:szCs w:val="24"/>
          <w:shd w:val="clear" w:color="auto" w:fill="FFFFFF"/>
        </w:rPr>
        <w:t>International Financial Management|</w:t>
      </w:r>
      <w:r w:rsidRPr="00860E31">
        <w:rPr>
          <w:rFonts w:cs="Times New Roman"/>
          <w:color w:val="222222"/>
          <w:szCs w:val="24"/>
          <w:shd w:val="clear" w:color="auto" w:fill="FFFFFF"/>
        </w:rPr>
        <w:t>. McGraw-Hill Education.</w:t>
      </w:r>
    </w:p>
    <w:p w:rsidR="00860E31" w:rsidRPr="00860E31" w:rsidRDefault="00860E31" w:rsidP="00860E31">
      <w:pPr>
        <w:spacing w:line="360" w:lineRule="auto"/>
        <w:rPr>
          <w:rFonts w:cs="Times New Roman"/>
          <w:color w:val="222222"/>
          <w:szCs w:val="24"/>
          <w:shd w:val="clear" w:color="auto" w:fill="FFFFFF"/>
        </w:rPr>
      </w:pPr>
      <w:r w:rsidRPr="00860E31">
        <w:rPr>
          <w:rFonts w:cs="Times New Roman"/>
          <w:color w:val="222222"/>
          <w:szCs w:val="24"/>
          <w:shd w:val="clear" w:color="auto" w:fill="FFFFFF"/>
        </w:rPr>
        <w:t xml:space="preserve">Petty, J. W., Titman, S., </w:t>
      </w:r>
      <w:proofErr w:type="spellStart"/>
      <w:r w:rsidRPr="00860E31">
        <w:rPr>
          <w:rFonts w:cs="Times New Roman"/>
          <w:color w:val="222222"/>
          <w:szCs w:val="24"/>
          <w:shd w:val="clear" w:color="auto" w:fill="FFFFFF"/>
        </w:rPr>
        <w:t>Keown</w:t>
      </w:r>
      <w:proofErr w:type="spellEnd"/>
      <w:r w:rsidRPr="00860E31">
        <w:rPr>
          <w:rFonts w:cs="Times New Roman"/>
          <w:color w:val="222222"/>
          <w:szCs w:val="24"/>
          <w:shd w:val="clear" w:color="auto" w:fill="FFFFFF"/>
        </w:rPr>
        <w:t>, A. J., Martin, P., Martin, J. D., &amp; Burrow, M. (2015) </w:t>
      </w:r>
      <w:r w:rsidRPr="00860E31">
        <w:rPr>
          <w:rFonts w:cs="Times New Roman"/>
          <w:i/>
          <w:iCs/>
          <w:color w:val="222222"/>
          <w:szCs w:val="24"/>
          <w:shd w:val="clear" w:color="auto" w:fill="FFFFFF"/>
        </w:rPr>
        <w:t>Financial management: Principles and applications</w:t>
      </w:r>
      <w:r w:rsidRPr="00860E31">
        <w:rPr>
          <w:rFonts w:cs="Times New Roman"/>
          <w:color w:val="222222"/>
          <w:szCs w:val="24"/>
          <w:shd w:val="clear" w:color="auto" w:fill="FFFFFF"/>
        </w:rPr>
        <w:t>. Pearson Higher Education AU.</w:t>
      </w:r>
    </w:p>
    <w:p w:rsidR="00860E31" w:rsidRPr="00860E31" w:rsidRDefault="00860E31" w:rsidP="00860E31">
      <w:pPr>
        <w:spacing w:line="360" w:lineRule="auto"/>
        <w:rPr>
          <w:rFonts w:cs="Times New Roman"/>
          <w:color w:val="222222"/>
          <w:szCs w:val="24"/>
          <w:shd w:val="clear" w:color="auto" w:fill="FFFFFF"/>
        </w:rPr>
      </w:pPr>
      <w:r w:rsidRPr="00860E31">
        <w:rPr>
          <w:rFonts w:cs="Times New Roman"/>
          <w:color w:val="222222"/>
          <w:szCs w:val="24"/>
          <w:shd w:val="clear" w:color="auto" w:fill="FFFFFF"/>
        </w:rPr>
        <w:t>Bandy, G. (2014) </w:t>
      </w:r>
      <w:proofErr w:type="gramStart"/>
      <w:r w:rsidRPr="00860E31">
        <w:rPr>
          <w:rFonts w:cs="Times New Roman"/>
          <w:i/>
          <w:iCs/>
          <w:color w:val="222222"/>
          <w:szCs w:val="24"/>
          <w:shd w:val="clear" w:color="auto" w:fill="FFFFFF"/>
        </w:rPr>
        <w:t>Financial</w:t>
      </w:r>
      <w:proofErr w:type="gramEnd"/>
      <w:r w:rsidRPr="00860E31">
        <w:rPr>
          <w:rFonts w:cs="Times New Roman"/>
          <w:i/>
          <w:iCs/>
          <w:color w:val="222222"/>
          <w:szCs w:val="24"/>
          <w:shd w:val="clear" w:color="auto" w:fill="FFFFFF"/>
        </w:rPr>
        <w:t xml:space="preserve"> management and accounting in the public sector</w:t>
      </w:r>
      <w:r w:rsidRPr="00860E31">
        <w:rPr>
          <w:rFonts w:cs="Times New Roman"/>
          <w:color w:val="222222"/>
          <w:szCs w:val="24"/>
          <w:shd w:val="clear" w:color="auto" w:fill="FFFFFF"/>
        </w:rPr>
        <w:t>. Routledge.</w:t>
      </w:r>
    </w:p>
    <w:p w:rsidR="00860E31" w:rsidRPr="00860E31" w:rsidRDefault="00860E31" w:rsidP="00860E31">
      <w:pPr>
        <w:spacing w:line="360" w:lineRule="auto"/>
        <w:rPr>
          <w:rFonts w:cs="Times New Roman"/>
          <w:color w:val="222222"/>
          <w:szCs w:val="24"/>
          <w:shd w:val="clear" w:color="auto" w:fill="FFFFFF"/>
        </w:rPr>
      </w:pPr>
      <w:r w:rsidRPr="00860E31">
        <w:rPr>
          <w:rFonts w:cs="Times New Roman"/>
          <w:color w:val="222222"/>
          <w:szCs w:val="24"/>
          <w:shd w:val="clear" w:color="auto" w:fill="FFFFFF"/>
        </w:rPr>
        <w:t>Schick, A. (2013). Reflections on two decades of public financial management. </w:t>
      </w:r>
      <w:r w:rsidRPr="00860E31">
        <w:rPr>
          <w:rFonts w:cs="Times New Roman"/>
          <w:i/>
          <w:iCs/>
          <w:color w:val="222222"/>
          <w:szCs w:val="24"/>
          <w:shd w:val="clear" w:color="auto" w:fill="FFFFFF"/>
        </w:rPr>
        <w:t>Public financial management and its emerging architecture</w:t>
      </w:r>
      <w:r w:rsidRPr="00860E31">
        <w:rPr>
          <w:rFonts w:cs="Times New Roman"/>
          <w:color w:val="222222"/>
          <w:szCs w:val="24"/>
          <w:shd w:val="clear" w:color="auto" w:fill="FFFFFF"/>
        </w:rPr>
        <w:t>, 21-77.</w:t>
      </w:r>
    </w:p>
    <w:p w:rsidR="00860E31" w:rsidRPr="00860E31" w:rsidRDefault="00860E31" w:rsidP="00860E31">
      <w:pPr>
        <w:spacing w:line="360" w:lineRule="auto"/>
        <w:rPr>
          <w:rFonts w:cs="Times New Roman"/>
          <w:color w:val="222222"/>
          <w:szCs w:val="24"/>
          <w:shd w:val="clear" w:color="auto" w:fill="FFFFFF"/>
        </w:rPr>
      </w:pPr>
      <w:r w:rsidRPr="00860E31">
        <w:rPr>
          <w:rFonts w:cs="Times New Roman"/>
          <w:color w:val="222222"/>
          <w:szCs w:val="24"/>
          <w:shd w:val="clear" w:color="auto" w:fill="FFFFFF"/>
        </w:rPr>
        <w:t xml:space="preserve">Cornwall, J. R., </w:t>
      </w:r>
      <w:proofErr w:type="spellStart"/>
      <w:r w:rsidRPr="00860E31">
        <w:rPr>
          <w:rFonts w:cs="Times New Roman"/>
          <w:color w:val="222222"/>
          <w:szCs w:val="24"/>
          <w:shd w:val="clear" w:color="auto" w:fill="FFFFFF"/>
        </w:rPr>
        <w:t>Vang</w:t>
      </w:r>
      <w:proofErr w:type="spellEnd"/>
      <w:r w:rsidRPr="00860E31">
        <w:rPr>
          <w:rFonts w:cs="Times New Roman"/>
          <w:color w:val="222222"/>
          <w:szCs w:val="24"/>
          <w:shd w:val="clear" w:color="auto" w:fill="FFFFFF"/>
        </w:rPr>
        <w:t>, D. O., &amp; Hartman, J. M. (2019) </w:t>
      </w:r>
      <w:r w:rsidRPr="00860E31">
        <w:rPr>
          <w:rFonts w:cs="Times New Roman"/>
          <w:i/>
          <w:iCs/>
          <w:color w:val="222222"/>
          <w:szCs w:val="24"/>
          <w:shd w:val="clear" w:color="auto" w:fill="FFFFFF"/>
        </w:rPr>
        <w:t>Entrepreneurial financial management: An applied approach</w:t>
      </w:r>
      <w:r w:rsidRPr="00860E31">
        <w:rPr>
          <w:rFonts w:cs="Times New Roman"/>
          <w:color w:val="222222"/>
          <w:szCs w:val="24"/>
          <w:shd w:val="clear" w:color="auto" w:fill="FFFFFF"/>
        </w:rPr>
        <w:t>. Routledge.</w:t>
      </w:r>
    </w:p>
    <w:p w:rsidR="00860E31" w:rsidRPr="00860E31" w:rsidRDefault="00860E31" w:rsidP="00860E31">
      <w:pPr>
        <w:spacing w:line="360" w:lineRule="auto"/>
        <w:rPr>
          <w:rFonts w:cs="Times New Roman"/>
          <w:color w:val="222222"/>
          <w:szCs w:val="24"/>
          <w:shd w:val="clear" w:color="auto" w:fill="FFFFFF"/>
        </w:rPr>
      </w:pPr>
      <w:proofErr w:type="spellStart"/>
      <w:r w:rsidRPr="00860E31">
        <w:rPr>
          <w:rFonts w:cs="Times New Roman"/>
          <w:color w:val="222222"/>
          <w:szCs w:val="24"/>
          <w:shd w:val="clear" w:color="auto" w:fill="FFFFFF"/>
        </w:rPr>
        <w:t>Siminica</w:t>
      </w:r>
      <w:proofErr w:type="spellEnd"/>
      <w:r w:rsidRPr="00860E31">
        <w:rPr>
          <w:rFonts w:cs="Times New Roman"/>
          <w:color w:val="222222"/>
          <w:szCs w:val="24"/>
          <w:shd w:val="clear" w:color="auto" w:fill="FFFFFF"/>
        </w:rPr>
        <w:t xml:space="preserve">, M., Motoi, A. G., &amp; </w:t>
      </w:r>
      <w:proofErr w:type="spellStart"/>
      <w:r w:rsidRPr="00860E31">
        <w:rPr>
          <w:rFonts w:cs="Times New Roman"/>
          <w:color w:val="222222"/>
          <w:szCs w:val="24"/>
          <w:shd w:val="clear" w:color="auto" w:fill="FFFFFF"/>
        </w:rPr>
        <w:t>Dumitru</w:t>
      </w:r>
      <w:proofErr w:type="spellEnd"/>
      <w:r w:rsidRPr="00860E31">
        <w:rPr>
          <w:rFonts w:cs="Times New Roman"/>
          <w:color w:val="222222"/>
          <w:szCs w:val="24"/>
          <w:shd w:val="clear" w:color="auto" w:fill="FFFFFF"/>
        </w:rPr>
        <w:t>, A. (2017) Financial management as component of tactical management. </w:t>
      </w:r>
      <w:r w:rsidRPr="00860E31">
        <w:rPr>
          <w:rFonts w:cs="Times New Roman"/>
          <w:i/>
          <w:iCs/>
          <w:color w:val="222222"/>
          <w:szCs w:val="24"/>
          <w:shd w:val="clear" w:color="auto" w:fill="FFFFFF"/>
        </w:rPr>
        <w:t>Polish Journal of Management Studies</w:t>
      </w:r>
      <w:r w:rsidRPr="00860E31">
        <w:rPr>
          <w:rFonts w:cs="Times New Roman"/>
          <w:color w:val="222222"/>
          <w:szCs w:val="24"/>
          <w:shd w:val="clear" w:color="auto" w:fill="FFFFFF"/>
        </w:rPr>
        <w:t>, </w:t>
      </w:r>
      <w:r w:rsidRPr="00860E31">
        <w:rPr>
          <w:rFonts w:cs="Times New Roman"/>
          <w:i/>
          <w:iCs/>
          <w:color w:val="222222"/>
          <w:szCs w:val="24"/>
          <w:shd w:val="clear" w:color="auto" w:fill="FFFFFF"/>
        </w:rPr>
        <w:t>15</w:t>
      </w:r>
      <w:r w:rsidRPr="00860E31">
        <w:rPr>
          <w:rFonts w:cs="Times New Roman"/>
          <w:color w:val="222222"/>
          <w:szCs w:val="24"/>
          <w:shd w:val="clear" w:color="auto" w:fill="FFFFFF"/>
        </w:rPr>
        <w:t>.</w:t>
      </w:r>
    </w:p>
    <w:p w:rsidR="00860E31" w:rsidRPr="00860E31" w:rsidRDefault="00860E31" w:rsidP="00860E31">
      <w:pPr>
        <w:spacing w:line="360" w:lineRule="auto"/>
        <w:rPr>
          <w:rFonts w:cs="Times New Roman"/>
          <w:color w:val="222222"/>
          <w:szCs w:val="24"/>
          <w:shd w:val="clear" w:color="auto" w:fill="FFFFFF"/>
        </w:rPr>
      </w:pPr>
      <w:r w:rsidRPr="00860E31">
        <w:rPr>
          <w:rFonts w:cs="Times New Roman"/>
          <w:color w:val="222222"/>
          <w:szCs w:val="24"/>
          <w:shd w:val="clear" w:color="auto" w:fill="FFFFFF"/>
        </w:rPr>
        <w:t>Madura, J. (2020). </w:t>
      </w:r>
      <w:r w:rsidRPr="00860E31">
        <w:rPr>
          <w:rFonts w:cs="Times New Roman"/>
          <w:i/>
          <w:iCs/>
          <w:color w:val="222222"/>
          <w:szCs w:val="24"/>
          <w:shd w:val="clear" w:color="auto" w:fill="FFFFFF"/>
        </w:rPr>
        <w:t>International financial management</w:t>
      </w:r>
      <w:r w:rsidRPr="00860E31">
        <w:rPr>
          <w:rFonts w:cs="Times New Roman"/>
          <w:color w:val="222222"/>
          <w:szCs w:val="24"/>
          <w:shd w:val="clear" w:color="auto" w:fill="FFFFFF"/>
        </w:rPr>
        <w:t xml:space="preserve">. </w:t>
      </w:r>
      <w:proofErr w:type="spellStart"/>
      <w:r w:rsidRPr="00860E31">
        <w:rPr>
          <w:rFonts w:cs="Times New Roman"/>
          <w:color w:val="222222"/>
          <w:szCs w:val="24"/>
          <w:shd w:val="clear" w:color="auto" w:fill="FFFFFF"/>
        </w:rPr>
        <w:t>Cengage</w:t>
      </w:r>
      <w:proofErr w:type="spellEnd"/>
      <w:r w:rsidRPr="00860E31">
        <w:rPr>
          <w:rFonts w:cs="Times New Roman"/>
          <w:color w:val="222222"/>
          <w:szCs w:val="24"/>
          <w:shd w:val="clear" w:color="auto" w:fill="FFFFFF"/>
        </w:rPr>
        <w:t xml:space="preserve"> Learning.</w:t>
      </w:r>
    </w:p>
    <w:p w:rsidR="00860E31" w:rsidRPr="00860E31" w:rsidRDefault="00860E31" w:rsidP="00860E31">
      <w:pPr>
        <w:spacing w:line="360" w:lineRule="auto"/>
        <w:rPr>
          <w:rFonts w:cs="Times New Roman"/>
          <w:color w:val="222222"/>
          <w:szCs w:val="24"/>
          <w:shd w:val="clear" w:color="auto" w:fill="FFFFFF"/>
        </w:rPr>
      </w:pPr>
      <w:proofErr w:type="spellStart"/>
      <w:r w:rsidRPr="00860E31">
        <w:rPr>
          <w:rFonts w:cs="Times New Roman"/>
          <w:color w:val="222222"/>
          <w:szCs w:val="24"/>
          <w:shd w:val="clear" w:color="auto" w:fill="FFFFFF"/>
        </w:rPr>
        <w:t>Bekaert</w:t>
      </w:r>
      <w:proofErr w:type="spellEnd"/>
      <w:r w:rsidRPr="00860E31">
        <w:rPr>
          <w:rFonts w:cs="Times New Roman"/>
          <w:color w:val="222222"/>
          <w:szCs w:val="24"/>
          <w:shd w:val="clear" w:color="auto" w:fill="FFFFFF"/>
        </w:rPr>
        <w:t xml:space="preserve">, G., &amp; </w:t>
      </w:r>
      <w:proofErr w:type="spellStart"/>
      <w:r w:rsidRPr="00860E31">
        <w:rPr>
          <w:rFonts w:cs="Times New Roman"/>
          <w:color w:val="222222"/>
          <w:szCs w:val="24"/>
          <w:shd w:val="clear" w:color="auto" w:fill="FFFFFF"/>
        </w:rPr>
        <w:t>Hodrick</w:t>
      </w:r>
      <w:proofErr w:type="spellEnd"/>
      <w:r w:rsidRPr="00860E31">
        <w:rPr>
          <w:rFonts w:cs="Times New Roman"/>
          <w:color w:val="222222"/>
          <w:szCs w:val="24"/>
          <w:shd w:val="clear" w:color="auto" w:fill="FFFFFF"/>
        </w:rPr>
        <w:t>, R. (2017) </w:t>
      </w:r>
      <w:r w:rsidRPr="00860E31">
        <w:rPr>
          <w:rFonts w:cs="Times New Roman"/>
          <w:i/>
          <w:iCs/>
          <w:color w:val="222222"/>
          <w:szCs w:val="24"/>
          <w:shd w:val="clear" w:color="auto" w:fill="FFFFFF"/>
        </w:rPr>
        <w:t>International financial management</w:t>
      </w:r>
      <w:r w:rsidRPr="00860E31">
        <w:rPr>
          <w:rFonts w:cs="Times New Roman"/>
          <w:color w:val="222222"/>
          <w:szCs w:val="24"/>
          <w:shd w:val="clear" w:color="auto" w:fill="FFFFFF"/>
        </w:rPr>
        <w:t>. Cambridge University Press.</w:t>
      </w:r>
    </w:p>
    <w:p w:rsidR="00860E31" w:rsidRPr="00860E31" w:rsidRDefault="00860E31" w:rsidP="00860E31">
      <w:pPr>
        <w:spacing w:line="360" w:lineRule="auto"/>
        <w:rPr>
          <w:rFonts w:cs="Times New Roman"/>
          <w:szCs w:val="24"/>
        </w:rPr>
      </w:pPr>
      <w:r w:rsidRPr="00860E31">
        <w:rPr>
          <w:rFonts w:cs="Times New Roman"/>
          <w:szCs w:val="24"/>
        </w:rPr>
        <w:t xml:space="preserve">M&amp;S. (2020) annual report of M&amp;S-2020 [Online] Available at&gt; </w:t>
      </w:r>
      <w:hyperlink r:id="rId9" w:history="1">
        <w:r w:rsidRPr="00860E31">
          <w:rPr>
            <w:rStyle w:val="Hyperlink"/>
            <w:rFonts w:cs="Times New Roman"/>
            <w:szCs w:val="24"/>
          </w:rPr>
          <w:t>https://corporate.marksandspencer.com/documents/msar2020/m-and-s_ar20_full_200528.pdf</w:t>
        </w:r>
      </w:hyperlink>
      <w:r w:rsidR="006D6441">
        <w:rPr>
          <w:rFonts w:cs="Times New Roman"/>
          <w:szCs w:val="24"/>
        </w:rPr>
        <w:t xml:space="preserve">  [Accessed: 29</w:t>
      </w:r>
      <w:bookmarkStart w:id="20" w:name="_GoBack"/>
      <w:bookmarkEnd w:id="20"/>
      <w:r w:rsidRPr="00860E31">
        <w:rPr>
          <w:rFonts w:cs="Times New Roman"/>
          <w:szCs w:val="24"/>
          <w:vertAlign w:val="superscript"/>
        </w:rPr>
        <w:t>th</w:t>
      </w:r>
      <w:r w:rsidRPr="00860E31">
        <w:rPr>
          <w:rFonts w:cs="Times New Roman"/>
          <w:szCs w:val="24"/>
        </w:rPr>
        <w:t xml:space="preserve"> December 2020]. </w:t>
      </w:r>
    </w:p>
    <w:p w:rsidR="00860E31" w:rsidRPr="00860E31" w:rsidRDefault="00860E31" w:rsidP="00860E31">
      <w:pPr>
        <w:spacing w:line="360" w:lineRule="auto"/>
        <w:rPr>
          <w:rFonts w:cs="Times New Roman"/>
          <w:szCs w:val="24"/>
        </w:rPr>
      </w:pPr>
      <w:r w:rsidRPr="00860E31">
        <w:rPr>
          <w:rFonts w:cs="Times New Roman"/>
          <w:szCs w:val="24"/>
        </w:rPr>
        <w:t xml:space="preserve">Mintel. (2020) </w:t>
      </w:r>
      <w:r w:rsidRPr="00860E31">
        <w:rPr>
          <w:rFonts w:cs="Times New Roman"/>
          <w:i/>
          <w:szCs w:val="24"/>
        </w:rPr>
        <w:t>UK Retail Briefing Market Report</w:t>
      </w:r>
      <w:r w:rsidRPr="00860E31">
        <w:rPr>
          <w:rFonts w:cs="Times New Roman"/>
          <w:szCs w:val="24"/>
        </w:rPr>
        <w:t xml:space="preserve">. [Online] Available at&gt; </w:t>
      </w:r>
      <w:hyperlink r:id="rId10" w:history="1">
        <w:r w:rsidRPr="00860E31">
          <w:rPr>
            <w:rStyle w:val="Hyperlink"/>
            <w:rFonts w:cs="Times New Roman"/>
            <w:szCs w:val="24"/>
          </w:rPr>
          <w:t>https://store.mintel.com/uk-retail-briefing-market-report</w:t>
        </w:r>
      </w:hyperlink>
      <w:r w:rsidRPr="00860E31">
        <w:rPr>
          <w:rFonts w:cs="Times New Roman"/>
          <w:szCs w:val="24"/>
        </w:rPr>
        <w:t xml:space="preserve"> [Accessed: 20</w:t>
      </w:r>
      <w:r w:rsidRPr="00860E31">
        <w:rPr>
          <w:rFonts w:cs="Times New Roman"/>
          <w:szCs w:val="24"/>
          <w:vertAlign w:val="superscript"/>
        </w:rPr>
        <w:t>th</w:t>
      </w:r>
      <w:r w:rsidRPr="00860E31">
        <w:rPr>
          <w:rFonts w:cs="Times New Roman"/>
          <w:szCs w:val="24"/>
        </w:rPr>
        <w:t xml:space="preserve"> December 2020]. </w:t>
      </w:r>
    </w:p>
    <w:p w:rsidR="00860E31" w:rsidRPr="00860E31" w:rsidRDefault="00860E31" w:rsidP="00860E31">
      <w:pPr>
        <w:spacing w:line="360" w:lineRule="auto"/>
        <w:rPr>
          <w:rFonts w:cs="Times New Roman"/>
          <w:szCs w:val="24"/>
        </w:rPr>
      </w:pPr>
      <w:proofErr w:type="spellStart"/>
      <w:r w:rsidRPr="00860E31">
        <w:rPr>
          <w:rFonts w:cs="Times New Roman"/>
          <w:szCs w:val="24"/>
        </w:rPr>
        <w:lastRenderedPageBreak/>
        <w:t>Pwc</w:t>
      </w:r>
      <w:proofErr w:type="spellEnd"/>
      <w:r w:rsidRPr="00860E31">
        <w:rPr>
          <w:rFonts w:cs="Times New Roman"/>
          <w:szCs w:val="24"/>
        </w:rPr>
        <w:t xml:space="preserve">. (2020) </w:t>
      </w:r>
      <w:r w:rsidRPr="00860E31">
        <w:rPr>
          <w:rFonts w:cs="Times New Roman"/>
          <w:i/>
          <w:szCs w:val="24"/>
        </w:rPr>
        <w:t>Retail Outlook 2020: Thriving in a changing retail &amp; consumer landscape</w:t>
      </w:r>
      <w:r w:rsidRPr="00860E31">
        <w:rPr>
          <w:rFonts w:cs="Times New Roman"/>
          <w:szCs w:val="24"/>
        </w:rPr>
        <w:t xml:space="preserve">. [Online] Available at&gt; </w:t>
      </w:r>
      <w:hyperlink r:id="rId11" w:history="1">
        <w:r w:rsidRPr="00860E31">
          <w:rPr>
            <w:rStyle w:val="Hyperlink"/>
            <w:rFonts w:cs="Times New Roman"/>
            <w:szCs w:val="24"/>
          </w:rPr>
          <w:t>https://www.pwc.co.uk/industries/retail-consumer/insights/retail-outlook.html</w:t>
        </w:r>
      </w:hyperlink>
      <w:r w:rsidRPr="00860E31">
        <w:rPr>
          <w:rFonts w:cs="Times New Roman"/>
          <w:szCs w:val="24"/>
        </w:rPr>
        <w:t xml:space="preserve"> [Accessed: 12</w:t>
      </w:r>
      <w:r w:rsidRPr="00860E31">
        <w:rPr>
          <w:rFonts w:cs="Times New Roman"/>
          <w:szCs w:val="24"/>
          <w:vertAlign w:val="superscript"/>
        </w:rPr>
        <w:t>th</w:t>
      </w:r>
      <w:r w:rsidRPr="00860E31">
        <w:rPr>
          <w:rFonts w:cs="Times New Roman"/>
          <w:szCs w:val="24"/>
        </w:rPr>
        <w:t xml:space="preserve"> </w:t>
      </w:r>
      <w:r w:rsidR="006D6441">
        <w:rPr>
          <w:rFonts w:cs="Times New Roman"/>
          <w:szCs w:val="24"/>
        </w:rPr>
        <w:t>January</w:t>
      </w:r>
      <w:r w:rsidRPr="00860E31">
        <w:rPr>
          <w:rFonts w:cs="Times New Roman"/>
          <w:szCs w:val="24"/>
        </w:rPr>
        <w:t xml:space="preserve"> </w:t>
      </w:r>
      <w:r w:rsidR="006D6441">
        <w:rPr>
          <w:rFonts w:cs="Times New Roman"/>
          <w:szCs w:val="24"/>
        </w:rPr>
        <w:t>2021</w:t>
      </w:r>
      <w:r w:rsidRPr="00860E31">
        <w:rPr>
          <w:rFonts w:cs="Times New Roman"/>
          <w:szCs w:val="24"/>
        </w:rPr>
        <w:t xml:space="preserve">]. </w:t>
      </w:r>
    </w:p>
    <w:p w:rsidR="00860E31" w:rsidRPr="00860E31" w:rsidRDefault="00860E31" w:rsidP="00860E31">
      <w:pPr>
        <w:spacing w:line="360" w:lineRule="auto"/>
        <w:rPr>
          <w:rFonts w:cs="Times New Roman"/>
          <w:szCs w:val="24"/>
        </w:rPr>
      </w:pPr>
      <w:r w:rsidRPr="00860E31">
        <w:rPr>
          <w:rFonts w:cs="Times New Roman"/>
          <w:szCs w:val="24"/>
        </w:rPr>
        <w:t xml:space="preserve">IBIS World. (2020) </w:t>
      </w:r>
      <w:r w:rsidRPr="00860E31">
        <w:rPr>
          <w:rFonts w:cs="Times New Roman"/>
          <w:i/>
          <w:szCs w:val="24"/>
        </w:rPr>
        <w:t>Clothing Retailing in the UK</w:t>
      </w:r>
      <w:r w:rsidRPr="00860E31">
        <w:rPr>
          <w:rFonts w:cs="Times New Roman"/>
          <w:szCs w:val="24"/>
        </w:rPr>
        <w:t xml:space="preserve">. [Online] Available at&gt; </w:t>
      </w:r>
      <w:hyperlink r:id="rId12" w:history="1">
        <w:r w:rsidRPr="00860E31">
          <w:rPr>
            <w:rStyle w:val="Hyperlink"/>
            <w:rFonts w:cs="Times New Roman"/>
            <w:szCs w:val="24"/>
          </w:rPr>
          <w:t>https://www.ibisworld.com/united-kingdom/market-research-reports/clothing-retailing-industry/</w:t>
        </w:r>
      </w:hyperlink>
      <w:r w:rsidR="006D6441">
        <w:rPr>
          <w:rFonts w:cs="Times New Roman"/>
          <w:szCs w:val="24"/>
        </w:rPr>
        <w:t xml:space="preserve">   [Accessed: 10</w:t>
      </w:r>
      <w:r w:rsidRPr="00860E31">
        <w:rPr>
          <w:rFonts w:cs="Times New Roman"/>
          <w:szCs w:val="24"/>
          <w:vertAlign w:val="superscript"/>
        </w:rPr>
        <w:t>th</w:t>
      </w:r>
      <w:r w:rsidRPr="00860E31">
        <w:rPr>
          <w:rFonts w:cs="Times New Roman"/>
          <w:szCs w:val="24"/>
        </w:rPr>
        <w:t xml:space="preserve"> </w:t>
      </w:r>
      <w:r w:rsidR="006D6441">
        <w:rPr>
          <w:rFonts w:cs="Times New Roman"/>
          <w:szCs w:val="24"/>
        </w:rPr>
        <w:t>January 2021</w:t>
      </w:r>
      <w:r w:rsidRPr="00860E31">
        <w:rPr>
          <w:rFonts w:cs="Times New Roman"/>
          <w:szCs w:val="24"/>
        </w:rPr>
        <w:t xml:space="preserve">]. </w:t>
      </w:r>
    </w:p>
    <w:p w:rsidR="002B66DA" w:rsidRDefault="002B66DA" w:rsidP="00860E31">
      <w:pPr>
        <w:spacing w:line="360" w:lineRule="auto"/>
      </w:pPr>
    </w:p>
    <w:sectPr w:rsidR="002B66D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1C1" w:rsidRDefault="00D501C1" w:rsidP="00860E31">
      <w:pPr>
        <w:spacing w:after="0" w:line="240" w:lineRule="auto"/>
      </w:pPr>
      <w:r>
        <w:separator/>
      </w:r>
    </w:p>
  </w:endnote>
  <w:endnote w:type="continuationSeparator" w:id="0">
    <w:p w:rsidR="00D501C1" w:rsidRDefault="00D501C1" w:rsidP="00860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939654"/>
      <w:docPartObj>
        <w:docPartGallery w:val="Page Numbers (Bottom of Page)"/>
        <w:docPartUnique/>
      </w:docPartObj>
    </w:sdtPr>
    <w:sdtEndPr>
      <w:rPr>
        <w:noProof/>
      </w:rPr>
    </w:sdtEndPr>
    <w:sdtContent>
      <w:p w:rsidR="00C718E3" w:rsidRDefault="00C718E3">
        <w:pPr>
          <w:pStyle w:val="Footer"/>
          <w:jc w:val="center"/>
        </w:pPr>
        <w:r>
          <w:fldChar w:fldCharType="begin"/>
        </w:r>
        <w:r>
          <w:instrText xml:space="preserve"> PAGE   \* MERGEFORMAT </w:instrText>
        </w:r>
        <w:r>
          <w:fldChar w:fldCharType="separate"/>
        </w:r>
        <w:r w:rsidR="006D6441">
          <w:rPr>
            <w:noProof/>
          </w:rPr>
          <w:t>23</w:t>
        </w:r>
        <w:r>
          <w:rPr>
            <w:noProof/>
          </w:rPr>
          <w:fldChar w:fldCharType="end"/>
        </w:r>
      </w:p>
    </w:sdtContent>
  </w:sdt>
  <w:p w:rsidR="00860E31" w:rsidRDefault="00860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1C1" w:rsidRDefault="00D501C1" w:rsidP="00860E31">
      <w:pPr>
        <w:spacing w:after="0" w:line="240" w:lineRule="auto"/>
      </w:pPr>
      <w:r>
        <w:separator/>
      </w:r>
    </w:p>
  </w:footnote>
  <w:footnote w:type="continuationSeparator" w:id="0">
    <w:p w:rsidR="00D501C1" w:rsidRDefault="00D501C1" w:rsidP="00860E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7B2162"/>
    <w:multiLevelType w:val="hybridMultilevel"/>
    <w:tmpl w:val="B6DCC1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ExMLI0MzCztDC1MDBU0lEKTi0uzszPAykwrAUAAHL/nywAAAA="/>
  </w:docVars>
  <w:rsids>
    <w:rsidRoot w:val="008B43FD"/>
    <w:rsid w:val="000432C7"/>
    <w:rsid w:val="000B2076"/>
    <w:rsid w:val="00133A47"/>
    <w:rsid w:val="00182EEE"/>
    <w:rsid w:val="00220CB6"/>
    <w:rsid w:val="002B66DA"/>
    <w:rsid w:val="002B6F80"/>
    <w:rsid w:val="00312431"/>
    <w:rsid w:val="00342F40"/>
    <w:rsid w:val="003A0546"/>
    <w:rsid w:val="003C5F09"/>
    <w:rsid w:val="0042562A"/>
    <w:rsid w:val="0044265F"/>
    <w:rsid w:val="00471150"/>
    <w:rsid w:val="005F70E6"/>
    <w:rsid w:val="00636537"/>
    <w:rsid w:val="00672BF3"/>
    <w:rsid w:val="006D1050"/>
    <w:rsid w:val="006D588E"/>
    <w:rsid w:val="006D6441"/>
    <w:rsid w:val="00722254"/>
    <w:rsid w:val="00742254"/>
    <w:rsid w:val="007458F2"/>
    <w:rsid w:val="00746DCE"/>
    <w:rsid w:val="00755E58"/>
    <w:rsid w:val="00817AA6"/>
    <w:rsid w:val="008466A6"/>
    <w:rsid w:val="00860E31"/>
    <w:rsid w:val="00872519"/>
    <w:rsid w:val="008B43FD"/>
    <w:rsid w:val="00906D7F"/>
    <w:rsid w:val="00964951"/>
    <w:rsid w:val="00A165C7"/>
    <w:rsid w:val="00A41503"/>
    <w:rsid w:val="00A764CA"/>
    <w:rsid w:val="00BA5B3A"/>
    <w:rsid w:val="00C718E3"/>
    <w:rsid w:val="00C901DA"/>
    <w:rsid w:val="00CB0993"/>
    <w:rsid w:val="00CD35A1"/>
    <w:rsid w:val="00D501C1"/>
    <w:rsid w:val="00D72678"/>
    <w:rsid w:val="00DB1B76"/>
    <w:rsid w:val="00DD0C28"/>
    <w:rsid w:val="00FF4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C3AD8D-72F6-4FBC-BBB0-B028BD754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DCE"/>
    <w:pPr>
      <w:jc w:val="both"/>
    </w:pPr>
    <w:rPr>
      <w:rFonts w:ascii="Times New Roman" w:hAnsi="Times New Roman"/>
      <w:sz w:val="24"/>
    </w:rPr>
  </w:style>
  <w:style w:type="paragraph" w:styleId="Heading1">
    <w:name w:val="heading 1"/>
    <w:basedOn w:val="Normal"/>
    <w:next w:val="Normal"/>
    <w:link w:val="Heading1Char"/>
    <w:uiPriority w:val="9"/>
    <w:qFormat/>
    <w:rsid w:val="00860E31"/>
    <w:pPr>
      <w:keepNext/>
      <w:keepLines/>
      <w:spacing w:before="360" w:after="12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860E31"/>
    <w:pPr>
      <w:keepNext/>
      <w:keepLines/>
      <w:spacing w:before="160" w:after="120"/>
      <w:outlineLvl w:val="1"/>
    </w:pPr>
    <w:rPr>
      <w:rFonts w:eastAsiaTheme="majorEastAsia" w:cstheme="majorBidi"/>
      <w:b/>
      <w:color w:val="44546A" w:themeColor="text2"/>
      <w:sz w:val="28"/>
      <w:szCs w:val="26"/>
    </w:rPr>
  </w:style>
  <w:style w:type="paragraph" w:styleId="Heading3">
    <w:name w:val="heading 3"/>
    <w:basedOn w:val="Normal"/>
    <w:next w:val="Normal"/>
    <w:link w:val="Heading3Char"/>
    <w:uiPriority w:val="9"/>
    <w:unhideWhenUsed/>
    <w:qFormat/>
    <w:rsid w:val="00860E31"/>
    <w:pPr>
      <w:keepNext/>
      <w:keepLines/>
      <w:spacing w:before="160" w:after="12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901DA"/>
    <w:pPr>
      <w:spacing w:after="200" w:line="240" w:lineRule="auto"/>
    </w:pPr>
    <w:rPr>
      <w:i/>
      <w:iCs/>
      <w:color w:val="44546A" w:themeColor="text2"/>
      <w:sz w:val="18"/>
      <w:szCs w:val="18"/>
    </w:rPr>
  </w:style>
  <w:style w:type="table" w:styleId="TableGrid">
    <w:name w:val="Table Grid"/>
    <w:basedOn w:val="TableNormal"/>
    <w:uiPriority w:val="39"/>
    <w:rsid w:val="008725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A5B3A"/>
    <w:pPr>
      <w:ind w:left="720"/>
      <w:contextualSpacing/>
    </w:pPr>
  </w:style>
  <w:style w:type="character" w:styleId="Hyperlink">
    <w:name w:val="Hyperlink"/>
    <w:basedOn w:val="DefaultParagraphFont"/>
    <w:uiPriority w:val="99"/>
    <w:unhideWhenUsed/>
    <w:rsid w:val="00860E31"/>
    <w:rPr>
      <w:color w:val="0563C1" w:themeColor="hyperlink"/>
      <w:u w:val="single"/>
    </w:rPr>
  </w:style>
  <w:style w:type="character" w:customStyle="1" w:styleId="Heading1Char">
    <w:name w:val="Heading 1 Char"/>
    <w:basedOn w:val="DefaultParagraphFont"/>
    <w:link w:val="Heading1"/>
    <w:uiPriority w:val="9"/>
    <w:rsid w:val="00860E31"/>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860E31"/>
    <w:rPr>
      <w:rFonts w:ascii="Times New Roman" w:eastAsiaTheme="majorEastAsia" w:hAnsi="Times New Roman" w:cstheme="majorBidi"/>
      <w:b/>
      <w:color w:val="44546A" w:themeColor="text2"/>
      <w:sz w:val="28"/>
      <w:szCs w:val="26"/>
    </w:rPr>
  </w:style>
  <w:style w:type="character" w:customStyle="1" w:styleId="Heading3Char">
    <w:name w:val="Heading 3 Char"/>
    <w:basedOn w:val="DefaultParagraphFont"/>
    <w:link w:val="Heading3"/>
    <w:uiPriority w:val="9"/>
    <w:rsid w:val="00860E31"/>
    <w:rPr>
      <w:rFonts w:ascii="Times New Roman" w:eastAsiaTheme="majorEastAsia" w:hAnsi="Times New Roman" w:cstheme="majorBidi"/>
      <w:b/>
      <w:color w:val="1F4D78" w:themeColor="accent1" w:themeShade="7F"/>
      <w:sz w:val="24"/>
      <w:szCs w:val="24"/>
    </w:rPr>
  </w:style>
  <w:style w:type="paragraph" w:styleId="Header">
    <w:name w:val="header"/>
    <w:basedOn w:val="Normal"/>
    <w:link w:val="HeaderChar"/>
    <w:uiPriority w:val="99"/>
    <w:unhideWhenUsed/>
    <w:rsid w:val="00860E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E31"/>
    <w:rPr>
      <w:rFonts w:ascii="Times New Roman" w:hAnsi="Times New Roman"/>
      <w:sz w:val="24"/>
    </w:rPr>
  </w:style>
  <w:style w:type="paragraph" w:styleId="Footer">
    <w:name w:val="footer"/>
    <w:basedOn w:val="Normal"/>
    <w:link w:val="FooterChar"/>
    <w:uiPriority w:val="99"/>
    <w:unhideWhenUsed/>
    <w:rsid w:val="00860E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0E31"/>
    <w:rPr>
      <w:rFonts w:ascii="Times New Roman" w:hAnsi="Times New Roman"/>
      <w:sz w:val="24"/>
    </w:rPr>
  </w:style>
  <w:style w:type="paragraph" w:styleId="TOCHeading">
    <w:name w:val="TOC Heading"/>
    <w:basedOn w:val="Heading1"/>
    <w:next w:val="Normal"/>
    <w:uiPriority w:val="39"/>
    <w:unhideWhenUsed/>
    <w:qFormat/>
    <w:rsid w:val="00CD35A1"/>
    <w:pPr>
      <w:spacing w:before="240" w:after="0"/>
      <w:jc w:val="left"/>
      <w:outlineLvl w:val="9"/>
    </w:pPr>
    <w:rPr>
      <w:rFonts w:asciiTheme="majorHAnsi" w:hAnsiTheme="majorHAnsi"/>
      <w:b w:val="0"/>
    </w:rPr>
  </w:style>
  <w:style w:type="paragraph" w:styleId="TOC1">
    <w:name w:val="toc 1"/>
    <w:basedOn w:val="Normal"/>
    <w:next w:val="Normal"/>
    <w:autoRedefine/>
    <w:uiPriority w:val="39"/>
    <w:unhideWhenUsed/>
    <w:rsid w:val="00CD35A1"/>
    <w:pPr>
      <w:spacing w:after="100"/>
    </w:pPr>
  </w:style>
  <w:style w:type="paragraph" w:styleId="TOC2">
    <w:name w:val="toc 2"/>
    <w:basedOn w:val="Normal"/>
    <w:next w:val="Normal"/>
    <w:autoRedefine/>
    <w:uiPriority w:val="39"/>
    <w:unhideWhenUsed/>
    <w:rsid w:val="00CD35A1"/>
    <w:pPr>
      <w:spacing w:after="100"/>
      <w:ind w:left="240"/>
    </w:pPr>
  </w:style>
  <w:style w:type="paragraph" w:styleId="TOC3">
    <w:name w:val="toc 3"/>
    <w:basedOn w:val="Normal"/>
    <w:next w:val="Normal"/>
    <w:autoRedefine/>
    <w:uiPriority w:val="39"/>
    <w:unhideWhenUsed/>
    <w:rsid w:val="00CD35A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172461">
      <w:bodyDiv w:val="1"/>
      <w:marLeft w:val="0"/>
      <w:marRight w:val="0"/>
      <w:marTop w:val="0"/>
      <w:marBottom w:val="0"/>
      <w:divBdr>
        <w:top w:val="none" w:sz="0" w:space="0" w:color="auto"/>
        <w:left w:val="none" w:sz="0" w:space="0" w:color="auto"/>
        <w:bottom w:val="none" w:sz="0" w:space="0" w:color="auto"/>
        <w:right w:val="none" w:sz="0" w:space="0" w:color="auto"/>
      </w:divBdr>
    </w:div>
    <w:div w:id="1207914476">
      <w:bodyDiv w:val="1"/>
      <w:marLeft w:val="0"/>
      <w:marRight w:val="0"/>
      <w:marTop w:val="0"/>
      <w:marBottom w:val="0"/>
      <w:divBdr>
        <w:top w:val="none" w:sz="0" w:space="0" w:color="auto"/>
        <w:left w:val="none" w:sz="0" w:space="0" w:color="auto"/>
        <w:bottom w:val="none" w:sz="0" w:space="0" w:color="auto"/>
        <w:right w:val="none" w:sz="0" w:space="0" w:color="auto"/>
      </w:divBdr>
    </w:div>
    <w:div w:id="1285965001">
      <w:bodyDiv w:val="1"/>
      <w:marLeft w:val="0"/>
      <w:marRight w:val="0"/>
      <w:marTop w:val="0"/>
      <w:marBottom w:val="0"/>
      <w:divBdr>
        <w:top w:val="none" w:sz="0" w:space="0" w:color="auto"/>
        <w:left w:val="none" w:sz="0" w:space="0" w:color="auto"/>
        <w:bottom w:val="none" w:sz="0" w:space="0" w:color="auto"/>
        <w:right w:val="none" w:sz="0" w:space="0" w:color="auto"/>
      </w:divBdr>
    </w:div>
    <w:div w:id="1711145527">
      <w:bodyDiv w:val="1"/>
      <w:marLeft w:val="0"/>
      <w:marRight w:val="0"/>
      <w:marTop w:val="0"/>
      <w:marBottom w:val="0"/>
      <w:divBdr>
        <w:top w:val="none" w:sz="0" w:space="0" w:color="auto"/>
        <w:left w:val="none" w:sz="0" w:space="0" w:color="auto"/>
        <w:bottom w:val="none" w:sz="0" w:space="0" w:color="auto"/>
        <w:right w:val="none" w:sz="0" w:space="0" w:color="auto"/>
      </w:divBdr>
    </w:div>
    <w:div w:id="1990746440">
      <w:bodyDiv w:val="1"/>
      <w:marLeft w:val="0"/>
      <w:marRight w:val="0"/>
      <w:marTop w:val="0"/>
      <w:marBottom w:val="0"/>
      <w:divBdr>
        <w:top w:val="none" w:sz="0" w:space="0" w:color="auto"/>
        <w:left w:val="none" w:sz="0" w:space="0" w:color="auto"/>
        <w:bottom w:val="none" w:sz="0" w:space="0" w:color="auto"/>
        <w:right w:val="none" w:sz="0" w:space="0" w:color="auto"/>
      </w:divBdr>
    </w:div>
    <w:div w:id="207542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F7C42-CC23-4AB1-B33A-3518C6633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5064</Words>
  <Characters>28866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Shahin</dc:creator>
  <cp:keywords/>
  <dc:description/>
  <cp:lastModifiedBy>Iqbal</cp:lastModifiedBy>
  <cp:revision>4</cp:revision>
  <dcterms:created xsi:type="dcterms:W3CDTF">2021-01-07T09:55:00Z</dcterms:created>
  <dcterms:modified xsi:type="dcterms:W3CDTF">2021-01-13T19:07:00Z</dcterms:modified>
</cp:coreProperties>
</file>