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118C8" w14:textId="77777777" w:rsidR="009732AC" w:rsidRPr="001E1B5A" w:rsidRDefault="009732AC">
      <w:pPr>
        <w:spacing w:line="360" w:lineRule="auto"/>
        <w:jc w:val="center"/>
        <w:rPr>
          <w:rFonts w:ascii="Times New Roman" w:eastAsia="Times New Roman" w:hAnsi="Times New Roman" w:cs="Times New Roman"/>
          <w:b/>
          <w:sz w:val="24"/>
          <w:szCs w:val="24"/>
        </w:rPr>
      </w:pPr>
    </w:p>
    <w:p w14:paraId="79B084B9" w14:textId="77777777" w:rsidR="009732AC" w:rsidRPr="001E1B5A" w:rsidRDefault="009732AC">
      <w:pPr>
        <w:spacing w:line="360" w:lineRule="auto"/>
        <w:jc w:val="center"/>
        <w:rPr>
          <w:rFonts w:ascii="Times New Roman" w:eastAsia="Times New Roman" w:hAnsi="Times New Roman" w:cs="Times New Roman"/>
          <w:b/>
          <w:sz w:val="24"/>
          <w:szCs w:val="24"/>
        </w:rPr>
      </w:pPr>
    </w:p>
    <w:p w14:paraId="03E0A5C5" w14:textId="77777777" w:rsidR="009732AC" w:rsidRPr="001E1B5A" w:rsidRDefault="009732AC">
      <w:pPr>
        <w:spacing w:line="360" w:lineRule="auto"/>
        <w:jc w:val="center"/>
        <w:rPr>
          <w:rFonts w:ascii="Times New Roman" w:eastAsia="Times New Roman" w:hAnsi="Times New Roman" w:cs="Times New Roman"/>
          <w:b/>
          <w:sz w:val="24"/>
          <w:szCs w:val="24"/>
        </w:rPr>
      </w:pPr>
    </w:p>
    <w:p w14:paraId="5C443415" w14:textId="77777777" w:rsidR="009732AC" w:rsidRPr="001E1B5A" w:rsidRDefault="009732AC">
      <w:pPr>
        <w:spacing w:line="360" w:lineRule="auto"/>
        <w:jc w:val="center"/>
        <w:rPr>
          <w:rFonts w:ascii="Times New Roman" w:eastAsia="Times New Roman" w:hAnsi="Times New Roman" w:cs="Times New Roman"/>
          <w:b/>
          <w:sz w:val="24"/>
          <w:szCs w:val="24"/>
        </w:rPr>
      </w:pPr>
    </w:p>
    <w:p w14:paraId="3F8EE857" w14:textId="77777777" w:rsidR="009732AC" w:rsidRPr="001E1B5A" w:rsidRDefault="009732AC">
      <w:pPr>
        <w:spacing w:line="360" w:lineRule="auto"/>
        <w:jc w:val="center"/>
        <w:rPr>
          <w:rFonts w:ascii="Times New Roman" w:eastAsia="Times New Roman" w:hAnsi="Times New Roman" w:cs="Times New Roman"/>
          <w:b/>
          <w:sz w:val="24"/>
          <w:szCs w:val="24"/>
        </w:rPr>
      </w:pPr>
    </w:p>
    <w:p w14:paraId="68741BDB" w14:textId="77777777" w:rsidR="009732AC" w:rsidRPr="001E1B5A" w:rsidRDefault="009732AC">
      <w:pPr>
        <w:spacing w:line="360" w:lineRule="auto"/>
        <w:jc w:val="center"/>
        <w:rPr>
          <w:rFonts w:ascii="Times New Roman" w:eastAsia="Times New Roman" w:hAnsi="Times New Roman" w:cs="Times New Roman"/>
          <w:b/>
          <w:sz w:val="24"/>
          <w:szCs w:val="24"/>
        </w:rPr>
      </w:pPr>
    </w:p>
    <w:p w14:paraId="495DA0FC" w14:textId="77777777" w:rsidR="009732AC" w:rsidRPr="001E1B5A" w:rsidRDefault="009732AC">
      <w:pPr>
        <w:spacing w:line="360" w:lineRule="auto"/>
        <w:jc w:val="center"/>
        <w:rPr>
          <w:rFonts w:ascii="Times New Roman" w:eastAsia="Times New Roman" w:hAnsi="Times New Roman" w:cs="Times New Roman"/>
          <w:b/>
          <w:sz w:val="24"/>
          <w:szCs w:val="24"/>
        </w:rPr>
      </w:pPr>
    </w:p>
    <w:p w14:paraId="27F5CA20" w14:textId="77777777" w:rsidR="009732AC" w:rsidRPr="001E1B5A" w:rsidRDefault="009732AC">
      <w:pPr>
        <w:spacing w:line="360" w:lineRule="auto"/>
        <w:jc w:val="center"/>
        <w:rPr>
          <w:rFonts w:ascii="Times New Roman" w:eastAsia="Times New Roman" w:hAnsi="Times New Roman" w:cs="Times New Roman"/>
          <w:b/>
          <w:sz w:val="24"/>
          <w:szCs w:val="24"/>
        </w:rPr>
      </w:pPr>
    </w:p>
    <w:p w14:paraId="1B57FAA7" w14:textId="77777777" w:rsidR="009732AC" w:rsidRPr="001E1B5A" w:rsidRDefault="009732AC">
      <w:pPr>
        <w:spacing w:line="360" w:lineRule="auto"/>
        <w:jc w:val="center"/>
        <w:rPr>
          <w:rFonts w:ascii="Times New Roman" w:eastAsia="Times New Roman" w:hAnsi="Times New Roman" w:cs="Times New Roman"/>
          <w:b/>
          <w:sz w:val="24"/>
          <w:szCs w:val="24"/>
        </w:rPr>
      </w:pPr>
    </w:p>
    <w:p w14:paraId="1937A805" w14:textId="77777777" w:rsidR="009732AC" w:rsidRPr="001E1B5A" w:rsidRDefault="009732AC">
      <w:pPr>
        <w:spacing w:line="360" w:lineRule="auto"/>
        <w:jc w:val="center"/>
        <w:rPr>
          <w:rFonts w:ascii="Times New Roman" w:eastAsia="Times New Roman" w:hAnsi="Times New Roman" w:cs="Times New Roman"/>
          <w:b/>
          <w:sz w:val="24"/>
          <w:szCs w:val="24"/>
        </w:rPr>
      </w:pPr>
    </w:p>
    <w:p w14:paraId="07358902" w14:textId="77777777" w:rsidR="009732AC" w:rsidRPr="001E1B5A" w:rsidRDefault="009732AC">
      <w:pPr>
        <w:spacing w:line="360" w:lineRule="auto"/>
        <w:jc w:val="center"/>
        <w:rPr>
          <w:rFonts w:ascii="Times New Roman" w:eastAsia="Times New Roman" w:hAnsi="Times New Roman" w:cs="Times New Roman"/>
          <w:b/>
          <w:sz w:val="24"/>
          <w:szCs w:val="24"/>
        </w:rPr>
      </w:pPr>
    </w:p>
    <w:p w14:paraId="2BD5C641" w14:textId="77777777" w:rsidR="009732AC" w:rsidRPr="001E1B5A" w:rsidRDefault="009732AC">
      <w:pPr>
        <w:spacing w:line="360" w:lineRule="auto"/>
        <w:jc w:val="center"/>
        <w:rPr>
          <w:rFonts w:ascii="Times New Roman" w:eastAsia="Times New Roman" w:hAnsi="Times New Roman" w:cs="Times New Roman"/>
          <w:b/>
          <w:sz w:val="24"/>
          <w:szCs w:val="24"/>
        </w:rPr>
      </w:pPr>
    </w:p>
    <w:p w14:paraId="43236BC1" w14:textId="77777777" w:rsidR="009732AC" w:rsidRPr="001E1B5A" w:rsidRDefault="009732AC">
      <w:pPr>
        <w:spacing w:line="360" w:lineRule="auto"/>
        <w:jc w:val="center"/>
        <w:rPr>
          <w:rFonts w:ascii="Times New Roman" w:eastAsia="Times New Roman" w:hAnsi="Times New Roman" w:cs="Times New Roman"/>
          <w:b/>
          <w:sz w:val="24"/>
          <w:szCs w:val="24"/>
        </w:rPr>
      </w:pPr>
    </w:p>
    <w:p w14:paraId="40E9912C" w14:textId="77777777" w:rsidR="009732AC" w:rsidRPr="001E1B5A" w:rsidRDefault="009732AC">
      <w:pPr>
        <w:spacing w:line="360" w:lineRule="auto"/>
        <w:jc w:val="center"/>
        <w:rPr>
          <w:rFonts w:ascii="Times New Roman" w:eastAsia="Times New Roman" w:hAnsi="Times New Roman" w:cs="Times New Roman"/>
          <w:b/>
          <w:sz w:val="24"/>
          <w:szCs w:val="24"/>
        </w:rPr>
      </w:pPr>
    </w:p>
    <w:p w14:paraId="5B731874" w14:textId="77777777" w:rsidR="009732AC" w:rsidRPr="001E1B5A" w:rsidRDefault="009732AC">
      <w:pPr>
        <w:spacing w:line="360" w:lineRule="auto"/>
        <w:jc w:val="center"/>
        <w:rPr>
          <w:rFonts w:ascii="Times New Roman" w:eastAsia="Times New Roman" w:hAnsi="Times New Roman" w:cs="Times New Roman"/>
          <w:b/>
          <w:sz w:val="24"/>
          <w:szCs w:val="24"/>
        </w:rPr>
      </w:pPr>
    </w:p>
    <w:p w14:paraId="697E0151" w14:textId="77777777" w:rsidR="009732AC" w:rsidRPr="001E1B5A" w:rsidRDefault="009732AC">
      <w:pPr>
        <w:spacing w:line="360" w:lineRule="auto"/>
        <w:jc w:val="center"/>
        <w:rPr>
          <w:rFonts w:ascii="Times New Roman" w:eastAsia="Times New Roman" w:hAnsi="Times New Roman" w:cs="Times New Roman"/>
          <w:b/>
          <w:sz w:val="24"/>
          <w:szCs w:val="24"/>
        </w:rPr>
      </w:pPr>
    </w:p>
    <w:p w14:paraId="22055ED6" w14:textId="77777777" w:rsidR="009732AC" w:rsidRPr="001E1B5A" w:rsidRDefault="009732AC">
      <w:pPr>
        <w:spacing w:line="360" w:lineRule="auto"/>
        <w:jc w:val="center"/>
        <w:rPr>
          <w:rFonts w:ascii="Times New Roman" w:eastAsia="Times New Roman" w:hAnsi="Times New Roman" w:cs="Times New Roman"/>
          <w:b/>
          <w:sz w:val="24"/>
          <w:szCs w:val="24"/>
        </w:rPr>
      </w:pPr>
    </w:p>
    <w:p w14:paraId="43140C7C" w14:textId="77777777" w:rsidR="009732AC" w:rsidRPr="001E1B5A" w:rsidRDefault="009732AC">
      <w:pPr>
        <w:spacing w:line="360" w:lineRule="auto"/>
        <w:jc w:val="center"/>
        <w:rPr>
          <w:rFonts w:ascii="Times New Roman" w:eastAsia="Times New Roman" w:hAnsi="Times New Roman" w:cs="Times New Roman"/>
          <w:b/>
          <w:sz w:val="24"/>
          <w:szCs w:val="24"/>
        </w:rPr>
      </w:pPr>
    </w:p>
    <w:p w14:paraId="4EF3F0E1" w14:textId="77777777" w:rsidR="00D16B34" w:rsidRDefault="00B54B18">
      <w:pPr>
        <w:spacing w:line="360" w:lineRule="auto"/>
        <w:jc w:val="center"/>
        <w:rPr>
          <w:rFonts w:ascii="Times New Roman" w:eastAsia="Times New Roman" w:hAnsi="Times New Roman" w:cs="Times New Roman"/>
          <w:b/>
          <w:sz w:val="32"/>
          <w:szCs w:val="32"/>
        </w:rPr>
      </w:pPr>
      <w:r w:rsidRPr="001E1B5A">
        <w:rPr>
          <w:rFonts w:ascii="Times New Roman" w:eastAsia="Times New Roman" w:hAnsi="Times New Roman" w:cs="Times New Roman"/>
          <w:b/>
          <w:sz w:val="32"/>
          <w:szCs w:val="32"/>
        </w:rPr>
        <w:t>STAKEHOLDER ENGAGEMENT LCBB4013</w:t>
      </w:r>
    </w:p>
    <w:p w14:paraId="65C73218" w14:textId="77777777" w:rsidR="00D16B34" w:rsidRDefault="00D16B34">
      <w:pPr>
        <w:spacing w:line="360" w:lineRule="auto"/>
        <w:jc w:val="center"/>
        <w:rPr>
          <w:rFonts w:ascii="Times New Roman" w:eastAsia="Times New Roman" w:hAnsi="Times New Roman" w:cs="Times New Roman"/>
          <w:b/>
          <w:sz w:val="32"/>
          <w:szCs w:val="32"/>
        </w:rPr>
      </w:pPr>
    </w:p>
    <w:p w14:paraId="66879BEF" w14:textId="77777777" w:rsidR="00D16B34" w:rsidRDefault="00D16B34">
      <w:pPr>
        <w:spacing w:line="360" w:lineRule="auto"/>
        <w:jc w:val="center"/>
        <w:rPr>
          <w:rFonts w:ascii="Times New Roman" w:eastAsia="Times New Roman" w:hAnsi="Times New Roman" w:cs="Times New Roman"/>
          <w:b/>
          <w:sz w:val="32"/>
          <w:szCs w:val="32"/>
        </w:rPr>
      </w:pPr>
    </w:p>
    <w:p w14:paraId="7A39866F" w14:textId="2B3EC2FA" w:rsidR="00D16B34" w:rsidRDefault="00D16B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A456FD">
        <w:rPr>
          <w:rFonts w:ascii="Times New Roman" w:eastAsia="Times New Roman" w:hAnsi="Times New Roman" w:cs="Times New Roman"/>
          <w:b/>
          <w:sz w:val="32"/>
          <w:szCs w:val="32"/>
        </w:rPr>
        <w:t xml:space="preserve"> Ionut Claudiu Dolca</w:t>
      </w:r>
    </w:p>
    <w:p w14:paraId="3F56DFAE" w14:textId="36892A45" w:rsidR="00D16B34" w:rsidRDefault="00D16B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A456FD">
        <w:rPr>
          <w:rFonts w:ascii="Times New Roman" w:eastAsia="Times New Roman" w:hAnsi="Times New Roman" w:cs="Times New Roman"/>
          <w:b/>
          <w:sz w:val="32"/>
          <w:szCs w:val="32"/>
        </w:rPr>
        <w:t xml:space="preserve"> 2217133</w:t>
      </w:r>
    </w:p>
    <w:p w14:paraId="732FDB98" w14:textId="2351F65A" w:rsidR="009732AC" w:rsidRPr="001E1B5A" w:rsidRDefault="00D16B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Module Name:</w:t>
      </w:r>
      <w:r w:rsidR="00A456FD">
        <w:rPr>
          <w:rFonts w:ascii="Times New Roman" w:eastAsia="Times New Roman" w:hAnsi="Times New Roman" w:cs="Times New Roman"/>
          <w:b/>
          <w:sz w:val="32"/>
          <w:szCs w:val="32"/>
        </w:rPr>
        <w:t xml:space="preserve"> Stakeholder Engagement</w:t>
      </w:r>
      <w:r w:rsidR="00B54B18" w:rsidRPr="001E1B5A">
        <w:br w:type="page"/>
      </w:r>
    </w:p>
    <w:sdt>
      <w:sdtPr>
        <w:rPr>
          <w:rFonts w:ascii="Arial" w:eastAsia="Arial" w:hAnsi="Arial" w:cs="Arial"/>
          <w:color w:val="auto"/>
          <w:sz w:val="22"/>
          <w:szCs w:val="22"/>
          <w:lang w:val="en-GB" w:eastAsia="en-IN"/>
        </w:rPr>
        <w:id w:val="-500511999"/>
        <w:docPartObj>
          <w:docPartGallery w:val="Table of Contents"/>
          <w:docPartUnique/>
        </w:docPartObj>
      </w:sdtPr>
      <w:sdtEndPr>
        <w:rPr>
          <w:b/>
          <w:bCs/>
          <w:noProof/>
        </w:rPr>
      </w:sdtEndPr>
      <w:sdtContent>
        <w:p w14:paraId="5F483669" w14:textId="37C3E42F" w:rsidR="00D86A48" w:rsidRPr="00D86A48" w:rsidRDefault="00D86A48" w:rsidP="00D86A48">
          <w:pPr>
            <w:pStyle w:val="TOCHeading"/>
            <w:jc w:val="center"/>
            <w:rPr>
              <w:rFonts w:ascii="Times New Roman" w:hAnsi="Times New Roman" w:cs="Times New Roman"/>
              <w:b/>
              <w:bCs/>
              <w:color w:val="000000" w:themeColor="text1"/>
              <w:sz w:val="28"/>
              <w:szCs w:val="28"/>
            </w:rPr>
          </w:pPr>
          <w:r w:rsidRPr="00D86A48">
            <w:rPr>
              <w:rFonts w:ascii="Times New Roman" w:hAnsi="Times New Roman" w:cs="Times New Roman"/>
              <w:b/>
              <w:bCs/>
              <w:color w:val="000000" w:themeColor="text1"/>
              <w:sz w:val="28"/>
              <w:szCs w:val="28"/>
            </w:rPr>
            <w:t>Table of Contents</w:t>
          </w:r>
        </w:p>
        <w:p w14:paraId="1CF8AD42" w14:textId="021EBF7D" w:rsidR="00D86A48" w:rsidRPr="00D86A48" w:rsidRDefault="00D86A48" w:rsidP="00D86A48">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213522558" w:history="1">
            <w:r w:rsidRPr="00D86A48">
              <w:rPr>
                <w:rStyle w:val="Hyperlink"/>
                <w:rFonts w:ascii="Times New Roman" w:hAnsi="Times New Roman" w:cs="Times New Roman"/>
                <w:noProof/>
                <w:sz w:val="24"/>
                <w:szCs w:val="24"/>
              </w:rPr>
              <w:t>Element 1: Introduction</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_Toc213522558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3</w:t>
            </w:r>
            <w:r w:rsidRPr="00D86A48">
              <w:rPr>
                <w:rFonts w:ascii="Times New Roman" w:hAnsi="Times New Roman" w:cs="Times New Roman"/>
                <w:noProof/>
                <w:webHidden/>
                <w:sz w:val="24"/>
                <w:szCs w:val="24"/>
              </w:rPr>
              <w:fldChar w:fldCharType="end"/>
            </w:r>
          </w:hyperlink>
        </w:p>
        <w:p w14:paraId="0B1B7E9E" w14:textId="00288B38"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59" w:history="1">
            <w:r w:rsidRPr="00D86A48">
              <w:rPr>
                <w:rStyle w:val="Hyperlink"/>
                <w:rFonts w:ascii="Times New Roman" w:hAnsi="Times New Roman" w:cs="Times New Roman"/>
                <w:noProof/>
                <w:sz w:val="24"/>
                <w:szCs w:val="24"/>
              </w:rPr>
              <w:t>1.1 Project Overview</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_Toc213522559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3</w:t>
            </w:r>
            <w:r w:rsidRPr="00D86A48">
              <w:rPr>
                <w:rFonts w:ascii="Times New Roman" w:hAnsi="Times New Roman" w:cs="Times New Roman"/>
                <w:noProof/>
                <w:webHidden/>
                <w:sz w:val="24"/>
                <w:szCs w:val="24"/>
              </w:rPr>
              <w:fldChar w:fldCharType="end"/>
            </w:r>
          </w:hyperlink>
        </w:p>
        <w:p w14:paraId="38D52B5F" w14:textId="55101AD8"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0" w:history="1">
            <w:r w:rsidRPr="00D86A48">
              <w:rPr>
                <w:rStyle w:val="Hyperlink"/>
                <w:rFonts w:ascii="Times New Roman" w:hAnsi="Times New Roman" w:cs="Times New Roman"/>
                <w:noProof/>
                <w:sz w:val="24"/>
                <w:szCs w:val="24"/>
              </w:rPr>
              <w:t>1.2 Relevance of the Project and Benefits</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_Toc213522560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3</w:t>
            </w:r>
            <w:r w:rsidRPr="00D86A48">
              <w:rPr>
                <w:rFonts w:ascii="Times New Roman" w:hAnsi="Times New Roman" w:cs="Times New Roman"/>
                <w:noProof/>
                <w:webHidden/>
                <w:sz w:val="24"/>
                <w:szCs w:val="24"/>
              </w:rPr>
              <w:fldChar w:fldCharType="end"/>
            </w:r>
          </w:hyperlink>
        </w:p>
        <w:p w14:paraId="64EDA949" w14:textId="43F16744"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1" w:history="1">
            <w:r w:rsidRPr="00D86A48">
              <w:rPr>
                <w:rStyle w:val="Hyperlink"/>
                <w:rFonts w:ascii="Times New Roman" w:hAnsi="Times New Roman" w:cs="Times New Roman"/>
                <w:noProof/>
                <w:sz w:val="24"/>
                <w:szCs w:val="24"/>
              </w:rPr>
              <w:t>1.3 Identification of Key Stakeholders</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_Toc213522561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3</w:t>
            </w:r>
            <w:r w:rsidRPr="00D86A48">
              <w:rPr>
                <w:rFonts w:ascii="Times New Roman" w:hAnsi="Times New Roman" w:cs="Times New Roman"/>
                <w:noProof/>
                <w:webHidden/>
                <w:sz w:val="24"/>
                <w:szCs w:val="24"/>
              </w:rPr>
              <w:fldChar w:fldCharType="end"/>
            </w:r>
          </w:hyperlink>
        </w:p>
        <w:p w14:paraId="0C844431" w14:textId="4AECCC02" w:rsidR="00D86A48" w:rsidRPr="00D86A48" w:rsidRDefault="00D86A48" w:rsidP="00D86A48">
          <w:pPr>
            <w:pStyle w:val="TOC1"/>
            <w:tabs>
              <w:tab w:val="right" w:leader="dot" w:pos="9350"/>
            </w:tabs>
            <w:spacing w:line="360" w:lineRule="auto"/>
            <w:jc w:val="both"/>
            <w:rPr>
              <w:rFonts w:ascii="Times New Roman" w:hAnsi="Times New Roman" w:cs="Times New Roman"/>
              <w:noProof/>
              <w:sz w:val="24"/>
              <w:szCs w:val="24"/>
            </w:rPr>
          </w:pPr>
          <w:hyperlink w:anchor="_Toc213522562" w:history="1">
            <w:r w:rsidRPr="00D86A48">
              <w:rPr>
                <w:rStyle w:val="Hyperlink"/>
                <w:rFonts w:ascii="Times New Roman" w:hAnsi="Times New Roman" w:cs="Times New Roman"/>
                <w:noProof/>
                <w:sz w:val="24"/>
                <w:szCs w:val="24"/>
              </w:rPr>
              <w:t>Element 2: Application – Stakeholder Engagement Strategies</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_Toc213522562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4</w:t>
            </w:r>
            <w:r w:rsidRPr="00D86A48">
              <w:rPr>
                <w:rFonts w:ascii="Times New Roman" w:hAnsi="Times New Roman" w:cs="Times New Roman"/>
                <w:noProof/>
                <w:webHidden/>
                <w:sz w:val="24"/>
                <w:szCs w:val="24"/>
              </w:rPr>
              <w:fldChar w:fldCharType="end"/>
            </w:r>
          </w:hyperlink>
        </w:p>
        <w:p w14:paraId="4938CA24" w14:textId="3F8DE9E5"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3" w:history="1">
            <w:r w:rsidRPr="00D86A48">
              <w:rPr>
                <w:rStyle w:val="Hyperlink"/>
                <w:rFonts w:ascii="Times New Roman" w:hAnsi="Times New Roman" w:cs="Times New Roman"/>
                <w:noProof/>
                <w:sz w:val="24"/>
                <w:szCs w:val="24"/>
              </w:rPr>
              <w:t>2.1 Power, Influence, and Interest Table</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_Toc213522563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4</w:t>
            </w:r>
            <w:r w:rsidRPr="00D86A48">
              <w:rPr>
                <w:rFonts w:ascii="Times New Roman" w:hAnsi="Times New Roman" w:cs="Times New Roman"/>
                <w:noProof/>
                <w:webHidden/>
                <w:sz w:val="24"/>
                <w:szCs w:val="24"/>
              </w:rPr>
              <w:fldChar w:fldCharType="end"/>
            </w:r>
          </w:hyperlink>
        </w:p>
        <w:p w14:paraId="22AFA5B7" w14:textId="00147CC9"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4" w:history="1">
            <w:r w:rsidRPr="00D86A48">
              <w:rPr>
                <w:rStyle w:val="Hyperlink"/>
                <w:rFonts w:ascii="Times New Roman" w:hAnsi="Times New Roman" w:cs="Times New Roman"/>
                <w:noProof/>
                <w:sz w:val="24"/>
                <w:szCs w:val="24"/>
              </w:rPr>
              <w:t>2.2 Stakeholder Mapping</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_Toc213522564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5</w:t>
            </w:r>
            <w:r w:rsidRPr="00D86A48">
              <w:rPr>
                <w:rFonts w:ascii="Times New Roman" w:hAnsi="Times New Roman" w:cs="Times New Roman"/>
                <w:noProof/>
                <w:webHidden/>
                <w:sz w:val="24"/>
                <w:szCs w:val="24"/>
              </w:rPr>
              <w:fldChar w:fldCharType="end"/>
            </w:r>
          </w:hyperlink>
        </w:p>
        <w:p w14:paraId="477520C4" w14:textId="09C33112"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5" w:history="1">
            <w:r w:rsidRPr="00D86A48">
              <w:rPr>
                <w:rStyle w:val="Hyperlink"/>
                <w:rFonts w:ascii="Times New Roman" w:hAnsi="Times New Roman" w:cs="Times New Roman"/>
                <w:noProof/>
                <w:sz w:val="24"/>
                <w:szCs w:val="24"/>
              </w:rPr>
              <w:t>2.3 Communication and Consultation Strategy</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_Toc213522565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7</w:t>
            </w:r>
            <w:r w:rsidRPr="00D86A48">
              <w:rPr>
                <w:rFonts w:ascii="Times New Roman" w:hAnsi="Times New Roman" w:cs="Times New Roman"/>
                <w:noProof/>
                <w:webHidden/>
                <w:sz w:val="24"/>
                <w:szCs w:val="24"/>
              </w:rPr>
              <w:fldChar w:fldCharType="end"/>
            </w:r>
          </w:hyperlink>
        </w:p>
        <w:p w14:paraId="7376DD63" w14:textId="0DC7ABA9" w:rsidR="00D86A48" w:rsidRPr="00D86A48" w:rsidRDefault="00D86A48" w:rsidP="00D86A48">
          <w:pPr>
            <w:pStyle w:val="TOC1"/>
            <w:tabs>
              <w:tab w:val="right" w:leader="dot" w:pos="9350"/>
            </w:tabs>
            <w:spacing w:line="360" w:lineRule="auto"/>
            <w:jc w:val="both"/>
            <w:rPr>
              <w:rFonts w:ascii="Times New Roman" w:hAnsi="Times New Roman" w:cs="Times New Roman"/>
              <w:noProof/>
              <w:sz w:val="24"/>
              <w:szCs w:val="24"/>
            </w:rPr>
          </w:pPr>
          <w:hyperlink w:anchor="_Toc213522566" w:history="1">
            <w:r w:rsidRPr="00D86A48">
              <w:rPr>
                <w:rStyle w:val="Hyperlink"/>
                <w:rFonts w:ascii="Times New Roman" w:hAnsi="Times New Roman" w:cs="Times New Roman"/>
                <w:noProof/>
                <w:sz w:val="24"/>
                <w:szCs w:val="24"/>
              </w:rPr>
              <w:t>Element 3: Ethical Considerations in Stakeholder Consultation, Participation, and Feedback</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_Toc213522566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10</w:t>
            </w:r>
            <w:r w:rsidRPr="00D86A48">
              <w:rPr>
                <w:rFonts w:ascii="Times New Roman" w:hAnsi="Times New Roman" w:cs="Times New Roman"/>
                <w:noProof/>
                <w:webHidden/>
                <w:sz w:val="24"/>
                <w:szCs w:val="24"/>
              </w:rPr>
              <w:fldChar w:fldCharType="end"/>
            </w:r>
          </w:hyperlink>
        </w:p>
        <w:p w14:paraId="3218052B" w14:textId="707304D0"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7" w:history="1">
            <w:r w:rsidRPr="00D86A48">
              <w:rPr>
                <w:rStyle w:val="Hyperlink"/>
                <w:rFonts w:ascii="Times New Roman" w:hAnsi="Times New Roman" w:cs="Times New Roman"/>
                <w:noProof/>
                <w:sz w:val="24"/>
                <w:szCs w:val="24"/>
              </w:rPr>
              <w:t>3.1 Ethical Approach to Consultation</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_Toc213522567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10</w:t>
            </w:r>
            <w:r w:rsidRPr="00D86A48">
              <w:rPr>
                <w:rFonts w:ascii="Times New Roman" w:hAnsi="Times New Roman" w:cs="Times New Roman"/>
                <w:noProof/>
                <w:webHidden/>
                <w:sz w:val="24"/>
                <w:szCs w:val="24"/>
              </w:rPr>
              <w:fldChar w:fldCharType="end"/>
            </w:r>
          </w:hyperlink>
        </w:p>
        <w:p w14:paraId="5E8B132B" w14:textId="3919311B"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8" w:history="1">
            <w:r w:rsidRPr="00D86A48">
              <w:rPr>
                <w:rStyle w:val="Hyperlink"/>
                <w:rFonts w:ascii="Times New Roman" w:hAnsi="Times New Roman" w:cs="Times New Roman"/>
                <w:noProof/>
                <w:sz w:val="24"/>
                <w:szCs w:val="24"/>
              </w:rPr>
              <w:t>3.2 Towards Bias, Diversity, Equity, and Inclusion (DEI)</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_Toc213522568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10</w:t>
            </w:r>
            <w:r w:rsidRPr="00D86A48">
              <w:rPr>
                <w:rFonts w:ascii="Times New Roman" w:hAnsi="Times New Roman" w:cs="Times New Roman"/>
                <w:noProof/>
                <w:webHidden/>
                <w:sz w:val="24"/>
                <w:szCs w:val="24"/>
              </w:rPr>
              <w:fldChar w:fldCharType="end"/>
            </w:r>
          </w:hyperlink>
        </w:p>
        <w:p w14:paraId="186B3C94" w14:textId="6E1EC8C7"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69" w:history="1">
            <w:r w:rsidRPr="00D86A48">
              <w:rPr>
                <w:rStyle w:val="Hyperlink"/>
                <w:rFonts w:ascii="Times New Roman" w:hAnsi="Times New Roman" w:cs="Times New Roman"/>
                <w:noProof/>
                <w:sz w:val="24"/>
                <w:szCs w:val="24"/>
              </w:rPr>
              <w:t>3.3 Feedback Collection and Review</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_Toc213522569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11</w:t>
            </w:r>
            <w:r w:rsidRPr="00D86A48">
              <w:rPr>
                <w:rFonts w:ascii="Times New Roman" w:hAnsi="Times New Roman" w:cs="Times New Roman"/>
                <w:noProof/>
                <w:webHidden/>
                <w:sz w:val="24"/>
                <w:szCs w:val="24"/>
              </w:rPr>
              <w:fldChar w:fldCharType="end"/>
            </w:r>
          </w:hyperlink>
        </w:p>
        <w:p w14:paraId="64FFB914" w14:textId="3A8264EB" w:rsidR="00D86A48" w:rsidRPr="00D86A48" w:rsidRDefault="00D86A48" w:rsidP="00D86A48">
          <w:pPr>
            <w:pStyle w:val="TOC1"/>
            <w:tabs>
              <w:tab w:val="right" w:leader="dot" w:pos="9350"/>
            </w:tabs>
            <w:spacing w:line="360" w:lineRule="auto"/>
            <w:jc w:val="both"/>
            <w:rPr>
              <w:rFonts w:ascii="Times New Roman" w:hAnsi="Times New Roman" w:cs="Times New Roman"/>
              <w:noProof/>
              <w:sz w:val="24"/>
              <w:szCs w:val="24"/>
            </w:rPr>
          </w:pPr>
          <w:hyperlink w:anchor="_Toc213522570" w:history="1">
            <w:r w:rsidRPr="00D86A48">
              <w:rPr>
                <w:rStyle w:val="Hyperlink"/>
                <w:rFonts w:ascii="Times New Roman" w:hAnsi="Times New Roman" w:cs="Times New Roman"/>
                <w:noProof/>
                <w:sz w:val="24"/>
                <w:szCs w:val="24"/>
              </w:rPr>
              <w:t>Element 4: Conclusion and Reflection</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_Toc213522570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12</w:t>
            </w:r>
            <w:r w:rsidRPr="00D86A48">
              <w:rPr>
                <w:rFonts w:ascii="Times New Roman" w:hAnsi="Times New Roman" w:cs="Times New Roman"/>
                <w:noProof/>
                <w:webHidden/>
                <w:sz w:val="24"/>
                <w:szCs w:val="24"/>
              </w:rPr>
              <w:fldChar w:fldCharType="end"/>
            </w:r>
          </w:hyperlink>
        </w:p>
        <w:p w14:paraId="416C20C3" w14:textId="6EC134BA"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71" w:history="1">
            <w:r w:rsidRPr="00D86A48">
              <w:rPr>
                <w:rStyle w:val="Hyperlink"/>
                <w:rFonts w:ascii="Times New Roman" w:hAnsi="Times New Roman" w:cs="Times New Roman"/>
                <w:noProof/>
                <w:sz w:val="24"/>
                <w:szCs w:val="24"/>
              </w:rPr>
              <w:t>4.1 Conclusion</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_Toc213522571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12</w:t>
            </w:r>
            <w:r w:rsidRPr="00D86A48">
              <w:rPr>
                <w:rFonts w:ascii="Times New Roman" w:hAnsi="Times New Roman" w:cs="Times New Roman"/>
                <w:noProof/>
                <w:webHidden/>
                <w:sz w:val="24"/>
                <w:szCs w:val="24"/>
              </w:rPr>
              <w:fldChar w:fldCharType="end"/>
            </w:r>
          </w:hyperlink>
        </w:p>
        <w:p w14:paraId="6C31B347" w14:textId="6B92DE5F" w:rsidR="00D86A48" w:rsidRPr="00D86A48" w:rsidRDefault="00D86A48" w:rsidP="00D86A48">
          <w:pPr>
            <w:pStyle w:val="TOC2"/>
            <w:tabs>
              <w:tab w:val="right" w:leader="dot" w:pos="9350"/>
            </w:tabs>
            <w:spacing w:line="360" w:lineRule="auto"/>
            <w:jc w:val="both"/>
            <w:rPr>
              <w:rFonts w:ascii="Times New Roman" w:hAnsi="Times New Roman" w:cs="Times New Roman"/>
              <w:noProof/>
              <w:sz w:val="24"/>
              <w:szCs w:val="24"/>
            </w:rPr>
          </w:pPr>
          <w:hyperlink w:anchor="_Toc213522572" w:history="1">
            <w:r w:rsidRPr="00D86A48">
              <w:rPr>
                <w:rStyle w:val="Hyperlink"/>
                <w:rFonts w:ascii="Times New Roman" w:hAnsi="Times New Roman" w:cs="Times New Roman"/>
                <w:noProof/>
                <w:sz w:val="24"/>
                <w:szCs w:val="24"/>
              </w:rPr>
              <w:t>4.2 Reflective Account</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_Toc213522572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13</w:t>
            </w:r>
            <w:r w:rsidRPr="00D86A48">
              <w:rPr>
                <w:rFonts w:ascii="Times New Roman" w:hAnsi="Times New Roman" w:cs="Times New Roman"/>
                <w:noProof/>
                <w:webHidden/>
                <w:sz w:val="24"/>
                <w:szCs w:val="24"/>
              </w:rPr>
              <w:fldChar w:fldCharType="end"/>
            </w:r>
          </w:hyperlink>
        </w:p>
        <w:p w14:paraId="49B78DD9" w14:textId="035C8D21" w:rsidR="00D86A48" w:rsidRPr="00D86A48" w:rsidRDefault="00D86A48" w:rsidP="00D86A48">
          <w:pPr>
            <w:pStyle w:val="TOC1"/>
            <w:tabs>
              <w:tab w:val="right" w:leader="dot" w:pos="9350"/>
            </w:tabs>
            <w:spacing w:line="360" w:lineRule="auto"/>
            <w:jc w:val="both"/>
            <w:rPr>
              <w:rFonts w:ascii="Times New Roman" w:hAnsi="Times New Roman" w:cs="Times New Roman"/>
              <w:noProof/>
              <w:sz w:val="24"/>
              <w:szCs w:val="24"/>
            </w:rPr>
          </w:pPr>
          <w:hyperlink w:anchor="_Toc213522573" w:history="1">
            <w:r w:rsidRPr="00D86A48">
              <w:rPr>
                <w:rStyle w:val="Hyperlink"/>
                <w:rFonts w:ascii="Times New Roman" w:hAnsi="Times New Roman" w:cs="Times New Roman"/>
                <w:noProof/>
                <w:sz w:val="24"/>
                <w:szCs w:val="24"/>
              </w:rPr>
              <w:t>References</w:t>
            </w:r>
            <w:r w:rsidRPr="00D86A48">
              <w:rPr>
                <w:rFonts w:ascii="Times New Roman" w:hAnsi="Times New Roman" w:cs="Times New Roman"/>
                <w:noProof/>
                <w:webHidden/>
                <w:sz w:val="24"/>
                <w:szCs w:val="24"/>
              </w:rPr>
              <w:tab/>
            </w:r>
            <w:r w:rsidRPr="00D86A48">
              <w:rPr>
                <w:rFonts w:ascii="Times New Roman" w:hAnsi="Times New Roman" w:cs="Times New Roman"/>
                <w:noProof/>
                <w:webHidden/>
                <w:sz w:val="24"/>
                <w:szCs w:val="24"/>
              </w:rPr>
              <w:fldChar w:fldCharType="begin"/>
            </w:r>
            <w:r w:rsidRPr="00D86A48">
              <w:rPr>
                <w:rFonts w:ascii="Times New Roman" w:hAnsi="Times New Roman" w:cs="Times New Roman"/>
                <w:noProof/>
                <w:webHidden/>
                <w:sz w:val="24"/>
                <w:szCs w:val="24"/>
              </w:rPr>
              <w:instrText xml:space="preserve"> PAGEREF _Toc213522573 \h </w:instrText>
            </w:r>
            <w:r w:rsidRPr="00D86A48">
              <w:rPr>
                <w:rFonts w:ascii="Times New Roman" w:hAnsi="Times New Roman" w:cs="Times New Roman"/>
                <w:noProof/>
                <w:webHidden/>
                <w:sz w:val="24"/>
                <w:szCs w:val="24"/>
              </w:rPr>
            </w:r>
            <w:r w:rsidRPr="00D86A48">
              <w:rPr>
                <w:rFonts w:ascii="Times New Roman" w:hAnsi="Times New Roman" w:cs="Times New Roman"/>
                <w:noProof/>
                <w:webHidden/>
                <w:sz w:val="24"/>
                <w:szCs w:val="24"/>
              </w:rPr>
              <w:fldChar w:fldCharType="separate"/>
            </w:r>
            <w:r w:rsidRPr="00D86A48">
              <w:rPr>
                <w:rFonts w:ascii="Times New Roman" w:hAnsi="Times New Roman" w:cs="Times New Roman"/>
                <w:noProof/>
                <w:webHidden/>
                <w:sz w:val="24"/>
                <w:szCs w:val="24"/>
              </w:rPr>
              <w:t>15</w:t>
            </w:r>
            <w:r w:rsidRPr="00D86A48">
              <w:rPr>
                <w:rFonts w:ascii="Times New Roman" w:hAnsi="Times New Roman" w:cs="Times New Roman"/>
                <w:noProof/>
                <w:webHidden/>
                <w:sz w:val="24"/>
                <w:szCs w:val="24"/>
              </w:rPr>
              <w:fldChar w:fldCharType="end"/>
            </w:r>
          </w:hyperlink>
        </w:p>
        <w:p w14:paraId="705C442A" w14:textId="109ED0FB" w:rsidR="00D86A48" w:rsidRDefault="00D86A48">
          <w:r>
            <w:rPr>
              <w:b/>
              <w:bCs/>
              <w:noProof/>
            </w:rPr>
            <w:fldChar w:fldCharType="end"/>
          </w:r>
        </w:p>
      </w:sdtContent>
    </w:sdt>
    <w:p w14:paraId="374E970F" w14:textId="77777777" w:rsidR="00D86A48" w:rsidRDefault="00D86A48">
      <w:pPr>
        <w:rPr>
          <w:rFonts w:ascii="Times New Roman" w:hAnsi="Times New Roman"/>
          <w:b/>
          <w:sz w:val="28"/>
          <w:szCs w:val="40"/>
        </w:rPr>
      </w:pPr>
      <w:r>
        <w:br w:type="page"/>
      </w:r>
    </w:p>
    <w:p w14:paraId="0E083B4D" w14:textId="1CC7C7F4" w:rsidR="009732AC" w:rsidRPr="001E1B5A" w:rsidRDefault="00000000" w:rsidP="001E1B5A">
      <w:pPr>
        <w:pStyle w:val="Heading1"/>
      </w:pPr>
      <w:bookmarkStart w:id="0" w:name="_Toc213522558"/>
      <w:r w:rsidRPr="001E1B5A">
        <w:lastRenderedPageBreak/>
        <w:t>Element 1: Introduction</w:t>
      </w:r>
      <w:bookmarkEnd w:id="0"/>
    </w:p>
    <w:p w14:paraId="6CD7ADCB" w14:textId="77777777" w:rsidR="009732AC" w:rsidRPr="001E1B5A" w:rsidRDefault="00000000" w:rsidP="001E1B5A">
      <w:pPr>
        <w:pStyle w:val="Heading2"/>
      </w:pPr>
      <w:bookmarkStart w:id="1" w:name="_Toc213522559"/>
      <w:r w:rsidRPr="001E1B5A">
        <w:t>1.1 Project Overview</w:t>
      </w:r>
      <w:bookmarkEnd w:id="1"/>
      <w:r w:rsidRPr="001E1B5A">
        <w:t xml:space="preserve"> </w:t>
      </w:r>
    </w:p>
    <w:p w14:paraId="2933471F"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The requested New Public Park Project is for the transformation of an underutilised brownfield site in the Borough of Croydon, South London into a multifunctional green public space that promotes environmental sustainability and community wellbeing (Croydon.gov.uk, 2024). The project goals involve expanding access to recreation facilities, improving biodiversity conditions, and improving air quality and building safe social environments accessible to people of all age groups. It will include landscaped gardens, children's play areas, to walk and cycle, and a small community cafe managed by local businesses. In addition, the initiative contributes to Croydon Council's climate change action plan by increasing local resilience against heat in the city and increasing carbon sequestration through new plantation forests (Croydon.gov.uk, 2024). An overall view of the project may be seen as a community-centred approach to sustainable urban regeneration.</w:t>
      </w:r>
    </w:p>
    <w:p w14:paraId="2F3C4C33" w14:textId="77777777" w:rsidR="009732AC" w:rsidRPr="001E1B5A" w:rsidRDefault="00000000" w:rsidP="001E1B5A">
      <w:pPr>
        <w:pStyle w:val="Heading2"/>
      </w:pPr>
      <w:bookmarkStart w:id="2" w:name="_Toc213522560"/>
      <w:r w:rsidRPr="001E1B5A">
        <w:t>1.2 Relevance of the Project and Benefits</w:t>
      </w:r>
      <w:bookmarkEnd w:id="2"/>
      <w:r w:rsidRPr="001E1B5A">
        <w:t xml:space="preserve"> </w:t>
      </w:r>
    </w:p>
    <w:p w14:paraId="3744157F"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creation of a new public park brings great social, environmental and economic benefits to the community. Socially, a safe and inclusive environment that encourages interaction between the community and will help residents to improve their mental health and wellbeing (Bonaccorsi et al., 2023). It increases urban biodiversity, decreases air and noise pollution through vegetation and green buffers. Economically the park raises local property, as well as boosts small business and tourism (Rahman et al., 2025). On the contrary, lack of such green infrastructure (in </w:t>
      </w:r>
      <w:proofErr w:type="gramStart"/>
      <w:r w:rsidRPr="001E1B5A">
        <w:rPr>
          <w:rFonts w:ascii="Times New Roman" w:eastAsia="Times New Roman" w:hAnsi="Times New Roman" w:cs="Times New Roman"/>
          <w:sz w:val="24"/>
          <w:szCs w:val="24"/>
        </w:rPr>
        <w:t>dense</w:t>
      </w:r>
      <w:proofErr w:type="gramEnd"/>
      <w:r w:rsidRPr="001E1B5A">
        <w:rPr>
          <w:rFonts w:ascii="Times New Roman" w:eastAsia="Times New Roman" w:hAnsi="Times New Roman" w:cs="Times New Roman"/>
          <w:sz w:val="24"/>
          <w:szCs w:val="24"/>
        </w:rPr>
        <w:t xml:space="preserve"> populated areas) may cause environment degradation and lowered quality of life, which emphasise the project's long-term strategic importance.</w:t>
      </w:r>
    </w:p>
    <w:p w14:paraId="49F9823A" w14:textId="77777777" w:rsidR="009732AC" w:rsidRPr="001E1B5A" w:rsidRDefault="00000000" w:rsidP="001E1B5A">
      <w:pPr>
        <w:pStyle w:val="Heading2"/>
      </w:pPr>
      <w:bookmarkStart w:id="3" w:name="_Toc213522561"/>
      <w:r w:rsidRPr="001E1B5A">
        <w:t>1.3 Identification of Key Stakeholders</w:t>
      </w:r>
      <w:bookmarkEnd w:id="3"/>
    </w:p>
    <w:p w14:paraId="0405C3CA" w14:textId="77777777" w:rsidR="009732AC" w:rsidRPr="001E1B5A" w:rsidRDefault="009732AC">
      <w:pPr>
        <w:spacing w:line="360" w:lineRule="auto"/>
        <w:jc w:val="both"/>
        <w:rPr>
          <w:rFonts w:ascii="Times New Roman" w:eastAsia="Times New Roman" w:hAnsi="Times New Roman" w:cs="Times New Roman"/>
          <w:sz w:val="24"/>
          <w:szCs w:val="24"/>
        </w:rPr>
      </w:pPr>
    </w:p>
    <w:tbl>
      <w:tblPr>
        <w:tblStyle w:val="GridTable5Dark-Accent5"/>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015"/>
        <w:gridCol w:w="3320"/>
        <w:gridCol w:w="3995"/>
      </w:tblGrid>
      <w:tr w:rsidR="009732AC" w:rsidRPr="001E1B5A" w14:paraId="417CF121" w14:textId="77777777" w:rsidTr="001E1B5A">
        <w:trPr>
          <w:trHeight w:val="515"/>
        </w:trPr>
        <w:tc>
          <w:tcPr>
            <w:tcW w:w="2015" w:type="dxa"/>
          </w:tcPr>
          <w:p w14:paraId="6C34D241"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Stakeholder</w:t>
            </w:r>
          </w:p>
        </w:tc>
        <w:tc>
          <w:tcPr>
            <w:tcW w:w="3320" w:type="dxa"/>
          </w:tcPr>
          <w:p w14:paraId="4172F875"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Role/Interest in Project</w:t>
            </w:r>
          </w:p>
        </w:tc>
        <w:tc>
          <w:tcPr>
            <w:tcW w:w="3995" w:type="dxa"/>
          </w:tcPr>
          <w:p w14:paraId="72B26942"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Benefits Gained</w:t>
            </w:r>
          </w:p>
        </w:tc>
      </w:tr>
      <w:tr w:rsidR="009732AC" w:rsidRPr="001E1B5A" w14:paraId="29CAA1F4" w14:textId="77777777" w:rsidTr="001E1B5A">
        <w:trPr>
          <w:trHeight w:val="785"/>
        </w:trPr>
        <w:tc>
          <w:tcPr>
            <w:tcW w:w="2015" w:type="dxa"/>
          </w:tcPr>
          <w:p w14:paraId="713B450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Council</w:t>
            </w:r>
          </w:p>
        </w:tc>
        <w:tc>
          <w:tcPr>
            <w:tcW w:w="3320" w:type="dxa"/>
          </w:tcPr>
          <w:p w14:paraId="09D4B0D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Project approval, funding, and policy alignment</w:t>
            </w:r>
          </w:p>
        </w:tc>
        <w:tc>
          <w:tcPr>
            <w:tcW w:w="3995" w:type="dxa"/>
          </w:tcPr>
          <w:p w14:paraId="3F909C58"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Enhanced public service reputation and community satisfaction</w:t>
            </w:r>
          </w:p>
        </w:tc>
      </w:tr>
      <w:tr w:rsidR="009732AC" w:rsidRPr="001E1B5A" w14:paraId="7ADA14E8" w14:textId="77777777" w:rsidTr="001E1B5A">
        <w:trPr>
          <w:trHeight w:val="785"/>
        </w:trPr>
        <w:tc>
          <w:tcPr>
            <w:tcW w:w="2015" w:type="dxa"/>
          </w:tcPr>
          <w:p w14:paraId="5DB3DA24" w14:textId="77777777" w:rsidR="009732AC" w:rsidRPr="001E1B5A" w:rsidRDefault="00000000">
            <w:pPr>
              <w:spacing w:line="360" w:lineRule="auto"/>
              <w:jc w:val="both"/>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lastRenderedPageBreak/>
              <w:t>Local Residents</w:t>
            </w:r>
            <w:proofErr w:type="gramEnd"/>
          </w:p>
        </w:tc>
        <w:tc>
          <w:tcPr>
            <w:tcW w:w="3320" w:type="dxa"/>
          </w:tcPr>
          <w:p w14:paraId="57C4826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End users and community representatives</w:t>
            </w:r>
          </w:p>
        </w:tc>
        <w:tc>
          <w:tcPr>
            <w:tcW w:w="3995" w:type="dxa"/>
          </w:tcPr>
          <w:p w14:paraId="28CA7AE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Improved quality of life, recreation, and mental wellbeing</w:t>
            </w:r>
          </w:p>
        </w:tc>
      </w:tr>
      <w:tr w:rsidR="009732AC" w:rsidRPr="001E1B5A" w14:paraId="3C014D13" w14:textId="77777777" w:rsidTr="001E1B5A">
        <w:trPr>
          <w:trHeight w:val="785"/>
        </w:trPr>
        <w:tc>
          <w:tcPr>
            <w:tcW w:w="2015" w:type="dxa"/>
          </w:tcPr>
          <w:p w14:paraId="1B61077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Environmental NGOs</w:t>
            </w:r>
          </w:p>
        </w:tc>
        <w:tc>
          <w:tcPr>
            <w:tcW w:w="3320" w:type="dxa"/>
          </w:tcPr>
          <w:p w14:paraId="7467109A"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Sustainability advocates</w:t>
            </w:r>
          </w:p>
        </w:tc>
        <w:tc>
          <w:tcPr>
            <w:tcW w:w="3995" w:type="dxa"/>
          </w:tcPr>
          <w:p w14:paraId="30F4D7A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Opportunity to promote biodiversity and climate action</w:t>
            </w:r>
          </w:p>
        </w:tc>
      </w:tr>
      <w:tr w:rsidR="009732AC" w:rsidRPr="001E1B5A" w14:paraId="04BD6ED0" w14:textId="77777777" w:rsidTr="001E1B5A">
        <w:trPr>
          <w:trHeight w:val="785"/>
        </w:trPr>
        <w:tc>
          <w:tcPr>
            <w:tcW w:w="2015" w:type="dxa"/>
          </w:tcPr>
          <w:p w14:paraId="18F6A8F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Contractors</w:t>
            </w:r>
          </w:p>
        </w:tc>
        <w:tc>
          <w:tcPr>
            <w:tcW w:w="3320" w:type="dxa"/>
          </w:tcPr>
          <w:p w14:paraId="49BD0E7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Construction and landscaping work</w:t>
            </w:r>
          </w:p>
        </w:tc>
        <w:tc>
          <w:tcPr>
            <w:tcW w:w="3995" w:type="dxa"/>
          </w:tcPr>
          <w:p w14:paraId="74E15D1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Employment and business revenue</w:t>
            </w:r>
          </w:p>
        </w:tc>
      </w:tr>
      <w:tr w:rsidR="009732AC" w:rsidRPr="001E1B5A" w14:paraId="7C39F7C7" w14:textId="77777777" w:rsidTr="001E1B5A">
        <w:trPr>
          <w:trHeight w:val="785"/>
        </w:trPr>
        <w:tc>
          <w:tcPr>
            <w:tcW w:w="2015" w:type="dxa"/>
          </w:tcPr>
          <w:p w14:paraId="7250D63C"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Businesses</w:t>
            </w:r>
          </w:p>
        </w:tc>
        <w:tc>
          <w:tcPr>
            <w:tcW w:w="3320" w:type="dxa"/>
          </w:tcPr>
          <w:p w14:paraId="2237B03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Adjacent shop owners and service providers</w:t>
            </w:r>
          </w:p>
        </w:tc>
        <w:tc>
          <w:tcPr>
            <w:tcW w:w="3995" w:type="dxa"/>
          </w:tcPr>
          <w:p w14:paraId="4D70D22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Increased customer flow and local economic growth</w:t>
            </w:r>
          </w:p>
        </w:tc>
      </w:tr>
      <w:tr w:rsidR="009732AC" w:rsidRPr="001E1B5A" w14:paraId="7B5D7BB2" w14:textId="77777777" w:rsidTr="001E1B5A">
        <w:trPr>
          <w:trHeight w:val="785"/>
        </w:trPr>
        <w:tc>
          <w:tcPr>
            <w:tcW w:w="2015" w:type="dxa"/>
          </w:tcPr>
          <w:p w14:paraId="56E38B8C"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Visitors and Tourists</w:t>
            </w:r>
          </w:p>
        </w:tc>
        <w:tc>
          <w:tcPr>
            <w:tcW w:w="3320" w:type="dxa"/>
          </w:tcPr>
          <w:p w14:paraId="726D563E"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External users of the park</w:t>
            </w:r>
          </w:p>
        </w:tc>
        <w:tc>
          <w:tcPr>
            <w:tcW w:w="3995" w:type="dxa"/>
          </w:tcPr>
          <w:p w14:paraId="6792874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Access to leisure, relaxation, and cultural events</w:t>
            </w:r>
          </w:p>
        </w:tc>
      </w:tr>
    </w:tbl>
    <w:p w14:paraId="4C5F5CFD" w14:textId="77777777" w:rsidR="009732AC" w:rsidRPr="001E1B5A" w:rsidRDefault="00000000">
      <w:pPr>
        <w:spacing w:line="360" w:lineRule="auto"/>
        <w:jc w:val="center"/>
        <w:rPr>
          <w:rFonts w:ascii="Times New Roman" w:eastAsia="Times New Roman" w:hAnsi="Times New Roman" w:cs="Times New Roman"/>
          <w:b/>
          <w:bCs/>
          <w:sz w:val="24"/>
          <w:szCs w:val="24"/>
        </w:rPr>
      </w:pPr>
      <w:r w:rsidRPr="001E1B5A">
        <w:rPr>
          <w:rFonts w:ascii="Times New Roman" w:eastAsia="Times New Roman" w:hAnsi="Times New Roman" w:cs="Times New Roman"/>
          <w:b/>
          <w:bCs/>
          <w:sz w:val="24"/>
          <w:szCs w:val="24"/>
        </w:rPr>
        <w:t>Table 1: Identification of Key Stakeholders</w:t>
      </w:r>
    </w:p>
    <w:p w14:paraId="017F4389"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(Source: Self-developed)</w:t>
      </w:r>
    </w:p>
    <w:p w14:paraId="0A4E884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Local Council is the main stakeholder because of the approval of any project and harmonization of policies (Mbuyazi, Mazenda and Mmakola, 2025). </w:t>
      </w:r>
      <w:proofErr w:type="gramStart"/>
      <w:r w:rsidRPr="001E1B5A">
        <w:rPr>
          <w:rFonts w:ascii="Times New Roman" w:eastAsia="Times New Roman" w:hAnsi="Times New Roman" w:cs="Times New Roman"/>
          <w:sz w:val="24"/>
          <w:szCs w:val="24"/>
        </w:rPr>
        <w:t>Local Residents</w:t>
      </w:r>
      <w:proofErr w:type="gramEnd"/>
      <w:r w:rsidRPr="001E1B5A">
        <w:rPr>
          <w:rFonts w:ascii="Times New Roman" w:eastAsia="Times New Roman" w:hAnsi="Times New Roman" w:cs="Times New Roman"/>
          <w:sz w:val="24"/>
          <w:szCs w:val="24"/>
        </w:rPr>
        <w:t xml:space="preserve"> are the main beneficiaries because the park directly contributes to the local people's standards of life. Environmental NGOs maintain ecological sustainability and are responsible for resources. Contractors are economically benefited by project execution and Local Businesses by increased consumer activity. Lastly, Visitors and Tourists </w:t>
      </w:r>
      <w:proofErr w:type="gramStart"/>
      <w:r w:rsidRPr="001E1B5A">
        <w:rPr>
          <w:rFonts w:ascii="Times New Roman" w:eastAsia="Times New Roman" w:hAnsi="Times New Roman" w:cs="Times New Roman"/>
          <w:sz w:val="24"/>
          <w:szCs w:val="24"/>
        </w:rPr>
        <w:t>have to</w:t>
      </w:r>
      <w:proofErr w:type="gramEnd"/>
      <w:r w:rsidRPr="001E1B5A">
        <w:rPr>
          <w:rFonts w:ascii="Times New Roman" w:eastAsia="Times New Roman" w:hAnsi="Times New Roman" w:cs="Times New Roman"/>
          <w:sz w:val="24"/>
          <w:szCs w:val="24"/>
        </w:rPr>
        <w:t xml:space="preserve"> contribute to the long-term vibrancy of the park and create employment of local tourism to ensure that the project's community and regional sustainability objectives are met.</w:t>
      </w:r>
    </w:p>
    <w:p w14:paraId="01CEFDC4" w14:textId="77777777" w:rsidR="009732AC" w:rsidRPr="001E1B5A" w:rsidRDefault="00000000" w:rsidP="001E1B5A">
      <w:pPr>
        <w:pStyle w:val="Heading1"/>
      </w:pPr>
      <w:bookmarkStart w:id="4" w:name="_Toc213522562"/>
      <w:r w:rsidRPr="001E1B5A">
        <w:t>Element 2: Application – Stakeholder Engagement Strategies</w:t>
      </w:r>
      <w:bookmarkEnd w:id="4"/>
    </w:p>
    <w:p w14:paraId="7CE9EB61" w14:textId="77777777" w:rsidR="009732AC" w:rsidRPr="001E1B5A" w:rsidRDefault="00000000" w:rsidP="001E1B5A">
      <w:pPr>
        <w:pStyle w:val="Heading2"/>
      </w:pPr>
      <w:bookmarkStart w:id="5" w:name="_Toc213522563"/>
      <w:r w:rsidRPr="001E1B5A">
        <w:t>2.1 Power, Influence, and Interest Table</w:t>
      </w:r>
      <w:bookmarkEnd w:id="5"/>
    </w:p>
    <w:tbl>
      <w:tblPr>
        <w:tblStyle w:val="GridTable5Dark-Accent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92"/>
        <w:gridCol w:w="1006"/>
        <w:gridCol w:w="1151"/>
        <w:gridCol w:w="1006"/>
        <w:gridCol w:w="4405"/>
      </w:tblGrid>
      <w:tr w:rsidR="009732AC" w:rsidRPr="001E1B5A" w14:paraId="48A16C9C" w14:textId="77777777" w:rsidTr="001E1B5A">
        <w:trPr>
          <w:trHeight w:val="515"/>
        </w:trPr>
        <w:tc>
          <w:tcPr>
            <w:tcW w:w="1790" w:type="dxa"/>
          </w:tcPr>
          <w:p w14:paraId="34F7E004"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Stakeholder</w:t>
            </w:r>
          </w:p>
        </w:tc>
        <w:tc>
          <w:tcPr>
            <w:tcW w:w="1006" w:type="dxa"/>
          </w:tcPr>
          <w:p w14:paraId="2459BE50"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Power</w:t>
            </w:r>
          </w:p>
        </w:tc>
        <w:tc>
          <w:tcPr>
            <w:tcW w:w="1151" w:type="dxa"/>
          </w:tcPr>
          <w:p w14:paraId="21E6DA22"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Influence</w:t>
            </w:r>
          </w:p>
        </w:tc>
        <w:tc>
          <w:tcPr>
            <w:tcW w:w="1006" w:type="dxa"/>
          </w:tcPr>
          <w:p w14:paraId="304B0060"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Interest</w:t>
            </w:r>
          </w:p>
        </w:tc>
        <w:tc>
          <w:tcPr>
            <w:tcW w:w="4404" w:type="dxa"/>
          </w:tcPr>
          <w:p w14:paraId="485A3B4A"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Justification</w:t>
            </w:r>
          </w:p>
        </w:tc>
      </w:tr>
      <w:tr w:rsidR="009732AC" w:rsidRPr="001E1B5A" w14:paraId="3DB61C28" w14:textId="77777777" w:rsidTr="001E1B5A">
        <w:trPr>
          <w:trHeight w:val="1355"/>
        </w:trPr>
        <w:tc>
          <w:tcPr>
            <w:tcW w:w="1790" w:type="dxa"/>
          </w:tcPr>
          <w:p w14:paraId="73D077A2"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Council</w:t>
            </w:r>
          </w:p>
        </w:tc>
        <w:tc>
          <w:tcPr>
            <w:tcW w:w="1006" w:type="dxa"/>
          </w:tcPr>
          <w:p w14:paraId="1F8A6F5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1151" w:type="dxa"/>
          </w:tcPr>
          <w:p w14:paraId="1CDD852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1006" w:type="dxa"/>
          </w:tcPr>
          <w:p w14:paraId="794A7711"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4404" w:type="dxa"/>
          </w:tcPr>
          <w:p w14:paraId="38C6CD1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The Council controls project funding, approvals, and policy alignment, thus holding significant decision-making authority.</w:t>
            </w:r>
          </w:p>
        </w:tc>
      </w:tr>
      <w:tr w:rsidR="009732AC" w:rsidRPr="001E1B5A" w14:paraId="57018DAC" w14:textId="77777777" w:rsidTr="001E1B5A">
        <w:trPr>
          <w:trHeight w:val="1070"/>
        </w:trPr>
        <w:tc>
          <w:tcPr>
            <w:tcW w:w="1790" w:type="dxa"/>
          </w:tcPr>
          <w:p w14:paraId="0E630499" w14:textId="77777777" w:rsidR="009732AC" w:rsidRPr="001E1B5A" w:rsidRDefault="00000000">
            <w:pPr>
              <w:spacing w:line="360" w:lineRule="auto"/>
              <w:jc w:val="both"/>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lastRenderedPageBreak/>
              <w:t>Local Residents</w:t>
            </w:r>
            <w:proofErr w:type="gramEnd"/>
          </w:p>
        </w:tc>
        <w:tc>
          <w:tcPr>
            <w:tcW w:w="1006" w:type="dxa"/>
          </w:tcPr>
          <w:p w14:paraId="07B421C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1151" w:type="dxa"/>
          </w:tcPr>
          <w:p w14:paraId="24815C2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1006" w:type="dxa"/>
          </w:tcPr>
          <w:p w14:paraId="11B87A11"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4404" w:type="dxa"/>
          </w:tcPr>
          <w:p w14:paraId="6D2F9F5C"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Residents are the primary beneficiaries and can influence outcomes through public consultations and local campaigns.</w:t>
            </w:r>
          </w:p>
        </w:tc>
      </w:tr>
      <w:tr w:rsidR="009732AC" w:rsidRPr="001E1B5A" w14:paraId="7FE488F0" w14:textId="77777777" w:rsidTr="001E1B5A">
        <w:trPr>
          <w:trHeight w:val="1070"/>
        </w:trPr>
        <w:tc>
          <w:tcPr>
            <w:tcW w:w="1790" w:type="dxa"/>
          </w:tcPr>
          <w:p w14:paraId="71A4E60F"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Environmental NGOs</w:t>
            </w:r>
          </w:p>
        </w:tc>
        <w:tc>
          <w:tcPr>
            <w:tcW w:w="1006" w:type="dxa"/>
          </w:tcPr>
          <w:p w14:paraId="5E1AC0D6"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1151" w:type="dxa"/>
          </w:tcPr>
          <w:p w14:paraId="4364C774"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1006" w:type="dxa"/>
          </w:tcPr>
          <w:p w14:paraId="0C4494B2"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4404" w:type="dxa"/>
          </w:tcPr>
          <w:p w14:paraId="3E09253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They advocate for sustainability and environmental standards but lack direct decision-making power.</w:t>
            </w:r>
          </w:p>
        </w:tc>
      </w:tr>
      <w:tr w:rsidR="009732AC" w:rsidRPr="001E1B5A" w14:paraId="3D9FDCDB" w14:textId="77777777" w:rsidTr="001E1B5A">
        <w:trPr>
          <w:trHeight w:val="1070"/>
        </w:trPr>
        <w:tc>
          <w:tcPr>
            <w:tcW w:w="1790" w:type="dxa"/>
          </w:tcPr>
          <w:p w14:paraId="7D664B9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Contractors</w:t>
            </w:r>
          </w:p>
        </w:tc>
        <w:tc>
          <w:tcPr>
            <w:tcW w:w="1006" w:type="dxa"/>
          </w:tcPr>
          <w:p w14:paraId="586F7337"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1151" w:type="dxa"/>
          </w:tcPr>
          <w:p w14:paraId="46A3F33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1006" w:type="dxa"/>
          </w:tcPr>
          <w:p w14:paraId="1AB5CCC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4404" w:type="dxa"/>
          </w:tcPr>
          <w:p w14:paraId="4B7E0C04"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Possess operational control over construction but limited influence on policy decisions.</w:t>
            </w:r>
          </w:p>
        </w:tc>
      </w:tr>
      <w:tr w:rsidR="009732AC" w:rsidRPr="001E1B5A" w14:paraId="047E1288" w14:textId="77777777" w:rsidTr="001E1B5A">
        <w:trPr>
          <w:trHeight w:val="1070"/>
        </w:trPr>
        <w:tc>
          <w:tcPr>
            <w:tcW w:w="1790" w:type="dxa"/>
          </w:tcPr>
          <w:p w14:paraId="38E88A83"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Businesses</w:t>
            </w:r>
          </w:p>
        </w:tc>
        <w:tc>
          <w:tcPr>
            <w:tcW w:w="1006" w:type="dxa"/>
          </w:tcPr>
          <w:p w14:paraId="4C168BF8"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Low</w:t>
            </w:r>
          </w:p>
        </w:tc>
        <w:tc>
          <w:tcPr>
            <w:tcW w:w="1151" w:type="dxa"/>
          </w:tcPr>
          <w:p w14:paraId="180494C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1006" w:type="dxa"/>
          </w:tcPr>
          <w:p w14:paraId="02CBFDB8"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High</w:t>
            </w:r>
          </w:p>
        </w:tc>
        <w:tc>
          <w:tcPr>
            <w:tcW w:w="4404" w:type="dxa"/>
          </w:tcPr>
          <w:p w14:paraId="66D13F81"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Benefit economically from increased footfall but have minimal control over project execution.</w:t>
            </w:r>
          </w:p>
        </w:tc>
      </w:tr>
      <w:tr w:rsidR="009732AC" w:rsidRPr="001E1B5A" w14:paraId="4CDBD101" w14:textId="77777777" w:rsidTr="001E1B5A">
        <w:trPr>
          <w:trHeight w:val="1070"/>
        </w:trPr>
        <w:tc>
          <w:tcPr>
            <w:tcW w:w="1790" w:type="dxa"/>
          </w:tcPr>
          <w:p w14:paraId="7399ADA4"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Visitors and Tourists</w:t>
            </w:r>
          </w:p>
        </w:tc>
        <w:tc>
          <w:tcPr>
            <w:tcW w:w="1006" w:type="dxa"/>
          </w:tcPr>
          <w:p w14:paraId="69A75C4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Low</w:t>
            </w:r>
          </w:p>
        </w:tc>
        <w:tc>
          <w:tcPr>
            <w:tcW w:w="1151" w:type="dxa"/>
          </w:tcPr>
          <w:p w14:paraId="548CA2DB"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Low</w:t>
            </w:r>
          </w:p>
        </w:tc>
        <w:tc>
          <w:tcPr>
            <w:tcW w:w="1006" w:type="dxa"/>
          </w:tcPr>
          <w:p w14:paraId="32507DD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Medium</w:t>
            </w:r>
          </w:p>
        </w:tc>
        <w:tc>
          <w:tcPr>
            <w:tcW w:w="4404" w:type="dxa"/>
          </w:tcPr>
          <w:p w14:paraId="54F818CA"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Indirect beneficiaries whose preferences influence long-term park utilisation and success.</w:t>
            </w:r>
          </w:p>
        </w:tc>
      </w:tr>
    </w:tbl>
    <w:p w14:paraId="27EDE21D" w14:textId="77777777" w:rsidR="009732AC" w:rsidRPr="001E1B5A" w:rsidRDefault="009732AC">
      <w:pPr>
        <w:spacing w:line="360" w:lineRule="auto"/>
        <w:jc w:val="both"/>
        <w:rPr>
          <w:rFonts w:ascii="Times New Roman" w:eastAsia="Times New Roman" w:hAnsi="Times New Roman" w:cs="Times New Roman"/>
          <w:sz w:val="24"/>
          <w:szCs w:val="24"/>
        </w:rPr>
      </w:pPr>
    </w:p>
    <w:p w14:paraId="6C0848B3" w14:textId="77777777" w:rsidR="009732AC" w:rsidRPr="001E1B5A" w:rsidRDefault="00000000">
      <w:pPr>
        <w:spacing w:line="360" w:lineRule="auto"/>
        <w:jc w:val="center"/>
        <w:rPr>
          <w:rFonts w:ascii="Times New Roman" w:eastAsia="Times New Roman" w:hAnsi="Times New Roman" w:cs="Times New Roman"/>
          <w:b/>
          <w:bCs/>
          <w:sz w:val="24"/>
          <w:szCs w:val="24"/>
        </w:rPr>
      </w:pPr>
      <w:r w:rsidRPr="001E1B5A">
        <w:rPr>
          <w:rFonts w:ascii="Times New Roman" w:eastAsia="Times New Roman" w:hAnsi="Times New Roman" w:cs="Times New Roman"/>
          <w:b/>
          <w:bCs/>
          <w:sz w:val="24"/>
          <w:szCs w:val="24"/>
        </w:rPr>
        <w:t>Table 2: Power, Influence, and Interest Table</w:t>
      </w:r>
    </w:p>
    <w:p w14:paraId="14D9F6E3"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(Source: Self-developed)</w:t>
      </w:r>
    </w:p>
    <w:p w14:paraId="08E11FAF"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Local Council has the highest power and influence given it authorises funding, Planning and Compliance. Residents show a huge level of influence because of their group voice, and Environmental NGOs show high interest in sustainability and medium authority (Gyepi-Garbrah and Preko, 2022). Contractors have high levels of operational power and less strategic power. Local Businesses are very interested as they would gain financially, Visitors have minimal </w:t>
      </w:r>
      <w:proofErr w:type="gramStart"/>
      <w:r w:rsidRPr="001E1B5A">
        <w:rPr>
          <w:rFonts w:ascii="Times New Roman" w:eastAsia="Times New Roman" w:hAnsi="Times New Roman" w:cs="Times New Roman"/>
          <w:sz w:val="24"/>
          <w:szCs w:val="24"/>
        </w:rPr>
        <w:t>power, but</w:t>
      </w:r>
      <w:proofErr w:type="gramEnd"/>
      <w:r w:rsidRPr="001E1B5A">
        <w:rPr>
          <w:rFonts w:ascii="Times New Roman" w:eastAsia="Times New Roman" w:hAnsi="Times New Roman" w:cs="Times New Roman"/>
          <w:sz w:val="24"/>
          <w:szCs w:val="24"/>
        </w:rPr>
        <w:t xml:space="preserve"> help to make the park popular in the long run. This categorisation aims to support the development of engagement and communication strategies tailored to the ability of each stakeholder to understand and be concerned.</w:t>
      </w:r>
    </w:p>
    <w:p w14:paraId="3F893F69" w14:textId="77777777" w:rsidR="009732AC" w:rsidRPr="001E1B5A" w:rsidRDefault="00000000" w:rsidP="001E1B5A">
      <w:pPr>
        <w:pStyle w:val="Heading2"/>
      </w:pPr>
      <w:bookmarkStart w:id="6" w:name="_Toc213522564"/>
      <w:r w:rsidRPr="001E1B5A">
        <w:t>2.2 Stakeholder Mapping</w:t>
      </w:r>
      <w:bookmarkEnd w:id="6"/>
      <w:r w:rsidRPr="001E1B5A">
        <w:t xml:space="preserve"> </w:t>
      </w:r>
    </w:p>
    <w:p w14:paraId="0F5279E3" w14:textId="77777777" w:rsidR="009732AC" w:rsidRPr="001E1B5A" w:rsidRDefault="009732AC">
      <w:pPr>
        <w:spacing w:line="360" w:lineRule="auto"/>
        <w:rPr>
          <w:rFonts w:ascii="Times New Roman" w:eastAsia="Times New Roman" w:hAnsi="Times New Roman" w:cs="Times New Roman"/>
          <w:sz w:val="24"/>
          <w:szCs w:val="24"/>
        </w:rPr>
      </w:pPr>
    </w:p>
    <w:tbl>
      <w:tblPr>
        <w:tblStyle w:val="GridTable5Dark-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791"/>
        <w:gridCol w:w="2884"/>
        <w:gridCol w:w="2248"/>
        <w:gridCol w:w="2427"/>
      </w:tblGrid>
      <w:tr w:rsidR="009732AC" w:rsidRPr="001E1B5A" w14:paraId="39A2292E" w14:textId="77777777" w:rsidTr="001E1B5A">
        <w:trPr>
          <w:trHeight w:val="515"/>
        </w:trPr>
        <w:tc>
          <w:tcPr>
            <w:tcW w:w="958" w:type="pct"/>
          </w:tcPr>
          <w:p w14:paraId="6A1AABAA"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Quadrant</w:t>
            </w:r>
          </w:p>
        </w:tc>
        <w:tc>
          <w:tcPr>
            <w:tcW w:w="1542" w:type="pct"/>
          </w:tcPr>
          <w:p w14:paraId="1C388D6C"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Description</w:t>
            </w:r>
          </w:p>
        </w:tc>
        <w:tc>
          <w:tcPr>
            <w:tcW w:w="1202" w:type="pct"/>
          </w:tcPr>
          <w:p w14:paraId="40963AF5"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Stakeholders</w:t>
            </w:r>
          </w:p>
        </w:tc>
        <w:tc>
          <w:tcPr>
            <w:tcW w:w="1298" w:type="pct"/>
          </w:tcPr>
          <w:p w14:paraId="5E6090DC"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Engagement Strategy</w:t>
            </w:r>
          </w:p>
        </w:tc>
      </w:tr>
      <w:tr w:rsidR="009732AC" w:rsidRPr="001E1B5A" w14:paraId="3E592A24" w14:textId="77777777" w:rsidTr="001E1B5A">
        <w:trPr>
          <w:trHeight w:val="1355"/>
        </w:trPr>
        <w:tc>
          <w:tcPr>
            <w:tcW w:w="958" w:type="pct"/>
          </w:tcPr>
          <w:p w14:paraId="1D129AB6"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lastRenderedPageBreak/>
              <w:t>High Power, High Interest (Manage Closely)</w:t>
            </w:r>
          </w:p>
        </w:tc>
        <w:tc>
          <w:tcPr>
            <w:tcW w:w="1542" w:type="pct"/>
          </w:tcPr>
          <w:p w14:paraId="6DC5F927"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Key decision-makers requiring active management and frequent communication.</w:t>
            </w:r>
          </w:p>
        </w:tc>
        <w:tc>
          <w:tcPr>
            <w:tcW w:w="1202" w:type="pct"/>
          </w:tcPr>
          <w:p w14:paraId="5EF4407B"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Council</w:t>
            </w:r>
          </w:p>
        </w:tc>
        <w:tc>
          <w:tcPr>
            <w:tcW w:w="1298" w:type="pct"/>
          </w:tcPr>
          <w:p w14:paraId="5B5A9D80"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Regular briefings, formal reporting, policy consultations.</w:t>
            </w:r>
          </w:p>
        </w:tc>
      </w:tr>
      <w:tr w:rsidR="009732AC" w:rsidRPr="001E1B5A" w14:paraId="7AE76894" w14:textId="77777777" w:rsidTr="001E1B5A">
        <w:trPr>
          <w:trHeight w:val="1355"/>
        </w:trPr>
        <w:tc>
          <w:tcPr>
            <w:tcW w:w="958" w:type="pct"/>
          </w:tcPr>
          <w:p w14:paraId="7DB27D78"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High Power, Low Interest (Keep Satisfied)</w:t>
            </w:r>
          </w:p>
        </w:tc>
        <w:tc>
          <w:tcPr>
            <w:tcW w:w="1542" w:type="pct"/>
          </w:tcPr>
          <w:p w14:paraId="43844EFE"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Powerful stakeholders not directly concerned with day-to-day progress but must be satisfied.</w:t>
            </w:r>
          </w:p>
        </w:tc>
        <w:tc>
          <w:tcPr>
            <w:tcW w:w="1202" w:type="pct"/>
          </w:tcPr>
          <w:p w14:paraId="45D73D6A"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Contractors</w:t>
            </w:r>
          </w:p>
        </w:tc>
        <w:tc>
          <w:tcPr>
            <w:tcW w:w="1298" w:type="pct"/>
          </w:tcPr>
          <w:p w14:paraId="6D5BEEDC"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Contract reviews, milestone updates, compliance meetings.</w:t>
            </w:r>
          </w:p>
        </w:tc>
      </w:tr>
      <w:tr w:rsidR="009732AC" w:rsidRPr="001E1B5A" w14:paraId="309A3920" w14:textId="77777777" w:rsidTr="001E1B5A">
        <w:trPr>
          <w:trHeight w:val="1355"/>
        </w:trPr>
        <w:tc>
          <w:tcPr>
            <w:tcW w:w="958" w:type="pct"/>
          </w:tcPr>
          <w:p w14:paraId="1AA3DCF2"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Low Power, High Interest (Keep Informed)</w:t>
            </w:r>
          </w:p>
        </w:tc>
        <w:tc>
          <w:tcPr>
            <w:tcW w:w="1542" w:type="pct"/>
          </w:tcPr>
          <w:p w14:paraId="1B5FE80A"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Stakeholders who value project success but have limited authority.</w:t>
            </w:r>
          </w:p>
        </w:tc>
        <w:tc>
          <w:tcPr>
            <w:tcW w:w="1202" w:type="pct"/>
          </w:tcPr>
          <w:p w14:paraId="49557CFB" w14:textId="77777777" w:rsidR="009732AC" w:rsidRPr="001E1B5A" w:rsidRDefault="00000000">
            <w:pPr>
              <w:spacing w:line="360" w:lineRule="auto"/>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t>Local Residents</w:t>
            </w:r>
            <w:proofErr w:type="gramEnd"/>
            <w:r w:rsidRPr="001E1B5A">
              <w:rPr>
                <w:rFonts w:ascii="Times New Roman" w:eastAsia="Times New Roman" w:hAnsi="Times New Roman" w:cs="Times New Roman"/>
                <w:sz w:val="24"/>
                <w:szCs w:val="24"/>
              </w:rPr>
              <w:t>, Environmental NGOs, Local Businesses</w:t>
            </w:r>
          </w:p>
        </w:tc>
        <w:tc>
          <w:tcPr>
            <w:tcW w:w="1298" w:type="pct"/>
          </w:tcPr>
          <w:p w14:paraId="6FA88F9C"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Community newsletters, focus groups, sustainability updates.</w:t>
            </w:r>
          </w:p>
        </w:tc>
      </w:tr>
      <w:tr w:rsidR="009732AC" w:rsidRPr="001E1B5A" w14:paraId="2ABA7C85" w14:textId="77777777" w:rsidTr="001E1B5A">
        <w:trPr>
          <w:trHeight w:val="1355"/>
        </w:trPr>
        <w:tc>
          <w:tcPr>
            <w:tcW w:w="958" w:type="pct"/>
          </w:tcPr>
          <w:p w14:paraId="278E585E"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Low Power, Low Interest (Monitor)</w:t>
            </w:r>
          </w:p>
        </w:tc>
        <w:tc>
          <w:tcPr>
            <w:tcW w:w="1542" w:type="pct"/>
          </w:tcPr>
          <w:p w14:paraId="1AE0DC87"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Stakeholders requiring minimal effort but should be observed for potential changes in interest.</w:t>
            </w:r>
          </w:p>
        </w:tc>
        <w:tc>
          <w:tcPr>
            <w:tcW w:w="1202" w:type="pct"/>
          </w:tcPr>
          <w:p w14:paraId="3F78DA5F"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Visitors and Tourists</w:t>
            </w:r>
          </w:p>
        </w:tc>
        <w:tc>
          <w:tcPr>
            <w:tcW w:w="1298" w:type="pct"/>
          </w:tcPr>
          <w:p w14:paraId="1A5E3240"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Periodic surveys and public notices during implementation.</w:t>
            </w:r>
          </w:p>
        </w:tc>
      </w:tr>
    </w:tbl>
    <w:p w14:paraId="4F47C7CB" w14:textId="77777777" w:rsidR="009732AC" w:rsidRPr="001E1B5A" w:rsidRDefault="009732AC">
      <w:pPr>
        <w:spacing w:line="360" w:lineRule="auto"/>
        <w:rPr>
          <w:rFonts w:ascii="Times New Roman" w:eastAsia="Times New Roman" w:hAnsi="Times New Roman" w:cs="Times New Roman"/>
          <w:sz w:val="24"/>
          <w:szCs w:val="24"/>
        </w:rPr>
      </w:pPr>
    </w:p>
    <w:p w14:paraId="0FC8898C" w14:textId="77777777" w:rsidR="009732AC" w:rsidRPr="001E1B5A" w:rsidRDefault="00000000">
      <w:pPr>
        <w:spacing w:line="360" w:lineRule="auto"/>
        <w:jc w:val="center"/>
        <w:rPr>
          <w:rFonts w:ascii="Times New Roman" w:eastAsia="Times New Roman" w:hAnsi="Times New Roman" w:cs="Times New Roman"/>
          <w:b/>
          <w:bCs/>
          <w:sz w:val="24"/>
          <w:szCs w:val="24"/>
        </w:rPr>
      </w:pPr>
      <w:r w:rsidRPr="001E1B5A">
        <w:rPr>
          <w:rFonts w:ascii="Times New Roman" w:eastAsia="Times New Roman" w:hAnsi="Times New Roman" w:cs="Times New Roman"/>
          <w:b/>
          <w:bCs/>
          <w:sz w:val="24"/>
          <w:szCs w:val="24"/>
        </w:rPr>
        <w:t xml:space="preserve">Table 3: Stakeholder Mapping </w:t>
      </w:r>
    </w:p>
    <w:p w14:paraId="1B516853"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(Source: Self-developed)</w:t>
      </w:r>
    </w:p>
    <w:p w14:paraId="1D1BEEE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Local Council falls into the manage closely quadrant because of its power to make decisions and the policies it influences. It must also be updated regularly </w:t>
      </w:r>
      <w:proofErr w:type="gramStart"/>
      <w:r w:rsidRPr="001E1B5A">
        <w:rPr>
          <w:rFonts w:ascii="Times New Roman" w:eastAsia="Times New Roman" w:hAnsi="Times New Roman" w:cs="Times New Roman"/>
          <w:sz w:val="24"/>
          <w:szCs w:val="24"/>
        </w:rPr>
        <w:t>in order to</w:t>
      </w:r>
      <w:proofErr w:type="gramEnd"/>
      <w:r w:rsidRPr="001E1B5A">
        <w:rPr>
          <w:rFonts w:ascii="Times New Roman" w:eastAsia="Times New Roman" w:hAnsi="Times New Roman" w:cs="Times New Roman"/>
          <w:sz w:val="24"/>
          <w:szCs w:val="24"/>
        </w:rPr>
        <w:t xml:space="preserve"> remain legally compliant and financially accountable. Contractors, who are in a position of Keep Satisfied, possess the operational control but low interest in the long-term social results; good communication with scheduled progress meetings is a must to avoid disengagement (Saraiva and Nogueiro, 2025).</w:t>
      </w:r>
    </w:p>
    <w:p w14:paraId="53A9CB78" w14:textId="77777777" w:rsidR="009732AC" w:rsidRPr="001E1B5A" w:rsidRDefault="00000000">
      <w:pPr>
        <w:spacing w:line="360" w:lineRule="auto"/>
        <w:jc w:val="both"/>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t>Local Residents</w:t>
      </w:r>
      <w:proofErr w:type="gramEnd"/>
      <w:r w:rsidRPr="001E1B5A">
        <w:rPr>
          <w:rFonts w:ascii="Times New Roman" w:eastAsia="Times New Roman" w:hAnsi="Times New Roman" w:cs="Times New Roman"/>
          <w:sz w:val="24"/>
          <w:szCs w:val="24"/>
        </w:rPr>
        <w:t xml:space="preserve"> and Environmental NGOs fall under Keep Informed as they have huge interest in social and environmental implications (Kiss et al., 2022). Residents help form public opinion, and NGOs help residents be held to sustainability standards. Keeping the transparency via town hall meetings, newsletters, and digital is important.</w:t>
      </w:r>
    </w:p>
    <w:p w14:paraId="33EF9E7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Lastly, Visitors and Tourists of course though low in both power and immediate interest should be monitored (MacAskill, Becken and Coghlan, 2023). Their preferences, such as participating in an event or usability of the park, will </w:t>
      </w:r>
      <w:proofErr w:type="gramStart"/>
      <w:r w:rsidRPr="001E1B5A">
        <w:rPr>
          <w:rFonts w:ascii="Times New Roman" w:eastAsia="Times New Roman" w:hAnsi="Times New Roman" w:cs="Times New Roman"/>
          <w:sz w:val="24"/>
          <w:szCs w:val="24"/>
        </w:rPr>
        <w:t>learn</w:t>
      </w:r>
      <w:proofErr w:type="gramEnd"/>
      <w:r w:rsidRPr="001E1B5A">
        <w:rPr>
          <w:rFonts w:ascii="Times New Roman" w:eastAsia="Times New Roman" w:hAnsi="Times New Roman" w:cs="Times New Roman"/>
          <w:sz w:val="24"/>
          <w:szCs w:val="24"/>
        </w:rPr>
        <w:t xml:space="preserve"> them the future of the park's success.</w:t>
      </w:r>
    </w:p>
    <w:p w14:paraId="0A9F66AC"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lastRenderedPageBreak/>
        <w:t>This mapping assures that resources are assigned well to stakeholders with the greatest impact on the success of the project. Through this structured prioritisation, the project ensures that engagement is inclusive and expectations are managed with a range of different consumers.</w:t>
      </w:r>
    </w:p>
    <w:p w14:paraId="20327861" w14:textId="77777777" w:rsidR="009732AC" w:rsidRPr="001E1B5A" w:rsidRDefault="00000000" w:rsidP="001E1B5A">
      <w:pPr>
        <w:pStyle w:val="Heading2"/>
      </w:pPr>
      <w:bookmarkStart w:id="7" w:name="_Toc213522565"/>
      <w:r w:rsidRPr="001E1B5A">
        <w:t>2.3 Communication and Consultation Strategy</w:t>
      </w:r>
      <w:bookmarkEnd w:id="7"/>
    </w:p>
    <w:p w14:paraId="4B40D4F0" w14:textId="77777777" w:rsidR="009732AC" w:rsidRPr="001E1B5A" w:rsidRDefault="009732AC">
      <w:pPr>
        <w:spacing w:line="360" w:lineRule="auto"/>
        <w:rPr>
          <w:rFonts w:ascii="Times New Roman" w:eastAsia="Times New Roman" w:hAnsi="Times New Roman" w:cs="Times New Roman"/>
          <w:sz w:val="24"/>
          <w:szCs w:val="24"/>
        </w:rPr>
      </w:pPr>
    </w:p>
    <w:tbl>
      <w:tblPr>
        <w:tblStyle w:val="GridTable5Dark-Accent2"/>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618"/>
        <w:gridCol w:w="1691"/>
        <w:gridCol w:w="2085"/>
        <w:gridCol w:w="1881"/>
        <w:gridCol w:w="2085"/>
      </w:tblGrid>
      <w:tr w:rsidR="009732AC" w:rsidRPr="001E1B5A" w14:paraId="7A4DBE94" w14:textId="77777777" w:rsidTr="001E1B5A">
        <w:trPr>
          <w:trHeight w:val="785"/>
        </w:trPr>
        <w:tc>
          <w:tcPr>
            <w:tcW w:w="1618" w:type="dxa"/>
          </w:tcPr>
          <w:p w14:paraId="1135E1C4"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Stakeholder</w:t>
            </w:r>
          </w:p>
        </w:tc>
        <w:tc>
          <w:tcPr>
            <w:tcW w:w="1691" w:type="dxa"/>
          </w:tcPr>
          <w:p w14:paraId="5B22E93A"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Information to be Shared</w:t>
            </w:r>
          </w:p>
        </w:tc>
        <w:tc>
          <w:tcPr>
            <w:tcW w:w="2084" w:type="dxa"/>
          </w:tcPr>
          <w:p w14:paraId="655A4BC8"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Frequency/Timing</w:t>
            </w:r>
          </w:p>
        </w:tc>
        <w:tc>
          <w:tcPr>
            <w:tcW w:w="1880" w:type="dxa"/>
          </w:tcPr>
          <w:p w14:paraId="541A1F35"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Communication Channel</w:t>
            </w:r>
          </w:p>
        </w:tc>
        <w:tc>
          <w:tcPr>
            <w:tcW w:w="2084" w:type="dxa"/>
          </w:tcPr>
          <w:p w14:paraId="092C0F25"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b/>
                <w:sz w:val="24"/>
                <w:szCs w:val="24"/>
              </w:rPr>
              <w:t>Purpose/Outcome</w:t>
            </w:r>
          </w:p>
        </w:tc>
      </w:tr>
      <w:tr w:rsidR="009732AC" w:rsidRPr="001E1B5A" w14:paraId="386309AB" w14:textId="77777777" w:rsidTr="001E1B5A">
        <w:trPr>
          <w:trHeight w:val="1625"/>
        </w:trPr>
        <w:tc>
          <w:tcPr>
            <w:tcW w:w="1618" w:type="dxa"/>
          </w:tcPr>
          <w:p w14:paraId="13952031"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Council</w:t>
            </w:r>
          </w:p>
        </w:tc>
        <w:tc>
          <w:tcPr>
            <w:tcW w:w="1691" w:type="dxa"/>
          </w:tcPr>
          <w:p w14:paraId="5B00A4FB"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Progress reports, budget updates, compliance documentation</w:t>
            </w:r>
          </w:p>
        </w:tc>
        <w:tc>
          <w:tcPr>
            <w:tcW w:w="2084" w:type="dxa"/>
          </w:tcPr>
          <w:p w14:paraId="42C61F54"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Monthly</w:t>
            </w:r>
          </w:p>
        </w:tc>
        <w:tc>
          <w:tcPr>
            <w:tcW w:w="1880" w:type="dxa"/>
          </w:tcPr>
          <w:p w14:paraId="45ACB3CE"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Formal meetings, email reports</w:t>
            </w:r>
          </w:p>
        </w:tc>
        <w:tc>
          <w:tcPr>
            <w:tcW w:w="2084" w:type="dxa"/>
          </w:tcPr>
          <w:p w14:paraId="0D7ABAF5"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Ensure transparency, policy alignment, and funding continuity.</w:t>
            </w:r>
          </w:p>
        </w:tc>
      </w:tr>
      <w:tr w:rsidR="009732AC" w:rsidRPr="001E1B5A" w14:paraId="68CCBB71" w14:textId="77777777" w:rsidTr="001E1B5A">
        <w:trPr>
          <w:trHeight w:val="1910"/>
        </w:trPr>
        <w:tc>
          <w:tcPr>
            <w:tcW w:w="1618" w:type="dxa"/>
          </w:tcPr>
          <w:p w14:paraId="4A76B598" w14:textId="77777777" w:rsidR="009732AC" w:rsidRPr="001E1B5A" w:rsidRDefault="00000000">
            <w:pPr>
              <w:spacing w:line="360" w:lineRule="auto"/>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t>Local Residents</w:t>
            </w:r>
            <w:proofErr w:type="gramEnd"/>
          </w:p>
        </w:tc>
        <w:tc>
          <w:tcPr>
            <w:tcW w:w="1691" w:type="dxa"/>
          </w:tcPr>
          <w:p w14:paraId="47216534"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Construction schedules, noise management, park design updates</w:t>
            </w:r>
          </w:p>
        </w:tc>
        <w:tc>
          <w:tcPr>
            <w:tcW w:w="2084" w:type="dxa"/>
          </w:tcPr>
          <w:p w14:paraId="673465B0"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Bi-weekly</w:t>
            </w:r>
          </w:p>
        </w:tc>
        <w:tc>
          <w:tcPr>
            <w:tcW w:w="1880" w:type="dxa"/>
          </w:tcPr>
          <w:p w14:paraId="602DFD0F"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Community meetings, social media, newsletters</w:t>
            </w:r>
          </w:p>
        </w:tc>
        <w:tc>
          <w:tcPr>
            <w:tcW w:w="2084" w:type="dxa"/>
          </w:tcPr>
          <w:p w14:paraId="5F520668"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Build trust and maintain community support.</w:t>
            </w:r>
          </w:p>
        </w:tc>
      </w:tr>
      <w:tr w:rsidR="009732AC" w:rsidRPr="001E1B5A" w14:paraId="19BD5A40" w14:textId="77777777" w:rsidTr="001E1B5A">
        <w:trPr>
          <w:trHeight w:val="1625"/>
        </w:trPr>
        <w:tc>
          <w:tcPr>
            <w:tcW w:w="1618" w:type="dxa"/>
          </w:tcPr>
          <w:p w14:paraId="113FBAF7"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Environmental NGOs</w:t>
            </w:r>
          </w:p>
        </w:tc>
        <w:tc>
          <w:tcPr>
            <w:tcW w:w="1691" w:type="dxa"/>
          </w:tcPr>
          <w:p w14:paraId="54F45232"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Environmental impact assessments, biodiversity reports</w:t>
            </w:r>
          </w:p>
        </w:tc>
        <w:tc>
          <w:tcPr>
            <w:tcW w:w="2084" w:type="dxa"/>
          </w:tcPr>
          <w:p w14:paraId="3C023868"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Quarterly</w:t>
            </w:r>
          </w:p>
        </w:tc>
        <w:tc>
          <w:tcPr>
            <w:tcW w:w="1880" w:type="dxa"/>
          </w:tcPr>
          <w:p w14:paraId="3C3ACB5E"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Workshops, email briefings</w:t>
            </w:r>
          </w:p>
        </w:tc>
        <w:tc>
          <w:tcPr>
            <w:tcW w:w="2084" w:type="dxa"/>
          </w:tcPr>
          <w:p w14:paraId="3698A9F8"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Encourage sustainability advocacy and partnership.</w:t>
            </w:r>
          </w:p>
        </w:tc>
      </w:tr>
      <w:tr w:rsidR="009732AC" w:rsidRPr="001E1B5A" w14:paraId="50DF392F" w14:textId="77777777" w:rsidTr="001E1B5A">
        <w:trPr>
          <w:trHeight w:val="1355"/>
        </w:trPr>
        <w:tc>
          <w:tcPr>
            <w:tcW w:w="1618" w:type="dxa"/>
          </w:tcPr>
          <w:p w14:paraId="103C03D9"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Contractors</w:t>
            </w:r>
          </w:p>
        </w:tc>
        <w:tc>
          <w:tcPr>
            <w:tcW w:w="1691" w:type="dxa"/>
          </w:tcPr>
          <w:p w14:paraId="696C50F4"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Work plans, safety updates, performance feedback</w:t>
            </w:r>
          </w:p>
        </w:tc>
        <w:tc>
          <w:tcPr>
            <w:tcW w:w="2084" w:type="dxa"/>
          </w:tcPr>
          <w:p w14:paraId="7B6A9886"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Weekly</w:t>
            </w:r>
          </w:p>
        </w:tc>
        <w:tc>
          <w:tcPr>
            <w:tcW w:w="1880" w:type="dxa"/>
          </w:tcPr>
          <w:p w14:paraId="436A3E7F"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Site meetings, project management software</w:t>
            </w:r>
          </w:p>
        </w:tc>
        <w:tc>
          <w:tcPr>
            <w:tcW w:w="2084" w:type="dxa"/>
          </w:tcPr>
          <w:p w14:paraId="5DEC64AD"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Enhance coordination and maintain project timelines.</w:t>
            </w:r>
          </w:p>
        </w:tc>
      </w:tr>
      <w:tr w:rsidR="009732AC" w:rsidRPr="001E1B5A" w14:paraId="22B9224D" w14:textId="77777777" w:rsidTr="001E1B5A">
        <w:trPr>
          <w:trHeight w:val="1910"/>
        </w:trPr>
        <w:tc>
          <w:tcPr>
            <w:tcW w:w="1618" w:type="dxa"/>
          </w:tcPr>
          <w:p w14:paraId="1EA18EFA"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lastRenderedPageBreak/>
              <w:t>Local Businesses</w:t>
            </w:r>
          </w:p>
        </w:tc>
        <w:tc>
          <w:tcPr>
            <w:tcW w:w="1691" w:type="dxa"/>
          </w:tcPr>
          <w:p w14:paraId="36F6CA90"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Marketing opportunities, event schedules, partnership options</w:t>
            </w:r>
          </w:p>
        </w:tc>
        <w:tc>
          <w:tcPr>
            <w:tcW w:w="2084" w:type="dxa"/>
          </w:tcPr>
          <w:p w14:paraId="34C5C391"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Monthly</w:t>
            </w:r>
          </w:p>
        </w:tc>
        <w:tc>
          <w:tcPr>
            <w:tcW w:w="1880" w:type="dxa"/>
          </w:tcPr>
          <w:p w14:paraId="21EC4F92"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Local newspapers, digital bulletin, email</w:t>
            </w:r>
          </w:p>
        </w:tc>
        <w:tc>
          <w:tcPr>
            <w:tcW w:w="2084" w:type="dxa"/>
          </w:tcPr>
          <w:p w14:paraId="01B548DE"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Encourage local economic participation and sponsorships.</w:t>
            </w:r>
          </w:p>
        </w:tc>
      </w:tr>
      <w:tr w:rsidR="009732AC" w:rsidRPr="001E1B5A" w14:paraId="0EDD4D21" w14:textId="77777777" w:rsidTr="001E1B5A">
        <w:trPr>
          <w:trHeight w:val="1355"/>
        </w:trPr>
        <w:tc>
          <w:tcPr>
            <w:tcW w:w="1618" w:type="dxa"/>
          </w:tcPr>
          <w:p w14:paraId="3365998D"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Visitors and Tourists</w:t>
            </w:r>
          </w:p>
        </w:tc>
        <w:tc>
          <w:tcPr>
            <w:tcW w:w="1691" w:type="dxa"/>
          </w:tcPr>
          <w:p w14:paraId="5BC07BD4"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Opening events, facility information, feedback forms</w:t>
            </w:r>
          </w:p>
        </w:tc>
        <w:tc>
          <w:tcPr>
            <w:tcW w:w="2084" w:type="dxa"/>
          </w:tcPr>
          <w:p w14:paraId="025B6A68"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Upon completion and post-launch</w:t>
            </w:r>
          </w:p>
        </w:tc>
        <w:tc>
          <w:tcPr>
            <w:tcW w:w="1880" w:type="dxa"/>
          </w:tcPr>
          <w:p w14:paraId="080DCAF6" w14:textId="77777777" w:rsidR="009732AC" w:rsidRPr="001E1B5A" w:rsidRDefault="00000000">
            <w:pPr>
              <w:spacing w:line="360" w:lineRule="auto"/>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Website, social media, tourism boards</w:t>
            </w:r>
          </w:p>
        </w:tc>
        <w:tc>
          <w:tcPr>
            <w:tcW w:w="2084" w:type="dxa"/>
          </w:tcPr>
          <w:p w14:paraId="142FF52C" w14:textId="77777777" w:rsidR="009732AC" w:rsidRPr="001E1B5A" w:rsidRDefault="00000000">
            <w:pPr>
              <w:spacing w:line="360" w:lineRule="auto"/>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t>Promote park</w:t>
            </w:r>
            <w:proofErr w:type="gramEnd"/>
            <w:r w:rsidRPr="001E1B5A">
              <w:rPr>
                <w:rFonts w:ascii="Times New Roman" w:eastAsia="Times New Roman" w:hAnsi="Times New Roman" w:cs="Times New Roman"/>
                <w:sz w:val="24"/>
                <w:szCs w:val="24"/>
              </w:rPr>
              <w:t xml:space="preserve"> awareness and gather user feedback.</w:t>
            </w:r>
          </w:p>
        </w:tc>
      </w:tr>
    </w:tbl>
    <w:p w14:paraId="5AE49F66" w14:textId="77777777" w:rsidR="009732AC" w:rsidRPr="001E1B5A" w:rsidRDefault="00000000">
      <w:pPr>
        <w:spacing w:line="360" w:lineRule="auto"/>
        <w:jc w:val="center"/>
        <w:rPr>
          <w:rFonts w:ascii="Times New Roman" w:eastAsia="Times New Roman" w:hAnsi="Times New Roman" w:cs="Times New Roman"/>
          <w:b/>
          <w:bCs/>
          <w:sz w:val="24"/>
          <w:szCs w:val="24"/>
        </w:rPr>
      </w:pPr>
      <w:r w:rsidRPr="001E1B5A">
        <w:rPr>
          <w:rFonts w:ascii="Times New Roman" w:eastAsia="Times New Roman" w:hAnsi="Times New Roman" w:cs="Times New Roman"/>
          <w:b/>
          <w:bCs/>
          <w:sz w:val="24"/>
          <w:szCs w:val="24"/>
        </w:rPr>
        <w:t>Table 4: Communication Plan Table</w:t>
      </w:r>
    </w:p>
    <w:p w14:paraId="0FC3FB4A"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(Source: Self-developed)</w:t>
      </w:r>
    </w:p>
    <w:p w14:paraId="6C8BFEFA"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Successful stakeholder engagement is founded on the principles of effective communication. According to the PMI's Project Management Body of Knowledge (PMBOK, 2021), in the planning of communication, the adequate level of information must be communicated on time and with accuracy and uniformity to the various stakeholders in a project (Börsch, 2022). The next table presents this communication plan of the New Public Park Project.</w:t>
      </w:r>
    </w:p>
    <w:p w14:paraId="51C1A66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communication plan facilitates two-way communication ensuring that the stakeholders are informed and empowered to give feedback. Formal engagement with the Local Council ensures accountability as well as adherence to urban planning standards. Community engagement such as social media communities and local forum </w:t>
      </w:r>
      <w:proofErr w:type="gramStart"/>
      <w:r w:rsidRPr="001E1B5A">
        <w:rPr>
          <w:rFonts w:ascii="Times New Roman" w:eastAsia="Times New Roman" w:hAnsi="Times New Roman" w:cs="Times New Roman"/>
          <w:sz w:val="24"/>
          <w:szCs w:val="24"/>
        </w:rPr>
        <w:t>guarantee</w:t>
      </w:r>
      <w:proofErr w:type="gramEnd"/>
      <w:r w:rsidRPr="001E1B5A">
        <w:rPr>
          <w:rFonts w:ascii="Times New Roman" w:eastAsia="Times New Roman" w:hAnsi="Times New Roman" w:cs="Times New Roman"/>
          <w:sz w:val="24"/>
          <w:szCs w:val="24"/>
        </w:rPr>
        <w:t xml:space="preserve"> the community's inclusion, residents can voice out their concerns on accessibility, safety, and maintenance (Steinmetz et al., 2020).</w:t>
      </w:r>
    </w:p>
    <w:p w14:paraId="0D1947FC" w14:textId="77777777" w:rsidR="009732AC" w:rsidRPr="001E1B5A" w:rsidRDefault="009732AC">
      <w:pPr>
        <w:spacing w:line="360" w:lineRule="auto"/>
        <w:jc w:val="both"/>
        <w:rPr>
          <w:rFonts w:ascii="Times New Roman" w:eastAsia="Times New Roman" w:hAnsi="Times New Roman" w:cs="Times New Roman"/>
          <w:sz w:val="24"/>
          <w:szCs w:val="24"/>
        </w:rPr>
      </w:pPr>
    </w:p>
    <w:p w14:paraId="1DEB597A" w14:textId="77777777" w:rsidR="009732AC" w:rsidRPr="001E1B5A" w:rsidRDefault="009732AC">
      <w:pPr>
        <w:spacing w:line="360" w:lineRule="auto"/>
        <w:jc w:val="both"/>
        <w:rPr>
          <w:rFonts w:ascii="Times New Roman" w:eastAsia="Times New Roman" w:hAnsi="Times New Roman" w:cs="Times New Roman"/>
          <w:sz w:val="24"/>
          <w:szCs w:val="24"/>
        </w:rPr>
      </w:pPr>
    </w:p>
    <w:p w14:paraId="68D4695F"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noProof/>
          <w:sz w:val="24"/>
          <w:szCs w:val="24"/>
        </w:rPr>
        <w:lastRenderedPageBreak/>
        <w:drawing>
          <wp:inline distT="114300" distB="114300" distL="114300" distR="114300" wp14:anchorId="3B06529E" wp14:editId="7C9C4AF1">
            <wp:extent cx="5943600" cy="3302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302000"/>
                    </a:xfrm>
                    <a:prstGeom prst="rect">
                      <a:avLst/>
                    </a:prstGeom>
                    <a:ln w="25400">
                      <a:solidFill>
                        <a:srgbClr val="000000"/>
                      </a:solidFill>
                      <a:prstDash val="solid"/>
                    </a:ln>
                  </pic:spPr>
                </pic:pic>
              </a:graphicData>
            </a:graphic>
          </wp:inline>
        </w:drawing>
      </w:r>
    </w:p>
    <w:p w14:paraId="37DB495D" w14:textId="77777777" w:rsidR="009732AC" w:rsidRPr="001E1B5A" w:rsidRDefault="00000000">
      <w:pPr>
        <w:spacing w:line="360" w:lineRule="auto"/>
        <w:jc w:val="center"/>
        <w:rPr>
          <w:rFonts w:ascii="Times New Roman" w:eastAsia="Times New Roman" w:hAnsi="Times New Roman" w:cs="Times New Roman"/>
          <w:b/>
          <w:sz w:val="24"/>
          <w:szCs w:val="24"/>
        </w:rPr>
      </w:pPr>
      <w:r w:rsidRPr="001E1B5A">
        <w:rPr>
          <w:rFonts w:ascii="Times New Roman" w:eastAsia="Times New Roman" w:hAnsi="Times New Roman" w:cs="Times New Roman"/>
          <w:b/>
          <w:sz w:val="24"/>
          <w:szCs w:val="24"/>
        </w:rPr>
        <w:t>Figure 1: High level view of short-term progress towards the 10 goals, based on OIF indicators</w:t>
      </w:r>
    </w:p>
    <w:p w14:paraId="729A452E" w14:textId="77777777" w:rsidR="009732AC" w:rsidRPr="001E1B5A" w:rsidRDefault="00000000">
      <w:pPr>
        <w:spacing w:line="360" w:lineRule="auto"/>
        <w:jc w:val="center"/>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(Source: GOV.UK, 2024)</w:t>
      </w:r>
    </w:p>
    <w:p w14:paraId="235CF218"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In line with DEFRA environmental policy principles (2023), a quarterly environmental reporting is in place to ensure the Environmental NGO is engaged in the business and therefore increase the transparency of the commitments made to sustainability (GOV.UK, 2024). Contractors need frequent communication with operations to avoid delays and ensure they are not out of compliance with safety standards and Local Businesses receive marketing updates to encourage partnerships during park events.</w:t>
      </w:r>
    </w:p>
    <w:p w14:paraId="3FC04A47" w14:textId="77777777" w:rsidR="009732AC" w:rsidRPr="001E1B5A" w:rsidRDefault="00000000">
      <w:pPr>
        <w:spacing w:line="360" w:lineRule="auto"/>
        <w:jc w:val="both"/>
        <w:rPr>
          <w:rFonts w:ascii="Times New Roman" w:eastAsia="Times New Roman" w:hAnsi="Times New Roman" w:cs="Times New Roman"/>
          <w:sz w:val="24"/>
          <w:szCs w:val="24"/>
        </w:rPr>
      </w:pPr>
      <w:proofErr w:type="gramStart"/>
      <w:r w:rsidRPr="001E1B5A">
        <w:rPr>
          <w:rFonts w:ascii="Times New Roman" w:eastAsia="Times New Roman" w:hAnsi="Times New Roman" w:cs="Times New Roman"/>
          <w:sz w:val="24"/>
          <w:szCs w:val="24"/>
        </w:rPr>
        <w:t>Through the use of</w:t>
      </w:r>
      <w:proofErr w:type="gramEnd"/>
      <w:r w:rsidRPr="001E1B5A">
        <w:rPr>
          <w:rFonts w:ascii="Times New Roman" w:eastAsia="Times New Roman" w:hAnsi="Times New Roman" w:cs="Times New Roman"/>
          <w:sz w:val="24"/>
          <w:szCs w:val="24"/>
        </w:rPr>
        <w:t xml:space="preserve"> post completion promotional activities and online visitor feedback surveys, Visitors and Tourists are engaged in supporting the adaptive management process and continuous improvement (Hartman, 2021). This inclusive and structured process helps to build trust between stakeholders, reduce conflict and increase shared ownership of project outcomes. </w:t>
      </w:r>
    </w:p>
    <w:p w14:paraId="4EEE4B2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Furthermore, transparency, responsiveness, and participation in communication are guaranteed, which are critical to obtaining project legitimacy and sustainable in the long term (Tumpa and Naeni, 2025). Regular dissemination of information helps to reduce misinformation, while diverse ways of communication, including newspapers for senior citizens and social media for young people, help to ensure equitable access to information.</w:t>
      </w:r>
    </w:p>
    <w:p w14:paraId="26C6DED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lastRenderedPageBreak/>
        <w:t>Hence, this stakeholder engagement strategy which is based on recognised frameworks ensures that each stakeholder group receives relevant, timely and meaningful communication thus creating a stronger ability to ensure that the park aligns with community needs and sustainable urban development.</w:t>
      </w:r>
    </w:p>
    <w:p w14:paraId="365F50EB" w14:textId="77777777" w:rsidR="009732AC" w:rsidRPr="001E1B5A" w:rsidRDefault="00000000" w:rsidP="001E1B5A">
      <w:pPr>
        <w:pStyle w:val="Heading1"/>
      </w:pPr>
      <w:bookmarkStart w:id="8" w:name="_Toc213522566"/>
      <w:r w:rsidRPr="001E1B5A">
        <w:t>Element 3: Ethical Considerations in Stakeholder Consultation, Participation, and Feedback</w:t>
      </w:r>
      <w:bookmarkEnd w:id="8"/>
    </w:p>
    <w:p w14:paraId="01B0226A" w14:textId="77777777" w:rsidR="009732AC" w:rsidRPr="001E1B5A" w:rsidRDefault="00000000" w:rsidP="001E1B5A">
      <w:pPr>
        <w:pStyle w:val="Heading2"/>
      </w:pPr>
      <w:bookmarkStart w:id="9" w:name="_Toc213522567"/>
      <w:r w:rsidRPr="001E1B5A">
        <w:t>3.1 Ethical Approach to Consultation</w:t>
      </w:r>
      <w:bookmarkEnd w:id="9"/>
    </w:p>
    <w:p w14:paraId="5D24E438"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In the case of New Public Park project Ethical principles are considered important to ensure the transparent, respectful and fair conduct of stakeholder consultation. The consultation process should be based on honesty with all stakeholders being given all the facts about the project, its aim and timeline and possible consequences (Celik, Petri and Rezgui, 2023). This helps in the process of creating trust and encourages real participation rather than token participation. Confidentiality must also be respected, particularly when stakeholders express their personal opinions, provide information and get feedback about their that may identify them. Confidentiality safeguards the privacy of the participants as well as provides credibility to the consultation process (Laryeafio and Ogbewe, 2023).</w:t>
      </w:r>
    </w:p>
    <w:p w14:paraId="6B541C86"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Informed consent is another principle that is </w:t>
      </w:r>
      <w:proofErr w:type="gramStart"/>
      <w:r w:rsidRPr="001E1B5A">
        <w:rPr>
          <w:rFonts w:ascii="Times New Roman" w:eastAsia="Times New Roman" w:hAnsi="Times New Roman" w:cs="Times New Roman"/>
          <w:sz w:val="24"/>
          <w:szCs w:val="24"/>
        </w:rPr>
        <w:t>absolutely critical</w:t>
      </w:r>
      <w:proofErr w:type="gramEnd"/>
      <w:r w:rsidRPr="001E1B5A">
        <w:rPr>
          <w:rFonts w:ascii="Times New Roman" w:eastAsia="Times New Roman" w:hAnsi="Times New Roman" w:cs="Times New Roman"/>
          <w:sz w:val="24"/>
          <w:szCs w:val="24"/>
        </w:rPr>
        <w:t xml:space="preserve">, in which participants understand the purpose of their involvement and freely consent to do such. Stakeholders should be informed about the way that their input will be </w:t>
      </w:r>
      <w:proofErr w:type="gramStart"/>
      <w:r w:rsidRPr="001E1B5A">
        <w:rPr>
          <w:rFonts w:ascii="Times New Roman" w:eastAsia="Times New Roman" w:hAnsi="Times New Roman" w:cs="Times New Roman"/>
          <w:sz w:val="24"/>
          <w:szCs w:val="24"/>
        </w:rPr>
        <w:t>used</w:t>
      </w:r>
      <w:proofErr w:type="gramEnd"/>
      <w:r w:rsidRPr="001E1B5A">
        <w:rPr>
          <w:rFonts w:ascii="Times New Roman" w:eastAsia="Times New Roman" w:hAnsi="Times New Roman" w:cs="Times New Roman"/>
          <w:sz w:val="24"/>
          <w:szCs w:val="24"/>
        </w:rPr>
        <w:t xml:space="preserve"> and no individual or group should feel coerced to participate (Urry, Chur-Hansen and Scholz, 2024). The consultation must also be free from manipulation, as well as favoritism and other unfair practices in the documentation and consideration of views.  By following these ethical guidelines, the project assures that engagement is done in a principled manner that builds on the ethos of inclusivity, accountability, and public trust that everyone wants in the decision making of the new park's development.</w:t>
      </w:r>
    </w:p>
    <w:p w14:paraId="14D72BE8" w14:textId="77777777" w:rsidR="009732AC" w:rsidRPr="001E1B5A" w:rsidRDefault="00000000" w:rsidP="001E1B5A">
      <w:pPr>
        <w:pStyle w:val="Heading2"/>
      </w:pPr>
      <w:bookmarkStart w:id="10" w:name="_Toc213522568"/>
      <w:r w:rsidRPr="001E1B5A">
        <w:t>3.2 Towards Bias, Diversity, Equity, and Inclusion (DEI)</w:t>
      </w:r>
      <w:bookmarkEnd w:id="10"/>
      <w:r w:rsidRPr="001E1B5A">
        <w:t xml:space="preserve"> </w:t>
      </w:r>
    </w:p>
    <w:p w14:paraId="1DBC141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Bias reduction in the name of diversity, equity, and inclusion is a major ethical concern in stakeholder management (Ellis and Dean, 2024). In New Public Park project, during the </w:t>
      </w:r>
      <w:r w:rsidRPr="001E1B5A">
        <w:rPr>
          <w:rFonts w:ascii="Times New Roman" w:eastAsia="Times New Roman" w:hAnsi="Times New Roman" w:cs="Times New Roman"/>
          <w:sz w:val="24"/>
          <w:szCs w:val="24"/>
        </w:rPr>
        <w:lastRenderedPageBreak/>
        <w:t>consultation processes it is necessary to reflect the voices of all groups of the communities, including those with lower participation, such as elderly people, disabled people, ethnic minorities, low-income families, etc. Bodies that have a duty to provide public meetings, surveys and workshops under the duty to make their meetings and digital surveys accessible to all. For instance, by having community sessions take place at different times and locations, it is possible to include everyone, even those with incompatible schedules and mobility-related needs.</w:t>
      </w:r>
    </w:p>
    <w:p w14:paraId="535A66CE"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Each stakeholder should be given the same chance to voice their opinions without fear of being judged or dismissed for their opinions (Smakman, Vogt and Konijn, 2021). Consultation facilitators should be neutral, meaning that the discussions should be balanced and that all opinions should be recorded equally. Language barriers also need to be broken down by translation services or easy-read materials to ensure that all members of the community fully comprehend the project information.</w:t>
      </w:r>
    </w:p>
    <w:p w14:paraId="4E26C121"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Bias, whether it come from data collection or from data analysis and interpretation, </w:t>
      </w:r>
      <w:proofErr w:type="gramStart"/>
      <w:r w:rsidRPr="001E1B5A">
        <w:rPr>
          <w:rFonts w:ascii="Times New Roman" w:eastAsia="Times New Roman" w:hAnsi="Times New Roman" w:cs="Times New Roman"/>
          <w:sz w:val="24"/>
          <w:szCs w:val="24"/>
        </w:rPr>
        <w:t>has to</w:t>
      </w:r>
      <w:proofErr w:type="gramEnd"/>
      <w:r w:rsidRPr="001E1B5A">
        <w:rPr>
          <w:rFonts w:ascii="Times New Roman" w:eastAsia="Times New Roman" w:hAnsi="Times New Roman" w:cs="Times New Roman"/>
          <w:sz w:val="24"/>
          <w:szCs w:val="24"/>
        </w:rPr>
        <w:t xml:space="preserve"> be avoided; measures would need to be put into place to shield from preferential treatment of specific groups, and biases towards a certain perspective (Baldwin et al., 2022). Feedback management should be a systematic process to ensure that decisions are made according to priorities of the many not the voices of the few. Overall, the consultation process can be more representative of the diversity of the community by incorporating DEI principles into the consultation process, which helps to ensure that decisions are made in a way that is fair and ethical and benefits all community members.</w:t>
      </w:r>
    </w:p>
    <w:p w14:paraId="3FCBF617" w14:textId="77777777" w:rsidR="009732AC" w:rsidRPr="001E1B5A" w:rsidRDefault="00000000" w:rsidP="001E1B5A">
      <w:pPr>
        <w:pStyle w:val="Heading2"/>
      </w:pPr>
      <w:bookmarkStart w:id="11" w:name="_Toc213522569"/>
      <w:r w:rsidRPr="001E1B5A">
        <w:t>3.3 Feedback Collection and Review</w:t>
      </w:r>
      <w:bookmarkEnd w:id="11"/>
    </w:p>
    <w:p w14:paraId="0EACA7C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"Stakeholder engagement requires that the feedback received be collected and reviewed in order for community input to adequately drive project development." The New Public Park project will employ a multitude of feedback mechanisms, which will gather a wider range of views (Salvia et al., 2022). Surveys will be made both online and paper to facilitate participation of people with less digital access. Regular community forums will be held at various stages of the project which will provide an open forum for discussion between residents, council representatives and the project managers (Pimentel Walker and Friendly, 2021). In addition, digital submission portal will be established through the web of the council whereby it will be a simple platform for stake holders to comment and make suggestions.</w:t>
      </w:r>
    </w:p>
    <w:p w14:paraId="10AE15FA"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lastRenderedPageBreak/>
        <w:t xml:space="preserve">Once the response has been received, it will be reviewed in detail and will be grouped </w:t>
      </w:r>
      <w:proofErr w:type="gramStart"/>
      <w:r w:rsidRPr="001E1B5A">
        <w:rPr>
          <w:rFonts w:ascii="Times New Roman" w:eastAsia="Times New Roman" w:hAnsi="Times New Roman" w:cs="Times New Roman"/>
          <w:sz w:val="24"/>
          <w:szCs w:val="24"/>
        </w:rPr>
        <w:t>in to</w:t>
      </w:r>
      <w:proofErr w:type="gramEnd"/>
      <w:r w:rsidRPr="001E1B5A">
        <w:rPr>
          <w:rFonts w:ascii="Times New Roman" w:eastAsia="Times New Roman" w:hAnsi="Times New Roman" w:cs="Times New Roman"/>
          <w:sz w:val="24"/>
          <w:szCs w:val="24"/>
        </w:rPr>
        <w:t xml:space="preserve"> themes including environmental, safety, accessibility and community events (Saraiva and Nogueiro, 2025). The project team will be able to use this information to look for reoccurring issues and opportunities for improvement. </w:t>
      </w:r>
      <w:proofErr w:type="gramStart"/>
      <w:r w:rsidRPr="001E1B5A">
        <w:rPr>
          <w:rFonts w:ascii="Times New Roman" w:eastAsia="Times New Roman" w:hAnsi="Times New Roman" w:cs="Times New Roman"/>
          <w:sz w:val="24"/>
          <w:szCs w:val="24"/>
        </w:rPr>
        <w:t>A brief summary</w:t>
      </w:r>
      <w:proofErr w:type="gramEnd"/>
      <w:r w:rsidRPr="001E1B5A">
        <w:rPr>
          <w:rFonts w:ascii="Times New Roman" w:eastAsia="Times New Roman" w:hAnsi="Times New Roman" w:cs="Times New Roman"/>
          <w:sz w:val="24"/>
          <w:szCs w:val="24"/>
        </w:rPr>
        <w:t xml:space="preserve"> of the key findings will then be made public in a form which can be demonstrated as transparent and accountable. Importantly, the stakeholders will learn how their input has influenced the final design choices, so that they do not feel as if their participation has been symbolic.</w:t>
      </w:r>
    </w:p>
    <w:p w14:paraId="018DDBA2"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This constant loop of feedback, review and response creates a culture of respect for one another and collaboration.</w:t>
      </w:r>
      <w:r w:rsidRPr="001E1B5A">
        <w:rPr>
          <w:rFonts w:ascii="Times New Roman" w:eastAsia="Times New Roman" w:hAnsi="Times New Roman" w:cs="Times New Roman"/>
          <w:color w:val="FF0000"/>
          <w:sz w:val="24"/>
          <w:szCs w:val="24"/>
        </w:rPr>
        <w:t xml:space="preserve"> </w:t>
      </w:r>
      <w:r w:rsidRPr="001E1B5A">
        <w:rPr>
          <w:rFonts w:ascii="Times New Roman" w:eastAsia="Times New Roman" w:hAnsi="Times New Roman" w:cs="Times New Roman"/>
          <w:sz w:val="24"/>
          <w:szCs w:val="24"/>
        </w:rPr>
        <w:t>It strengthens the perception that community members are not the simple watchers but the active participants for the success of the project. Such an ethical model guarantees that the new park is authentic in that it represents real needs, values, and hopes of the people whom the park is intended to serve.</w:t>
      </w:r>
    </w:p>
    <w:p w14:paraId="3A2F9817" w14:textId="77777777" w:rsidR="009732AC" w:rsidRPr="001E1B5A" w:rsidRDefault="00000000" w:rsidP="001E1B5A">
      <w:pPr>
        <w:pStyle w:val="Heading1"/>
      </w:pPr>
      <w:bookmarkStart w:id="12" w:name="_Toc213522570"/>
      <w:r w:rsidRPr="001E1B5A">
        <w:t>Element 4: Conclusion and Reflection</w:t>
      </w:r>
      <w:bookmarkEnd w:id="12"/>
    </w:p>
    <w:p w14:paraId="4EEA73B6" w14:textId="77777777" w:rsidR="009732AC" w:rsidRPr="001E1B5A" w:rsidRDefault="00000000" w:rsidP="001E1B5A">
      <w:pPr>
        <w:pStyle w:val="Heading2"/>
      </w:pPr>
      <w:bookmarkStart w:id="13" w:name="_Toc213522571"/>
      <w:r w:rsidRPr="001E1B5A">
        <w:t>4.1 Conclusion</w:t>
      </w:r>
      <w:bookmarkEnd w:id="13"/>
      <w:r w:rsidRPr="001E1B5A">
        <w:t xml:space="preserve"> </w:t>
      </w:r>
    </w:p>
    <w:p w14:paraId="1365EBC1"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Project experience in the development of the New Public Park shows the importance of using stakeholder identification and engagement strategies to promote project success and sustainability. The stakeholder analysis considered a range of stakeholders including the local council, residents, environmental organisations, contractors, businesses and visitors - with varying levels of power, influence and interest. The project was able to utilises systematic tools such as Power-Interest Matrix and Mendelow's Matrix, that can be used to prioritise stakeholders based on their power to influence and affect the outcomes of the project and their stake in the progress of the project.</w:t>
      </w:r>
    </w:p>
    <w:p w14:paraId="48120E66"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The communication and consultation strategies constructed for the timeframe were consistent with a strategy for communicating with the stakeholders over the entire life of the project. Regular updates and channels for inclusive communication and open consultation followed to ensure not a voice went unheard or disrespected. This approach encouraged transparency, minimized the possibility of conflict and enhanced trust between the project team and the community. The ethics of the process of the consultation were built on the elements of honesty, confidentiality, informed consent and inclusion that play an important role in further enhancing credibility and fairness in how to manage the stakeholders.</w:t>
      </w:r>
    </w:p>
    <w:p w14:paraId="77BF3D3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lastRenderedPageBreak/>
        <w:t xml:space="preserve">Finally, the project experience underlined that successful engagement with stakeholders is not something that could be reduced to informing </w:t>
      </w:r>
      <w:proofErr w:type="gramStart"/>
      <w:r w:rsidRPr="001E1B5A">
        <w:rPr>
          <w:rFonts w:ascii="Times New Roman" w:eastAsia="Times New Roman" w:hAnsi="Times New Roman" w:cs="Times New Roman"/>
          <w:sz w:val="24"/>
          <w:szCs w:val="24"/>
        </w:rPr>
        <w:t>them, but</w:t>
      </w:r>
      <w:proofErr w:type="gramEnd"/>
      <w:r w:rsidRPr="001E1B5A">
        <w:rPr>
          <w:rFonts w:ascii="Times New Roman" w:eastAsia="Times New Roman" w:hAnsi="Times New Roman" w:cs="Times New Roman"/>
          <w:sz w:val="24"/>
          <w:szCs w:val="24"/>
        </w:rPr>
        <w:t xml:space="preserve"> requires long term relationships of mutual understanding and mutual action as to position and make effective change possible.</w:t>
      </w:r>
      <w:r w:rsidRPr="001E1B5A">
        <w:rPr>
          <w:rFonts w:ascii="Times New Roman" w:eastAsia="Times New Roman" w:hAnsi="Times New Roman" w:cs="Times New Roman"/>
          <w:color w:val="FF0000"/>
          <w:sz w:val="24"/>
          <w:szCs w:val="24"/>
        </w:rPr>
        <w:t xml:space="preserve"> </w:t>
      </w:r>
      <w:r w:rsidRPr="001E1B5A">
        <w:rPr>
          <w:rFonts w:ascii="Times New Roman" w:eastAsia="Times New Roman" w:hAnsi="Times New Roman" w:cs="Times New Roman"/>
          <w:sz w:val="24"/>
          <w:szCs w:val="24"/>
        </w:rPr>
        <w:t>With a sense of value, when stakeholders are engaged in the process, the results are greater opportunity for buy-in, and sustainability for the project. Therefore, the combination of ethical approaches, inclusivity and structured communication channels is essential for success, not only of the project but also for its social and environmental impact in the long term.</w:t>
      </w:r>
    </w:p>
    <w:p w14:paraId="7E9D335C" w14:textId="77777777" w:rsidR="009732AC" w:rsidRPr="001E1B5A" w:rsidRDefault="00000000" w:rsidP="001E1B5A">
      <w:pPr>
        <w:pStyle w:val="Heading2"/>
      </w:pPr>
      <w:bookmarkStart w:id="14" w:name="_Toc213522572"/>
      <w:r w:rsidRPr="001E1B5A">
        <w:t>4.2 Reflective Account</w:t>
      </w:r>
      <w:bookmarkEnd w:id="14"/>
      <w:r w:rsidRPr="001E1B5A">
        <w:t xml:space="preserve"> </w:t>
      </w:r>
    </w:p>
    <w:p w14:paraId="6FC84755"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Gibbs' Reflective Cycle (1988) was explained as I reflected on my learning and experiences in the New Public Park project while developing the stakeholder management plan (Carrington et al., 2025). This model asks for reflection in six stages: description, feelings, evaluation, analysis, conclusion and action plan, which helped me to put my understanding of stakeholder engagement to the test from the point of theoretical and practical views.</w:t>
      </w:r>
    </w:p>
    <w:p w14:paraId="71656BE8" w14:textId="77777777" w:rsidR="009732AC" w:rsidRPr="001E1B5A" w:rsidRDefault="00000000">
      <w:pPr>
        <w:spacing w:line="360" w:lineRule="auto"/>
        <w:jc w:val="both"/>
        <w:rPr>
          <w:rFonts w:ascii="Times New Roman" w:eastAsia="Times New Roman" w:hAnsi="Times New Roman" w:cs="Times New Roman"/>
          <w:b/>
          <w:i/>
          <w:sz w:val="24"/>
          <w:szCs w:val="24"/>
        </w:rPr>
      </w:pPr>
      <w:r w:rsidRPr="001E1B5A">
        <w:rPr>
          <w:rFonts w:ascii="Times New Roman" w:eastAsia="Times New Roman" w:hAnsi="Times New Roman" w:cs="Times New Roman"/>
          <w:b/>
          <w:i/>
          <w:sz w:val="24"/>
          <w:szCs w:val="24"/>
        </w:rPr>
        <w:t>Description:</w:t>
      </w:r>
    </w:p>
    <w:p w14:paraId="5AE99000"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As the Junior Stakeholder Manager, it was my responsibility to identify and analyse key gatekeepers, develop engagement tactics, and address moral concerns. My ethical duty was to put theoretical models to work in a </w:t>
      </w:r>
      <w:proofErr w:type="gramStart"/>
      <w:r w:rsidRPr="001E1B5A">
        <w:rPr>
          <w:rFonts w:ascii="Times New Roman" w:eastAsia="Times New Roman" w:hAnsi="Times New Roman" w:cs="Times New Roman"/>
          <w:sz w:val="24"/>
          <w:szCs w:val="24"/>
        </w:rPr>
        <w:t>real world</w:t>
      </w:r>
      <w:proofErr w:type="gramEnd"/>
      <w:r w:rsidRPr="001E1B5A">
        <w:rPr>
          <w:rFonts w:ascii="Times New Roman" w:eastAsia="Times New Roman" w:hAnsi="Times New Roman" w:cs="Times New Roman"/>
          <w:sz w:val="24"/>
          <w:szCs w:val="24"/>
        </w:rPr>
        <w:t xml:space="preserve"> scenario, such as Freeman's Stakeholder theory and Mendelow's Matrix. This involved managing conflicting interests of stakeholders in a way that would be fair and transparent in the communication planning process.</w:t>
      </w:r>
    </w:p>
    <w:p w14:paraId="4D463F6B" w14:textId="77777777" w:rsidR="009732AC" w:rsidRPr="001E1B5A" w:rsidRDefault="00000000">
      <w:pPr>
        <w:spacing w:line="360" w:lineRule="auto"/>
        <w:jc w:val="both"/>
        <w:rPr>
          <w:rFonts w:ascii="Times New Roman" w:eastAsia="Times New Roman" w:hAnsi="Times New Roman" w:cs="Times New Roman"/>
          <w:b/>
          <w:i/>
          <w:sz w:val="24"/>
          <w:szCs w:val="24"/>
        </w:rPr>
      </w:pPr>
      <w:r w:rsidRPr="001E1B5A">
        <w:rPr>
          <w:rFonts w:ascii="Times New Roman" w:eastAsia="Times New Roman" w:hAnsi="Times New Roman" w:cs="Times New Roman"/>
          <w:b/>
          <w:i/>
          <w:sz w:val="24"/>
          <w:szCs w:val="24"/>
        </w:rPr>
        <w:t>Feelings:</w:t>
      </w:r>
    </w:p>
    <w:p w14:paraId="1AFBC989"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I was initially unsure of how to cope with the complexity of the relationships between various stakeholders as this was the first approach in which I had to consider how to balance different interests. However, I gained confidence in the use of structured tools as I went along and learned the power of using theory in guiding decision-making. The process helped me to understand the principle of empathy and ethical awareness when working with real people and not just abstract groups.</w:t>
      </w:r>
    </w:p>
    <w:p w14:paraId="486F4231" w14:textId="77777777" w:rsidR="009732AC" w:rsidRPr="001E1B5A" w:rsidRDefault="00000000">
      <w:pPr>
        <w:spacing w:line="360" w:lineRule="auto"/>
        <w:jc w:val="both"/>
        <w:rPr>
          <w:rFonts w:ascii="Times New Roman" w:eastAsia="Times New Roman" w:hAnsi="Times New Roman" w:cs="Times New Roman"/>
          <w:b/>
          <w:i/>
          <w:sz w:val="24"/>
          <w:szCs w:val="24"/>
        </w:rPr>
      </w:pPr>
      <w:r w:rsidRPr="001E1B5A">
        <w:rPr>
          <w:rFonts w:ascii="Times New Roman" w:eastAsia="Times New Roman" w:hAnsi="Times New Roman" w:cs="Times New Roman"/>
          <w:b/>
          <w:i/>
          <w:sz w:val="24"/>
          <w:szCs w:val="24"/>
        </w:rPr>
        <w:t>Evaluation:</w:t>
      </w:r>
    </w:p>
    <w:p w14:paraId="6F4B3F32"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 xml:space="preserve">The most positive part of this experience was the observation that the organized Business Model/open stakeholder mapping might reduce complexity (Mais and Bauernhansl, 2024). It was satisfying to see the Power-Interest Grid for clarifying efforts of communication priority. On the </w:t>
      </w:r>
      <w:r w:rsidRPr="001E1B5A">
        <w:rPr>
          <w:rFonts w:ascii="Times New Roman" w:eastAsia="Times New Roman" w:hAnsi="Times New Roman" w:cs="Times New Roman"/>
          <w:sz w:val="24"/>
          <w:szCs w:val="24"/>
        </w:rPr>
        <w:lastRenderedPageBreak/>
        <w:t>other hand, I had the insight that stakeholder engagement has emotional and cultural dynamics that cannot be captured with the help of theoretical tools alone. For example, it takes a higher level of sensitivity to understand how the community is feeling than can be revealed by data tables.</w:t>
      </w:r>
    </w:p>
    <w:p w14:paraId="34C4427F" w14:textId="77777777" w:rsidR="009732AC" w:rsidRPr="001E1B5A" w:rsidRDefault="00000000">
      <w:pPr>
        <w:spacing w:line="360" w:lineRule="auto"/>
        <w:jc w:val="both"/>
        <w:rPr>
          <w:rFonts w:ascii="Times New Roman" w:eastAsia="Times New Roman" w:hAnsi="Times New Roman" w:cs="Times New Roman"/>
          <w:b/>
          <w:i/>
          <w:sz w:val="24"/>
          <w:szCs w:val="24"/>
        </w:rPr>
      </w:pPr>
      <w:r w:rsidRPr="001E1B5A">
        <w:rPr>
          <w:rFonts w:ascii="Times New Roman" w:eastAsia="Times New Roman" w:hAnsi="Times New Roman" w:cs="Times New Roman"/>
          <w:b/>
          <w:i/>
          <w:sz w:val="24"/>
          <w:szCs w:val="24"/>
        </w:rPr>
        <w:t>Analysis:</w:t>
      </w:r>
    </w:p>
    <w:p w14:paraId="6837DA2D" w14:textId="77777777" w:rsidR="009732AC" w:rsidRPr="001E1B5A"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From a theoretical point of view, Freeman's Stakeholder Theory was the one that helped me to understand that each group involved in the project should be considered, not only the ones with formal power. Mendelow's Matrix further was used as a convenient tool for managing intensity of engagement (Mints and Kamyshnykova, 2021). However, I discovered that it is ethical consultation (well identified by honesty, inclusion and respect) that turns engagement from a procedural requirement to true collaboration. I also understood the importance of principles of diversity, equity, and inclusion in avoiding bias and ensuring that marginalized groups are accounted for when the project results are implemented.</w:t>
      </w:r>
    </w:p>
    <w:p w14:paraId="41B9DA99" w14:textId="77777777" w:rsidR="009732AC" w:rsidRPr="001E1B5A" w:rsidRDefault="00000000">
      <w:pPr>
        <w:spacing w:line="360" w:lineRule="auto"/>
        <w:jc w:val="both"/>
        <w:rPr>
          <w:rFonts w:ascii="Times New Roman" w:eastAsia="Times New Roman" w:hAnsi="Times New Roman" w:cs="Times New Roman"/>
          <w:b/>
          <w:i/>
          <w:sz w:val="24"/>
          <w:szCs w:val="24"/>
        </w:rPr>
      </w:pPr>
      <w:r w:rsidRPr="001E1B5A">
        <w:rPr>
          <w:rFonts w:ascii="Times New Roman" w:eastAsia="Times New Roman" w:hAnsi="Times New Roman" w:cs="Times New Roman"/>
          <w:b/>
          <w:i/>
          <w:sz w:val="24"/>
          <w:szCs w:val="24"/>
        </w:rPr>
        <w:t>Conclusion and Action Plan:</w:t>
      </w:r>
    </w:p>
    <w:p w14:paraId="1203E8CA" w14:textId="77777777" w:rsidR="009732AC" w:rsidRDefault="00000000">
      <w:pPr>
        <w:spacing w:line="360" w:lineRule="auto"/>
        <w:jc w:val="both"/>
        <w:rPr>
          <w:rFonts w:ascii="Times New Roman" w:eastAsia="Times New Roman" w:hAnsi="Times New Roman" w:cs="Times New Roman"/>
          <w:sz w:val="24"/>
          <w:szCs w:val="24"/>
        </w:rPr>
      </w:pPr>
      <w:r w:rsidRPr="001E1B5A">
        <w:rPr>
          <w:rFonts w:ascii="Times New Roman" w:eastAsia="Times New Roman" w:hAnsi="Times New Roman" w:cs="Times New Roman"/>
          <w:sz w:val="24"/>
          <w:szCs w:val="24"/>
        </w:rPr>
        <w:t>The experience has reinforced my learning on stakeholder management as a technical and ethical process. In the future, I would like to learn to communicate and facilitate better to manage and mitigate stakeholder conflicts. I will also keep building my ability to apply feedback systems which measure satisfaction of stakeholders and the impact of the project. By engaging in reflective practice on a regular basis I will continually develop as a professional and make a positive contribution to sustainable, community-focused work.</w:t>
      </w:r>
    </w:p>
    <w:p w14:paraId="24C25271" w14:textId="4DE180C2" w:rsidR="001E1B5A" w:rsidRDefault="001E1B5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F1565CC" w14:textId="16E25B9A" w:rsidR="001E1B5A" w:rsidRDefault="001E1B5A" w:rsidP="001E1B5A">
      <w:pPr>
        <w:pStyle w:val="Heading1"/>
      </w:pPr>
      <w:bookmarkStart w:id="15" w:name="_Toc213522573"/>
      <w:r>
        <w:lastRenderedPageBreak/>
        <w:t>References</w:t>
      </w:r>
      <w:bookmarkEnd w:id="15"/>
    </w:p>
    <w:p w14:paraId="633D9B08"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Baldwin, J.R., Pingault, J.-B., Schoeler, T., Sallis, H.M. and Munafò, M.R. (2022). Protecting against Researcher Bias in Secondary Data analysis: Challenges and Potential Solutions. </w:t>
      </w:r>
      <w:r w:rsidRPr="001E1B5A">
        <w:rPr>
          <w:rFonts w:ascii="Times New Roman" w:hAnsi="Times New Roman" w:cs="Times New Roman"/>
          <w:i/>
          <w:iCs/>
          <w:sz w:val="24"/>
          <w:szCs w:val="24"/>
          <w:lang w:val="en-IN"/>
        </w:rPr>
        <w:t>European Journal of Epidemiology</w:t>
      </w:r>
      <w:r w:rsidRPr="001E1B5A">
        <w:rPr>
          <w:rFonts w:ascii="Times New Roman" w:hAnsi="Times New Roman" w:cs="Times New Roman"/>
          <w:sz w:val="24"/>
          <w:szCs w:val="24"/>
          <w:lang w:val="en-IN"/>
        </w:rPr>
        <w:t xml:space="preserve">, 37(1), pp.1–10. </w:t>
      </w:r>
      <w:proofErr w:type="gramStart"/>
      <w:r w:rsidRPr="001E1B5A">
        <w:rPr>
          <w:rFonts w:ascii="Times New Roman" w:hAnsi="Times New Roman" w:cs="Times New Roman"/>
          <w:sz w:val="24"/>
          <w:szCs w:val="24"/>
          <w:lang w:val="en-IN"/>
        </w:rPr>
        <w:t>doi:https://doi.org/10.1007%2Fs10654-021-00839-0</w:t>
      </w:r>
      <w:proofErr w:type="gramEnd"/>
      <w:r w:rsidRPr="001E1B5A">
        <w:rPr>
          <w:rFonts w:ascii="Times New Roman" w:hAnsi="Times New Roman" w:cs="Times New Roman"/>
          <w:sz w:val="24"/>
          <w:szCs w:val="24"/>
          <w:lang w:val="en-IN"/>
        </w:rPr>
        <w:t>.</w:t>
      </w:r>
    </w:p>
    <w:p w14:paraId="4D715FCA"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Bonaccorsi, G., Milani, C., Giorgetti, D., Setola, N., Naldi, E., Manzi, F., Del Riccio, M., Dellisanti, C. and Lorini, C. (2023). Impact of Built Environment and Neighborhood on Promoting Mental Health, Well-being, and Social Participation in Older People: an Umbrella Review. </w:t>
      </w:r>
      <w:r w:rsidRPr="001E1B5A">
        <w:rPr>
          <w:rFonts w:ascii="Times New Roman" w:hAnsi="Times New Roman" w:cs="Times New Roman"/>
          <w:i/>
          <w:iCs/>
          <w:sz w:val="24"/>
          <w:szCs w:val="24"/>
          <w:lang w:val="en-IN"/>
        </w:rPr>
        <w:t>Annali Di Igiene: Medicina Preventiva E Di Comunita</w:t>
      </w:r>
      <w:r w:rsidRPr="001E1B5A">
        <w:rPr>
          <w:rFonts w:ascii="Times New Roman" w:hAnsi="Times New Roman" w:cs="Times New Roman"/>
          <w:sz w:val="24"/>
          <w:szCs w:val="24"/>
          <w:lang w:val="en-IN"/>
        </w:rPr>
        <w:t xml:space="preserve">, [online] 35(2), pp.213–239. </w:t>
      </w:r>
      <w:proofErr w:type="gramStart"/>
      <w:r w:rsidRPr="001E1B5A">
        <w:rPr>
          <w:rFonts w:ascii="Times New Roman" w:hAnsi="Times New Roman" w:cs="Times New Roman"/>
          <w:sz w:val="24"/>
          <w:szCs w:val="24"/>
          <w:lang w:val="en-IN"/>
        </w:rPr>
        <w:t>doi:https://doi.org/10.7416/ai.2022.2534</w:t>
      </w:r>
      <w:proofErr w:type="gramEnd"/>
      <w:r w:rsidRPr="001E1B5A">
        <w:rPr>
          <w:rFonts w:ascii="Times New Roman" w:hAnsi="Times New Roman" w:cs="Times New Roman"/>
          <w:sz w:val="24"/>
          <w:szCs w:val="24"/>
          <w:lang w:val="en-IN"/>
        </w:rPr>
        <w:t>.</w:t>
      </w:r>
    </w:p>
    <w:p w14:paraId="1174B914"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Börsch, P. (2022). The Role of Project Management Standardization in SMEs: Analyzing the Linkages Between Knowledge Management, Project Management, and Stakeholder Satisfaction. </w:t>
      </w:r>
      <w:r w:rsidRPr="001E1B5A">
        <w:rPr>
          <w:rFonts w:ascii="Times New Roman" w:hAnsi="Times New Roman" w:cs="Times New Roman"/>
          <w:i/>
          <w:iCs/>
          <w:sz w:val="24"/>
          <w:szCs w:val="24"/>
          <w:lang w:val="en-IN"/>
        </w:rPr>
        <w:t>osuva.uwasa.fi</w:t>
      </w:r>
      <w:r w:rsidRPr="001E1B5A">
        <w:rPr>
          <w:rFonts w:ascii="Times New Roman" w:hAnsi="Times New Roman" w:cs="Times New Roman"/>
          <w:sz w:val="24"/>
          <w:szCs w:val="24"/>
          <w:lang w:val="en-IN"/>
        </w:rPr>
        <w:t>. [online] Available at: https://osuva.uwasa.fi/handle/10024/14375.</w:t>
      </w:r>
    </w:p>
    <w:p w14:paraId="45ECEEEF"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Carrington, L., Hale, L., Freeman, C. and Perry, M. (2025). The Development of the Relate-Know-Respond Model to Enhance Family-Centred Care. </w:t>
      </w:r>
      <w:r w:rsidRPr="001E1B5A">
        <w:rPr>
          <w:rFonts w:ascii="Times New Roman" w:hAnsi="Times New Roman" w:cs="Times New Roman"/>
          <w:i/>
          <w:iCs/>
          <w:sz w:val="24"/>
          <w:szCs w:val="24"/>
          <w:lang w:val="en-IN"/>
        </w:rPr>
        <w:t>Disabilities</w:t>
      </w:r>
      <w:r w:rsidRPr="001E1B5A">
        <w:rPr>
          <w:rFonts w:ascii="Times New Roman" w:hAnsi="Times New Roman" w:cs="Times New Roman"/>
          <w:sz w:val="24"/>
          <w:szCs w:val="24"/>
          <w:lang w:val="en-IN"/>
        </w:rPr>
        <w:t xml:space="preserve">, 5(3), pp.71–71. </w:t>
      </w:r>
      <w:proofErr w:type="gramStart"/>
      <w:r w:rsidRPr="001E1B5A">
        <w:rPr>
          <w:rFonts w:ascii="Times New Roman" w:hAnsi="Times New Roman" w:cs="Times New Roman"/>
          <w:sz w:val="24"/>
          <w:szCs w:val="24"/>
          <w:lang w:val="en-IN"/>
        </w:rPr>
        <w:t>doi:https://doi.org/10.3390/disabilities5030071</w:t>
      </w:r>
      <w:proofErr w:type="gramEnd"/>
      <w:r w:rsidRPr="001E1B5A">
        <w:rPr>
          <w:rFonts w:ascii="Times New Roman" w:hAnsi="Times New Roman" w:cs="Times New Roman"/>
          <w:sz w:val="24"/>
          <w:szCs w:val="24"/>
          <w:lang w:val="en-IN"/>
        </w:rPr>
        <w:t>.</w:t>
      </w:r>
    </w:p>
    <w:p w14:paraId="2D972948"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Celik, Y., Petri, I. and Rezgui, Y. (2023). Integrating BIM and Blockchain across construction lifecycle and supply chains. </w:t>
      </w:r>
      <w:r w:rsidRPr="001E1B5A">
        <w:rPr>
          <w:rFonts w:ascii="Times New Roman" w:hAnsi="Times New Roman" w:cs="Times New Roman"/>
          <w:i/>
          <w:iCs/>
          <w:sz w:val="24"/>
          <w:szCs w:val="24"/>
          <w:lang w:val="en-IN"/>
        </w:rPr>
        <w:t>Computers in Industry</w:t>
      </w:r>
      <w:r w:rsidRPr="001E1B5A">
        <w:rPr>
          <w:rFonts w:ascii="Times New Roman" w:hAnsi="Times New Roman" w:cs="Times New Roman"/>
          <w:sz w:val="24"/>
          <w:szCs w:val="24"/>
          <w:lang w:val="en-IN"/>
        </w:rPr>
        <w:t xml:space="preserve">, [online] 148(103886), p.103886. </w:t>
      </w:r>
      <w:proofErr w:type="gramStart"/>
      <w:r w:rsidRPr="001E1B5A">
        <w:rPr>
          <w:rFonts w:ascii="Times New Roman" w:hAnsi="Times New Roman" w:cs="Times New Roman"/>
          <w:sz w:val="24"/>
          <w:szCs w:val="24"/>
          <w:lang w:val="en-IN"/>
        </w:rPr>
        <w:t>doi:https://doi.org/10.1016/j.compind.2023.103886</w:t>
      </w:r>
      <w:proofErr w:type="gramEnd"/>
      <w:r w:rsidRPr="001E1B5A">
        <w:rPr>
          <w:rFonts w:ascii="Times New Roman" w:hAnsi="Times New Roman" w:cs="Times New Roman"/>
          <w:sz w:val="24"/>
          <w:szCs w:val="24"/>
          <w:lang w:val="en-IN"/>
        </w:rPr>
        <w:t>.</w:t>
      </w:r>
    </w:p>
    <w:p w14:paraId="1B177C8F"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Croydon.gov.uk (2024). </w:t>
      </w:r>
      <w:r w:rsidRPr="001E1B5A">
        <w:rPr>
          <w:rFonts w:ascii="Times New Roman" w:hAnsi="Times New Roman" w:cs="Times New Roman"/>
          <w:i/>
          <w:iCs/>
          <w:sz w:val="24"/>
          <w:szCs w:val="24"/>
          <w:lang w:val="en-IN"/>
        </w:rPr>
        <w:t>C R O Y D O N C O U N C I L</w:t>
      </w:r>
      <w:r w:rsidRPr="001E1B5A">
        <w:rPr>
          <w:rFonts w:ascii="Times New Roman" w:hAnsi="Times New Roman" w:cs="Times New Roman"/>
          <w:sz w:val="24"/>
          <w:szCs w:val="24"/>
          <w:lang w:val="en-IN"/>
        </w:rPr>
        <w:t>. [online] Available at: https://www.croydon.gov.uk/sites/default/files/2022-02/Parks%20and%20Green%20Spaces%20Renewal%20Strategy%202022-25_0.pdf.</w:t>
      </w:r>
    </w:p>
    <w:p w14:paraId="6F1245C6"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Ellis, M. and Dean, D. (2024). Stakeholder Exclusion Practices of Responsible leaders: an Investigation into the Application of Responsible Leader Values in Stakeholder Inclusion and Exclusion. </w:t>
      </w:r>
      <w:r w:rsidRPr="001E1B5A">
        <w:rPr>
          <w:rFonts w:ascii="Times New Roman" w:hAnsi="Times New Roman" w:cs="Times New Roman"/>
          <w:i/>
          <w:iCs/>
          <w:sz w:val="24"/>
          <w:szCs w:val="24"/>
          <w:lang w:val="en-IN"/>
        </w:rPr>
        <w:t xml:space="preserve">Equality Diversity and Inclusion </w:t>
      </w:r>
      <w:proofErr w:type="gramStart"/>
      <w:r w:rsidRPr="001E1B5A">
        <w:rPr>
          <w:rFonts w:ascii="Times New Roman" w:hAnsi="Times New Roman" w:cs="Times New Roman"/>
          <w:i/>
          <w:iCs/>
          <w:sz w:val="24"/>
          <w:szCs w:val="24"/>
          <w:lang w:val="en-IN"/>
        </w:rPr>
        <w:t>An</w:t>
      </w:r>
      <w:proofErr w:type="gramEnd"/>
      <w:r w:rsidRPr="001E1B5A">
        <w:rPr>
          <w:rFonts w:ascii="Times New Roman" w:hAnsi="Times New Roman" w:cs="Times New Roman"/>
          <w:i/>
          <w:iCs/>
          <w:sz w:val="24"/>
          <w:szCs w:val="24"/>
          <w:lang w:val="en-IN"/>
        </w:rPr>
        <w:t xml:space="preserve"> International Journal</w:t>
      </w:r>
      <w:r w:rsidRPr="001E1B5A">
        <w:rPr>
          <w:rFonts w:ascii="Times New Roman" w:hAnsi="Times New Roman" w:cs="Times New Roman"/>
          <w:sz w:val="24"/>
          <w:szCs w:val="24"/>
          <w:lang w:val="en-IN"/>
        </w:rPr>
        <w:t xml:space="preserve">, 43(7). </w:t>
      </w:r>
      <w:proofErr w:type="gramStart"/>
      <w:r w:rsidRPr="001E1B5A">
        <w:rPr>
          <w:rFonts w:ascii="Times New Roman" w:hAnsi="Times New Roman" w:cs="Times New Roman"/>
          <w:sz w:val="24"/>
          <w:szCs w:val="24"/>
          <w:lang w:val="en-IN"/>
        </w:rPr>
        <w:t>doi:https://doi.org/10.1108/edi-06-2023-0187</w:t>
      </w:r>
      <w:proofErr w:type="gramEnd"/>
      <w:r w:rsidRPr="001E1B5A">
        <w:rPr>
          <w:rFonts w:ascii="Times New Roman" w:hAnsi="Times New Roman" w:cs="Times New Roman"/>
          <w:sz w:val="24"/>
          <w:szCs w:val="24"/>
          <w:lang w:val="en-IN"/>
        </w:rPr>
        <w:t>.</w:t>
      </w:r>
    </w:p>
    <w:p w14:paraId="2B0BB63D"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lastRenderedPageBreak/>
        <w:t xml:space="preserve">GOV.UK (2024). </w:t>
      </w:r>
      <w:r w:rsidRPr="001E1B5A">
        <w:rPr>
          <w:rFonts w:ascii="Times New Roman" w:hAnsi="Times New Roman" w:cs="Times New Roman"/>
          <w:i/>
          <w:iCs/>
          <w:sz w:val="24"/>
          <w:szCs w:val="24"/>
          <w:lang w:val="en-IN"/>
        </w:rPr>
        <w:t>Environmental Improvement Plan: annual progress report 2023 to 2024</w:t>
      </w:r>
      <w:r w:rsidRPr="001E1B5A">
        <w:rPr>
          <w:rFonts w:ascii="Times New Roman" w:hAnsi="Times New Roman" w:cs="Times New Roman"/>
          <w:sz w:val="24"/>
          <w:szCs w:val="24"/>
          <w:lang w:val="en-IN"/>
        </w:rPr>
        <w:t>. [online] GOV.UK. Available at: https://www.gov.uk/government/publications/environmental-improvement-plan-annual-progress-report-2023-to-2024/environmental-improvement-plan-annual-progress-report-2023-to-2024.</w:t>
      </w:r>
    </w:p>
    <w:p w14:paraId="7B5B1EFE"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Gyepi-Garbrah, T.F. and Preko, A. (2022). Paragliding festival: understanding stakeholder perception of environmental attitudes and tourism performance. </w:t>
      </w:r>
      <w:r w:rsidRPr="001E1B5A">
        <w:rPr>
          <w:rFonts w:ascii="Times New Roman" w:hAnsi="Times New Roman" w:cs="Times New Roman"/>
          <w:i/>
          <w:iCs/>
          <w:sz w:val="24"/>
          <w:szCs w:val="24"/>
          <w:lang w:val="en-IN"/>
        </w:rPr>
        <w:t>International Journal of Event and Festival Management</w:t>
      </w:r>
      <w:r w:rsidRPr="001E1B5A">
        <w:rPr>
          <w:rFonts w:ascii="Times New Roman" w:hAnsi="Times New Roman" w:cs="Times New Roman"/>
          <w:sz w:val="24"/>
          <w:szCs w:val="24"/>
          <w:lang w:val="en-IN"/>
        </w:rPr>
        <w:t xml:space="preserve">. </w:t>
      </w:r>
      <w:proofErr w:type="gramStart"/>
      <w:r w:rsidRPr="001E1B5A">
        <w:rPr>
          <w:rFonts w:ascii="Times New Roman" w:hAnsi="Times New Roman" w:cs="Times New Roman"/>
          <w:sz w:val="24"/>
          <w:szCs w:val="24"/>
          <w:lang w:val="en-IN"/>
        </w:rPr>
        <w:t>doi:https://doi.org/10.1108/ijefm-09-2021-0072</w:t>
      </w:r>
      <w:proofErr w:type="gramEnd"/>
      <w:r w:rsidRPr="001E1B5A">
        <w:rPr>
          <w:rFonts w:ascii="Times New Roman" w:hAnsi="Times New Roman" w:cs="Times New Roman"/>
          <w:sz w:val="24"/>
          <w:szCs w:val="24"/>
          <w:lang w:val="en-IN"/>
        </w:rPr>
        <w:t>.</w:t>
      </w:r>
    </w:p>
    <w:p w14:paraId="71C0F87F"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Hartman, S. (2021). Destination governance in times of change: a complex adaptive systems perspective to improve tourism destination development. </w:t>
      </w:r>
      <w:r w:rsidRPr="001E1B5A">
        <w:rPr>
          <w:rFonts w:ascii="Times New Roman" w:hAnsi="Times New Roman" w:cs="Times New Roman"/>
          <w:i/>
          <w:iCs/>
          <w:sz w:val="24"/>
          <w:szCs w:val="24"/>
          <w:lang w:val="en-IN"/>
        </w:rPr>
        <w:t>Journal of Tourism Futures</w:t>
      </w:r>
      <w:r w:rsidRPr="001E1B5A">
        <w:rPr>
          <w:rFonts w:ascii="Times New Roman" w:hAnsi="Times New Roman" w:cs="Times New Roman"/>
          <w:sz w:val="24"/>
          <w:szCs w:val="24"/>
          <w:lang w:val="en-IN"/>
        </w:rPr>
        <w:t xml:space="preserve">, ahead-of-print(ahead-of-print). </w:t>
      </w:r>
      <w:proofErr w:type="gramStart"/>
      <w:r w:rsidRPr="001E1B5A">
        <w:rPr>
          <w:rFonts w:ascii="Times New Roman" w:hAnsi="Times New Roman" w:cs="Times New Roman"/>
          <w:sz w:val="24"/>
          <w:szCs w:val="24"/>
          <w:lang w:val="en-IN"/>
        </w:rPr>
        <w:t>doi:https://doi.org/10.1108/jtf-11-2020-0213</w:t>
      </w:r>
      <w:proofErr w:type="gramEnd"/>
      <w:r w:rsidRPr="001E1B5A">
        <w:rPr>
          <w:rFonts w:ascii="Times New Roman" w:hAnsi="Times New Roman" w:cs="Times New Roman"/>
          <w:sz w:val="24"/>
          <w:szCs w:val="24"/>
          <w:lang w:val="en-IN"/>
        </w:rPr>
        <w:t>.</w:t>
      </w:r>
    </w:p>
    <w:p w14:paraId="130A14A7"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Kiss, B., Sekulova, F., Hörschelmann, K., Salk, C.F., Takahashi, W. and Wamsler, C. (2022). Citizen participation in the governance of nature‐based solutions. </w:t>
      </w:r>
      <w:r w:rsidRPr="001E1B5A">
        <w:rPr>
          <w:rFonts w:ascii="Times New Roman" w:hAnsi="Times New Roman" w:cs="Times New Roman"/>
          <w:i/>
          <w:iCs/>
          <w:sz w:val="24"/>
          <w:szCs w:val="24"/>
          <w:lang w:val="en-IN"/>
        </w:rPr>
        <w:t>Environmental Policy and Governance</w:t>
      </w:r>
      <w:r w:rsidRPr="001E1B5A">
        <w:rPr>
          <w:rFonts w:ascii="Times New Roman" w:hAnsi="Times New Roman" w:cs="Times New Roman"/>
          <w:sz w:val="24"/>
          <w:szCs w:val="24"/>
          <w:lang w:val="en-IN"/>
        </w:rPr>
        <w:t>, 32(3).</w:t>
      </w:r>
    </w:p>
    <w:p w14:paraId="04C70F88"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Laryeafio, M.N. and Ogbewe, O.C. (2023). Ethical Consideration dilemma: Systematic Review of Ethics in Qualitative Data Collection through Interviews. </w:t>
      </w:r>
      <w:r w:rsidRPr="001E1B5A">
        <w:rPr>
          <w:rFonts w:ascii="Times New Roman" w:hAnsi="Times New Roman" w:cs="Times New Roman"/>
          <w:i/>
          <w:iCs/>
          <w:sz w:val="24"/>
          <w:szCs w:val="24"/>
          <w:lang w:val="en-IN"/>
        </w:rPr>
        <w:t>Journal of Ethics in Entrepreneurship and Technology</w:t>
      </w:r>
      <w:r w:rsidRPr="001E1B5A">
        <w:rPr>
          <w:rFonts w:ascii="Times New Roman" w:hAnsi="Times New Roman" w:cs="Times New Roman"/>
          <w:sz w:val="24"/>
          <w:szCs w:val="24"/>
          <w:lang w:val="en-IN"/>
        </w:rPr>
        <w:t xml:space="preserve">, [online] 3(2), pp.94–110. </w:t>
      </w:r>
      <w:proofErr w:type="gramStart"/>
      <w:r w:rsidRPr="001E1B5A">
        <w:rPr>
          <w:rFonts w:ascii="Times New Roman" w:hAnsi="Times New Roman" w:cs="Times New Roman"/>
          <w:sz w:val="24"/>
          <w:szCs w:val="24"/>
          <w:lang w:val="en-IN"/>
        </w:rPr>
        <w:t>doi:https://doi.org/10.1108/JEET-09-2022-0014</w:t>
      </w:r>
      <w:proofErr w:type="gramEnd"/>
      <w:r w:rsidRPr="001E1B5A">
        <w:rPr>
          <w:rFonts w:ascii="Times New Roman" w:hAnsi="Times New Roman" w:cs="Times New Roman"/>
          <w:sz w:val="24"/>
          <w:szCs w:val="24"/>
          <w:lang w:val="en-IN"/>
        </w:rPr>
        <w:t>.</w:t>
      </w:r>
    </w:p>
    <w:p w14:paraId="63AB851C"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MacAskill, S., Becken, S. and Coghlan, A. (2023). Engaging Hotel Guests to Reduce Energy and Water consumption: a Quantitative Review of Guest Impact on Resource Use in Tourist Accommodation. </w:t>
      </w:r>
      <w:r w:rsidRPr="001E1B5A">
        <w:rPr>
          <w:rFonts w:ascii="Times New Roman" w:hAnsi="Times New Roman" w:cs="Times New Roman"/>
          <w:i/>
          <w:iCs/>
          <w:sz w:val="24"/>
          <w:szCs w:val="24"/>
          <w:lang w:val="en-IN"/>
        </w:rPr>
        <w:t>Cleaner and Responsible Consumption</w:t>
      </w:r>
      <w:r w:rsidRPr="001E1B5A">
        <w:rPr>
          <w:rFonts w:ascii="Times New Roman" w:hAnsi="Times New Roman" w:cs="Times New Roman"/>
          <w:sz w:val="24"/>
          <w:szCs w:val="24"/>
          <w:lang w:val="en-IN"/>
        </w:rPr>
        <w:t xml:space="preserve">, 11(100156), pp.100156–100156. </w:t>
      </w:r>
      <w:proofErr w:type="gramStart"/>
      <w:r w:rsidRPr="001E1B5A">
        <w:rPr>
          <w:rFonts w:ascii="Times New Roman" w:hAnsi="Times New Roman" w:cs="Times New Roman"/>
          <w:sz w:val="24"/>
          <w:szCs w:val="24"/>
          <w:lang w:val="en-IN"/>
        </w:rPr>
        <w:t>doi:https://doi.org/10.1016/j.clrc.2023.100156</w:t>
      </w:r>
      <w:proofErr w:type="gramEnd"/>
      <w:r w:rsidRPr="001E1B5A">
        <w:rPr>
          <w:rFonts w:ascii="Times New Roman" w:hAnsi="Times New Roman" w:cs="Times New Roman"/>
          <w:sz w:val="24"/>
          <w:szCs w:val="24"/>
          <w:lang w:val="en-IN"/>
        </w:rPr>
        <w:t>.</w:t>
      </w:r>
    </w:p>
    <w:p w14:paraId="461E5F8F"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Mais, F. and Bauernhansl, T. (2024). Design Options for Sustainable and Open Business Models: A Taxonomy-Based Analysis. </w:t>
      </w:r>
      <w:r w:rsidRPr="001E1B5A">
        <w:rPr>
          <w:rFonts w:ascii="Times New Roman" w:hAnsi="Times New Roman" w:cs="Times New Roman"/>
          <w:i/>
          <w:iCs/>
          <w:sz w:val="24"/>
          <w:szCs w:val="24"/>
          <w:lang w:val="en-IN"/>
        </w:rPr>
        <w:t>Sustainability</w:t>
      </w:r>
      <w:r w:rsidRPr="001E1B5A">
        <w:rPr>
          <w:rFonts w:ascii="Times New Roman" w:hAnsi="Times New Roman" w:cs="Times New Roman"/>
          <w:sz w:val="24"/>
          <w:szCs w:val="24"/>
          <w:lang w:val="en-IN"/>
        </w:rPr>
        <w:t xml:space="preserve">, 16(11), p.4790. </w:t>
      </w:r>
      <w:proofErr w:type="gramStart"/>
      <w:r w:rsidRPr="001E1B5A">
        <w:rPr>
          <w:rFonts w:ascii="Times New Roman" w:hAnsi="Times New Roman" w:cs="Times New Roman"/>
          <w:sz w:val="24"/>
          <w:szCs w:val="24"/>
          <w:lang w:val="en-IN"/>
        </w:rPr>
        <w:t>doi:https://doi.org/10.3390/su16114790</w:t>
      </w:r>
      <w:proofErr w:type="gramEnd"/>
      <w:r w:rsidRPr="001E1B5A">
        <w:rPr>
          <w:rFonts w:ascii="Times New Roman" w:hAnsi="Times New Roman" w:cs="Times New Roman"/>
          <w:sz w:val="24"/>
          <w:szCs w:val="24"/>
          <w:lang w:val="en-IN"/>
        </w:rPr>
        <w:t>.</w:t>
      </w:r>
    </w:p>
    <w:p w14:paraId="1644C95E"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Mbuyazi, Z., Mazenda, A. and Mmakola, D. (2025). Improving Stakeholder Harmonisation and Policy Development Processes in the National System of Innovation. </w:t>
      </w:r>
      <w:r w:rsidRPr="001E1B5A">
        <w:rPr>
          <w:rFonts w:ascii="Times New Roman" w:hAnsi="Times New Roman" w:cs="Times New Roman"/>
          <w:i/>
          <w:iCs/>
          <w:sz w:val="24"/>
          <w:szCs w:val="24"/>
          <w:lang w:val="en-IN"/>
        </w:rPr>
        <w:t>Journal of Public Affairs</w:t>
      </w:r>
      <w:r w:rsidRPr="001E1B5A">
        <w:rPr>
          <w:rFonts w:ascii="Times New Roman" w:hAnsi="Times New Roman" w:cs="Times New Roman"/>
          <w:sz w:val="24"/>
          <w:szCs w:val="24"/>
          <w:lang w:val="en-IN"/>
        </w:rPr>
        <w:t xml:space="preserve">, 25(2). </w:t>
      </w:r>
      <w:proofErr w:type="gramStart"/>
      <w:r w:rsidRPr="001E1B5A">
        <w:rPr>
          <w:rFonts w:ascii="Times New Roman" w:hAnsi="Times New Roman" w:cs="Times New Roman"/>
          <w:sz w:val="24"/>
          <w:szCs w:val="24"/>
          <w:lang w:val="en-IN"/>
        </w:rPr>
        <w:t>doi:https://doi.org/10.1002/pa.70045</w:t>
      </w:r>
      <w:proofErr w:type="gramEnd"/>
      <w:r w:rsidRPr="001E1B5A">
        <w:rPr>
          <w:rFonts w:ascii="Times New Roman" w:hAnsi="Times New Roman" w:cs="Times New Roman"/>
          <w:sz w:val="24"/>
          <w:szCs w:val="24"/>
          <w:lang w:val="en-IN"/>
        </w:rPr>
        <w:t>.</w:t>
      </w:r>
    </w:p>
    <w:p w14:paraId="67EDDB82"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lastRenderedPageBreak/>
        <w:t xml:space="preserve">Mints, A. and Kamyshnykova, E. (2021). Fuzzy methods of stakeholder prioritisation in the context of stakeholder management. </w:t>
      </w:r>
      <w:r w:rsidRPr="001E1B5A">
        <w:rPr>
          <w:rFonts w:ascii="Times New Roman" w:hAnsi="Times New Roman" w:cs="Times New Roman"/>
          <w:i/>
          <w:iCs/>
          <w:sz w:val="24"/>
          <w:szCs w:val="24"/>
          <w:lang w:val="en-IN"/>
        </w:rPr>
        <w:t>International Journal of Learning and Change</w:t>
      </w:r>
      <w:r w:rsidRPr="001E1B5A">
        <w:rPr>
          <w:rFonts w:ascii="Times New Roman" w:hAnsi="Times New Roman" w:cs="Times New Roman"/>
          <w:sz w:val="24"/>
          <w:szCs w:val="24"/>
          <w:lang w:val="en-IN"/>
        </w:rPr>
        <w:t>, [online] 13(4/5), p.372. Available at: https://www.researchgate.net/profile/Evelina-Kamyshnykova/publication/333071313_Methods_of_stakeholder_prioritisation_in_the_context_of_stakeholder_management/links/5ce13ad7458515712eb4eaa0/Methods-of-stakeholder-prioritisation-in-the-context-of-stakeholder-management.pdf.</w:t>
      </w:r>
    </w:p>
    <w:p w14:paraId="2B0B0B8E"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Pimentel Walker, A.P. and Friendly, A. (2021). The value of participatory urban policy councils: engaging actors through policy communities. </w:t>
      </w:r>
      <w:r w:rsidRPr="001E1B5A">
        <w:rPr>
          <w:rFonts w:ascii="Times New Roman" w:hAnsi="Times New Roman" w:cs="Times New Roman"/>
          <w:i/>
          <w:iCs/>
          <w:sz w:val="24"/>
          <w:szCs w:val="24"/>
          <w:lang w:val="en-IN"/>
        </w:rPr>
        <w:t>Environment and Urbanization</w:t>
      </w:r>
      <w:r w:rsidRPr="001E1B5A">
        <w:rPr>
          <w:rFonts w:ascii="Times New Roman" w:hAnsi="Times New Roman" w:cs="Times New Roman"/>
          <w:sz w:val="24"/>
          <w:szCs w:val="24"/>
          <w:lang w:val="en-IN"/>
        </w:rPr>
        <w:t xml:space="preserve">, 33(2), pp.436–455. </w:t>
      </w:r>
      <w:proofErr w:type="gramStart"/>
      <w:r w:rsidRPr="001E1B5A">
        <w:rPr>
          <w:rFonts w:ascii="Times New Roman" w:hAnsi="Times New Roman" w:cs="Times New Roman"/>
          <w:sz w:val="24"/>
          <w:szCs w:val="24"/>
          <w:lang w:val="en-IN"/>
        </w:rPr>
        <w:t>doi:https://doi.org/10.1177/09562478211031705</w:t>
      </w:r>
      <w:proofErr w:type="gramEnd"/>
      <w:r w:rsidRPr="001E1B5A">
        <w:rPr>
          <w:rFonts w:ascii="Times New Roman" w:hAnsi="Times New Roman" w:cs="Times New Roman"/>
          <w:sz w:val="24"/>
          <w:szCs w:val="24"/>
          <w:lang w:val="en-IN"/>
        </w:rPr>
        <w:t>.</w:t>
      </w:r>
    </w:p>
    <w:p w14:paraId="61C70DB1"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Rahman, A., Muh. Zainuddin Badollahi, Nurjannah Nurjannah and Vini Wahyuni (2025). The Investment Paradox and Economic Sustainability in a Geopark: A Financial Feasibility Analysis of Tourism in Maros–Pangkep. </w:t>
      </w:r>
      <w:r w:rsidRPr="001E1B5A">
        <w:rPr>
          <w:rFonts w:ascii="Times New Roman" w:hAnsi="Times New Roman" w:cs="Times New Roman"/>
          <w:i/>
          <w:iCs/>
          <w:sz w:val="24"/>
          <w:szCs w:val="24"/>
          <w:lang w:val="en-IN"/>
        </w:rPr>
        <w:t>SIGn Journal of Social Science</w:t>
      </w:r>
      <w:r w:rsidRPr="001E1B5A">
        <w:rPr>
          <w:rFonts w:ascii="Times New Roman" w:hAnsi="Times New Roman" w:cs="Times New Roman"/>
          <w:sz w:val="24"/>
          <w:szCs w:val="24"/>
          <w:lang w:val="en-IN"/>
        </w:rPr>
        <w:t xml:space="preserve">, [online] 5(2), pp.149–167. </w:t>
      </w:r>
      <w:proofErr w:type="gramStart"/>
      <w:r w:rsidRPr="001E1B5A">
        <w:rPr>
          <w:rFonts w:ascii="Times New Roman" w:hAnsi="Times New Roman" w:cs="Times New Roman"/>
          <w:sz w:val="24"/>
          <w:szCs w:val="24"/>
          <w:lang w:val="en-IN"/>
        </w:rPr>
        <w:t>doi:https://doi.org/10.37276/sjss.v5i2.493</w:t>
      </w:r>
      <w:proofErr w:type="gramEnd"/>
      <w:r w:rsidRPr="001E1B5A">
        <w:rPr>
          <w:rFonts w:ascii="Times New Roman" w:hAnsi="Times New Roman" w:cs="Times New Roman"/>
          <w:sz w:val="24"/>
          <w:szCs w:val="24"/>
          <w:lang w:val="en-IN"/>
        </w:rPr>
        <w:t>.</w:t>
      </w:r>
    </w:p>
    <w:p w14:paraId="2C65279A"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Salvia, G., Pluchinotta, I., Tsoulou, I., Moore, G. and Zimmermann, N. (2022). Understanding Urban Green Space Usage through Systems Thinking: A Case Study in Thamesmead, London. </w:t>
      </w:r>
      <w:r w:rsidRPr="001E1B5A">
        <w:rPr>
          <w:rFonts w:ascii="Times New Roman" w:hAnsi="Times New Roman" w:cs="Times New Roman"/>
          <w:i/>
          <w:iCs/>
          <w:sz w:val="24"/>
          <w:szCs w:val="24"/>
          <w:lang w:val="en-IN"/>
        </w:rPr>
        <w:t>Sustainability</w:t>
      </w:r>
      <w:r w:rsidRPr="001E1B5A">
        <w:rPr>
          <w:rFonts w:ascii="Times New Roman" w:hAnsi="Times New Roman" w:cs="Times New Roman"/>
          <w:sz w:val="24"/>
          <w:szCs w:val="24"/>
          <w:lang w:val="en-IN"/>
        </w:rPr>
        <w:t xml:space="preserve">, 14(5), p.2575. </w:t>
      </w:r>
      <w:proofErr w:type="gramStart"/>
      <w:r w:rsidRPr="001E1B5A">
        <w:rPr>
          <w:rFonts w:ascii="Times New Roman" w:hAnsi="Times New Roman" w:cs="Times New Roman"/>
          <w:sz w:val="24"/>
          <w:szCs w:val="24"/>
          <w:lang w:val="en-IN"/>
        </w:rPr>
        <w:t>doi:https://doi.org/10.3390/su14052575</w:t>
      </w:r>
      <w:proofErr w:type="gramEnd"/>
      <w:r w:rsidRPr="001E1B5A">
        <w:rPr>
          <w:rFonts w:ascii="Times New Roman" w:hAnsi="Times New Roman" w:cs="Times New Roman"/>
          <w:sz w:val="24"/>
          <w:szCs w:val="24"/>
          <w:lang w:val="en-IN"/>
        </w:rPr>
        <w:t>.</w:t>
      </w:r>
    </w:p>
    <w:p w14:paraId="3FAD12CA"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Saraiva, M. and Nogueiro, T. (2025). Perspectives and Realities of Disengagement Among Younger Generation Y and Z Workers in Contemporary Work Dynamics. </w:t>
      </w:r>
      <w:r w:rsidRPr="001E1B5A">
        <w:rPr>
          <w:rFonts w:ascii="Times New Roman" w:hAnsi="Times New Roman" w:cs="Times New Roman"/>
          <w:i/>
          <w:iCs/>
          <w:sz w:val="24"/>
          <w:szCs w:val="24"/>
          <w:lang w:val="en-IN"/>
        </w:rPr>
        <w:t>Administrative Sciences</w:t>
      </w:r>
      <w:r w:rsidRPr="001E1B5A">
        <w:rPr>
          <w:rFonts w:ascii="Times New Roman" w:hAnsi="Times New Roman" w:cs="Times New Roman"/>
          <w:sz w:val="24"/>
          <w:szCs w:val="24"/>
          <w:lang w:val="en-IN"/>
        </w:rPr>
        <w:t xml:space="preserve">, [online] 15(4), p.133. </w:t>
      </w:r>
      <w:proofErr w:type="gramStart"/>
      <w:r w:rsidRPr="001E1B5A">
        <w:rPr>
          <w:rFonts w:ascii="Times New Roman" w:hAnsi="Times New Roman" w:cs="Times New Roman"/>
          <w:sz w:val="24"/>
          <w:szCs w:val="24"/>
          <w:lang w:val="en-IN"/>
        </w:rPr>
        <w:t>doi:https://doi.org/10.3390/admsci15040133</w:t>
      </w:r>
      <w:proofErr w:type="gramEnd"/>
      <w:r w:rsidRPr="001E1B5A">
        <w:rPr>
          <w:rFonts w:ascii="Times New Roman" w:hAnsi="Times New Roman" w:cs="Times New Roman"/>
          <w:sz w:val="24"/>
          <w:szCs w:val="24"/>
          <w:lang w:val="en-IN"/>
        </w:rPr>
        <w:t>.</w:t>
      </w:r>
    </w:p>
    <w:p w14:paraId="6DB6B309"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Smakman, M., Vogt, P. and Konijn, E.A. (2021). Moral considerations on social robots in education: A multi-stakeholder perspective. </w:t>
      </w:r>
      <w:r w:rsidRPr="001E1B5A">
        <w:rPr>
          <w:rFonts w:ascii="Times New Roman" w:hAnsi="Times New Roman" w:cs="Times New Roman"/>
          <w:i/>
          <w:iCs/>
          <w:sz w:val="24"/>
          <w:szCs w:val="24"/>
          <w:lang w:val="en-IN"/>
        </w:rPr>
        <w:t>Computers &amp; Education</w:t>
      </w:r>
      <w:r w:rsidRPr="001E1B5A">
        <w:rPr>
          <w:rFonts w:ascii="Times New Roman" w:hAnsi="Times New Roman" w:cs="Times New Roman"/>
          <w:sz w:val="24"/>
          <w:szCs w:val="24"/>
          <w:lang w:val="en-IN"/>
        </w:rPr>
        <w:t xml:space="preserve">, 174, p.104317. </w:t>
      </w:r>
      <w:proofErr w:type="gramStart"/>
      <w:r w:rsidRPr="001E1B5A">
        <w:rPr>
          <w:rFonts w:ascii="Times New Roman" w:hAnsi="Times New Roman" w:cs="Times New Roman"/>
          <w:sz w:val="24"/>
          <w:szCs w:val="24"/>
          <w:lang w:val="en-IN"/>
        </w:rPr>
        <w:t>doi:https://doi.org/10.1016/j.compedu.2021.104317</w:t>
      </w:r>
      <w:proofErr w:type="gramEnd"/>
      <w:r w:rsidRPr="001E1B5A">
        <w:rPr>
          <w:rFonts w:ascii="Times New Roman" w:hAnsi="Times New Roman" w:cs="Times New Roman"/>
          <w:sz w:val="24"/>
          <w:szCs w:val="24"/>
          <w:lang w:val="en-IN"/>
        </w:rPr>
        <w:t>.</w:t>
      </w:r>
    </w:p>
    <w:p w14:paraId="14FF5071"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Steinmetz, C., Rahmat, H., Marshall, N., Bishop, K., Thompson, S., Park, M., Corkery, L. and Tietz, C. (2020). Liking, Tweeting and Posting: An Analysis of Community Engagement through Social Media Platforms. </w:t>
      </w:r>
      <w:r w:rsidRPr="001E1B5A">
        <w:rPr>
          <w:rFonts w:ascii="Times New Roman" w:hAnsi="Times New Roman" w:cs="Times New Roman"/>
          <w:i/>
          <w:iCs/>
          <w:sz w:val="24"/>
          <w:szCs w:val="24"/>
          <w:lang w:val="en-IN"/>
        </w:rPr>
        <w:t>Urban Policy and Research</w:t>
      </w:r>
      <w:r w:rsidRPr="001E1B5A">
        <w:rPr>
          <w:rFonts w:ascii="Times New Roman" w:hAnsi="Times New Roman" w:cs="Times New Roman"/>
          <w:sz w:val="24"/>
          <w:szCs w:val="24"/>
          <w:lang w:val="en-IN"/>
        </w:rPr>
        <w:t xml:space="preserve">, 39(1), pp.1–21. </w:t>
      </w:r>
      <w:proofErr w:type="gramStart"/>
      <w:r w:rsidRPr="001E1B5A">
        <w:rPr>
          <w:rFonts w:ascii="Times New Roman" w:hAnsi="Times New Roman" w:cs="Times New Roman"/>
          <w:sz w:val="24"/>
          <w:szCs w:val="24"/>
          <w:lang w:val="en-IN"/>
        </w:rPr>
        <w:t>doi:https://doi.org/10.1080/08111146.2020.1792283</w:t>
      </w:r>
      <w:proofErr w:type="gramEnd"/>
      <w:r w:rsidRPr="001E1B5A">
        <w:rPr>
          <w:rFonts w:ascii="Times New Roman" w:hAnsi="Times New Roman" w:cs="Times New Roman"/>
          <w:sz w:val="24"/>
          <w:szCs w:val="24"/>
          <w:lang w:val="en-IN"/>
        </w:rPr>
        <w:t>.</w:t>
      </w:r>
    </w:p>
    <w:p w14:paraId="21BDAF62"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lastRenderedPageBreak/>
        <w:t xml:space="preserve">Tumpa, R.J. and Naeni, L. (2025). Improving decision-making and stakeholder engagement at project governance using digital technology for sustainable infrastructure projects. </w:t>
      </w:r>
      <w:r w:rsidRPr="001E1B5A">
        <w:rPr>
          <w:rFonts w:ascii="Times New Roman" w:hAnsi="Times New Roman" w:cs="Times New Roman"/>
          <w:i/>
          <w:iCs/>
          <w:sz w:val="24"/>
          <w:szCs w:val="24"/>
          <w:lang w:val="en-IN"/>
        </w:rPr>
        <w:t>Smart and Sustainable Built Environment</w:t>
      </w:r>
      <w:r w:rsidRPr="001E1B5A">
        <w:rPr>
          <w:rFonts w:ascii="Times New Roman" w:hAnsi="Times New Roman" w:cs="Times New Roman"/>
          <w:sz w:val="24"/>
          <w:szCs w:val="24"/>
          <w:lang w:val="en-IN"/>
        </w:rPr>
        <w:t xml:space="preserve">, 14(4). </w:t>
      </w:r>
      <w:proofErr w:type="gramStart"/>
      <w:r w:rsidRPr="001E1B5A">
        <w:rPr>
          <w:rFonts w:ascii="Times New Roman" w:hAnsi="Times New Roman" w:cs="Times New Roman"/>
          <w:sz w:val="24"/>
          <w:szCs w:val="24"/>
          <w:lang w:val="en-IN"/>
        </w:rPr>
        <w:t>doi:https://doi.org/10.1108/sasbe-10-2024-0451</w:t>
      </w:r>
      <w:proofErr w:type="gramEnd"/>
      <w:r w:rsidRPr="001E1B5A">
        <w:rPr>
          <w:rFonts w:ascii="Times New Roman" w:hAnsi="Times New Roman" w:cs="Times New Roman"/>
          <w:sz w:val="24"/>
          <w:szCs w:val="24"/>
          <w:lang w:val="en-IN"/>
        </w:rPr>
        <w:t>.</w:t>
      </w:r>
    </w:p>
    <w:p w14:paraId="04FDFC27" w14:textId="77777777" w:rsidR="001E1B5A" w:rsidRPr="001E1B5A" w:rsidRDefault="001E1B5A" w:rsidP="001E1B5A">
      <w:pPr>
        <w:spacing w:before="240" w:line="360" w:lineRule="auto"/>
        <w:jc w:val="both"/>
        <w:rPr>
          <w:rFonts w:ascii="Times New Roman" w:hAnsi="Times New Roman" w:cs="Times New Roman"/>
          <w:sz w:val="24"/>
          <w:szCs w:val="24"/>
          <w:lang w:val="en-IN"/>
        </w:rPr>
      </w:pPr>
      <w:r w:rsidRPr="001E1B5A">
        <w:rPr>
          <w:rFonts w:ascii="Times New Roman" w:hAnsi="Times New Roman" w:cs="Times New Roman"/>
          <w:sz w:val="24"/>
          <w:szCs w:val="24"/>
          <w:lang w:val="en-IN"/>
        </w:rPr>
        <w:t xml:space="preserve">Urry, K., Chur-Hansen, A. and Scholz, B. (2024). From member checking to collaborative reflection: a novel way to use a familiar method for engaging participants in qualitative research. </w:t>
      </w:r>
      <w:r w:rsidRPr="001E1B5A">
        <w:rPr>
          <w:rFonts w:ascii="Times New Roman" w:hAnsi="Times New Roman" w:cs="Times New Roman"/>
          <w:i/>
          <w:iCs/>
          <w:sz w:val="24"/>
          <w:szCs w:val="24"/>
          <w:lang w:val="en-IN"/>
        </w:rPr>
        <w:t>Qualitative research in psychology</w:t>
      </w:r>
      <w:r w:rsidRPr="001E1B5A">
        <w:rPr>
          <w:rFonts w:ascii="Times New Roman" w:hAnsi="Times New Roman" w:cs="Times New Roman"/>
          <w:sz w:val="24"/>
          <w:szCs w:val="24"/>
          <w:lang w:val="en-IN"/>
        </w:rPr>
        <w:t xml:space="preserve">, 21(3), pp.1–18. </w:t>
      </w:r>
      <w:proofErr w:type="gramStart"/>
      <w:r w:rsidRPr="001E1B5A">
        <w:rPr>
          <w:rFonts w:ascii="Times New Roman" w:hAnsi="Times New Roman" w:cs="Times New Roman"/>
          <w:sz w:val="24"/>
          <w:szCs w:val="24"/>
          <w:lang w:val="en-IN"/>
        </w:rPr>
        <w:t>doi:https://doi.org/10.1080/14780887.2024.2355972</w:t>
      </w:r>
      <w:proofErr w:type="gramEnd"/>
      <w:r w:rsidRPr="001E1B5A">
        <w:rPr>
          <w:rFonts w:ascii="Times New Roman" w:hAnsi="Times New Roman" w:cs="Times New Roman"/>
          <w:sz w:val="24"/>
          <w:szCs w:val="24"/>
          <w:lang w:val="en-IN"/>
        </w:rPr>
        <w:t>.</w:t>
      </w:r>
    </w:p>
    <w:p w14:paraId="43B0BAD3" w14:textId="77777777" w:rsidR="001E1B5A" w:rsidRPr="001E1B5A" w:rsidRDefault="001E1B5A" w:rsidP="001E1B5A"/>
    <w:sectPr w:rsidR="001E1B5A" w:rsidRPr="001E1B5A" w:rsidSect="00B54B1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6EE9" w14:textId="77777777" w:rsidR="00E05187" w:rsidRPr="001E1B5A" w:rsidRDefault="00E05187" w:rsidP="00B54B18">
      <w:pPr>
        <w:spacing w:line="240" w:lineRule="auto"/>
      </w:pPr>
      <w:r w:rsidRPr="001E1B5A">
        <w:separator/>
      </w:r>
    </w:p>
  </w:endnote>
  <w:endnote w:type="continuationSeparator" w:id="0">
    <w:p w14:paraId="33FF13BC" w14:textId="77777777" w:rsidR="00E05187" w:rsidRPr="001E1B5A" w:rsidRDefault="00E05187" w:rsidP="00B54B18">
      <w:pPr>
        <w:spacing w:line="240" w:lineRule="auto"/>
      </w:pPr>
      <w:r w:rsidRPr="001E1B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ADA8221-2ED4-4CE0-80C7-CF0F6525E2B3}"/>
  </w:font>
  <w:font w:name="Cambria">
    <w:panose1 w:val="02040503050406030204"/>
    <w:charset w:val="00"/>
    <w:family w:val="roman"/>
    <w:pitch w:val="variable"/>
    <w:sig w:usb0="E00006FF" w:usb1="420024FF" w:usb2="02000000" w:usb3="00000000" w:csb0="0000019F" w:csb1="00000000"/>
    <w:embedRegular r:id="rId2" w:fontKey="{9FFC9A19-C53A-4298-8680-B845BC7BE3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111409"/>
      <w:docPartObj>
        <w:docPartGallery w:val="Page Numbers (Bottom of Page)"/>
        <w:docPartUnique/>
      </w:docPartObj>
    </w:sdtPr>
    <w:sdtEndPr>
      <w:rPr>
        <w:rFonts w:ascii="Times New Roman" w:hAnsi="Times New Roman" w:cs="Times New Roman"/>
        <w:sz w:val="20"/>
        <w:szCs w:val="20"/>
      </w:rPr>
    </w:sdtEndPr>
    <w:sdtContent>
      <w:p w14:paraId="3022E06E" w14:textId="77536C40" w:rsidR="00B54B18" w:rsidRPr="001E1B5A" w:rsidRDefault="00B54B18">
        <w:pPr>
          <w:pStyle w:val="Footer"/>
          <w:jc w:val="right"/>
          <w:rPr>
            <w:rFonts w:ascii="Times New Roman" w:hAnsi="Times New Roman" w:cs="Times New Roman"/>
            <w:sz w:val="20"/>
            <w:szCs w:val="20"/>
          </w:rPr>
        </w:pPr>
        <w:r w:rsidRPr="001E1B5A">
          <w:rPr>
            <w:rFonts w:ascii="Times New Roman" w:hAnsi="Times New Roman" w:cs="Times New Roman"/>
            <w:sz w:val="20"/>
            <w:szCs w:val="20"/>
          </w:rPr>
          <w:fldChar w:fldCharType="begin"/>
        </w:r>
        <w:r w:rsidRPr="001E1B5A">
          <w:rPr>
            <w:rFonts w:ascii="Times New Roman" w:hAnsi="Times New Roman" w:cs="Times New Roman"/>
            <w:sz w:val="20"/>
            <w:szCs w:val="20"/>
          </w:rPr>
          <w:instrText xml:space="preserve"> PAGE   \* MERGEFORMAT </w:instrText>
        </w:r>
        <w:r w:rsidRPr="001E1B5A">
          <w:rPr>
            <w:rFonts w:ascii="Times New Roman" w:hAnsi="Times New Roman" w:cs="Times New Roman"/>
            <w:sz w:val="20"/>
            <w:szCs w:val="20"/>
          </w:rPr>
          <w:fldChar w:fldCharType="separate"/>
        </w:r>
        <w:r w:rsidRPr="001E1B5A">
          <w:rPr>
            <w:rFonts w:ascii="Times New Roman" w:hAnsi="Times New Roman" w:cs="Times New Roman"/>
            <w:sz w:val="20"/>
            <w:szCs w:val="20"/>
          </w:rPr>
          <w:t>2</w:t>
        </w:r>
        <w:r w:rsidRPr="001E1B5A">
          <w:rPr>
            <w:rFonts w:ascii="Times New Roman" w:hAnsi="Times New Roman" w:cs="Times New Roman"/>
            <w:sz w:val="20"/>
            <w:szCs w:val="20"/>
          </w:rPr>
          <w:fldChar w:fldCharType="end"/>
        </w:r>
      </w:p>
    </w:sdtContent>
  </w:sdt>
  <w:p w14:paraId="2E3B7CE5" w14:textId="77777777" w:rsidR="00B54B18" w:rsidRPr="001E1B5A" w:rsidRDefault="00B54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CD86" w14:textId="77777777" w:rsidR="00E05187" w:rsidRPr="001E1B5A" w:rsidRDefault="00E05187" w:rsidP="00B54B18">
      <w:pPr>
        <w:spacing w:line="240" w:lineRule="auto"/>
      </w:pPr>
      <w:r w:rsidRPr="001E1B5A">
        <w:separator/>
      </w:r>
    </w:p>
  </w:footnote>
  <w:footnote w:type="continuationSeparator" w:id="0">
    <w:p w14:paraId="3041D2EF" w14:textId="77777777" w:rsidR="00E05187" w:rsidRPr="001E1B5A" w:rsidRDefault="00E05187" w:rsidP="00B54B18">
      <w:pPr>
        <w:spacing w:line="240" w:lineRule="auto"/>
      </w:pPr>
      <w:r w:rsidRPr="001E1B5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2AC"/>
    <w:rsid w:val="001E1B5A"/>
    <w:rsid w:val="0021661D"/>
    <w:rsid w:val="008A068E"/>
    <w:rsid w:val="009732AC"/>
    <w:rsid w:val="00A456FD"/>
    <w:rsid w:val="00B54B18"/>
    <w:rsid w:val="00BD3DCB"/>
    <w:rsid w:val="00D16B34"/>
    <w:rsid w:val="00D86A48"/>
    <w:rsid w:val="00E05187"/>
    <w:rsid w:val="00EE2BB2"/>
    <w:rsid w:val="00F067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E344"/>
  <w15:docId w15:val="{C42A650E-08BC-4B22-9557-78C7DF33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1E1B5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1E1B5A"/>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B54B18"/>
    <w:pPr>
      <w:tabs>
        <w:tab w:val="center" w:pos="4513"/>
        <w:tab w:val="right" w:pos="9026"/>
      </w:tabs>
      <w:spacing w:line="240" w:lineRule="auto"/>
    </w:pPr>
  </w:style>
  <w:style w:type="character" w:customStyle="1" w:styleId="HeaderChar">
    <w:name w:val="Header Char"/>
    <w:basedOn w:val="DefaultParagraphFont"/>
    <w:link w:val="Header"/>
    <w:uiPriority w:val="99"/>
    <w:rsid w:val="00B54B18"/>
  </w:style>
  <w:style w:type="paragraph" w:styleId="Footer">
    <w:name w:val="footer"/>
    <w:basedOn w:val="Normal"/>
    <w:link w:val="FooterChar"/>
    <w:uiPriority w:val="99"/>
    <w:unhideWhenUsed/>
    <w:rsid w:val="00B54B18"/>
    <w:pPr>
      <w:tabs>
        <w:tab w:val="center" w:pos="4513"/>
        <w:tab w:val="right" w:pos="9026"/>
      </w:tabs>
      <w:spacing w:line="240" w:lineRule="auto"/>
    </w:pPr>
  </w:style>
  <w:style w:type="character" w:customStyle="1" w:styleId="FooterChar">
    <w:name w:val="Footer Char"/>
    <w:basedOn w:val="DefaultParagraphFont"/>
    <w:link w:val="Footer"/>
    <w:uiPriority w:val="99"/>
    <w:rsid w:val="00B54B18"/>
  </w:style>
  <w:style w:type="table" w:styleId="GridTable5Dark-Accent5">
    <w:name w:val="Grid Table 5 Dark Accent 5"/>
    <w:basedOn w:val="TableNormal"/>
    <w:uiPriority w:val="50"/>
    <w:rsid w:val="001E1B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1E1B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1E1B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1E1B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TOCHeading">
    <w:name w:val="TOC Heading"/>
    <w:basedOn w:val="Heading1"/>
    <w:next w:val="Normal"/>
    <w:uiPriority w:val="39"/>
    <w:unhideWhenUsed/>
    <w:qFormat/>
    <w:rsid w:val="00D86A4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6A48"/>
    <w:pPr>
      <w:spacing w:after="100"/>
    </w:pPr>
  </w:style>
  <w:style w:type="paragraph" w:styleId="TOC2">
    <w:name w:val="toc 2"/>
    <w:basedOn w:val="Normal"/>
    <w:next w:val="Normal"/>
    <w:autoRedefine/>
    <w:uiPriority w:val="39"/>
    <w:unhideWhenUsed/>
    <w:rsid w:val="00D86A48"/>
    <w:pPr>
      <w:spacing w:after="100"/>
      <w:ind w:left="220"/>
    </w:pPr>
  </w:style>
  <w:style w:type="character" w:styleId="Hyperlink">
    <w:name w:val="Hyperlink"/>
    <w:basedOn w:val="DefaultParagraphFont"/>
    <w:uiPriority w:val="99"/>
    <w:unhideWhenUsed/>
    <w:rsid w:val="00D86A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43DE5-EA6E-4519-B66E-1011C38C5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4547</Words>
  <Characters>25920</Characters>
  <Application>Microsoft Office Word</Application>
  <DocSecurity>0</DocSecurity>
  <Lines>216</Lines>
  <Paragraphs>60</Paragraphs>
  <ScaleCrop>false</ScaleCrop>
  <Company/>
  <LinksUpToDate>false</LinksUpToDate>
  <CharactersWithSpaces>30407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Ionut-Claudiu Dolca (2217133)</cp:lastModifiedBy>
  <cp:revision>12</cp:revision>
  <dcterms:created xsi:type="dcterms:W3CDTF">2025-11-08T13:55:00Z</dcterms:created>
  <dcterms:modified xsi:type="dcterms:W3CDTF">2025-12-08T10:21:00Z</dcterms:modified>
</cp:coreProperties>
</file>