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A76FBE" w14:textId="77777777" w:rsidR="007937FA" w:rsidRPr="007937FA" w:rsidRDefault="007937FA" w:rsidP="007937FA">
      <w:pPr>
        <w:jc w:val="left"/>
        <w:rPr>
          <w:rFonts w:ascii="Arial" w:hAnsi="Arial" w:cs="Arial"/>
          <w:b/>
          <w:bCs/>
          <w:lang w:val="en-IN"/>
        </w:rPr>
      </w:pPr>
    </w:p>
    <w:p w14:paraId="0076947C" w14:textId="77777777" w:rsidR="007937FA" w:rsidRPr="007937FA" w:rsidRDefault="007937FA" w:rsidP="007937FA">
      <w:pPr>
        <w:jc w:val="center"/>
        <w:rPr>
          <w:rFonts w:ascii="Arial" w:hAnsi="Arial" w:cs="Arial"/>
        </w:rPr>
      </w:pPr>
      <w:r w:rsidRPr="007937FA">
        <w:rPr>
          <w:rFonts w:ascii="Arial" w:hAnsi="Arial" w:cs="Arial"/>
          <w:noProof/>
        </w:rPr>
        <w:drawing>
          <wp:inline distT="0" distB="0" distL="0" distR="0" wp14:anchorId="282608E8" wp14:editId="56306227">
            <wp:extent cx="3505799" cy="1464310"/>
            <wp:effectExtent l="0" t="0" r="0" b="2540"/>
            <wp:docPr id="1643536422"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512353" cy="1467048"/>
                    </a:xfrm>
                    <a:prstGeom prst="rect">
                      <a:avLst/>
                    </a:prstGeom>
                    <a:noFill/>
                    <a:ln>
                      <a:noFill/>
                    </a:ln>
                  </pic:spPr>
                </pic:pic>
              </a:graphicData>
            </a:graphic>
          </wp:inline>
        </w:drawing>
      </w:r>
    </w:p>
    <w:p w14:paraId="602AFEF5" w14:textId="77777777" w:rsidR="007937FA" w:rsidRPr="007937FA" w:rsidRDefault="007937FA" w:rsidP="007937FA">
      <w:pPr>
        <w:spacing w:after="200"/>
        <w:jc w:val="center"/>
        <w:rPr>
          <w:rFonts w:ascii="Arial" w:hAnsi="Arial" w:cs="Arial"/>
        </w:rPr>
      </w:pPr>
      <w:r w:rsidRPr="007937FA">
        <w:rPr>
          <w:rFonts w:ascii="Arial" w:hAnsi="Arial" w:cs="Arial"/>
          <w:b/>
          <w:bCs/>
          <w:color w:val="1F4E79"/>
          <w:sz w:val="28"/>
          <w:szCs w:val="28"/>
        </w:rPr>
        <w:t>UNIVERSITY OF WALES TRINITY SAINT DAVID</w:t>
      </w:r>
    </w:p>
    <w:p w14:paraId="6C83F9C2" w14:textId="77777777" w:rsidR="007937FA" w:rsidRPr="007937FA" w:rsidRDefault="007937FA" w:rsidP="007937FA">
      <w:pPr>
        <w:spacing w:after="400"/>
        <w:jc w:val="center"/>
        <w:rPr>
          <w:rFonts w:ascii="Arial" w:hAnsi="Arial" w:cs="Arial"/>
        </w:rPr>
      </w:pPr>
    </w:p>
    <w:p w14:paraId="1E117D57" w14:textId="77777777" w:rsidR="007937FA" w:rsidRPr="007937FA" w:rsidRDefault="007937FA" w:rsidP="007937FA">
      <w:pPr>
        <w:spacing w:after="300"/>
        <w:rPr>
          <w:rFonts w:ascii="Arial" w:hAnsi="Arial" w:cs="Arial"/>
        </w:rPr>
      </w:pPr>
    </w:p>
    <w:p w14:paraId="200241CF" w14:textId="77777777" w:rsidR="007937FA" w:rsidRPr="007937FA" w:rsidRDefault="007937FA" w:rsidP="007937FA">
      <w:pPr>
        <w:spacing w:after="200"/>
        <w:jc w:val="center"/>
        <w:rPr>
          <w:rFonts w:ascii="Arial" w:hAnsi="Arial" w:cs="Arial"/>
        </w:rPr>
      </w:pPr>
      <w:r w:rsidRPr="007937FA">
        <w:rPr>
          <w:rFonts w:ascii="Arial" w:hAnsi="Arial" w:cs="Arial"/>
          <w:b/>
          <w:bCs/>
          <w:sz w:val="26"/>
          <w:szCs w:val="26"/>
        </w:rPr>
        <w:t>Master of Business Administration</w:t>
      </w:r>
    </w:p>
    <w:p w14:paraId="11A35574" w14:textId="77777777" w:rsidR="007937FA" w:rsidRPr="007937FA" w:rsidRDefault="007937FA" w:rsidP="007937FA">
      <w:pPr>
        <w:spacing w:after="400"/>
        <w:jc w:val="center"/>
        <w:rPr>
          <w:rFonts w:ascii="Arial" w:hAnsi="Arial" w:cs="Arial"/>
        </w:rPr>
      </w:pPr>
      <w:r w:rsidRPr="007937FA">
        <w:rPr>
          <w:rFonts w:ascii="Arial" w:hAnsi="Arial" w:cs="Arial"/>
        </w:rPr>
        <w:t>Module: Marketing Management</w:t>
      </w:r>
    </w:p>
    <w:p w14:paraId="4211FFE8" w14:textId="77777777" w:rsidR="007937FA" w:rsidRPr="007937FA" w:rsidRDefault="007937FA" w:rsidP="007937FA">
      <w:pPr>
        <w:spacing w:after="200"/>
        <w:rPr>
          <w:rFonts w:ascii="Arial" w:hAnsi="Arial" w:cs="Arial"/>
        </w:rPr>
      </w:pPr>
    </w:p>
    <w:p w14:paraId="47934D09" w14:textId="77777777" w:rsidR="007937FA" w:rsidRPr="007937FA" w:rsidRDefault="007937FA" w:rsidP="007937FA">
      <w:pPr>
        <w:pBdr>
          <w:bottom w:val="single" w:sz="12" w:space="1" w:color="1F4E79"/>
        </w:pBdr>
        <w:spacing w:after="400"/>
        <w:jc w:val="center"/>
        <w:rPr>
          <w:rFonts w:ascii="Arial" w:hAnsi="Arial" w:cs="Arial"/>
        </w:rPr>
      </w:pPr>
      <w:r w:rsidRPr="007937FA">
        <w:rPr>
          <w:rFonts w:ascii="Arial" w:hAnsi="Arial" w:cs="Arial"/>
          <w:b/>
          <w:bCs/>
          <w:color w:val="1F4E79"/>
          <w:sz w:val="30"/>
          <w:szCs w:val="30"/>
        </w:rPr>
        <w:t>Assessment Component 1: Individual Report</w:t>
      </w:r>
    </w:p>
    <w:p w14:paraId="78FF1F5E" w14:textId="77777777" w:rsidR="007937FA" w:rsidRPr="007937FA" w:rsidRDefault="007937FA" w:rsidP="007937FA">
      <w:pPr>
        <w:spacing w:after="500"/>
        <w:jc w:val="center"/>
        <w:rPr>
          <w:rFonts w:ascii="Arial" w:hAnsi="Arial" w:cs="Arial"/>
        </w:rPr>
      </w:pPr>
      <w:r w:rsidRPr="007937FA">
        <w:rPr>
          <w:rFonts w:ascii="Arial" w:hAnsi="Arial" w:cs="Arial"/>
          <w:b/>
          <w:bCs/>
          <w:sz w:val="26"/>
          <w:szCs w:val="26"/>
        </w:rPr>
        <w:t>Marketing Environment Analysis</w:t>
      </w:r>
    </w:p>
    <w:p w14:paraId="6E6355D4" w14:textId="77777777" w:rsidR="007937FA" w:rsidRPr="007937FA" w:rsidRDefault="007937FA" w:rsidP="007937FA">
      <w:pPr>
        <w:jc w:val="center"/>
        <w:rPr>
          <w:rFonts w:ascii="Arial" w:hAnsi="Arial" w:cs="Arial"/>
        </w:rPr>
      </w:pPr>
      <w:r w:rsidRPr="007937FA">
        <w:rPr>
          <w:rFonts w:ascii="Arial" w:hAnsi="Arial" w:cs="Arial"/>
          <w:sz w:val="22"/>
        </w:rPr>
        <w:t>Student Name:</w:t>
      </w:r>
    </w:p>
    <w:p w14:paraId="73E08971" w14:textId="77777777" w:rsidR="007937FA" w:rsidRPr="007937FA" w:rsidRDefault="007937FA" w:rsidP="007937FA">
      <w:pPr>
        <w:spacing w:after="80"/>
        <w:jc w:val="center"/>
        <w:rPr>
          <w:rFonts w:ascii="Arial" w:hAnsi="Arial" w:cs="Arial"/>
        </w:rPr>
      </w:pPr>
      <w:r w:rsidRPr="007937FA">
        <w:rPr>
          <w:rFonts w:ascii="Arial" w:hAnsi="Arial" w:cs="Arial"/>
          <w:b/>
          <w:bCs/>
        </w:rPr>
        <w:t>Harpreet Singh Rana</w:t>
      </w:r>
    </w:p>
    <w:p w14:paraId="0805B5C1" w14:textId="77777777" w:rsidR="007937FA" w:rsidRPr="007937FA" w:rsidRDefault="007937FA" w:rsidP="007937FA">
      <w:pPr>
        <w:spacing w:after="300"/>
        <w:jc w:val="center"/>
        <w:rPr>
          <w:rFonts w:ascii="Arial" w:hAnsi="Arial" w:cs="Arial"/>
        </w:rPr>
      </w:pPr>
      <w:r w:rsidRPr="007937FA">
        <w:rPr>
          <w:rFonts w:ascii="Arial" w:hAnsi="Arial" w:cs="Arial"/>
          <w:sz w:val="22"/>
        </w:rPr>
        <w:t>Student ID: 2513316</w:t>
      </w:r>
    </w:p>
    <w:p w14:paraId="5E1A70C6" w14:textId="77777777" w:rsidR="007937FA" w:rsidRPr="007937FA" w:rsidRDefault="007937FA" w:rsidP="007937FA">
      <w:pPr>
        <w:jc w:val="center"/>
        <w:rPr>
          <w:rFonts w:ascii="Arial" w:hAnsi="Arial" w:cs="Arial"/>
          <w:i/>
          <w:iCs/>
          <w:sz w:val="20"/>
          <w:szCs w:val="20"/>
        </w:rPr>
      </w:pPr>
      <w:r w:rsidRPr="007937FA">
        <w:rPr>
          <w:rFonts w:ascii="Arial" w:hAnsi="Arial" w:cs="Arial"/>
          <w:i/>
          <w:iCs/>
          <w:sz w:val="20"/>
          <w:szCs w:val="20"/>
        </w:rPr>
        <w:t xml:space="preserve">Lecturer: </w:t>
      </w:r>
    </w:p>
    <w:p w14:paraId="37653698" w14:textId="77777777" w:rsidR="007937FA" w:rsidRPr="007937FA" w:rsidRDefault="007937FA" w:rsidP="007937FA">
      <w:pPr>
        <w:jc w:val="center"/>
        <w:rPr>
          <w:rFonts w:ascii="Arial" w:hAnsi="Arial" w:cs="Arial"/>
        </w:rPr>
      </w:pPr>
      <w:r w:rsidRPr="007937FA">
        <w:rPr>
          <w:rFonts w:ascii="Arial" w:hAnsi="Arial" w:cs="Arial"/>
          <w:i/>
          <w:iCs/>
          <w:sz w:val="20"/>
          <w:szCs w:val="20"/>
        </w:rPr>
        <w:t>Taonga Kaonga Sobere-</w:t>
      </w:r>
      <w:proofErr w:type="spellStart"/>
      <w:r w:rsidRPr="007937FA">
        <w:rPr>
          <w:rFonts w:ascii="Arial" w:hAnsi="Arial" w:cs="Arial"/>
          <w:i/>
          <w:iCs/>
          <w:sz w:val="20"/>
          <w:szCs w:val="20"/>
        </w:rPr>
        <w:t>Snithers</w:t>
      </w:r>
      <w:proofErr w:type="spellEnd"/>
      <w:r w:rsidRPr="007937FA">
        <w:rPr>
          <w:rFonts w:ascii="Arial" w:hAnsi="Arial" w:cs="Arial"/>
          <w:i/>
          <w:iCs/>
          <w:sz w:val="20"/>
          <w:szCs w:val="20"/>
        </w:rPr>
        <w:t xml:space="preserve"> (Birmingham)</w:t>
      </w:r>
    </w:p>
    <w:p w14:paraId="40EC36D1" w14:textId="77777777" w:rsidR="007937FA" w:rsidRPr="007937FA" w:rsidRDefault="007937FA" w:rsidP="007937FA">
      <w:pPr>
        <w:spacing w:after="400"/>
        <w:rPr>
          <w:rFonts w:ascii="Arial" w:hAnsi="Arial" w:cs="Arial"/>
        </w:rPr>
      </w:pPr>
    </w:p>
    <w:p w14:paraId="40FFC259" w14:textId="77777777" w:rsidR="007937FA" w:rsidRPr="007937FA" w:rsidRDefault="007937FA" w:rsidP="007937FA">
      <w:pPr>
        <w:jc w:val="left"/>
        <w:rPr>
          <w:rFonts w:ascii="Arial" w:hAnsi="Arial" w:cs="Arial"/>
          <w:b/>
          <w:bCs/>
          <w:lang w:val="en-IN"/>
        </w:rPr>
      </w:pPr>
      <w:r w:rsidRPr="007937FA">
        <w:rPr>
          <w:rFonts w:ascii="Arial" w:hAnsi="Arial" w:cs="Arial"/>
          <w:b/>
          <w:bCs/>
          <w:lang w:val="en-IN"/>
        </w:rPr>
        <w:br w:type="page"/>
      </w:r>
    </w:p>
    <w:sdt>
      <w:sdtPr>
        <w:rPr>
          <w:rFonts w:ascii="Arial" w:eastAsiaTheme="minorHAnsi" w:hAnsi="Arial" w:cs="Arial"/>
          <w:color w:val="auto"/>
          <w:kern w:val="2"/>
          <w:sz w:val="24"/>
          <w:szCs w:val="22"/>
          <w:lang w:val="en-GB"/>
          <w14:ligatures w14:val="standardContextual"/>
        </w:rPr>
        <w:id w:val="1148559309"/>
        <w:docPartObj>
          <w:docPartGallery w:val="Table of Contents"/>
          <w:docPartUnique/>
        </w:docPartObj>
      </w:sdtPr>
      <w:sdtEndPr>
        <w:rPr>
          <w:b/>
          <w:bCs/>
          <w:noProof/>
        </w:rPr>
      </w:sdtEndPr>
      <w:sdtContent>
        <w:p w14:paraId="2ECFA2AE" w14:textId="77777777" w:rsidR="007937FA" w:rsidRPr="007937FA" w:rsidRDefault="007937FA" w:rsidP="007937FA">
          <w:pPr>
            <w:pStyle w:val="TOCHeading"/>
            <w:spacing w:line="360" w:lineRule="auto"/>
            <w:rPr>
              <w:rFonts w:ascii="Arial" w:hAnsi="Arial" w:cs="Arial"/>
            </w:rPr>
          </w:pPr>
          <w:r w:rsidRPr="007937FA">
            <w:rPr>
              <w:rFonts w:ascii="Arial" w:hAnsi="Arial" w:cs="Arial"/>
            </w:rPr>
            <w:t>Table of Contents</w:t>
          </w:r>
        </w:p>
        <w:p w14:paraId="6EA0B896" w14:textId="77777777" w:rsidR="007937FA" w:rsidRPr="007937FA" w:rsidRDefault="007937FA" w:rsidP="007937FA">
          <w:pPr>
            <w:pStyle w:val="TOC1"/>
            <w:tabs>
              <w:tab w:val="right" w:leader="dot" w:pos="9016"/>
            </w:tabs>
            <w:rPr>
              <w:rFonts w:ascii="Arial" w:eastAsiaTheme="minorEastAsia" w:hAnsi="Arial" w:cs="Arial"/>
              <w:noProof/>
              <w:szCs w:val="24"/>
              <w:lang w:val="en-IN" w:eastAsia="en-IN"/>
            </w:rPr>
          </w:pPr>
          <w:r w:rsidRPr="007937FA">
            <w:rPr>
              <w:rFonts w:ascii="Arial" w:hAnsi="Arial" w:cs="Arial"/>
            </w:rPr>
            <w:fldChar w:fldCharType="begin"/>
          </w:r>
          <w:r w:rsidRPr="007937FA">
            <w:rPr>
              <w:rFonts w:ascii="Arial" w:hAnsi="Arial" w:cs="Arial"/>
            </w:rPr>
            <w:instrText xml:space="preserve"> TOC \o "1-3" \h \z \u </w:instrText>
          </w:r>
          <w:r w:rsidRPr="007937FA">
            <w:rPr>
              <w:rFonts w:ascii="Arial" w:hAnsi="Arial" w:cs="Arial"/>
            </w:rPr>
            <w:fldChar w:fldCharType="separate"/>
          </w:r>
          <w:hyperlink w:anchor="_Toc233313417" w:history="1">
            <w:r w:rsidRPr="007937FA">
              <w:rPr>
                <w:rStyle w:val="Hyperlink"/>
                <w:rFonts w:ascii="Arial" w:hAnsi="Arial" w:cs="Arial"/>
                <w:noProof/>
                <w:lang w:val="en-IN"/>
              </w:rPr>
              <w:t>Introduction</w:t>
            </w:r>
            <w:r w:rsidRPr="007937FA">
              <w:rPr>
                <w:rFonts w:ascii="Arial" w:hAnsi="Arial" w:cs="Arial"/>
                <w:noProof/>
                <w:webHidden/>
              </w:rPr>
              <w:tab/>
            </w:r>
            <w:r w:rsidRPr="007937FA">
              <w:rPr>
                <w:rFonts w:ascii="Arial" w:hAnsi="Arial" w:cs="Arial"/>
                <w:noProof/>
                <w:webHidden/>
              </w:rPr>
              <w:fldChar w:fldCharType="begin"/>
            </w:r>
            <w:r w:rsidRPr="007937FA">
              <w:rPr>
                <w:rFonts w:ascii="Arial" w:hAnsi="Arial" w:cs="Arial"/>
                <w:noProof/>
                <w:webHidden/>
              </w:rPr>
              <w:instrText xml:space="preserve"> PAGEREF _Toc233313417 \h </w:instrText>
            </w:r>
            <w:r w:rsidRPr="007937FA">
              <w:rPr>
                <w:rFonts w:ascii="Arial" w:hAnsi="Arial" w:cs="Arial"/>
                <w:noProof/>
                <w:webHidden/>
              </w:rPr>
            </w:r>
            <w:r w:rsidRPr="007937FA">
              <w:rPr>
                <w:rFonts w:ascii="Arial" w:hAnsi="Arial" w:cs="Arial"/>
                <w:noProof/>
                <w:webHidden/>
              </w:rPr>
              <w:fldChar w:fldCharType="separate"/>
            </w:r>
            <w:r w:rsidRPr="007937FA">
              <w:rPr>
                <w:rFonts w:ascii="Arial" w:hAnsi="Arial" w:cs="Arial"/>
                <w:noProof/>
                <w:webHidden/>
              </w:rPr>
              <w:t>3</w:t>
            </w:r>
            <w:r w:rsidRPr="007937FA">
              <w:rPr>
                <w:rFonts w:ascii="Arial" w:hAnsi="Arial" w:cs="Arial"/>
                <w:noProof/>
                <w:webHidden/>
              </w:rPr>
              <w:fldChar w:fldCharType="end"/>
            </w:r>
          </w:hyperlink>
        </w:p>
        <w:p w14:paraId="26D6485B" w14:textId="77777777" w:rsidR="007937FA" w:rsidRPr="007937FA" w:rsidRDefault="007937FA" w:rsidP="007937FA">
          <w:pPr>
            <w:pStyle w:val="TOC1"/>
            <w:tabs>
              <w:tab w:val="right" w:leader="dot" w:pos="9016"/>
            </w:tabs>
            <w:rPr>
              <w:rFonts w:ascii="Arial" w:eastAsiaTheme="minorEastAsia" w:hAnsi="Arial" w:cs="Arial"/>
              <w:noProof/>
              <w:szCs w:val="24"/>
              <w:lang w:val="en-IN" w:eastAsia="en-IN"/>
            </w:rPr>
          </w:pPr>
          <w:hyperlink w:anchor="_Toc233313418" w:history="1">
            <w:r w:rsidRPr="007937FA">
              <w:rPr>
                <w:rStyle w:val="Hyperlink"/>
                <w:rFonts w:ascii="Arial" w:hAnsi="Arial" w:cs="Arial"/>
                <w:noProof/>
                <w:lang w:val="en-IN"/>
              </w:rPr>
              <w:t>Task 1: Marketing Environment Analysis</w:t>
            </w:r>
            <w:r w:rsidRPr="007937FA">
              <w:rPr>
                <w:rFonts w:ascii="Arial" w:hAnsi="Arial" w:cs="Arial"/>
                <w:noProof/>
                <w:webHidden/>
              </w:rPr>
              <w:tab/>
            </w:r>
            <w:r w:rsidRPr="007937FA">
              <w:rPr>
                <w:rFonts w:ascii="Arial" w:hAnsi="Arial" w:cs="Arial"/>
                <w:noProof/>
                <w:webHidden/>
              </w:rPr>
              <w:fldChar w:fldCharType="begin"/>
            </w:r>
            <w:r w:rsidRPr="007937FA">
              <w:rPr>
                <w:rFonts w:ascii="Arial" w:hAnsi="Arial" w:cs="Arial"/>
                <w:noProof/>
                <w:webHidden/>
              </w:rPr>
              <w:instrText xml:space="preserve"> PAGEREF _Toc233313418 \h </w:instrText>
            </w:r>
            <w:r w:rsidRPr="007937FA">
              <w:rPr>
                <w:rFonts w:ascii="Arial" w:hAnsi="Arial" w:cs="Arial"/>
                <w:noProof/>
                <w:webHidden/>
              </w:rPr>
            </w:r>
            <w:r w:rsidRPr="007937FA">
              <w:rPr>
                <w:rFonts w:ascii="Arial" w:hAnsi="Arial" w:cs="Arial"/>
                <w:noProof/>
                <w:webHidden/>
              </w:rPr>
              <w:fldChar w:fldCharType="separate"/>
            </w:r>
            <w:r w:rsidRPr="007937FA">
              <w:rPr>
                <w:rFonts w:ascii="Arial" w:hAnsi="Arial" w:cs="Arial"/>
                <w:noProof/>
                <w:webHidden/>
              </w:rPr>
              <w:t>3</w:t>
            </w:r>
            <w:r w:rsidRPr="007937FA">
              <w:rPr>
                <w:rFonts w:ascii="Arial" w:hAnsi="Arial" w:cs="Arial"/>
                <w:noProof/>
                <w:webHidden/>
              </w:rPr>
              <w:fldChar w:fldCharType="end"/>
            </w:r>
          </w:hyperlink>
        </w:p>
        <w:p w14:paraId="05A29A43" w14:textId="77777777" w:rsidR="007937FA" w:rsidRPr="007937FA" w:rsidRDefault="007937FA" w:rsidP="007937FA">
          <w:pPr>
            <w:pStyle w:val="TOC2"/>
            <w:tabs>
              <w:tab w:val="right" w:leader="dot" w:pos="9016"/>
            </w:tabs>
            <w:rPr>
              <w:rFonts w:ascii="Arial" w:eastAsiaTheme="minorEastAsia" w:hAnsi="Arial" w:cs="Arial"/>
              <w:noProof/>
              <w:szCs w:val="24"/>
              <w:lang w:val="en-IN" w:eastAsia="en-IN"/>
            </w:rPr>
          </w:pPr>
          <w:hyperlink w:anchor="_Toc233313419" w:history="1">
            <w:r w:rsidRPr="007937FA">
              <w:rPr>
                <w:rStyle w:val="Hyperlink"/>
                <w:rFonts w:ascii="Arial" w:hAnsi="Arial" w:cs="Arial"/>
                <w:noProof/>
                <w:lang w:val="en-IN"/>
              </w:rPr>
              <w:t>The Natural Environment Actor</w:t>
            </w:r>
            <w:r w:rsidRPr="007937FA">
              <w:rPr>
                <w:rFonts w:ascii="Arial" w:hAnsi="Arial" w:cs="Arial"/>
                <w:noProof/>
                <w:webHidden/>
              </w:rPr>
              <w:tab/>
            </w:r>
            <w:r w:rsidRPr="007937FA">
              <w:rPr>
                <w:rFonts w:ascii="Arial" w:hAnsi="Arial" w:cs="Arial"/>
                <w:noProof/>
                <w:webHidden/>
              </w:rPr>
              <w:fldChar w:fldCharType="begin"/>
            </w:r>
            <w:r w:rsidRPr="007937FA">
              <w:rPr>
                <w:rFonts w:ascii="Arial" w:hAnsi="Arial" w:cs="Arial"/>
                <w:noProof/>
                <w:webHidden/>
              </w:rPr>
              <w:instrText xml:space="preserve"> PAGEREF _Toc233313419 \h </w:instrText>
            </w:r>
            <w:r w:rsidRPr="007937FA">
              <w:rPr>
                <w:rFonts w:ascii="Arial" w:hAnsi="Arial" w:cs="Arial"/>
                <w:noProof/>
                <w:webHidden/>
              </w:rPr>
            </w:r>
            <w:r w:rsidRPr="007937FA">
              <w:rPr>
                <w:rFonts w:ascii="Arial" w:hAnsi="Arial" w:cs="Arial"/>
                <w:noProof/>
                <w:webHidden/>
              </w:rPr>
              <w:fldChar w:fldCharType="separate"/>
            </w:r>
            <w:r w:rsidRPr="007937FA">
              <w:rPr>
                <w:rFonts w:ascii="Arial" w:hAnsi="Arial" w:cs="Arial"/>
                <w:noProof/>
                <w:webHidden/>
              </w:rPr>
              <w:t>3</w:t>
            </w:r>
            <w:r w:rsidRPr="007937FA">
              <w:rPr>
                <w:rFonts w:ascii="Arial" w:hAnsi="Arial" w:cs="Arial"/>
                <w:noProof/>
                <w:webHidden/>
              </w:rPr>
              <w:fldChar w:fldCharType="end"/>
            </w:r>
          </w:hyperlink>
        </w:p>
        <w:p w14:paraId="4A04AF97" w14:textId="77777777" w:rsidR="007937FA" w:rsidRPr="007937FA" w:rsidRDefault="007937FA" w:rsidP="007937FA">
          <w:pPr>
            <w:pStyle w:val="TOC2"/>
            <w:tabs>
              <w:tab w:val="right" w:leader="dot" w:pos="9016"/>
            </w:tabs>
            <w:rPr>
              <w:rFonts w:ascii="Arial" w:eastAsiaTheme="minorEastAsia" w:hAnsi="Arial" w:cs="Arial"/>
              <w:noProof/>
              <w:szCs w:val="24"/>
              <w:lang w:val="en-IN" w:eastAsia="en-IN"/>
            </w:rPr>
          </w:pPr>
          <w:hyperlink w:anchor="_Toc233313420" w:history="1">
            <w:r w:rsidRPr="007937FA">
              <w:rPr>
                <w:rStyle w:val="Hyperlink"/>
                <w:rFonts w:ascii="Arial" w:hAnsi="Arial" w:cs="Arial"/>
                <w:noProof/>
                <w:lang w:val="en-IN"/>
              </w:rPr>
              <w:t>The Political and Legal Environment Actor</w:t>
            </w:r>
            <w:r w:rsidRPr="007937FA">
              <w:rPr>
                <w:rFonts w:ascii="Arial" w:hAnsi="Arial" w:cs="Arial"/>
                <w:noProof/>
                <w:webHidden/>
              </w:rPr>
              <w:tab/>
            </w:r>
            <w:r w:rsidRPr="007937FA">
              <w:rPr>
                <w:rFonts w:ascii="Arial" w:hAnsi="Arial" w:cs="Arial"/>
                <w:noProof/>
                <w:webHidden/>
              </w:rPr>
              <w:fldChar w:fldCharType="begin"/>
            </w:r>
            <w:r w:rsidRPr="007937FA">
              <w:rPr>
                <w:rFonts w:ascii="Arial" w:hAnsi="Arial" w:cs="Arial"/>
                <w:noProof/>
                <w:webHidden/>
              </w:rPr>
              <w:instrText xml:space="preserve"> PAGEREF _Toc233313420 \h </w:instrText>
            </w:r>
            <w:r w:rsidRPr="007937FA">
              <w:rPr>
                <w:rFonts w:ascii="Arial" w:hAnsi="Arial" w:cs="Arial"/>
                <w:noProof/>
                <w:webHidden/>
              </w:rPr>
            </w:r>
            <w:r w:rsidRPr="007937FA">
              <w:rPr>
                <w:rFonts w:ascii="Arial" w:hAnsi="Arial" w:cs="Arial"/>
                <w:noProof/>
                <w:webHidden/>
              </w:rPr>
              <w:fldChar w:fldCharType="separate"/>
            </w:r>
            <w:r w:rsidRPr="007937FA">
              <w:rPr>
                <w:rFonts w:ascii="Arial" w:hAnsi="Arial" w:cs="Arial"/>
                <w:noProof/>
                <w:webHidden/>
              </w:rPr>
              <w:t>5</w:t>
            </w:r>
            <w:r w:rsidRPr="007937FA">
              <w:rPr>
                <w:rFonts w:ascii="Arial" w:hAnsi="Arial" w:cs="Arial"/>
                <w:noProof/>
                <w:webHidden/>
              </w:rPr>
              <w:fldChar w:fldCharType="end"/>
            </w:r>
          </w:hyperlink>
        </w:p>
        <w:p w14:paraId="30D116FD" w14:textId="77777777" w:rsidR="007937FA" w:rsidRPr="007937FA" w:rsidRDefault="007937FA" w:rsidP="007937FA">
          <w:pPr>
            <w:pStyle w:val="TOC2"/>
            <w:tabs>
              <w:tab w:val="right" w:leader="dot" w:pos="9016"/>
            </w:tabs>
            <w:rPr>
              <w:rFonts w:ascii="Arial" w:eastAsiaTheme="minorEastAsia" w:hAnsi="Arial" w:cs="Arial"/>
              <w:noProof/>
              <w:szCs w:val="24"/>
              <w:lang w:val="en-IN" w:eastAsia="en-IN"/>
            </w:rPr>
          </w:pPr>
          <w:hyperlink w:anchor="_Toc233313421" w:history="1">
            <w:r w:rsidRPr="007937FA">
              <w:rPr>
                <w:rStyle w:val="Hyperlink"/>
                <w:rFonts w:ascii="Arial" w:hAnsi="Arial" w:cs="Arial"/>
                <w:noProof/>
                <w:lang w:val="en-IN"/>
              </w:rPr>
              <w:t>Interplay Between the Two Actors and Strategic Implications</w:t>
            </w:r>
            <w:r w:rsidRPr="007937FA">
              <w:rPr>
                <w:rFonts w:ascii="Arial" w:hAnsi="Arial" w:cs="Arial"/>
                <w:noProof/>
                <w:webHidden/>
              </w:rPr>
              <w:tab/>
            </w:r>
            <w:r w:rsidRPr="007937FA">
              <w:rPr>
                <w:rFonts w:ascii="Arial" w:hAnsi="Arial" w:cs="Arial"/>
                <w:noProof/>
                <w:webHidden/>
              </w:rPr>
              <w:fldChar w:fldCharType="begin"/>
            </w:r>
            <w:r w:rsidRPr="007937FA">
              <w:rPr>
                <w:rFonts w:ascii="Arial" w:hAnsi="Arial" w:cs="Arial"/>
                <w:noProof/>
                <w:webHidden/>
              </w:rPr>
              <w:instrText xml:space="preserve"> PAGEREF _Toc233313421 \h </w:instrText>
            </w:r>
            <w:r w:rsidRPr="007937FA">
              <w:rPr>
                <w:rFonts w:ascii="Arial" w:hAnsi="Arial" w:cs="Arial"/>
                <w:noProof/>
                <w:webHidden/>
              </w:rPr>
            </w:r>
            <w:r w:rsidRPr="007937FA">
              <w:rPr>
                <w:rFonts w:ascii="Arial" w:hAnsi="Arial" w:cs="Arial"/>
                <w:noProof/>
                <w:webHidden/>
              </w:rPr>
              <w:fldChar w:fldCharType="separate"/>
            </w:r>
            <w:r w:rsidRPr="007937FA">
              <w:rPr>
                <w:rFonts w:ascii="Arial" w:hAnsi="Arial" w:cs="Arial"/>
                <w:noProof/>
                <w:webHidden/>
              </w:rPr>
              <w:t>6</w:t>
            </w:r>
            <w:r w:rsidRPr="007937FA">
              <w:rPr>
                <w:rFonts w:ascii="Arial" w:hAnsi="Arial" w:cs="Arial"/>
                <w:noProof/>
                <w:webHidden/>
              </w:rPr>
              <w:fldChar w:fldCharType="end"/>
            </w:r>
          </w:hyperlink>
        </w:p>
        <w:p w14:paraId="606BA74C" w14:textId="77777777" w:rsidR="007937FA" w:rsidRPr="007937FA" w:rsidRDefault="007937FA" w:rsidP="007937FA">
          <w:pPr>
            <w:pStyle w:val="TOC1"/>
            <w:tabs>
              <w:tab w:val="right" w:leader="dot" w:pos="9016"/>
            </w:tabs>
            <w:rPr>
              <w:rFonts w:ascii="Arial" w:eastAsiaTheme="minorEastAsia" w:hAnsi="Arial" w:cs="Arial"/>
              <w:noProof/>
              <w:szCs w:val="24"/>
              <w:lang w:val="en-IN" w:eastAsia="en-IN"/>
            </w:rPr>
          </w:pPr>
          <w:hyperlink w:anchor="_Toc233313422" w:history="1">
            <w:r w:rsidRPr="007937FA">
              <w:rPr>
                <w:rStyle w:val="Hyperlink"/>
                <w:rFonts w:ascii="Arial" w:hAnsi="Arial" w:cs="Arial"/>
                <w:noProof/>
                <w:lang w:val="en-IN"/>
              </w:rPr>
              <w:t>Task 2: Strategic Growth and Competitive Positioning</w:t>
            </w:r>
            <w:r w:rsidRPr="007937FA">
              <w:rPr>
                <w:rFonts w:ascii="Arial" w:hAnsi="Arial" w:cs="Arial"/>
                <w:noProof/>
                <w:webHidden/>
              </w:rPr>
              <w:tab/>
            </w:r>
            <w:r w:rsidRPr="007937FA">
              <w:rPr>
                <w:rFonts w:ascii="Arial" w:hAnsi="Arial" w:cs="Arial"/>
                <w:noProof/>
                <w:webHidden/>
              </w:rPr>
              <w:fldChar w:fldCharType="begin"/>
            </w:r>
            <w:r w:rsidRPr="007937FA">
              <w:rPr>
                <w:rFonts w:ascii="Arial" w:hAnsi="Arial" w:cs="Arial"/>
                <w:noProof/>
                <w:webHidden/>
              </w:rPr>
              <w:instrText xml:space="preserve"> PAGEREF _Toc233313422 \h </w:instrText>
            </w:r>
            <w:r w:rsidRPr="007937FA">
              <w:rPr>
                <w:rFonts w:ascii="Arial" w:hAnsi="Arial" w:cs="Arial"/>
                <w:noProof/>
                <w:webHidden/>
              </w:rPr>
            </w:r>
            <w:r w:rsidRPr="007937FA">
              <w:rPr>
                <w:rFonts w:ascii="Arial" w:hAnsi="Arial" w:cs="Arial"/>
                <w:noProof/>
                <w:webHidden/>
              </w:rPr>
              <w:fldChar w:fldCharType="separate"/>
            </w:r>
            <w:r w:rsidRPr="007937FA">
              <w:rPr>
                <w:rFonts w:ascii="Arial" w:hAnsi="Arial" w:cs="Arial"/>
                <w:noProof/>
                <w:webHidden/>
              </w:rPr>
              <w:t>7</w:t>
            </w:r>
            <w:r w:rsidRPr="007937FA">
              <w:rPr>
                <w:rFonts w:ascii="Arial" w:hAnsi="Arial" w:cs="Arial"/>
                <w:noProof/>
                <w:webHidden/>
              </w:rPr>
              <w:fldChar w:fldCharType="end"/>
            </w:r>
          </w:hyperlink>
        </w:p>
        <w:p w14:paraId="1CFE0214" w14:textId="77777777" w:rsidR="007937FA" w:rsidRPr="007937FA" w:rsidRDefault="007937FA" w:rsidP="007937FA">
          <w:pPr>
            <w:pStyle w:val="TOC2"/>
            <w:tabs>
              <w:tab w:val="right" w:leader="dot" w:pos="9016"/>
            </w:tabs>
            <w:rPr>
              <w:rFonts w:ascii="Arial" w:eastAsiaTheme="minorEastAsia" w:hAnsi="Arial" w:cs="Arial"/>
              <w:noProof/>
              <w:szCs w:val="24"/>
              <w:lang w:val="en-IN" w:eastAsia="en-IN"/>
            </w:rPr>
          </w:pPr>
          <w:hyperlink w:anchor="_Toc233313423" w:history="1">
            <w:r w:rsidRPr="007937FA">
              <w:rPr>
                <w:rStyle w:val="Hyperlink"/>
                <w:rFonts w:ascii="Arial" w:hAnsi="Arial" w:cs="Arial"/>
                <w:noProof/>
                <w:lang w:val="en-IN"/>
              </w:rPr>
              <w:t>Application of the Ansoff Matrix</w:t>
            </w:r>
            <w:r w:rsidRPr="007937FA">
              <w:rPr>
                <w:rFonts w:ascii="Arial" w:hAnsi="Arial" w:cs="Arial"/>
                <w:noProof/>
                <w:webHidden/>
              </w:rPr>
              <w:tab/>
            </w:r>
            <w:r w:rsidRPr="007937FA">
              <w:rPr>
                <w:rFonts w:ascii="Arial" w:hAnsi="Arial" w:cs="Arial"/>
                <w:noProof/>
                <w:webHidden/>
              </w:rPr>
              <w:fldChar w:fldCharType="begin"/>
            </w:r>
            <w:r w:rsidRPr="007937FA">
              <w:rPr>
                <w:rFonts w:ascii="Arial" w:hAnsi="Arial" w:cs="Arial"/>
                <w:noProof/>
                <w:webHidden/>
              </w:rPr>
              <w:instrText xml:space="preserve"> PAGEREF _Toc233313423 \h </w:instrText>
            </w:r>
            <w:r w:rsidRPr="007937FA">
              <w:rPr>
                <w:rFonts w:ascii="Arial" w:hAnsi="Arial" w:cs="Arial"/>
                <w:noProof/>
                <w:webHidden/>
              </w:rPr>
            </w:r>
            <w:r w:rsidRPr="007937FA">
              <w:rPr>
                <w:rFonts w:ascii="Arial" w:hAnsi="Arial" w:cs="Arial"/>
                <w:noProof/>
                <w:webHidden/>
              </w:rPr>
              <w:fldChar w:fldCharType="separate"/>
            </w:r>
            <w:r w:rsidRPr="007937FA">
              <w:rPr>
                <w:rFonts w:ascii="Arial" w:hAnsi="Arial" w:cs="Arial"/>
                <w:noProof/>
                <w:webHidden/>
              </w:rPr>
              <w:t>7</w:t>
            </w:r>
            <w:r w:rsidRPr="007937FA">
              <w:rPr>
                <w:rFonts w:ascii="Arial" w:hAnsi="Arial" w:cs="Arial"/>
                <w:noProof/>
                <w:webHidden/>
              </w:rPr>
              <w:fldChar w:fldCharType="end"/>
            </w:r>
          </w:hyperlink>
        </w:p>
        <w:p w14:paraId="57A26938" w14:textId="77777777" w:rsidR="007937FA" w:rsidRPr="007937FA" w:rsidRDefault="007937FA" w:rsidP="007937FA">
          <w:pPr>
            <w:pStyle w:val="TOC2"/>
            <w:tabs>
              <w:tab w:val="right" w:leader="dot" w:pos="9016"/>
            </w:tabs>
            <w:rPr>
              <w:rFonts w:ascii="Arial" w:eastAsiaTheme="minorEastAsia" w:hAnsi="Arial" w:cs="Arial"/>
              <w:noProof/>
              <w:szCs w:val="24"/>
              <w:lang w:val="en-IN" w:eastAsia="en-IN"/>
            </w:rPr>
          </w:pPr>
          <w:hyperlink w:anchor="_Toc233313424" w:history="1">
            <w:r w:rsidRPr="007937FA">
              <w:rPr>
                <w:rStyle w:val="Hyperlink"/>
                <w:rFonts w:ascii="Arial" w:hAnsi="Arial" w:cs="Arial"/>
                <w:noProof/>
                <w:lang w:val="en-IN"/>
              </w:rPr>
              <w:t>Recommended Growth Strategies for Low-Carbon Transition and Competitive Advantage</w:t>
            </w:r>
            <w:r w:rsidRPr="007937FA">
              <w:rPr>
                <w:rFonts w:ascii="Arial" w:hAnsi="Arial" w:cs="Arial"/>
                <w:noProof/>
                <w:webHidden/>
              </w:rPr>
              <w:tab/>
            </w:r>
            <w:r w:rsidRPr="007937FA">
              <w:rPr>
                <w:rFonts w:ascii="Arial" w:hAnsi="Arial" w:cs="Arial"/>
                <w:noProof/>
                <w:webHidden/>
              </w:rPr>
              <w:fldChar w:fldCharType="begin"/>
            </w:r>
            <w:r w:rsidRPr="007937FA">
              <w:rPr>
                <w:rFonts w:ascii="Arial" w:hAnsi="Arial" w:cs="Arial"/>
                <w:noProof/>
                <w:webHidden/>
              </w:rPr>
              <w:instrText xml:space="preserve"> PAGEREF _Toc233313424 \h </w:instrText>
            </w:r>
            <w:r w:rsidRPr="007937FA">
              <w:rPr>
                <w:rFonts w:ascii="Arial" w:hAnsi="Arial" w:cs="Arial"/>
                <w:noProof/>
                <w:webHidden/>
              </w:rPr>
            </w:r>
            <w:r w:rsidRPr="007937FA">
              <w:rPr>
                <w:rFonts w:ascii="Arial" w:hAnsi="Arial" w:cs="Arial"/>
                <w:noProof/>
                <w:webHidden/>
              </w:rPr>
              <w:fldChar w:fldCharType="separate"/>
            </w:r>
            <w:r w:rsidRPr="007937FA">
              <w:rPr>
                <w:rFonts w:ascii="Arial" w:hAnsi="Arial" w:cs="Arial"/>
                <w:noProof/>
                <w:webHidden/>
              </w:rPr>
              <w:t>8</w:t>
            </w:r>
            <w:r w:rsidRPr="007937FA">
              <w:rPr>
                <w:rFonts w:ascii="Arial" w:hAnsi="Arial" w:cs="Arial"/>
                <w:noProof/>
                <w:webHidden/>
              </w:rPr>
              <w:fldChar w:fldCharType="end"/>
            </w:r>
          </w:hyperlink>
        </w:p>
        <w:p w14:paraId="0CAB6CC7" w14:textId="77777777" w:rsidR="007937FA" w:rsidRPr="007937FA" w:rsidRDefault="007937FA" w:rsidP="007937FA">
          <w:pPr>
            <w:pStyle w:val="TOC2"/>
            <w:tabs>
              <w:tab w:val="right" w:leader="dot" w:pos="9016"/>
            </w:tabs>
            <w:rPr>
              <w:rFonts w:ascii="Arial" w:eastAsiaTheme="minorEastAsia" w:hAnsi="Arial" w:cs="Arial"/>
              <w:noProof/>
              <w:szCs w:val="24"/>
              <w:lang w:val="en-IN" w:eastAsia="en-IN"/>
            </w:rPr>
          </w:pPr>
          <w:hyperlink w:anchor="_Toc233313425" w:history="1">
            <w:r w:rsidRPr="007937FA">
              <w:rPr>
                <w:rStyle w:val="Hyperlink"/>
                <w:rFonts w:ascii="Arial" w:hAnsi="Arial" w:cs="Arial"/>
                <w:noProof/>
                <w:lang w:val="en-IN"/>
              </w:rPr>
              <w:t>Implementation Considerations and Risks</w:t>
            </w:r>
            <w:r w:rsidRPr="007937FA">
              <w:rPr>
                <w:rFonts w:ascii="Arial" w:hAnsi="Arial" w:cs="Arial"/>
                <w:noProof/>
                <w:webHidden/>
              </w:rPr>
              <w:tab/>
            </w:r>
            <w:r w:rsidRPr="007937FA">
              <w:rPr>
                <w:rFonts w:ascii="Arial" w:hAnsi="Arial" w:cs="Arial"/>
                <w:noProof/>
                <w:webHidden/>
              </w:rPr>
              <w:fldChar w:fldCharType="begin"/>
            </w:r>
            <w:r w:rsidRPr="007937FA">
              <w:rPr>
                <w:rFonts w:ascii="Arial" w:hAnsi="Arial" w:cs="Arial"/>
                <w:noProof/>
                <w:webHidden/>
              </w:rPr>
              <w:instrText xml:space="preserve"> PAGEREF _Toc233313425 \h </w:instrText>
            </w:r>
            <w:r w:rsidRPr="007937FA">
              <w:rPr>
                <w:rFonts w:ascii="Arial" w:hAnsi="Arial" w:cs="Arial"/>
                <w:noProof/>
                <w:webHidden/>
              </w:rPr>
            </w:r>
            <w:r w:rsidRPr="007937FA">
              <w:rPr>
                <w:rFonts w:ascii="Arial" w:hAnsi="Arial" w:cs="Arial"/>
                <w:noProof/>
                <w:webHidden/>
              </w:rPr>
              <w:fldChar w:fldCharType="separate"/>
            </w:r>
            <w:r w:rsidRPr="007937FA">
              <w:rPr>
                <w:rFonts w:ascii="Arial" w:hAnsi="Arial" w:cs="Arial"/>
                <w:noProof/>
                <w:webHidden/>
              </w:rPr>
              <w:t>9</w:t>
            </w:r>
            <w:r w:rsidRPr="007937FA">
              <w:rPr>
                <w:rFonts w:ascii="Arial" w:hAnsi="Arial" w:cs="Arial"/>
                <w:noProof/>
                <w:webHidden/>
              </w:rPr>
              <w:fldChar w:fldCharType="end"/>
            </w:r>
          </w:hyperlink>
        </w:p>
        <w:p w14:paraId="2778C332" w14:textId="77777777" w:rsidR="007937FA" w:rsidRPr="007937FA" w:rsidRDefault="007937FA" w:rsidP="007937FA">
          <w:pPr>
            <w:pStyle w:val="TOC1"/>
            <w:tabs>
              <w:tab w:val="right" w:leader="dot" w:pos="9016"/>
            </w:tabs>
            <w:rPr>
              <w:rFonts w:ascii="Arial" w:eastAsiaTheme="minorEastAsia" w:hAnsi="Arial" w:cs="Arial"/>
              <w:noProof/>
              <w:szCs w:val="24"/>
              <w:lang w:val="en-IN" w:eastAsia="en-IN"/>
            </w:rPr>
          </w:pPr>
          <w:hyperlink w:anchor="_Toc233313426" w:history="1">
            <w:r w:rsidRPr="007937FA">
              <w:rPr>
                <w:rStyle w:val="Hyperlink"/>
                <w:rFonts w:ascii="Arial" w:hAnsi="Arial" w:cs="Arial"/>
                <w:noProof/>
                <w:lang w:val="en-IN"/>
              </w:rPr>
              <w:t>Task 3: Critical Reflection on AI Usage</w:t>
            </w:r>
            <w:r w:rsidRPr="007937FA">
              <w:rPr>
                <w:rFonts w:ascii="Arial" w:hAnsi="Arial" w:cs="Arial"/>
                <w:noProof/>
                <w:webHidden/>
              </w:rPr>
              <w:tab/>
            </w:r>
            <w:r w:rsidRPr="007937FA">
              <w:rPr>
                <w:rFonts w:ascii="Arial" w:hAnsi="Arial" w:cs="Arial"/>
                <w:noProof/>
                <w:webHidden/>
              </w:rPr>
              <w:fldChar w:fldCharType="begin"/>
            </w:r>
            <w:r w:rsidRPr="007937FA">
              <w:rPr>
                <w:rFonts w:ascii="Arial" w:hAnsi="Arial" w:cs="Arial"/>
                <w:noProof/>
                <w:webHidden/>
              </w:rPr>
              <w:instrText xml:space="preserve"> PAGEREF _Toc233313426 \h </w:instrText>
            </w:r>
            <w:r w:rsidRPr="007937FA">
              <w:rPr>
                <w:rFonts w:ascii="Arial" w:hAnsi="Arial" w:cs="Arial"/>
                <w:noProof/>
                <w:webHidden/>
              </w:rPr>
            </w:r>
            <w:r w:rsidRPr="007937FA">
              <w:rPr>
                <w:rFonts w:ascii="Arial" w:hAnsi="Arial" w:cs="Arial"/>
                <w:noProof/>
                <w:webHidden/>
              </w:rPr>
              <w:fldChar w:fldCharType="separate"/>
            </w:r>
            <w:r w:rsidRPr="007937FA">
              <w:rPr>
                <w:rFonts w:ascii="Arial" w:hAnsi="Arial" w:cs="Arial"/>
                <w:noProof/>
                <w:webHidden/>
              </w:rPr>
              <w:t>10</w:t>
            </w:r>
            <w:r w:rsidRPr="007937FA">
              <w:rPr>
                <w:rFonts w:ascii="Arial" w:hAnsi="Arial" w:cs="Arial"/>
                <w:noProof/>
                <w:webHidden/>
              </w:rPr>
              <w:fldChar w:fldCharType="end"/>
            </w:r>
          </w:hyperlink>
        </w:p>
        <w:p w14:paraId="5EE511C8" w14:textId="77777777" w:rsidR="007937FA" w:rsidRPr="007937FA" w:rsidRDefault="007937FA" w:rsidP="007937FA">
          <w:pPr>
            <w:pStyle w:val="TOC2"/>
            <w:tabs>
              <w:tab w:val="right" w:leader="dot" w:pos="9016"/>
            </w:tabs>
            <w:rPr>
              <w:rFonts w:ascii="Arial" w:eastAsiaTheme="minorEastAsia" w:hAnsi="Arial" w:cs="Arial"/>
              <w:noProof/>
              <w:szCs w:val="24"/>
              <w:lang w:val="en-IN" w:eastAsia="en-IN"/>
            </w:rPr>
          </w:pPr>
          <w:hyperlink w:anchor="_Toc233313427" w:history="1">
            <w:r w:rsidRPr="007937FA">
              <w:rPr>
                <w:rStyle w:val="Hyperlink"/>
                <w:rFonts w:ascii="Arial" w:hAnsi="Arial" w:cs="Arial"/>
                <w:noProof/>
                <w:lang w:val="en-IN"/>
              </w:rPr>
              <w:t>a. Tool Disclosure</w:t>
            </w:r>
            <w:r w:rsidRPr="007937FA">
              <w:rPr>
                <w:rFonts w:ascii="Arial" w:hAnsi="Arial" w:cs="Arial"/>
                <w:noProof/>
                <w:webHidden/>
              </w:rPr>
              <w:tab/>
            </w:r>
            <w:r w:rsidRPr="007937FA">
              <w:rPr>
                <w:rFonts w:ascii="Arial" w:hAnsi="Arial" w:cs="Arial"/>
                <w:noProof/>
                <w:webHidden/>
              </w:rPr>
              <w:fldChar w:fldCharType="begin"/>
            </w:r>
            <w:r w:rsidRPr="007937FA">
              <w:rPr>
                <w:rFonts w:ascii="Arial" w:hAnsi="Arial" w:cs="Arial"/>
                <w:noProof/>
                <w:webHidden/>
              </w:rPr>
              <w:instrText xml:space="preserve"> PAGEREF _Toc233313427 \h </w:instrText>
            </w:r>
            <w:r w:rsidRPr="007937FA">
              <w:rPr>
                <w:rFonts w:ascii="Arial" w:hAnsi="Arial" w:cs="Arial"/>
                <w:noProof/>
                <w:webHidden/>
              </w:rPr>
            </w:r>
            <w:r w:rsidRPr="007937FA">
              <w:rPr>
                <w:rFonts w:ascii="Arial" w:hAnsi="Arial" w:cs="Arial"/>
                <w:noProof/>
                <w:webHidden/>
              </w:rPr>
              <w:fldChar w:fldCharType="separate"/>
            </w:r>
            <w:r w:rsidRPr="007937FA">
              <w:rPr>
                <w:rFonts w:ascii="Arial" w:hAnsi="Arial" w:cs="Arial"/>
                <w:noProof/>
                <w:webHidden/>
              </w:rPr>
              <w:t>10</w:t>
            </w:r>
            <w:r w:rsidRPr="007937FA">
              <w:rPr>
                <w:rFonts w:ascii="Arial" w:hAnsi="Arial" w:cs="Arial"/>
                <w:noProof/>
                <w:webHidden/>
              </w:rPr>
              <w:fldChar w:fldCharType="end"/>
            </w:r>
          </w:hyperlink>
        </w:p>
        <w:p w14:paraId="14E7FD7A" w14:textId="77777777" w:rsidR="007937FA" w:rsidRPr="007937FA" w:rsidRDefault="007937FA" w:rsidP="007937FA">
          <w:pPr>
            <w:pStyle w:val="TOC2"/>
            <w:tabs>
              <w:tab w:val="right" w:leader="dot" w:pos="9016"/>
            </w:tabs>
            <w:rPr>
              <w:rFonts w:ascii="Arial" w:eastAsiaTheme="minorEastAsia" w:hAnsi="Arial" w:cs="Arial"/>
              <w:noProof/>
              <w:szCs w:val="24"/>
              <w:lang w:val="en-IN" w:eastAsia="en-IN"/>
            </w:rPr>
          </w:pPr>
          <w:hyperlink w:anchor="_Toc233313428" w:history="1">
            <w:r w:rsidRPr="007937FA">
              <w:rPr>
                <w:rStyle w:val="Hyperlink"/>
                <w:rFonts w:ascii="Arial" w:hAnsi="Arial" w:cs="Arial"/>
                <w:noProof/>
                <w:lang w:val="en-IN"/>
              </w:rPr>
              <w:t>b. Critical Evaluation of AI Output</w:t>
            </w:r>
            <w:r w:rsidRPr="007937FA">
              <w:rPr>
                <w:rFonts w:ascii="Arial" w:hAnsi="Arial" w:cs="Arial"/>
                <w:noProof/>
                <w:webHidden/>
              </w:rPr>
              <w:tab/>
            </w:r>
            <w:r w:rsidRPr="007937FA">
              <w:rPr>
                <w:rFonts w:ascii="Arial" w:hAnsi="Arial" w:cs="Arial"/>
                <w:noProof/>
                <w:webHidden/>
              </w:rPr>
              <w:fldChar w:fldCharType="begin"/>
            </w:r>
            <w:r w:rsidRPr="007937FA">
              <w:rPr>
                <w:rFonts w:ascii="Arial" w:hAnsi="Arial" w:cs="Arial"/>
                <w:noProof/>
                <w:webHidden/>
              </w:rPr>
              <w:instrText xml:space="preserve"> PAGEREF _Toc233313428 \h </w:instrText>
            </w:r>
            <w:r w:rsidRPr="007937FA">
              <w:rPr>
                <w:rFonts w:ascii="Arial" w:hAnsi="Arial" w:cs="Arial"/>
                <w:noProof/>
                <w:webHidden/>
              </w:rPr>
            </w:r>
            <w:r w:rsidRPr="007937FA">
              <w:rPr>
                <w:rFonts w:ascii="Arial" w:hAnsi="Arial" w:cs="Arial"/>
                <w:noProof/>
                <w:webHidden/>
              </w:rPr>
              <w:fldChar w:fldCharType="separate"/>
            </w:r>
            <w:r w:rsidRPr="007937FA">
              <w:rPr>
                <w:rFonts w:ascii="Arial" w:hAnsi="Arial" w:cs="Arial"/>
                <w:noProof/>
                <w:webHidden/>
              </w:rPr>
              <w:t>10</w:t>
            </w:r>
            <w:r w:rsidRPr="007937FA">
              <w:rPr>
                <w:rFonts w:ascii="Arial" w:hAnsi="Arial" w:cs="Arial"/>
                <w:noProof/>
                <w:webHidden/>
              </w:rPr>
              <w:fldChar w:fldCharType="end"/>
            </w:r>
          </w:hyperlink>
        </w:p>
        <w:p w14:paraId="22F3E04D" w14:textId="77777777" w:rsidR="007937FA" w:rsidRPr="007937FA" w:rsidRDefault="007937FA" w:rsidP="007937FA">
          <w:pPr>
            <w:pStyle w:val="TOC2"/>
            <w:tabs>
              <w:tab w:val="right" w:leader="dot" w:pos="9016"/>
            </w:tabs>
            <w:rPr>
              <w:rFonts w:ascii="Arial" w:eastAsiaTheme="minorEastAsia" w:hAnsi="Arial" w:cs="Arial"/>
              <w:noProof/>
              <w:szCs w:val="24"/>
              <w:lang w:val="en-IN" w:eastAsia="en-IN"/>
            </w:rPr>
          </w:pPr>
          <w:hyperlink w:anchor="_Toc233313429" w:history="1">
            <w:r w:rsidRPr="007937FA">
              <w:rPr>
                <w:rStyle w:val="Hyperlink"/>
                <w:rFonts w:ascii="Arial" w:hAnsi="Arial" w:cs="Arial"/>
                <w:noProof/>
                <w:lang w:val="en-IN"/>
              </w:rPr>
              <w:t>c. Contribution Analysis</w:t>
            </w:r>
            <w:r w:rsidRPr="007937FA">
              <w:rPr>
                <w:rFonts w:ascii="Arial" w:hAnsi="Arial" w:cs="Arial"/>
                <w:noProof/>
                <w:webHidden/>
              </w:rPr>
              <w:tab/>
            </w:r>
            <w:r w:rsidRPr="007937FA">
              <w:rPr>
                <w:rFonts w:ascii="Arial" w:hAnsi="Arial" w:cs="Arial"/>
                <w:noProof/>
                <w:webHidden/>
              </w:rPr>
              <w:fldChar w:fldCharType="begin"/>
            </w:r>
            <w:r w:rsidRPr="007937FA">
              <w:rPr>
                <w:rFonts w:ascii="Arial" w:hAnsi="Arial" w:cs="Arial"/>
                <w:noProof/>
                <w:webHidden/>
              </w:rPr>
              <w:instrText xml:space="preserve"> PAGEREF _Toc233313429 \h </w:instrText>
            </w:r>
            <w:r w:rsidRPr="007937FA">
              <w:rPr>
                <w:rFonts w:ascii="Arial" w:hAnsi="Arial" w:cs="Arial"/>
                <w:noProof/>
                <w:webHidden/>
              </w:rPr>
            </w:r>
            <w:r w:rsidRPr="007937FA">
              <w:rPr>
                <w:rFonts w:ascii="Arial" w:hAnsi="Arial" w:cs="Arial"/>
                <w:noProof/>
                <w:webHidden/>
              </w:rPr>
              <w:fldChar w:fldCharType="separate"/>
            </w:r>
            <w:r w:rsidRPr="007937FA">
              <w:rPr>
                <w:rFonts w:ascii="Arial" w:hAnsi="Arial" w:cs="Arial"/>
                <w:noProof/>
                <w:webHidden/>
              </w:rPr>
              <w:t>11</w:t>
            </w:r>
            <w:r w:rsidRPr="007937FA">
              <w:rPr>
                <w:rFonts w:ascii="Arial" w:hAnsi="Arial" w:cs="Arial"/>
                <w:noProof/>
                <w:webHidden/>
              </w:rPr>
              <w:fldChar w:fldCharType="end"/>
            </w:r>
          </w:hyperlink>
        </w:p>
        <w:p w14:paraId="00F0BF8C" w14:textId="77777777" w:rsidR="007937FA" w:rsidRPr="007937FA" w:rsidRDefault="007937FA" w:rsidP="007937FA">
          <w:pPr>
            <w:pStyle w:val="TOC2"/>
            <w:tabs>
              <w:tab w:val="right" w:leader="dot" w:pos="9016"/>
            </w:tabs>
            <w:rPr>
              <w:rFonts w:ascii="Arial" w:eastAsiaTheme="minorEastAsia" w:hAnsi="Arial" w:cs="Arial"/>
              <w:noProof/>
              <w:szCs w:val="24"/>
              <w:lang w:val="en-IN" w:eastAsia="en-IN"/>
            </w:rPr>
          </w:pPr>
          <w:hyperlink w:anchor="_Toc233313430" w:history="1">
            <w:r w:rsidRPr="007937FA">
              <w:rPr>
                <w:rStyle w:val="Hyperlink"/>
                <w:rFonts w:ascii="Arial" w:hAnsi="Arial" w:cs="Arial"/>
                <w:noProof/>
                <w:lang w:val="en-IN"/>
              </w:rPr>
              <w:t>d. Ethical and Professional Reflection</w:t>
            </w:r>
            <w:r w:rsidRPr="007937FA">
              <w:rPr>
                <w:rFonts w:ascii="Arial" w:hAnsi="Arial" w:cs="Arial"/>
                <w:noProof/>
                <w:webHidden/>
              </w:rPr>
              <w:tab/>
            </w:r>
            <w:r w:rsidRPr="007937FA">
              <w:rPr>
                <w:rFonts w:ascii="Arial" w:hAnsi="Arial" w:cs="Arial"/>
                <w:noProof/>
                <w:webHidden/>
              </w:rPr>
              <w:fldChar w:fldCharType="begin"/>
            </w:r>
            <w:r w:rsidRPr="007937FA">
              <w:rPr>
                <w:rFonts w:ascii="Arial" w:hAnsi="Arial" w:cs="Arial"/>
                <w:noProof/>
                <w:webHidden/>
              </w:rPr>
              <w:instrText xml:space="preserve"> PAGEREF _Toc233313430 \h </w:instrText>
            </w:r>
            <w:r w:rsidRPr="007937FA">
              <w:rPr>
                <w:rFonts w:ascii="Arial" w:hAnsi="Arial" w:cs="Arial"/>
                <w:noProof/>
                <w:webHidden/>
              </w:rPr>
            </w:r>
            <w:r w:rsidRPr="007937FA">
              <w:rPr>
                <w:rFonts w:ascii="Arial" w:hAnsi="Arial" w:cs="Arial"/>
                <w:noProof/>
                <w:webHidden/>
              </w:rPr>
              <w:fldChar w:fldCharType="separate"/>
            </w:r>
            <w:r w:rsidRPr="007937FA">
              <w:rPr>
                <w:rFonts w:ascii="Arial" w:hAnsi="Arial" w:cs="Arial"/>
                <w:noProof/>
                <w:webHidden/>
              </w:rPr>
              <w:t>11</w:t>
            </w:r>
            <w:r w:rsidRPr="007937FA">
              <w:rPr>
                <w:rFonts w:ascii="Arial" w:hAnsi="Arial" w:cs="Arial"/>
                <w:noProof/>
                <w:webHidden/>
              </w:rPr>
              <w:fldChar w:fldCharType="end"/>
            </w:r>
          </w:hyperlink>
        </w:p>
        <w:p w14:paraId="2EF0FB9B" w14:textId="77777777" w:rsidR="007937FA" w:rsidRPr="007937FA" w:rsidRDefault="007937FA" w:rsidP="007937FA">
          <w:pPr>
            <w:pStyle w:val="TOC1"/>
            <w:tabs>
              <w:tab w:val="right" w:leader="dot" w:pos="9016"/>
            </w:tabs>
            <w:rPr>
              <w:rFonts w:ascii="Arial" w:eastAsiaTheme="minorEastAsia" w:hAnsi="Arial" w:cs="Arial"/>
              <w:noProof/>
              <w:szCs w:val="24"/>
              <w:lang w:val="en-IN" w:eastAsia="en-IN"/>
            </w:rPr>
          </w:pPr>
          <w:hyperlink w:anchor="_Toc233313431" w:history="1">
            <w:r w:rsidRPr="007937FA">
              <w:rPr>
                <w:rStyle w:val="Hyperlink"/>
                <w:rFonts w:ascii="Arial" w:hAnsi="Arial" w:cs="Arial"/>
                <w:noProof/>
                <w:lang w:val="en-IN"/>
              </w:rPr>
              <w:t>Conclusion</w:t>
            </w:r>
            <w:r w:rsidRPr="007937FA">
              <w:rPr>
                <w:rFonts w:ascii="Arial" w:hAnsi="Arial" w:cs="Arial"/>
                <w:noProof/>
                <w:webHidden/>
              </w:rPr>
              <w:tab/>
            </w:r>
            <w:r w:rsidRPr="007937FA">
              <w:rPr>
                <w:rFonts w:ascii="Arial" w:hAnsi="Arial" w:cs="Arial"/>
                <w:noProof/>
                <w:webHidden/>
              </w:rPr>
              <w:fldChar w:fldCharType="begin"/>
            </w:r>
            <w:r w:rsidRPr="007937FA">
              <w:rPr>
                <w:rFonts w:ascii="Arial" w:hAnsi="Arial" w:cs="Arial"/>
                <w:noProof/>
                <w:webHidden/>
              </w:rPr>
              <w:instrText xml:space="preserve"> PAGEREF _Toc233313431 \h </w:instrText>
            </w:r>
            <w:r w:rsidRPr="007937FA">
              <w:rPr>
                <w:rFonts w:ascii="Arial" w:hAnsi="Arial" w:cs="Arial"/>
                <w:noProof/>
                <w:webHidden/>
              </w:rPr>
            </w:r>
            <w:r w:rsidRPr="007937FA">
              <w:rPr>
                <w:rFonts w:ascii="Arial" w:hAnsi="Arial" w:cs="Arial"/>
                <w:noProof/>
                <w:webHidden/>
              </w:rPr>
              <w:fldChar w:fldCharType="separate"/>
            </w:r>
            <w:r w:rsidRPr="007937FA">
              <w:rPr>
                <w:rFonts w:ascii="Arial" w:hAnsi="Arial" w:cs="Arial"/>
                <w:noProof/>
                <w:webHidden/>
              </w:rPr>
              <w:t>11</w:t>
            </w:r>
            <w:r w:rsidRPr="007937FA">
              <w:rPr>
                <w:rFonts w:ascii="Arial" w:hAnsi="Arial" w:cs="Arial"/>
                <w:noProof/>
                <w:webHidden/>
              </w:rPr>
              <w:fldChar w:fldCharType="end"/>
            </w:r>
          </w:hyperlink>
        </w:p>
        <w:p w14:paraId="6DF1476B" w14:textId="77777777" w:rsidR="007937FA" w:rsidRPr="007937FA" w:rsidRDefault="007937FA" w:rsidP="007937FA">
          <w:pPr>
            <w:pStyle w:val="TOC1"/>
            <w:tabs>
              <w:tab w:val="right" w:leader="dot" w:pos="9016"/>
            </w:tabs>
            <w:rPr>
              <w:rFonts w:ascii="Arial" w:eastAsiaTheme="minorEastAsia" w:hAnsi="Arial" w:cs="Arial"/>
              <w:noProof/>
              <w:szCs w:val="24"/>
              <w:lang w:val="en-IN" w:eastAsia="en-IN"/>
            </w:rPr>
          </w:pPr>
          <w:hyperlink w:anchor="_Toc233313432" w:history="1">
            <w:r w:rsidRPr="007937FA">
              <w:rPr>
                <w:rStyle w:val="Hyperlink"/>
                <w:rFonts w:ascii="Arial" w:hAnsi="Arial" w:cs="Arial"/>
                <w:noProof/>
                <w:lang w:val="en-IN"/>
              </w:rPr>
              <w:t>References</w:t>
            </w:r>
            <w:r w:rsidRPr="007937FA">
              <w:rPr>
                <w:rFonts w:ascii="Arial" w:hAnsi="Arial" w:cs="Arial"/>
                <w:noProof/>
                <w:webHidden/>
              </w:rPr>
              <w:tab/>
            </w:r>
            <w:r w:rsidRPr="007937FA">
              <w:rPr>
                <w:rFonts w:ascii="Arial" w:hAnsi="Arial" w:cs="Arial"/>
                <w:noProof/>
                <w:webHidden/>
              </w:rPr>
              <w:fldChar w:fldCharType="begin"/>
            </w:r>
            <w:r w:rsidRPr="007937FA">
              <w:rPr>
                <w:rFonts w:ascii="Arial" w:hAnsi="Arial" w:cs="Arial"/>
                <w:noProof/>
                <w:webHidden/>
              </w:rPr>
              <w:instrText xml:space="preserve"> PAGEREF _Toc233313432 \h </w:instrText>
            </w:r>
            <w:r w:rsidRPr="007937FA">
              <w:rPr>
                <w:rFonts w:ascii="Arial" w:hAnsi="Arial" w:cs="Arial"/>
                <w:noProof/>
                <w:webHidden/>
              </w:rPr>
            </w:r>
            <w:r w:rsidRPr="007937FA">
              <w:rPr>
                <w:rFonts w:ascii="Arial" w:hAnsi="Arial" w:cs="Arial"/>
                <w:noProof/>
                <w:webHidden/>
              </w:rPr>
              <w:fldChar w:fldCharType="separate"/>
            </w:r>
            <w:r w:rsidRPr="007937FA">
              <w:rPr>
                <w:rFonts w:ascii="Arial" w:hAnsi="Arial" w:cs="Arial"/>
                <w:noProof/>
                <w:webHidden/>
              </w:rPr>
              <w:t>13</w:t>
            </w:r>
            <w:r w:rsidRPr="007937FA">
              <w:rPr>
                <w:rFonts w:ascii="Arial" w:hAnsi="Arial" w:cs="Arial"/>
                <w:noProof/>
                <w:webHidden/>
              </w:rPr>
              <w:fldChar w:fldCharType="end"/>
            </w:r>
          </w:hyperlink>
        </w:p>
        <w:p w14:paraId="5C4DBE9B" w14:textId="77777777" w:rsidR="007937FA" w:rsidRPr="007937FA" w:rsidRDefault="007937FA" w:rsidP="007937FA">
          <w:pPr>
            <w:rPr>
              <w:rFonts w:ascii="Arial" w:hAnsi="Arial" w:cs="Arial"/>
            </w:rPr>
          </w:pPr>
          <w:r w:rsidRPr="007937FA">
            <w:rPr>
              <w:rFonts w:ascii="Arial" w:hAnsi="Arial" w:cs="Arial"/>
              <w:b/>
              <w:bCs/>
              <w:noProof/>
            </w:rPr>
            <w:fldChar w:fldCharType="end"/>
          </w:r>
        </w:p>
      </w:sdtContent>
    </w:sdt>
    <w:p w14:paraId="2D9623BD" w14:textId="77777777" w:rsidR="007937FA" w:rsidRPr="007937FA" w:rsidRDefault="007937FA" w:rsidP="007937FA">
      <w:pPr>
        <w:jc w:val="left"/>
        <w:rPr>
          <w:rFonts w:ascii="Arial" w:hAnsi="Arial" w:cs="Arial"/>
          <w:b/>
          <w:bCs/>
          <w:lang w:val="en-IN"/>
        </w:rPr>
      </w:pPr>
      <w:r w:rsidRPr="007937FA">
        <w:rPr>
          <w:rFonts w:ascii="Arial" w:hAnsi="Arial" w:cs="Arial"/>
          <w:b/>
          <w:bCs/>
          <w:lang w:val="en-IN"/>
        </w:rPr>
        <w:br w:type="page"/>
      </w:r>
    </w:p>
    <w:p w14:paraId="73E5E4EC" w14:textId="77777777" w:rsidR="007937FA" w:rsidRPr="007937FA" w:rsidRDefault="007937FA" w:rsidP="007937FA">
      <w:pPr>
        <w:pStyle w:val="Heading1"/>
        <w:spacing w:line="360" w:lineRule="auto"/>
        <w:rPr>
          <w:rFonts w:ascii="Arial" w:hAnsi="Arial" w:cs="Arial"/>
        </w:rPr>
      </w:pPr>
      <w:bookmarkStart w:id="0" w:name="_Toc233313417"/>
      <w:r w:rsidRPr="007937FA">
        <w:rPr>
          <w:rFonts w:ascii="Arial" w:hAnsi="Arial" w:cs="Arial"/>
        </w:rPr>
        <w:lastRenderedPageBreak/>
        <w:t>Introduction</w:t>
      </w:r>
      <w:bookmarkEnd w:id="0"/>
    </w:p>
    <w:p w14:paraId="558C14B7" w14:textId="77777777" w:rsidR="007937FA" w:rsidRPr="007937FA" w:rsidRDefault="007937FA" w:rsidP="007937FA">
      <w:pPr>
        <w:rPr>
          <w:rFonts w:ascii="Arial" w:hAnsi="Arial" w:cs="Arial"/>
          <w:lang w:val="en-IN"/>
        </w:rPr>
      </w:pPr>
      <w:r w:rsidRPr="007937FA">
        <w:rPr>
          <w:rFonts w:ascii="Arial" w:hAnsi="Arial" w:cs="Arial"/>
          <w:lang w:val="en-IN"/>
        </w:rPr>
        <w:t>The mining and metals industry is a leading source of greenhouse gas emissions among the 12,000 largest companies in the world, as the production of steel continues to be among the most energy-intensive industries in the world (OECD, 2024). Steelmakers are therefore under increasing pressure to minimize emissions owing to climate change, increasing regulation and escalating stakeholder demands. Tata Steel, the biggest Indian steel producer and having significant operations in the United Kingdom and the Netherlands, has the goal of achieving net-zero emissions in its global operations by 2045 (Tata Steel, 2024).</w:t>
      </w:r>
    </w:p>
    <w:p w14:paraId="7A03885E" w14:textId="77777777" w:rsidR="007937FA" w:rsidRPr="007937FA" w:rsidRDefault="007937FA" w:rsidP="007937FA">
      <w:pPr>
        <w:rPr>
          <w:rFonts w:ascii="Arial" w:hAnsi="Arial" w:cs="Arial"/>
          <w:lang w:val="en-IN"/>
        </w:rPr>
      </w:pPr>
      <w:r w:rsidRPr="007937FA">
        <w:rPr>
          <w:rFonts w:ascii="Arial" w:hAnsi="Arial" w:cs="Arial"/>
          <w:lang w:val="en-IN"/>
        </w:rPr>
        <w:t>This report is a critical analysis of marketing environment affecting the move of Tata Steel to low-carbon steel products. Specific consideration is made to the Natural Environment actor, which contains risks that are associated with climate and sustainability, the Political and Legal Environment, where the different regulatory systems in India and Europe largely influence business decisions. The report assesses the challenges and opportunities relating to the decarbonisation strategy of Tata Steel using corporate reports, policy documents and industry evidence.</w:t>
      </w:r>
    </w:p>
    <w:p w14:paraId="749380D2" w14:textId="77777777" w:rsidR="007937FA" w:rsidRPr="007937FA" w:rsidRDefault="007937FA" w:rsidP="007937FA">
      <w:pPr>
        <w:pStyle w:val="Heading1"/>
        <w:spacing w:line="360" w:lineRule="auto"/>
        <w:rPr>
          <w:rFonts w:ascii="Arial" w:hAnsi="Arial" w:cs="Arial"/>
        </w:rPr>
      </w:pPr>
      <w:bookmarkStart w:id="1" w:name="_Toc233313418"/>
      <w:r w:rsidRPr="007937FA">
        <w:rPr>
          <w:rFonts w:ascii="Arial" w:hAnsi="Arial" w:cs="Arial"/>
        </w:rPr>
        <w:t>Task 1: Marketing Environment Analysis</w:t>
      </w:r>
      <w:bookmarkEnd w:id="1"/>
    </w:p>
    <w:p w14:paraId="59C1F019" w14:textId="77777777" w:rsidR="007937FA" w:rsidRPr="007937FA" w:rsidRDefault="007937FA" w:rsidP="007937FA">
      <w:pPr>
        <w:pStyle w:val="Heading2"/>
        <w:spacing w:line="360" w:lineRule="auto"/>
        <w:rPr>
          <w:rFonts w:ascii="Arial" w:hAnsi="Arial" w:cs="Arial"/>
        </w:rPr>
      </w:pPr>
      <w:bookmarkStart w:id="2" w:name="_Toc233313419"/>
      <w:r w:rsidRPr="007937FA">
        <w:rPr>
          <w:rFonts w:ascii="Arial" w:hAnsi="Arial" w:cs="Arial"/>
        </w:rPr>
        <w:t>The Natural Environment Actor</w:t>
      </w:r>
      <w:bookmarkEnd w:id="2"/>
    </w:p>
    <w:p w14:paraId="0024DA02" w14:textId="77777777" w:rsidR="007937FA" w:rsidRPr="007937FA" w:rsidRDefault="007937FA" w:rsidP="007937FA">
      <w:pPr>
        <w:rPr>
          <w:rFonts w:ascii="Arial" w:hAnsi="Arial" w:cs="Arial"/>
          <w:lang w:val="en-IN"/>
        </w:rPr>
      </w:pPr>
      <w:r w:rsidRPr="007937FA">
        <w:rPr>
          <w:rFonts w:ascii="Arial" w:hAnsi="Arial" w:cs="Arial"/>
          <w:lang w:val="en-IN"/>
        </w:rPr>
        <w:t>The biggest external factor that has an impact on Tata steel decarbonisation strategy is the Natural Environment. One of the most carbon-intensive industries in the world is steelmaking that produces a significant amount of greenhouse gases through the work of blast furnaces (OECD, 2024). As a result, Tata Steel will encounter physical and transition risk associated with climate change. The physical risks are water shortage in regions of India and the occurrence of extreme weather more frequently which might result in derailment of mining operations, transport, and factories. The risk of transition due to the tightening of carbon rules is that the current blast furnace assets will not be economically viable.</w:t>
      </w:r>
    </w:p>
    <w:p w14:paraId="20CC39EC" w14:textId="77777777" w:rsidR="007937FA" w:rsidRPr="007937FA" w:rsidRDefault="007937FA" w:rsidP="007937FA">
      <w:pPr>
        <w:rPr>
          <w:rFonts w:ascii="Arial" w:hAnsi="Arial" w:cs="Arial"/>
          <w:lang w:val="en-IN"/>
        </w:rPr>
      </w:pPr>
      <w:r w:rsidRPr="007937FA">
        <w:rPr>
          <w:rFonts w:ascii="Arial" w:hAnsi="Arial" w:cs="Arial"/>
          <w:lang w:val="en-IN"/>
        </w:rPr>
        <w:t xml:space="preserve">There is a significant difference in the Indian and European operation of Tata steel. Production in India is still relying heavily on the blast furnace-basic oxygen furnace </w:t>
      </w:r>
      <w:r w:rsidRPr="007937FA">
        <w:rPr>
          <w:rFonts w:ascii="Arial" w:hAnsi="Arial" w:cs="Arial"/>
          <w:lang w:val="en-IN"/>
        </w:rPr>
        <w:lastRenderedPageBreak/>
        <w:t xml:space="preserve">path with continued investments like the new </w:t>
      </w:r>
      <w:proofErr w:type="spellStart"/>
      <w:r w:rsidRPr="007937FA">
        <w:rPr>
          <w:rFonts w:ascii="Arial" w:hAnsi="Arial" w:cs="Arial"/>
          <w:lang w:val="en-IN"/>
        </w:rPr>
        <w:t>Kalinganagar</w:t>
      </w:r>
      <w:proofErr w:type="spellEnd"/>
      <w:r w:rsidRPr="007937FA">
        <w:rPr>
          <w:rFonts w:ascii="Arial" w:hAnsi="Arial" w:cs="Arial"/>
          <w:lang w:val="en-IN"/>
        </w:rPr>
        <w:t xml:space="preserve"> blast furnace (Tata Steel, 2024). Even though the introduction of measures such as scrap utilisation, biochar injection, and carbon capture pilots has been introduced, the effects of the mentioned measures were comparatively low. In Europe the company is seeking more radical changes with electric arc furnaces and the direct reduced iron technologies (Tata Steel UK, </w:t>
      </w:r>
      <w:proofErr w:type="gramStart"/>
      <w:r w:rsidRPr="007937FA">
        <w:rPr>
          <w:rFonts w:ascii="Arial" w:hAnsi="Arial" w:cs="Arial"/>
          <w:lang w:val="en-IN"/>
        </w:rPr>
        <w:t>2025;Tata</w:t>
      </w:r>
      <w:proofErr w:type="gramEnd"/>
      <w:r w:rsidRPr="007937FA">
        <w:rPr>
          <w:rFonts w:ascii="Arial" w:hAnsi="Arial" w:cs="Arial"/>
          <w:lang w:val="en-IN"/>
        </w:rPr>
        <w:t xml:space="preserve"> Steel Nederland, 2025).</w:t>
      </w:r>
    </w:p>
    <w:p w14:paraId="55D6D93E" w14:textId="77777777" w:rsidR="007937FA" w:rsidRPr="007937FA" w:rsidRDefault="007937FA" w:rsidP="007937FA">
      <w:pPr>
        <w:rPr>
          <w:rFonts w:ascii="Arial" w:hAnsi="Arial" w:cs="Arial"/>
          <w:lang w:val="en-IN"/>
        </w:rPr>
      </w:pPr>
      <w:r w:rsidRPr="007937FA">
        <w:rPr>
          <w:rFonts w:ascii="Arial" w:hAnsi="Arial" w:cs="Arial"/>
          <w:lang w:val="en-IN"/>
        </w:rPr>
        <w:t>Although the company has a goal of net-zero by 2045 (Tata Steel Limited, 2025), its investments in long-life blast furnace investments remain a cause of concern about the validity of the target. This implies that regional regulatory forces play a major role in Tata Steel environmental strategy (</w:t>
      </w:r>
      <w:proofErr w:type="spellStart"/>
      <w:r w:rsidRPr="007937FA">
        <w:rPr>
          <w:rFonts w:ascii="Arial" w:hAnsi="Arial" w:cs="Arial"/>
          <w:lang w:val="en-IN"/>
        </w:rPr>
        <w:t>Rumsa</w:t>
      </w:r>
      <w:proofErr w:type="spellEnd"/>
      <w:r w:rsidRPr="007937FA">
        <w:rPr>
          <w:rFonts w:ascii="Arial" w:hAnsi="Arial" w:cs="Arial"/>
          <w:lang w:val="en-IN"/>
        </w:rPr>
        <w:t>, John and Biswas, 2025).</w:t>
      </w:r>
    </w:p>
    <w:p w14:paraId="2E5904D4" w14:textId="77777777" w:rsidR="007937FA" w:rsidRPr="007937FA" w:rsidRDefault="007937FA" w:rsidP="007937FA">
      <w:pPr>
        <w:rPr>
          <w:rFonts w:ascii="Arial" w:hAnsi="Arial" w:cs="Arial"/>
          <w:lang w:val="en-IN"/>
        </w:rPr>
      </w:pPr>
      <w:r w:rsidRPr="007937FA">
        <w:rPr>
          <w:rFonts w:ascii="Arial" w:hAnsi="Arial" w:cs="Arial"/>
          <w:b/>
          <w:bCs/>
          <w:lang w:val="en-IN"/>
        </w:rPr>
        <w:t>Table 1: Tata Steel Decarbonisation Targets and Progress by Region (2025–2045)</w:t>
      </w:r>
    </w:p>
    <w:tbl>
      <w:tblPr>
        <w:tblStyle w:val="GridTable4-Accent1"/>
        <w:tblW w:w="0" w:type="auto"/>
        <w:tblLook w:val="04A0" w:firstRow="1" w:lastRow="0" w:firstColumn="1" w:lastColumn="0" w:noHBand="0" w:noVBand="1"/>
      </w:tblPr>
      <w:tblGrid>
        <w:gridCol w:w="1525"/>
        <w:gridCol w:w="1147"/>
        <w:gridCol w:w="2145"/>
        <w:gridCol w:w="2301"/>
        <w:gridCol w:w="1898"/>
      </w:tblGrid>
      <w:tr w:rsidR="007937FA" w:rsidRPr="007937FA" w14:paraId="35D6C9F6" w14:textId="77777777" w:rsidTr="00A602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1B02AC" w14:textId="77777777" w:rsidR="007937FA" w:rsidRPr="007937FA" w:rsidRDefault="007937FA" w:rsidP="007937FA">
            <w:pPr>
              <w:spacing w:after="160"/>
              <w:rPr>
                <w:rFonts w:ascii="Arial" w:hAnsi="Arial" w:cs="Arial"/>
                <w:lang w:val="en-IN"/>
              </w:rPr>
            </w:pPr>
            <w:r w:rsidRPr="007937FA">
              <w:rPr>
                <w:rFonts w:ascii="Arial" w:hAnsi="Arial" w:cs="Arial"/>
                <w:lang w:val="en-IN"/>
              </w:rPr>
              <w:t>Region</w:t>
            </w:r>
          </w:p>
        </w:tc>
        <w:tc>
          <w:tcPr>
            <w:tcW w:w="0" w:type="auto"/>
            <w:hideMark/>
          </w:tcPr>
          <w:p w14:paraId="2F42492B" w14:textId="77777777" w:rsidR="007937FA" w:rsidRPr="007937FA" w:rsidRDefault="007937FA" w:rsidP="007937FA">
            <w:pPr>
              <w:spacing w:after="160"/>
              <w:cnfStyle w:val="100000000000" w:firstRow="1"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Net-Zero Target</w:t>
            </w:r>
          </w:p>
        </w:tc>
        <w:tc>
          <w:tcPr>
            <w:tcW w:w="0" w:type="auto"/>
            <w:hideMark/>
          </w:tcPr>
          <w:p w14:paraId="1CFDB171" w14:textId="77777777" w:rsidR="007937FA" w:rsidRPr="007937FA" w:rsidRDefault="007937FA" w:rsidP="007937FA">
            <w:pPr>
              <w:spacing w:after="160"/>
              <w:cnfStyle w:val="100000000000" w:firstRow="1"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Key Technologies and Initiatives</w:t>
            </w:r>
          </w:p>
        </w:tc>
        <w:tc>
          <w:tcPr>
            <w:tcW w:w="0" w:type="auto"/>
            <w:hideMark/>
          </w:tcPr>
          <w:p w14:paraId="4B8D0614" w14:textId="77777777" w:rsidR="007937FA" w:rsidRPr="007937FA" w:rsidRDefault="007937FA" w:rsidP="007937FA">
            <w:pPr>
              <w:spacing w:after="160"/>
              <w:cnfStyle w:val="100000000000" w:firstRow="1"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Progress as of 2025</w:t>
            </w:r>
          </w:p>
        </w:tc>
        <w:tc>
          <w:tcPr>
            <w:tcW w:w="0" w:type="auto"/>
            <w:hideMark/>
          </w:tcPr>
          <w:p w14:paraId="7C2F18C9" w14:textId="77777777" w:rsidR="007937FA" w:rsidRPr="007937FA" w:rsidRDefault="007937FA" w:rsidP="007937FA">
            <w:pPr>
              <w:spacing w:after="160"/>
              <w:cnfStyle w:val="100000000000" w:firstRow="1"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Major Challenges</w:t>
            </w:r>
          </w:p>
        </w:tc>
      </w:tr>
      <w:tr w:rsidR="007937FA" w:rsidRPr="007937FA" w14:paraId="30BD074A" w14:textId="77777777" w:rsidTr="00A602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0EAE6C" w14:textId="77777777" w:rsidR="007937FA" w:rsidRPr="007937FA" w:rsidRDefault="007937FA" w:rsidP="007937FA">
            <w:pPr>
              <w:spacing w:after="160"/>
              <w:rPr>
                <w:rFonts w:ascii="Arial" w:hAnsi="Arial" w:cs="Arial"/>
                <w:lang w:val="en-IN"/>
              </w:rPr>
            </w:pPr>
            <w:r w:rsidRPr="007937FA">
              <w:rPr>
                <w:rFonts w:ascii="Arial" w:hAnsi="Arial" w:cs="Arial"/>
                <w:lang w:val="en-IN"/>
              </w:rPr>
              <w:t>India</w:t>
            </w:r>
          </w:p>
        </w:tc>
        <w:tc>
          <w:tcPr>
            <w:tcW w:w="0" w:type="auto"/>
            <w:hideMark/>
          </w:tcPr>
          <w:p w14:paraId="2A4626B9" w14:textId="77777777" w:rsidR="007937FA" w:rsidRPr="007937FA" w:rsidRDefault="007937FA" w:rsidP="007937FA">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7937FA">
              <w:rPr>
                <w:rFonts w:ascii="Arial" w:hAnsi="Arial" w:cs="Arial"/>
                <w:lang w:val="en-IN"/>
              </w:rPr>
              <w:t>2045</w:t>
            </w:r>
          </w:p>
        </w:tc>
        <w:tc>
          <w:tcPr>
            <w:tcW w:w="0" w:type="auto"/>
            <w:hideMark/>
          </w:tcPr>
          <w:p w14:paraId="6048579A" w14:textId="77777777" w:rsidR="007937FA" w:rsidRPr="007937FA" w:rsidRDefault="007937FA" w:rsidP="007937FA">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7937FA">
              <w:rPr>
                <w:rFonts w:ascii="Arial" w:hAnsi="Arial" w:cs="Arial"/>
                <w:lang w:val="en-IN"/>
              </w:rPr>
              <w:t>Biochar injection, scrap blending, carbon capture pilot, new EAF in Ludhiana</w:t>
            </w:r>
          </w:p>
        </w:tc>
        <w:tc>
          <w:tcPr>
            <w:tcW w:w="0" w:type="auto"/>
            <w:hideMark/>
          </w:tcPr>
          <w:p w14:paraId="5255AB53" w14:textId="77777777" w:rsidR="007937FA" w:rsidRPr="007937FA" w:rsidRDefault="007937FA" w:rsidP="007937FA">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7937FA">
              <w:rPr>
                <w:rFonts w:ascii="Arial" w:hAnsi="Arial" w:cs="Arial"/>
                <w:lang w:val="en-IN"/>
              </w:rPr>
              <w:t>Incremental improvements; new blast furnace capacity added</w:t>
            </w:r>
          </w:p>
        </w:tc>
        <w:tc>
          <w:tcPr>
            <w:tcW w:w="0" w:type="auto"/>
            <w:hideMark/>
          </w:tcPr>
          <w:p w14:paraId="3B9A7D13" w14:textId="77777777" w:rsidR="007937FA" w:rsidRPr="007937FA" w:rsidRDefault="007937FA" w:rsidP="007937FA">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7937FA">
              <w:rPr>
                <w:rFonts w:ascii="Arial" w:hAnsi="Arial" w:cs="Arial"/>
                <w:lang w:val="en-IN"/>
              </w:rPr>
              <w:t>Continued BF expansion; limited green hydrogen availability</w:t>
            </w:r>
          </w:p>
        </w:tc>
      </w:tr>
      <w:tr w:rsidR="007937FA" w:rsidRPr="007937FA" w14:paraId="256A33A3" w14:textId="77777777" w:rsidTr="00A602E2">
        <w:tc>
          <w:tcPr>
            <w:cnfStyle w:val="001000000000" w:firstRow="0" w:lastRow="0" w:firstColumn="1" w:lastColumn="0" w:oddVBand="0" w:evenVBand="0" w:oddHBand="0" w:evenHBand="0" w:firstRowFirstColumn="0" w:firstRowLastColumn="0" w:lastRowFirstColumn="0" w:lastRowLastColumn="0"/>
            <w:tcW w:w="0" w:type="auto"/>
            <w:hideMark/>
          </w:tcPr>
          <w:p w14:paraId="5ECD5D00" w14:textId="77777777" w:rsidR="007937FA" w:rsidRPr="007937FA" w:rsidRDefault="007937FA" w:rsidP="007937FA">
            <w:pPr>
              <w:spacing w:after="160"/>
              <w:rPr>
                <w:rFonts w:ascii="Arial" w:hAnsi="Arial" w:cs="Arial"/>
                <w:lang w:val="en-IN"/>
              </w:rPr>
            </w:pPr>
            <w:r w:rsidRPr="007937FA">
              <w:rPr>
                <w:rFonts w:ascii="Arial" w:hAnsi="Arial" w:cs="Arial"/>
                <w:lang w:val="en-IN"/>
              </w:rPr>
              <w:t>United Kingdom</w:t>
            </w:r>
          </w:p>
        </w:tc>
        <w:tc>
          <w:tcPr>
            <w:tcW w:w="0" w:type="auto"/>
            <w:hideMark/>
          </w:tcPr>
          <w:p w14:paraId="0775AEE8" w14:textId="77777777" w:rsidR="007937FA" w:rsidRPr="007937FA" w:rsidRDefault="007937FA" w:rsidP="007937FA">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2045 (site level by 2030 for major cuts)</w:t>
            </w:r>
          </w:p>
        </w:tc>
        <w:tc>
          <w:tcPr>
            <w:tcW w:w="0" w:type="auto"/>
            <w:hideMark/>
          </w:tcPr>
          <w:p w14:paraId="48C3AEF5" w14:textId="77777777" w:rsidR="007937FA" w:rsidRPr="007937FA" w:rsidRDefault="007937FA" w:rsidP="007937FA">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Electric Arc Furnace at Port Talbot (£1.25bn investment)</w:t>
            </w:r>
          </w:p>
        </w:tc>
        <w:tc>
          <w:tcPr>
            <w:tcW w:w="0" w:type="auto"/>
            <w:hideMark/>
          </w:tcPr>
          <w:p w14:paraId="161BBB15" w14:textId="77777777" w:rsidR="007937FA" w:rsidRPr="007937FA" w:rsidRDefault="007937FA" w:rsidP="007937FA">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Blast furnaces decommissioned; EAF construction underway</w:t>
            </w:r>
          </w:p>
        </w:tc>
        <w:tc>
          <w:tcPr>
            <w:tcW w:w="0" w:type="auto"/>
            <w:hideMark/>
          </w:tcPr>
          <w:p w14:paraId="40E4D272" w14:textId="77777777" w:rsidR="007937FA" w:rsidRPr="007937FA" w:rsidRDefault="007937FA" w:rsidP="007937FA">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Grid connection delays; just transition for workforce</w:t>
            </w:r>
          </w:p>
        </w:tc>
      </w:tr>
      <w:tr w:rsidR="007937FA" w:rsidRPr="007937FA" w14:paraId="2400C46B" w14:textId="77777777" w:rsidTr="00A602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4BADFB" w14:textId="77777777" w:rsidR="007937FA" w:rsidRPr="007937FA" w:rsidRDefault="007937FA" w:rsidP="007937FA">
            <w:pPr>
              <w:spacing w:after="160"/>
              <w:rPr>
                <w:rFonts w:ascii="Arial" w:hAnsi="Arial" w:cs="Arial"/>
                <w:lang w:val="en-IN"/>
              </w:rPr>
            </w:pPr>
            <w:r w:rsidRPr="007937FA">
              <w:rPr>
                <w:rFonts w:ascii="Arial" w:hAnsi="Arial" w:cs="Arial"/>
                <w:lang w:val="en-IN"/>
              </w:rPr>
              <w:t>Netherlands</w:t>
            </w:r>
          </w:p>
        </w:tc>
        <w:tc>
          <w:tcPr>
            <w:tcW w:w="0" w:type="auto"/>
            <w:hideMark/>
          </w:tcPr>
          <w:p w14:paraId="505E781C" w14:textId="77777777" w:rsidR="007937FA" w:rsidRPr="007937FA" w:rsidRDefault="007937FA" w:rsidP="007937FA">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7937FA">
              <w:rPr>
                <w:rFonts w:ascii="Arial" w:hAnsi="Arial" w:cs="Arial"/>
                <w:lang w:val="en-IN"/>
              </w:rPr>
              <w:t>2045</w:t>
            </w:r>
          </w:p>
        </w:tc>
        <w:tc>
          <w:tcPr>
            <w:tcW w:w="0" w:type="auto"/>
            <w:hideMark/>
          </w:tcPr>
          <w:p w14:paraId="5332A2D0" w14:textId="77777777" w:rsidR="007937FA" w:rsidRPr="007937FA" w:rsidRDefault="007937FA" w:rsidP="007937FA">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7937FA">
              <w:rPr>
                <w:rFonts w:ascii="Arial" w:hAnsi="Arial" w:cs="Arial"/>
                <w:lang w:val="en-IN"/>
              </w:rPr>
              <w:t>Direct Reduced Iron + Electric Arc Furnace (Green Steel Plan)</w:t>
            </w:r>
          </w:p>
        </w:tc>
        <w:tc>
          <w:tcPr>
            <w:tcW w:w="0" w:type="auto"/>
            <w:hideMark/>
          </w:tcPr>
          <w:p w14:paraId="589CDAD4" w14:textId="77777777" w:rsidR="007937FA" w:rsidRPr="007937FA" w:rsidRDefault="007937FA" w:rsidP="007937FA">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7937FA">
              <w:rPr>
                <w:rFonts w:ascii="Arial" w:hAnsi="Arial" w:cs="Arial"/>
                <w:lang w:val="en-IN"/>
              </w:rPr>
              <w:t>Plan submitted; preparatory work ongoing</w:t>
            </w:r>
          </w:p>
        </w:tc>
        <w:tc>
          <w:tcPr>
            <w:tcW w:w="0" w:type="auto"/>
            <w:hideMark/>
          </w:tcPr>
          <w:p w14:paraId="1483EBFB" w14:textId="77777777" w:rsidR="007937FA" w:rsidRPr="007937FA" w:rsidRDefault="007937FA" w:rsidP="007937FA">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7937FA">
              <w:rPr>
                <w:rFonts w:ascii="Arial" w:hAnsi="Arial" w:cs="Arial"/>
                <w:lang w:val="en-IN"/>
              </w:rPr>
              <w:t>Dependence on future hydrogen supply and infrastructure</w:t>
            </w:r>
          </w:p>
        </w:tc>
      </w:tr>
    </w:tbl>
    <w:p w14:paraId="4C7BF43E" w14:textId="77777777" w:rsidR="007937FA" w:rsidRPr="007937FA" w:rsidRDefault="007937FA" w:rsidP="007937FA">
      <w:pPr>
        <w:rPr>
          <w:rFonts w:ascii="Arial" w:hAnsi="Arial" w:cs="Arial"/>
          <w:lang w:val="en-IN"/>
        </w:rPr>
      </w:pPr>
      <w:r w:rsidRPr="007937FA">
        <w:rPr>
          <w:rFonts w:ascii="Arial" w:hAnsi="Arial" w:cs="Arial"/>
          <w:i/>
          <w:iCs/>
          <w:lang w:val="en-IN"/>
        </w:rPr>
        <w:t>Source: Synthesised from Tata Steel (2024), Tata Steel UK (2025), Tata Steel Nederland (2025), and Garg et al. (2023).</w:t>
      </w:r>
    </w:p>
    <w:p w14:paraId="4A55D147" w14:textId="77777777" w:rsidR="007937FA" w:rsidRPr="007937FA" w:rsidRDefault="007937FA" w:rsidP="007937FA">
      <w:pPr>
        <w:pStyle w:val="Heading2"/>
        <w:spacing w:line="360" w:lineRule="auto"/>
        <w:rPr>
          <w:rFonts w:ascii="Arial" w:hAnsi="Arial" w:cs="Arial"/>
        </w:rPr>
      </w:pPr>
      <w:bookmarkStart w:id="3" w:name="_Toc233313420"/>
      <w:r w:rsidRPr="007937FA">
        <w:rPr>
          <w:rFonts w:ascii="Arial" w:hAnsi="Arial" w:cs="Arial"/>
        </w:rPr>
        <w:lastRenderedPageBreak/>
        <w:t>The Political and Legal Environment Actor</w:t>
      </w:r>
      <w:bookmarkEnd w:id="3"/>
    </w:p>
    <w:p w14:paraId="594A7A11" w14:textId="77777777" w:rsidR="007937FA" w:rsidRPr="007937FA" w:rsidRDefault="007937FA" w:rsidP="007937FA">
      <w:pPr>
        <w:rPr>
          <w:rFonts w:ascii="Arial" w:hAnsi="Arial" w:cs="Arial"/>
          <w:lang w:val="en-IN"/>
        </w:rPr>
      </w:pPr>
      <w:r w:rsidRPr="007937FA">
        <w:rPr>
          <w:rFonts w:ascii="Arial" w:hAnsi="Arial" w:cs="Arial"/>
          <w:lang w:val="en-IN"/>
        </w:rPr>
        <w:t>The Political and Legal Environment has a significant impact on Tata Steel decarbonisation structure, however, compared to Europe and India, the regulatory pressures vary significantly. In Europe and especially in the United Kingdom and the Netherlands, more serious environment-related policies in accordance with domestic and European national net-zero goals are propelling a rapid industrial change. The EU Carbon Border Adjustment Mechanism (CBAM) that will be implemented in 2026 will involve imposition of carbon costs on imports that will create powerful financial incentives of low-carbon steel production (</w:t>
      </w:r>
      <w:proofErr w:type="spellStart"/>
      <w:r w:rsidRPr="007937FA">
        <w:rPr>
          <w:rFonts w:ascii="Arial" w:hAnsi="Arial" w:cs="Arial"/>
          <w:lang w:val="en-IN"/>
        </w:rPr>
        <w:t>Eurometal</w:t>
      </w:r>
      <w:proofErr w:type="spellEnd"/>
      <w:r w:rsidRPr="007937FA">
        <w:rPr>
          <w:rFonts w:ascii="Arial" w:hAnsi="Arial" w:cs="Arial"/>
          <w:lang w:val="en-IN"/>
        </w:rPr>
        <w:t>, 2024). Government funding has also made change faster as evidenced by the UK funding the Port Talbot electric arc furnace project (Tata Steel UK, 2025). Likewise, the Green Steel Plan of Tata Steel Nederland has a strong connection with the Dutch government to help industries decarbonise (Tata Steel Nederland, 2025).</w:t>
      </w:r>
    </w:p>
    <w:p w14:paraId="1939BFE3" w14:textId="77777777" w:rsidR="007937FA" w:rsidRPr="007937FA" w:rsidRDefault="007937FA" w:rsidP="007937FA">
      <w:pPr>
        <w:rPr>
          <w:rFonts w:ascii="Arial" w:hAnsi="Arial" w:cs="Arial"/>
          <w:lang w:val="en-IN"/>
        </w:rPr>
      </w:pPr>
      <w:r w:rsidRPr="007937FA">
        <w:rPr>
          <w:rFonts w:ascii="Arial" w:hAnsi="Arial" w:cs="Arial"/>
          <w:lang w:val="en-IN"/>
        </w:rPr>
        <w:t>Conversely, the regulatory environment in India is not very strict as obligatory. Laws like the National Green Hydrogen Mission and the Green Steel Taxonomy promote the production that is less harmful, yet do not offer rigorous penalties to the operations that are the carbon-intensive ones (Ministry of New and Renewable Energy, 2023; PIB Delhi, 2024). Consequently, Tata Steel has more scope to increase the blast furnace capacity and decarbonisation is achieved in stages. Nevertheless, both the principles pose strategic and reputational challenges, with stakeholders paying growing attention to positive sustainability performance in all global operations (CPI, 2025). The ability to hold a plausible net-zero accountability and yet have other regulatory frameworks will be a significant challenge to the firm.</w:t>
      </w:r>
    </w:p>
    <w:p w14:paraId="5783158B" w14:textId="77777777" w:rsidR="007937FA" w:rsidRPr="007937FA" w:rsidRDefault="007937FA" w:rsidP="007937FA">
      <w:pPr>
        <w:rPr>
          <w:rFonts w:ascii="Arial" w:hAnsi="Arial" w:cs="Arial"/>
          <w:lang w:val="en-IN"/>
        </w:rPr>
      </w:pPr>
      <w:r w:rsidRPr="007937FA">
        <w:rPr>
          <w:rFonts w:ascii="Arial" w:hAnsi="Arial" w:cs="Arial"/>
          <w:b/>
          <w:bCs/>
          <w:lang w:val="en-IN"/>
        </w:rPr>
        <w:t>Table 2: Key Political and Legal Drivers – Europe vs India</w:t>
      </w:r>
    </w:p>
    <w:tbl>
      <w:tblPr>
        <w:tblStyle w:val="GridTable4-Accent2"/>
        <w:tblW w:w="0" w:type="auto"/>
        <w:tblLook w:val="04A0" w:firstRow="1" w:lastRow="0" w:firstColumn="1" w:lastColumn="0" w:noHBand="0" w:noVBand="1"/>
      </w:tblPr>
      <w:tblGrid>
        <w:gridCol w:w="1810"/>
        <w:gridCol w:w="2518"/>
        <w:gridCol w:w="2513"/>
        <w:gridCol w:w="2175"/>
      </w:tblGrid>
      <w:tr w:rsidR="007937FA" w:rsidRPr="007937FA" w14:paraId="4D9010DB" w14:textId="77777777" w:rsidTr="00A602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DE6A88" w14:textId="77777777" w:rsidR="007937FA" w:rsidRPr="007937FA" w:rsidRDefault="007937FA" w:rsidP="007937FA">
            <w:pPr>
              <w:spacing w:after="160"/>
              <w:rPr>
                <w:rFonts w:ascii="Arial" w:hAnsi="Arial" w:cs="Arial"/>
                <w:lang w:val="en-IN"/>
              </w:rPr>
            </w:pPr>
            <w:r w:rsidRPr="007937FA">
              <w:rPr>
                <w:rFonts w:ascii="Arial" w:hAnsi="Arial" w:cs="Arial"/>
                <w:lang w:val="en-IN"/>
              </w:rPr>
              <w:t>Factor</w:t>
            </w:r>
          </w:p>
        </w:tc>
        <w:tc>
          <w:tcPr>
            <w:tcW w:w="0" w:type="auto"/>
            <w:hideMark/>
          </w:tcPr>
          <w:p w14:paraId="21A9D8F9" w14:textId="77777777" w:rsidR="007937FA" w:rsidRPr="007937FA" w:rsidRDefault="007937FA" w:rsidP="007937FA">
            <w:pPr>
              <w:spacing w:after="160"/>
              <w:cnfStyle w:val="100000000000" w:firstRow="1"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Europe (UK &amp; Netherlands)</w:t>
            </w:r>
          </w:p>
        </w:tc>
        <w:tc>
          <w:tcPr>
            <w:tcW w:w="0" w:type="auto"/>
            <w:hideMark/>
          </w:tcPr>
          <w:p w14:paraId="0BF57BB6" w14:textId="77777777" w:rsidR="007937FA" w:rsidRPr="007937FA" w:rsidRDefault="007937FA" w:rsidP="007937FA">
            <w:pPr>
              <w:spacing w:after="160"/>
              <w:cnfStyle w:val="100000000000" w:firstRow="1"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India</w:t>
            </w:r>
          </w:p>
        </w:tc>
        <w:tc>
          <w:tcPr>
            <w:tcW w:w="0" w:type="auto"/>
            <w:hideMark/>
          </w:tcPr>
          <w:p w14:paraId="6397B1E2" w14:textId="77777777" w:rsidR="007937FA" w:rsidRPr="007937FA" w:rsidRDefault="007937FA" w:rsidP="007937FA">
            <w:pPr>
              <w:spacing w:after="160"/>
              <w:cnfStyle w:val="100000000000" w:firstRow="1"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Implications for Tata Steel</w:t>
            </w:r>
          </w:p>
        </w:tc>
      </w:tr>
      <w:tr w:rsidR="007937FA" w:rsidRPr="007937FA" w14:paraId="73A5F21C" w14:textId="77777777" w:rsidTr="00A602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E36EA9" w14:textId="77777777" w:rsidR="007937FA" w:rsidRPr="007937FA" w:rsidRDefault="007937FA" w:rsidP="007937FA">
            <w:pPr>
              <w:spacing w:after="160"/>
              <w:rPr>
                <w:rFonts w:ascii="Arial" w:hAnsi="Arial" w:cs="Arial"/>
                <w:lang w:val="en-IN"/>
              </w:rPr>
            </w:pPr>
            <w:r w:rsidRPr="007937FA">
              <w:rPr>
                <w:rFonts w:ascii="Arial" w:hAnsi="Arial" w:cs="Arial"/>
                <w:lang w:val="en-IN"/>
              </w:rPr>
              <w:t>Carbon Pricing / CBAM</w:t>
            </w:r>
          </w:p>
        </w:tc>
        <w:tc>
          <w:tcPr>
            <w:tcW w:w="0" w:type="auto"/>
            <w:hideMark/>
          </w:tcPr>
          <w:p w14:paraId="72191FB6" w14:textId="77777777" w:rsidR="007937FA" w:rsidRPr="007937FA" w:rsidRDefault="007937FA" w:rsidP="007937FA">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7937FA">
              <w:rPr>
                <w:rFonts w:ascii="Arial" w:hAnsi="Arial" w:cs="Arial"/>
                <w:lang w:val="en-IN"/>
              </w:rPr>
              <w:t>CBAM from 2026; existing ETS</w:t>
            </w:r>
          </w:p>
        </w:tc>
        <w:tc>
          <w:tcPr>
            <w:tcW w:w="0" w:type="auto"/>
            <w:hideMark/>
          </w:tcPr>
          <w:p w14:paraId="48E26C8C" w14:textId="77777777" w:rsidR="007937FA" w:rsidRPr="007937FA" w:rsidRDefault="007937FA" w:rsidP="007937FA">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7937FA">
              <w:rPr>
                <w:rFonts w:ascii="Arial" w:hAnsi="Arial" w:cs="Arial"/>
                <w:lang w:val="en-IN"/>
              </w:rPr>
              <w:t>No national carbon price</w:t>
            </w:r>
          </w:p>
        </w:tc>
        <w:tc>
          <w:tcPr>
            <w:tcW w:w="0" w:type="auto"/>
            <w:hideMark/>
          </w:tcPr>
          <w:p w14:paraId="316B1233" w14:textId="77777777" w:rsidR="007937FA" w:rsidRPr="007937FA" w:rsidRDefault="007937FA" w:rsidP="007937FA">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7937FA">
              <w:rPr>
                <w:rFonts w:ascii="Arial" w:hAnsi="Arial" w:cs="Arial"/>
                <w:lang w:val="en-IN"/>
              </w:rPr>
              <w:t>Strong incentive to decarbonise European supply chains</w:t>
            </w:r>
          </w:p>
        </w:tc>
      </w:tr>
      <w:tr w:rsidR="007937FA" w:rsidRPr="007937FA" w14:paraId="6EC36D04" w14:textId="77777777" w:rsidTr="00A602E2">
        <w:tc>
          <w:tcPr>
            <w:cnfStyle w:val="001000000000" w:firstRow="0" w:lastRow="0" w:firstColumn="1" w:lastColumn="0" w:oddVBand="0" w:evenVBand="0" w:oddHBand="0" w:evenHBand="0" w:firstRowFirstColumn="0" w:firstRowLastColumn="0" w:lastRowFirstColumn="0" w:lastRowLastColumn="0"/>
            <w:tcW w:w="0" w:type="auto"/>
            <w:hideMark/>
          </w:tcPr>
          <w:p w14:paraId="4046163B" w14:textId="77777777" w:rsidR="007937FA" w:rsidRPr="007937FA" w:rsidRDefault="007937FA" w:rsidP="007937FA">
            <w:pPr>
              <w:spacing w:after="160"/>
              <w:rPr>
                <w:rFonts w:ascii="Arial" w:hAnsi="Arial" w:cs="Arial"/>
                <w:lang w:val="en-IN"/>
              </w:rPr>
            </w:pPr>
            <w:r w:rsidRPr="007937FA">
              <w:rPr>
                <w:rFonts w:ascii="Arial" w:hAnsi="Arial" w:cs="Arial"/>
                <w:lang w:val="en-IN"/>
              </w:rPr>
              <w:lastRenderedPageBreak/>
              <w:t>Government Financial Support</w:t>
            </w:r>
          </w:p>
        </w:tc>
        <w:tc>
          <w:tcPr>
            <w:tcW w:w="0" w:type="auto"/>
            <w:hideMark/>
          </w:tcPr>
          <w:p w14:paraId="5BCFAB3A" w14:textId="77777777" w:rsidR="007937FA" w:rsidRPr="007937FA" w:rsidRDefault="007937FA" w:rsidP="007937FA">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Significant co-funding (e.g., UK £500m+ for Port Talbot)</w:t>
            </w:r>
          </w:p>
        </w:tc>
        <w:tc>
          <w:tcPr>
            <w:tcW w:w="0" w:type="auto"/>
            <w:hideMark/>
          </w:tcPr>
          <w:p w14:paraId="48E8A916" w14:textId="77777777" w:rsidR="007937FA" w:rsidRPr="007937FA" w:rsidRDefault="007937FA" w:rsidP="007937FA">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Limited direct funding for deep decarbonisation</w:t>
            </w:r>
          </w:p>
        </w:tc>
        <w:tc>
          <w:tcPr>
            <w:tcW w:w="0" w:type="auto"/>
            <w:hideMark/>
          </w:tcPr>
          <w:p w14:paraId="20AB82BE" w14:textId="77777777" w:rsidR="007937FA" w:rsidRPr="007937FA" w:rsidRDefault="007937FA" w:rsidP="007937FA">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Faster transition possible in Europe</w:t>
            </w:r>
          </w:p>
        </w:tc>
      </w:tr>
      <w:tr w:rsidR="007937FA" w:rsidRPr="007937FA" w14:paraId="3094E692" w14:textId="77777777" w:rsidTr="00A602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3A22EB" w14:textId="77777777" w:rsidR="007937FA" w:rsidRPr="007937FA" w:rsidRDefault="007937FA" w:rsidP="007937FA">
            <w:pPr>
              <w:spacing w:after="160"/>
              <w:rPr>
                <w:rFonts w:ascii="Arial" w:hAnsi="Arial" w:cs="Arial"/>
                <w:lang w:val="en-IN"/>
              </w:rPr>
            </w:pPr>
            <w:r w:rsidRPr="007937FA">
              <w:rPr>
                <w:rFonts w:ascii="Arial" w:hAnsi="Arial" w:cs="Arial"/>
                <w:lang w:val="en-IN"/>
              </w:rPr>
              <w:t>Regulatory Timelines</w:t>
            </w:r>
          </w:p>
        </w:tc>
        <w:tc>
          <w:tcPr>
            <w:tcW w:w="0" w:type="auto"/>
            <w:hideMark/>
          </w:tcPr>
          <w:p w14:paraId="035A83F1" w14:textId="77777777" w:rsidR="007937FA" w:rsidRPr="007937FA" w:rsidRDefault="007937FA" w:rsidP="007937FA">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7937FA">
              <w:rPr>
                <w:rFonts w:ascii="Arial" w:hAnsi="Arial" w:cs="Arial"/>
                <w:lang w:val="en-IN"/>
              </w:rPr>
              <w:t>Binding net-zero targets by 2050; interim milestones</w:t>
            </w:r>
          </w:p>
        </w:tc>
        <w:tc>
          <w:tcPr>
            <w:tcW w:w="0" w:type="auto"/>
            <w:hideMark/>
          </w:tcPr>
          <w:p w14:paraId="42845D9D" w14:textId="77777777" w:rsidR="007937FA" w:rsidRPr="007937FA" w:rsidRDefault="007937FA" w:rsidP="007937FA">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7937FA">
              <w:rPr>
                <w:rFonts w:ascii="Arial" w:hAnsi="Arial" w:cs="Arial"/>
                <w:lang w:val="en-IN"/>
              </w:rPr>
              <w:t>Facilitative targets; focus on growth and energy security</w:t>
            </w:r>
          </w:p>
        </w:tc>
        <w:tc>
          <w:tcPr>
            <w:tcW w:w="0" w:type="auto"/>
            <w:hideMark/>
          </w:tcPr>
          <w:p w14:paraId="6B081830" w14:textId="77777777" w:rsidR="007937FA" w:rsidRPr="007937FA" w:rsidRDefault="007937FA" w:rsidP="007937FA">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7937FA">
              <w:rPr>
                <w:rFonts w:ascii="Arial" w:hAnsi="Arial" w:cs="Arial"/>
                <w:lang w:val="en-IN"/>
              </w:rPr>
              <w:t>Different pace of change required in each region</w:t>
            </w:r>
          </w:p>
        </w:tc>
      </w:tr>
      <w:tr w:rsidR="007937FA" w:rsidRPr="007937FA" w14:paraId="1925A969" w14:textId="77777777" w:rsidTr="00A602E2">
        <w:tc>
          <w:tcPr>
            <w:cnfStyle w:val="001000000000" w:firstRow="0" w:lastRow="0" w:firstColumn="1" w:lastColumn="0" w:oddVBand="0" w:evenVBand="0" w:oddHBand="0" w:evenHBand="0" w:firstRowFirstColumn="0" w:firstRowLastColumn="0" w:lastRowFirstColumn="0" w:lastRowLastColumn="0"/>
            <w:tcW w:w="0" w:type="auto"/>
            <w:hideMark/>
          </w:tcPr>
          <w:p w14:paraId="5B5E2FB3" w14:textId="77777777" w:rsidR="007937FA" w:rsidRPr="007937FA" w:rsidRDefault="007937FA" w:rsidP="007937FA">
            <w:pPr>
              <w:spacing w:after="160"/>
              <w:rPr>
                <w:rFonts w:ascii="Arial" w:hAnsi="Arial" w:cs="Arial"/>
                <w:lang w:val="en-IN"/>
              </w:rPr>
            </w:pPr>
            <w:r w:rsidRPr="007937FA">
              <w:rPr>
                <w:rFonts w:ascii="Arial" w:hAnsi="Arial" w:cs="Arial"/>
                <w:lang w:val="en-IN"/>
              </w:rPr>
              <w:t>Policy Instruments</w:t>
            </w:r>
          </w:p>
        </w:tc>
        <w:tc>
          <w:tcPr>
            <w:tcW w:w="0" w:type="auto"/>
            <w:hideMark/>
          </w:tcPr>
          <w:p w14:paraId="4758DCDD" w14:textId="77777777" w:rsidR="007937FA" w:rsidRPr="007937FA" w:rsidRDefault="007937FA" w:rsidP="007937FA">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Green Steel Taxonomy (EU), industrial decarbonisation strategies</w:t>
            </w:r>
          </w:p>
        </w:tc>
        <w:tc>
          <w:tcPr>
            <w:tcW w:w="0" w:type="auto"/>
            <w:hideMark/>
          </w:tcPr>
          <w:p w14:paraId="371DE746" w14:textId="77777777" w:rsidR="007937FA" w:rsidRPr="007937FA" w:rsidRDefault="007937FA" w:rsidP="007937FA">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National Green Hydrogen Mission, Green Steel Taxonomy (India)</w:t>
            </w:r>
          </w:p>
        </w:tc>
        <w:tc>
          <w:tcPr>
            <w:tcW w:w="0" w:type="auto"/>
            <w:hideMark/>
          </w:tcPr>
          <w:p w14:paraId="113E2BDE" w14:textId="77777777" w:rsidR="007937FA" w:rsidRPr="007937FA" w:rsidRDefault="007937FA" w:rsidP="007937FA">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Need for region-specific compliance and investment plans</w:t>
            </w:r>
          </w:p>
        </w:tc>
      </w:tr>
    </w:tbl>
    <w:p w14:paraId="54E0D8BE" w14:textId="77777777" w:rsidR="007937FA" w:rsidRPr="007937FA" w:rsidRDefault="007937FA" w:rsidP="007937FA">
      <w:pPr>
        <w:rPr>
          <w:rFonts w:ascii="Arial" w:hAnsi="Arial" w:cs="Arial"/>
          <w:lang w:val="en-IN"/>
        </w:rPr>
      </w:pPr>
      <w:r w:rsidRPr="007937FA">
        <w:rPr>
          <w:rFonts w:ascii="Arial" w:hAnsi="Arial" w:cs="Arial"/>
          <w:i/>
          <w:iCs/>
          <w:lang w:val="en-IN"/>
        </w:rPr>
        <w:t xml:space="preserve">Source: Synthesised from </w:t>
      </w:r>
      <w:proofErr w:type="spellStart"/>
      <w:r w:rsidRPr="007937FA">
        <w:rPr>
          <w:rFonts w:ascii="Arial" w:hAnsi="Arial" w:cs="Arial"/>
          <w:i/>
          <w:iCs/>
          <w:lang w:val="en-IN"/>
        </w:rPr>
        <w:t>Eurometal</w:t>
      </w:r>
      <w:proofErr w:type="spellEnd"/>
      <w:r w:rsidRPr="007937FA">
        <w:rPr>
          <w:rFonts w:ascii="Arial" w:hAnsi="Arial" w:cs="Arial"/>
          <w:i/>
          <w:iCs/>
          <w:lang w:val="en-IN"/>
        </w:rPr>
        <w:t xml:space="preserve"> (2024), CPI (2025), PIB Delhi (2024), Ministry of New and Renewable Energy (2023), and Indian Steel Association (2025).</w:t>
      </w:r>
    </w:p>
    <w:p w14:paraId="50E7C252" w14:textId="77777777" w:rsidR="007937FA" w:rsidRPr="007937FA" w:rsidRDefault="007937FA" w:rsidP="007937FA">
      <w:pPr>
        <w:pStyle w:val="Heading2"/>
        <w:spacing w:line="360" w:lineRule="auto"/>
        <w:rPr>
          <w:rFonts w:ascii="Arial" w:hAnsi="Arial" w:cs="Arial"/>
        </w:rPr>
      </w:pPr>
      <w:bookmarkStart w:id="4" w:name="_Toc233313421"/>
      <w:r w:rsidRPr="007937FA">
        <w:rPr>
          <w:rFonts w:ascii="Arial" w:hAnsi="Arial" w:cs="Arial"/>
        </w:rPr>
        <w:t>Interplay Between the Two Actors and Strategic Implications</w:t>
      </w:r>
      <w:bookmarkEnd w:id="4"/>
    </w:p>
    <w:p w14:paraId="6616A0B3" w14:textId="77777777" w:rsidR="007937FA" w:rsidRPr="007937FA" w:rsidRDefault="007937FA" w:rsidP="007937FA">
      <w:pPr>
        <w:rPr>
          <w:rFonts w:ascii="Arial" w:hAnsi="Arial" w:cs="Arial"/>
          <w:lang w:val="en-IN"/>
        </w:rPr>
      </w:pPr>
      <w:r w:rsidRPr="007937FA">
        <w:rPr>
          <w:rFonts w:ascii="Arial" w:hAnsi="Arial" w:cs="Arial"/>
          <w:lang w:val="en-IN"/>
        </w:rPr>
        <w:t>Natural Environment and Political and Legal Environment interrelate, constraining and facilitating decarbonisation work of Tata Steel. Regulation in Europe, especially over CBAM and government co-investment, heightens the urgency of managing risks to the natural environment by rendering low-carbon technologies economical and strategic needs (</w:t>
      </w:r>
      <w:proofErr w:type="spellStart"/>
      <w:r w:rsidRPr="007937FA">
        <w:rPr>
          <w:rFonts w:ascii="Arial" w:hAnsi="Arial" w:cs="Arial"/>
          <w:lang w:val="en-IN"/>
        </w:rPr>
        <w:t>Eurometal</w:t>
      </w:r>
      <w:proofErr w:type="spellEnd"/>
      <w:r w:rsidRPr="007937FA">
        <w:rPr>
          <w:rFonts w:ascii="Arial" w:hAnsi="Arial" w:cs="Arial"/>
          <w:lang w:val="en-IN"/>
        </w:rPr>
        <w:t>, 2024). Weak regulatory drivers in India give the company more time to deal with the pressures in the natural environment but increasing global scrutiny and impending exposure to CBAM through exports are starting to affect corporate strategy (CPI, 2025).</w:t>
      </w:r>
    </w:p>
    <w:p w14:paraId="0D1FD5DC" w14:textId="77777777" w:rsidR="007937FA" w:rsidRPr="007937FA" w:rsidRDefault="007937FA" w:rsidP="007937FA">
      <w:pPr>
        <w:rPr>
          <w:rFonts w:ascii="Arial" w:hAnsi="Arial" w:cs="Arial"/>
          <w:lang w:val="en-IN"/>
        </w:rPr>
      </w:pPr>
      <w:r w:rsidRPr="007937FA">
        <w:rPr>
          <w:rFonts w:ascii="Arial" w:hAnsi="Arial" w:cs="Arial"/>
          <w:lang w:val="en-IN"/>
        </w:rPr>
        <w:t>This dynamic generates openings and strains. Tata Steel can use its European transformation to develop credibility and technical expertise which can be transferred to its Indian operations. Nevertheless, the current increase in blast furnace in India will create a threat to global sustainability of the company. These dynamics guide directly the strategic decisions investigated in Task 2, and especially how Tata Steel might obtain a competitive advantage through handling divergent regional pressures.</w:t>
      </w:r>
    </w:p>
    <w:p w14:paraId="195C22CE" w14:textId="77777777" w:rsidR="007937FA" w:rsidRPr="007937FA" w:rsidRDefault="007937FA" w:rsidP="007937FA">
      <w:pPr>
        <w:pStyle w:val="Heading1"/>
        <w:spacing w:line="360" w:lineRule="auto"/>
        <w:rPr>
          <w:rFonts w:ascii="Arial" w:hAnsi="Arial" w:cs="Arial"/>
        </w:rPr>
      </w:pPr>
      <w:bookmarkStart w:id="5" w:name="_Toc233313422"/>
      <w:r w:rsidRPr="007937FA">
        <w:rPr>
          <w:rFonts w:ascii="Arial" w:hAnsi="Arial" w:cs="Arial"/>
        </w:rPr>
        <w:lastRenderedPageBreak/>
        <w:t>Task 2: Strategic Growth and Competitive Positioning</w:t>
      </w:r>
      <w:bookmarkEnd w:id="5"/>
    </w:p>
    <w:p w14:paraId="7EAFF00E" w14:textId="77777777" w:rsidR="007937FA" w:rsidRPr="007937FA" w:rsidRDefault="007937FA" w:rsidP="007937FA">
      <w:pPr>
        <w:pStyle w:val="Heading2"/>
        <w:spacing w:line="360" w:lineRule="auto"/>
        <w:rPr>
          <w:rFonts w:ascii="Arial" w:hAnsi="Arial" w:cs="Arial"/>
        </w:rPr>
      </w:pPr>
      <w:bookmarkStart w:id="6" w:name="_Toc233313423"/>
      <w:r w:rsidRPr="007937FA">
        <w:rPr>
          <w:rFonts w:ascii="Arial" w:hAnsi="Arial" w:cs="Arial"/>
        </w:rPr>
        <w:t>Application of the Ansoff Matrix</w:t>
      </w:r>
      <w:bookmarkEnd w:id="6"/>
    </w:p>
    <w:p w14:paraId="3E994445" w14:textId="77777777" w:rsidR="007937FA" w:rsidRPr="007937FA" w:rsidRDefault="007937FA" w:rsidP="007937FA">
      <w:pPr>
        <w:rPr>
          <w:rFonts w:ascii="Arial" w:hAnsi="Arial" w:cs="Arial"/>
          <w:lang w:val="en-IN"/>
        </w:rPr>
      </w:pPr>
      <w:r w:rsidRPr="007937FA">
        <w:rPr>
          <w:rFonts w:ascii="Arial" w:hAnsi="Arial" w:cs="Arial"/>
          <w:lang w:val="en-IN"/>
        </w:rPr>
        <w:t>Ansoff Matrix suggests four strategic growth opportunities relying on current or novel products and markets: Market Penetration, Market Development, Product Development, and Diversification (Kotler and Armstrong, 2023). In the case of Tata Steel, the framework assists in assessing growth prospects that are in line with environmental and regulatory issues as noted in Task 1.</w:t>
      </w:r>
    </w:p>
    <w:p w14:paraId="18DCD639" w14:textId="77777777" w:rsidR="007937FA" w:rsidRPr="007937FA" w:rsidRDefault="007937FA" w:rsidP="007937FA">
      <w:pPr>
        <w:rPr>
          <w:rFonts w:ascii="Arial" w:hAnsi="Arial" w:cs="Arial"/>
          <w:lang w:val="en-IN"/>
        </w:rPr>
      </w:pPr>
      <w:r w:rsidRPr="007937FA">
        <w:rPr>
          <w:rFonts w:ascii="Arial" w:hAnsi="Arial" w:cs="Arial"/>
          <w:lang w:val="en-IN"/>
        </w:rPr>
        <w:t>Product Development is the most suitable expansion strategy, as indicated by the discussion of Natural Environment and Political and Legal factors. Tata steel already enjoys a presence in the prime markets in India and Europe. Hence, its key issue is not an access to the market but rather creating and commercialising the low-carbon steel products which can respond to the growing regulatory demands and stakeholder expectations, such as those connected with CBAM. This strategy needs to be reinforced with the market Development by identifying new customer segments and target areas requiring certified green steel and ready to pay premium prices.</w:t>
      </w:r>
    </w:p>
    <w:p w14:paraId="6B13034C" w14:textId="77777777" w:rsidR="007937FA" w:rsidRPr="007937FA" w:rsidRDefault="007937FA" w:rsidP="007937FA">
      <w:pPr>
        <w:rPr>
          <w:rFonts w:ascii="Arial" w:hAnsi="Arial" w:cs="Arial"/>
          <w:lang w:val="en-IN"/>
        </w:rPr>
      </w:pPr>
      <w:r w:rsidRPr="007937FA">
        <w:rPr>
          <w:rFonts w:ascii="Arial" w:hAnsi="Arial" w:cs="Arial"/>
          <w:lang w:val="en-IN"/>
        </w:rPr>
        <w:t>Market Penetration is not the most appropriate option since more sales on the current carbon intensive products would not align with the sustainability goals and net-zero of Tata Steel. Neither the strategy of diversification is advised, as it would consume significant resources, and more risk, to venture into completely new line-sets. Tata Steel should instead invest in decarbonisation technologies to attain sustainable product innovation as the key to establish long-term competitive advantage.</w:t>
      </w:r>
    </w:p>
    <w:p w14:paraId="53727C76" w14:textId="77777777" w:rsidR="007937FA" w:rsidRPr="007937FA" w:rsidRDefault="007937FA" w:rsidP="007937FA">
      <w:pPr>
        <w:rPr>
          <w:rFonts w:ascii="Arial" w:hAnsi="Arial" w:cs="Arial"/>
          <w:lang w:val="en-IN"/>
        </w:rPr>
      </w:pPr>
      <w:r w:rsidRPr="007937FA">
        <w:rPr>
          <w:rFonts w:ascii="Arial" w:hAnsi="Arial" w:cs="Arial"/>
          <w:b/>
          <w:bCs/>
          <w:lang w:val="en-IN"/>
        </w:rPr>
        <w:t>Table 3: Ansoff Matrix – Strategic Options for Tata Steel’s Low-Carbon Transition</w:t>
      </w:r>
    </w:p>
    <w:tbl>
      <w:tblPr>
        <w:tblStyle w:val="GridTable4-Accent3"/>
        <w:tblW w:w="0" w:type="auto"/>
        <w:tblLook w:val="04A0" w:firstRow="1" w:lastRow="0" w:firstColumn="1" w:lastColumn="0" w:noHBand="0" w:noVBand="1"/>
      </w:tblPr>
      <w:tblGrid>
        <w:gridCol w:w="1680"/>
        <w:gridCol w:w="1385"/>
        <w:gridCol w:w="1716"/>
        <w:gridCol w:w="1113"/>
        <w:gridCol w:w="1125"/>
        <w:gridCol w:w="1997"/>
      </w:tblGrid>
      <w:tr w:rsidR="007937FA" w:rsidRPr="007937FA" w14:paraId="2CA80CEF" w14:textId="77777777" w:rsidTr="00A602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1D8C76" w14:textId="77777777" w:rsidR="007937FA" w:rsidRPr="007937FA" w:rsidRDefault="007937FA" w:rsidP="007937FA">
            <w:pPr>
              <w:spacing w:after="160"/>
              <w:rPr>
                <w:rFonts w:ascii="Arial" w:hAnsi="Arial" w:cs="Arial"/>
                <w:lang w:val="en-IN"/>
              </w:rPr>
            </w:pPr>
            <w:r w:rsidRPr="007937FA">
              <w:rPr>
                <w:rFonts w:ascii="Arial" w:hAnsi="Arial" w:cs="Arial"/>
                <w:lang w:val="en-IN"/>
              </w:rPr>
              <w:t>Strategic Option</w:t>
            </w:r>
          </w:p>
        </w:tc>
        <w:tc>
          <w:tcPr>
            <w:tcW w:w="0" w:type="auto"/>
            <w:hideMark/>
          </w:tcPr>
          <w:p w14:paraId="0AA283A8" w14:textId="77777777" w:rsidR="007937FA" w:rsidRPr="007937FA" w:rsidRDefault="007937FA" w:rsidP="007937FA">
            <w:pPr>
              <w:spacing w:after="160"/>
              <w:cnfStyle w:val="100000000000" w:firstRow="1"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Description</w:t>
            </w:r>
          </w:p>
        </w:tc>
        <w:tc>
          <w:tcPr>
            <w:tcW w:w="0" w:type="auto"/>
            <w:hideMark/>
          </w:tcPr>
          <w:p w14:paraId="17A17004" w14:textId="77777777" w:rsidR="007937FA" w:rsidRPr="007937FA" w:rsidRDefault="007937FA" w:rsidP="007937FA">
            <w:pPr>
              <w:spacing w:after="160"/>
              <w:cnfStyle w:val="100000000000" w:firstRow="1"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Suitability for Tata Steel</w:t>
            </w:r>
          </w:p>
        </w:tc>
        <w:tc>
          <w:tcPr>
            <w:tcW w:w="0" w:type="auto"/>
            <w:hideMark/>
          </w:tcPr>
          <w:p w14:paraId="275314D5" w14:textId="77777777" w:rsidR="007937FA" w:rsidRPr="007937FA" w:rsidRDefault="007937FA" w:rsidP="007937FA">
            <w:pPr>
              <w:spacing w:after="160"/>
              <w:cnfStyle w:val="100000000000" w:firstRow="1"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Risk Level</w:t>
            </w:r>
          </w:p>
        </w:tc>
        <w:tc>
          <w:tcPr>
            <w:tcW w:w="0" w:type="auto"/>
            <w:hideMark/>
          </w:tcPr>
          <w:p w14:paraId="3952FEE1" w14:textId="77777777" w:rsidR="007937FA" w:rsidRPr="007937FA" w:rsidRDefault="007937FA" w:rsidP="007937FA">
            <w:pPr>
              <w:spacing w:after="160"/>
              <w:cnfStyle w:val="100000000000" w:firstRow="1"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Potential Return</w:t>
            </w:r>
          </w:p>
        </w:tc>
        <w:tc>
          <w:tcPr>
            <w:tcW w:w="0" w:type="auto"/>
            <w:hideMark/>
          </w:tcPr>
          <w:p w14:paraId="4008CCDD" w14:textId="77777777" w:rsidR="007937FA" w:rsidRPr="007937FA" w:rsidRDefault="007937FA" w:rsidP="007937FA">
            <w:pPr>
              <w:spacing w:after="160"/>
              <w:cnfStyle w:val="100000000000" w:firstRow="1"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Recommendation</w:t>
            </w:r>
          </w:p>
        </w:tc>
      </w:tr>
      <w:tr w:rsidR="007937FA" w:rsidRPr="007937FA" w14:paraId="6C0EDB69" w14:textId="77777777" w:rsidTr="00A602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04EDB6" w14:textId="77777777" w:rsidR="007937FA" w:rsidRPr="007937FA" w:rsidRDefault="007937FA" w:rsidP="007937FA">
            <w:pPr>
              <w:spacing w:after="160"/>
              <w:rPr>
                <w:rFonts w:ascii="Arial" w:hAnsi="Arial" w:cs="Arial"/>
                <w:lang w:val="en-IN"/>
              </w:rPr>
            </w:pPr>
            <w:r w:rsidRPr="007937FA">
              <w:rPr>
                <w:rFonts w:ascii="Arial" w:hAnsi="Arial" w:cs="Arial"/>
                <w:lang w:val="en-IN"/>
              </w:rPr>
              <w:t>Market Penetration</w:t>
            </w:r>
          </w:p>
        </w:tc>
        <w:tc>
          <w:tcPr>
            <w:tcW w:w="0" w:type="auto"/>
            <w:hideMark/>
          </w:tcPr>
          <w:p w14:paraId="4620447F" w14:textId="77777777" w:rsidR="007937FA" w:rsidRPr="007937FA" w:rsidRDefault="007937FA" w:rsidP="007937FA">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7937FA">
              <w:rPr>
                <w:rFonts w:ascii="Arial" w:hAnsi="Arial" w:cs="Arial"/>
                <w:lang w:val="en-IN"/>
              </w:rPr>
              <w:t xml:space="preserve">Increase sales of existing steel products in </w:t>
            </w:r>
            <w:r w:rsidRPr="007937FA">
              <w:rPr>
                <w:rFonts w:ascii="Arial" w:hAnsi="Arial" w:cs="Arial"/>
                <w:lang w:val="en-IN"/>
              </w:rPr>
              <w:lastRenderedPageBreak/>
              <w:t>current markets</w:t>
            </w:r>
          </w:p>
        </w:tc>
        <w:tc>
          <w:tcPr>
            <w:tcW w:w="0" w:type="auto"/>
            <w:hideMark/>
          </w:tcPr>
          <w:p w14:paraId="5EF08CC2" w14:textId="77777777" w:rsidR="007937FA" w:rsidRPr="007937FA" w:rsidRDefault="007937FA" w:rsidP="007937FA">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7937FA">
              <w:rPr>
                <w:rFonts w:ascii="Arial" w:hAnsi="Arial" w:cs="Arial"/>
                <w:lang w:val="en-IN"/>
              </w:rPr>
              <w:lastRenderedPageBreak/>
              <w:t>Low – conflicts with decarbonisation goals</w:t>
            </w:r>
          </w:p>
        </w:tc>
        <w:tc>
          <w:tcPr>
            <w:tcW w:w="0" w:type="auto"/>
            <w:hideMark/>
          </w:tcPr>
          <w:p w14:paraId="4D54D966" w14:textId="77777777" w:rsidR="007937FA" w:rsidRPr="007937FA" w:rsidRDefault="007937FA" w:rsidP="007937FA">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7937FA">
              <w:rPr>
                <w:rFonts w:ascii="Arial" w:hAnsi="Arial" w:cs="Arial"/>
                <w:lang w:val="en-IN"/>
              </w:rPr>
              <w:t>Low</w:t>
            </w:r>
          </w:p>
        </w:tc>
        <w:tc>
          <w:tcPr>
            <w:tcW w:w="0" w:type="auto"/>
            <w:hideMark/>
          </w:tcPr>
          <w:p w14:paraId="4B24FF9C" w14:textId="77777777" w:rsidR="007937FA" w:rsidRPr="007937FA" w:rsidRDefault="007937FA" w:rsidP="007937FA">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7937FA">
              <w:rPr>
                <w:rFonts w:ascii="Arial" w:hAnsi="Arial" w:cs="Arial"/>
                <w:lang w:val="en-IN"/>
              </w:rPr>
              <w:t>Low to Moderate</w:t>
            </w:r>
          </w:p>
        </w:tc>
        <w:tc>
          <w:tcPr>
            <w:tcW w:w="0" w:type="auto"/>
            <w:hideMark/>
          </w:tcPr>
          <w:p w14:paraId="656EF08A" w14:textId="77777777" w:rsidR="007937FA" w:rsidRPr="007937FA" w:rsidRDefault="007937FA" w:rsidP="007937FA">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7937FA">
              <w:rPr>
                <w:rFonts w:ascii="Arial" w:hAnsi="Arial" w:cs="Arial"/>
                <w:lang w:val="en-IN"/>
              </w:rPr>
              <w:t>Not recommended as primary strategy</w:t>
            </w:r>
          </w:p>
        </w:tc>
      </w:tr>
      <w:tr w:rsidR="007937FA" w:rsidRPr="007937FA" w14:paraId="1E607FC6" w14:textId="77777777" w:rsidTr="00A602E2">
        <w:tc>
          <w:tcPr>
            <w:cnfStyle w:val="001000000000" w:firstRow="0" w:lastRow="0" w:firstColumn="1" w:lastColumn="0" w:oddVBand="0" w:evenVBand="0" w:oddHBand="0" w:evenHBand="0" w:firstRowFirstColumn="0" w:firstRowLastColumn="0" w:lastRowFirstColumn="0" w:lastRowLastColumn="0"/>
            <w:tcW w:w="0" w:type="auto"/>
            <w:hideMark/>
          </w:tcPr>
          <w:p w14:paraId="11043FF6" w14:textId="77777777" w:rsidR="007937FA" w:rsidRPr="007937FA" w:rsidRDefault="007937FA" w:rsidP="007937FA">
            <w:pPr>
              <w:spacing w:after="160"/>
              <w:rPr>
                <w:rFonts w:ascii="Arial" w:hAnsi="Arial" w:cs="Arial"/>
                <w:lang w:val="en-IN"/>
              </w:rPr>
            </w:pPr>
            <w:r w:rsidRPr="007937FA">
              <w:rPr>
                <w:rFonts w:ascii="Arial" w:hAnsi="Arial" w:cs="Arial"/>
                <w:lang w:val="en-IN"/>
              </w:rPr>
              <w:t>Market Development</w:t>
            </w:r>
          </w:p>
        </w:tc>
        <w:tc>
          <w:tcPr>
            <w:tcW w:w="0" w:type="auto"/>
            <w:hideMark/>
          </w:tcPr>
          <w:p w14:paraId="6B167ABC" w14:textId="77777777" w:rsidR="007937FA" w:rsidRPr="007937FA" w:rsidRDefault="007937FA" w:rsidP="007937FA">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Enter new markets or segments with existing products</w:t>
            </w:r>
          </w:p>
        </w:tc>
        <w:tc>
          <w:tcPr>
            <w:tcW w:w="0" w:type="auto"/>
            <w:hideMark/>
          </w:tcPr>
          <w:p w14:paraId="586F6B3E" w14:textId="77777777" w:rsidR="007937FA" w:rsidRPr="007937FA" w:rsidRDefault="007937FA" w:rsidP="007937FA">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Moderate – opportunity in green premium segments</w:t>
            </w:r>
          </w:p>
        </w:tc>
        <w:tc>
          <w:tcPr>
            <w:tcW w:w="0" w:type="auto"/>
            <w:hideMark/>
          </w:tcPr>
          <w:p w14:paraId="4572078F" w14:textId="77777777" w:rsidR="007937FA" w:rsidRPr="007937FA" w:rsidRDefault="007937FA" w:rsidP="007937FA">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Moderate</w:t>
            </w:r>
          </w:p>
        </w:tc>
        <w:tc>
          <w:tcPr>
            <w:tcW w:w="0" w:type="auto"/>
            <w:hideMark/>
          </w:tcPr>
          <w:p w14:paraId="4298D137" w14:textId="77777777" w:rsidR="007937FA" w:rsidRPr="007937FA" w:rsidRDefault="007937FA" w:rsidP="007937FA">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Moderate to High</w:t>
            </w:r>
          </w:p>
        </w:tc>
        <w:tc>
          <w:tcPr>
            <w:tcW w:w="0" w:type="auto"/>
            <w:hideMark/>
          </w:tcPr>
          <w:p w14:paraId="7B9F03C4" w14:textId="77777777" w:rsidR="007937FA" w:rsidRPr="007937FA" w:rsidRDefault="007937FA" w:rsidP="007937FA">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Supporting strategy</w:t>
            </w:r>
          </w:p>
        </w:tc>
      </w:tr>
      <w:tr w:rsidR="007937FA" w:rsidRPr="007937FA" w14:paraId="2C4D1A11" w14:textId="77777777" w:rsidTr="00A602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129549" w14:textId="77777777" w:rsidR="007937FA" w:rsidRPr="007937FA" w:rsidRDefault="007937FA" w:rsidP="007937FA">
            <w:pPr>
              <w:spacing w:after="160"/>
              <w:rPr>
                <w:rFonts w:ascii="Arial" w:hAnsi="Arial" w:cs="Arial"/>
                <w:lang w:val="en-IN"/>
              </w:rPr>
            </w:pPr>
            <w:r w:rsidRPr="007937FA">
              <w:rPr>
                <w:rFonts w:ascii="Arial" w:hAnsi="Arial" w:cs="Arial"/>
                <w:lang w:val="en-IN"/>
              </w:rPr>
              <w:t>Product Development</w:t>
            </w:r>
          </w:p>
        </w:tc>
        <w:tc>
          <w:tcPr>
            <w:tcW w:w="0" w:type="auto"/>
            <w:hideMark/>
          </w:tcPr>
          <w:p w14:paraId="1EF600DE" w14:textId="77777777" w:rsidR="007937FA" w:rsidRPr="007937FA" w:rsidRDefault="007937FA" w:rsidP="007937FA">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7937FA">
              <w:rPr>
                <w:rFonts w:ascii="Arial" w:hAnsi="Arial" w:cs="Arial"/>
                <w:lang w:val="en-IN"/>
              </w:rPr>
              <w:t>Develop new low-carbon and green steel products</w:t>
            </w:r>
          </w:p>
        </w:tc>
        <w:tc>
          <w:tcPr>
            <w:tcW w:w="0" w:type="auto"/>
            <w:hideMark/>
          </w:tcPr>
          <w:p w14:paraId="5E8BF520" w14:textId="77777777" w:rsidR="007937FA" w:rsidRPr="007937FA" w:rsidRDefault="007937FA" w:rsidP="007937FA">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7937FA">
              <w:rPr>
                <w:rFonts w:ascii="Arial" w:hAnsi="Arial" w:cs="Arial"/>
                <w:lang w:val="en-IN"/>
              </w:rPr>
              <w:t>High – directly addresses regulatory and market pressures</w:t>
            </w:r>
          </w:p>
        </w:tc>
        <w:tc>
          <w:tcPr>
            <w:tcW w:w="0" w:type="auto"/>
            <w:hideMark/>
          </w:tcPr>
          <w:p w14:paraId="3A47BA78" w14:textId="77777777" w:rsidR="007937FA" w:rsidRPr="007937FA" w:rsidRDefault="007937FA" w:rsidP="007937FA">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7937FA">
              <w:rPr>
                <w:rFonts w:ascii="Arial" w:hAnsi="Arial" w:cs="Arial"/>
                <w:lang w:val="en-IN"/>
              </w:rPr>
              <w:t>Moderate</w:t>
            </w:r>
          </w:p>
        </w:tc>
        <w:tc>
          <w:tcPr>
            <w:tcW w:w="0" w:type="auto"/>
            <w:hideMark/>
          </w:tcPr>
          <w:p w14:paraId="6CC9725F" w14:textId="77777777" w:rsidR="007937FA" w:rsidRPr="007937FA" w:rsidRDefault="007937FA" w:rsidP="007937FA">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7937FA">
              <w:rPr>
                <w:rFonts w:ascii="Arial" w:hAnsi="Arial" w:cs="Arial"/>
                <w:lang w:val="en-IN"/>
              </w:rPr>
              <w:t>High</w:t>
            </w:r>
          </w:p>
        </w:tc>
        <w:tc>
          <w:tcPr>
            <w:tcW w:w="0" w:type="auto"/>
            <w:hideMark/>
          </w:tcPr>
          <w:p w14:paraId="07358C1E" w14:textId="77777777" w:rsidR="007937FA" w:rsidRPr="007937FA" w:rsidRDefault="007937FA" w:rsidP="007937FA">
            <w:pPr>
              <w:spacing w:after="160"/>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7937FA">
              <w:rPr>
                <w:rFonts w:ascii="Arial" w:hAnsi="Arial" w:cs="Arial"/>
                <w:b/>
                <w:bCs/>
                <w:lang w:val="en-IN"/>
              </w:rPr>
              <w:t>Primary strategy</w:t>
            </w:r>
          </w:p>
        </w:tc>
      </w:tr>
      <w:tr w:rsidR="007937FA" w:rsidRPr="007937FA" w14:paraId="113F5B4A" w14:textId="77777777" w:rsidTr="00A602E2">
        <w:tc>
          <w:tcPr>
            <w:cnfStyle w:val="001000000000" w:firstRow="0" w:lastRow="0" w:firstColumn="1" w:lastColumn="0" w:oddVBand="0" w:evenVBand="0" w:oddHBand="0" w:evenHBand="0" w:firstRowFirstColumn="0" w:firstRowLastColumn="0" w:lastRowFirstColumn="0" w:lastRowLastColumn="0"/>
            <w:tcW w:w="0" w:type="auto"/>
            <w:hideMark/>
          </w:tcPr>
          <w:p w14:paraId="24EDB660" w14:textId="77777777" w:rsidR="007937FA" w:rsidRPr="007937FA" w:rsidRDefault="007937FA" w:rsidP="007937FA">
            <w:pPr>
              <w:spacing w:after="160"/>
              <w:rPr>
                <w:rFonts w:ascii="Arial" w:hAnsi="Arial" w:cs="Arial"/>
                <w:lang w:val="en-IN"/>
              </w:rPr>
            </w:pPr>
            <w:r w:rsidRPr="007937FA">
              <w:rPr>
                <w:rFonts w:ascii="Arial" w:hAnsi="Arial" w:cs="Arial"/>
                <w:lang w:val="en-IN"/>
              </w:rPr>
              <w:t>Diversification</w:t>
            </w:r>
          </w:p>
        </w:tc>
        <w:tc>
          <w:tcPr>
            <w:tcW w:w="0" w:type="auto"/>
            <w:hideMark/>
          </w:tcPr>
          <w:p w14:paraId="4E7A3D31" w14:textId="77777777" w:rsidR="007937FA" w:rsidRPr="007937FA" w:rsidRDefault="007937FA" w:rsidP="007937FA">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Enter new industries with new products</w:t>
            </w:r>
          </w:p>
        </w:tc>
        <w:tc>
          <w:tcPr>
            <w:tcW w:w="0" w:type="auto"/>
            <w:hideMark/>
          </w:tcPr>
          <w:p w14:paraId="428A631B" w14:textId="77777777" w:rsidR="007937FA" w:rsidRPr="007937FA" w:rsidRDefault="007937FA" w:rsidP="007937FA">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Low – high capital requirement and strategic stretch</w:t>
            </w:r>
          </w:p>
        </w:tc>
        <w:tc>
          <w:tcPr>
            <w:tcW w:w="0" w:type="auto"/>
            <w:hideMark/>
          </w:tcPr>
          <w:p w14:paraId="5208E8A3" w14:textId="77777777" w:rsidR="007937FA" w:rsidRPr="007937FA" w:rsidRDefault="007937FA" w:rsidP="007937FA">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High</w:t>
            </w:r>
          </w:p>
        </w:tc>
        <w:tc>
          <w:tcPr>
            <w:tcW w:w="0" w:type="auto"/>
            <w:hideMark/>
          </w:tcPr>
          <w:p w14:paraId="3AD18949" w14:textId="77777777" w:rsidR="007937FA" w:rsidRPr="007937FA" w:rsidRDefault="007937FA" w:rsidP="007937FA">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Uncertain</w:t>
            </w:r>
          </w:p>
        </w:tc>
        <w:tc>
          <w:tcPr>
            <w:tcW w:w="0" w:type="auto"/>
            <w:hideMark/>
          </w:tcPr>
          <w:p w14:paraId="138C87B8" w14:textId="77777777" w:rsidR="007937FA" w:rsidRPr="007937FA" w:rsidRDefault="007937FA" w:rsidP="007937FA">
            <w:pPr>
              <w:spacing w:after="160"/>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7937FA">
              <w:rPr>
                <w:rFonts w:ascii="Arial" w:hAnsi="Arial" w:cs="Arial"/>
                <w:lang w:val="en-IN"/>
              </w:rPr>
              <w:t>Not recommended at present</w:t>
            </w:r>
          </w:p>
        </w:tc>
      </w:tr>
    </w:tbl>
    <w:p w14:paraId="469DD743" w14:textId="77777777" w:rsidR="007937FA" w:rsidRPr="007937FA" w:rsidRDefault="007937FA" w:rsidP="007937FA">
      <w:pPr>
        <w:rPr>
          <w:rFonts w:ascii="Arial" w:hAnsi="Arial" w:cs="Arial"/>
          <w:lang w:val="en-IN"/>
        </w:rPr>
      </w:pPr>
      <w:r w:rsidRPr="007937FA">
        <w:rPr>
          <w:rFonts w:ascii="Arial" w:hAnsi="Arial" w:cs="Arial"/>
          <w:i/>
          <w:iCs/>
          <w:lang w:val="en-IN"/>
        </w:rPr>
        <w:t>Source: Adapted from Kotler and Armstrong (2023) and synthesised with findings from Task 1.</w:t>
      </w:r>
    </w:p>
    <w:p w14:paraId="3057F3B7" w14:textId="77777777" w:rsidR="007937FA" w:rsidRPr="007937FA" w:rsidRDefault="007937FA" w:rsidP="007937FA">
      <w:pPr>
        <w:pStyle w:val="Heading2"/>
        <w:spacing w:line="360" w:lineRule="auto"/>
        <w:rPr>
          <w:rFonts w:ascii="Arial" w:hAnsi="Arial" w:cs="Arial"/>
        </w:rPr>
      </w:pPr>
      <w:bookmarkStart w:id="7" w:name="_Toc233313424"/>
      <w:r w:rsidRPr="007937FA">
        <w:rPr>
          <w:rFonts w:ascii="Arial" w:hAnsi="Arial" w:cs="Arial"/>
        </w:rPr>
        <w:t>Recommended Growth Strategies for Low-Carbon Transition and Competitive Advantage</w:t>
      </w:r>
      <w:bookmarkEnd w:id="7"/>
    </w:p>
    <w:p w14:paraId="392D8D2C" w14:textId="77777777" w:rsidR="007937FA" w:rsidRPr="007937FA" w:rsidRDefault="007937FA" w:rsidP="007937FA">
      <w:pPr>
        <w:rPr>
          <w:rFonts w:ascii="Arial" w:hAnsi="Arial" w:cs="Arial"/>
          <w:lang w:val="en-IN"/>
        </w:rPr>
      </w:pPr>
      <w:r w:rsidRPr="007937FA">
        <w:rPr>
          <w:rFonts w:ascii="Arial" w:hAnsi="Arial" w:cs="Arial"/>
          <w:lang w:val="en-IN"/>
        </w:rPr>
        <w:t xml:space="preserve">Product Development is a growth strategy that Tata steel ought to embrace through fast-tracking commercialisation of certified low-carbon and green steel products. Before and during the electric arc furnace was created with significant rebates on the new steel at Port Talbot, there were key projects such as high-recycled-content steel, developed in the Netherlands as hydrogen-ready steel, and lower-emission steel developed in India through increased scrap utilisation, biochar </w:t>
      </w:r>
      <w:proofErr w:type="gramStart"/>
      <w:r w:rsidRPr="007937FA">
        <w:rPr>
          <w:rFonts w:ascii="Arial" w:hAnsi="Arial" w:cs="Arial"/>
          <w:lang w:val="en-IN"/>
        </w:rPr>
        <w:t>use</w:t>
      </w:r>
      <w:proofErr w:type="gramEnd"/>
      <w:r w:rsidRPr="007937FA">
        <w:rPr>
          <w:rFonts w:ascii="Arial" w:hAnsi="Arial" w:cs="Arial"/>
          <w:lang w:val="en-IN"/>
        </w:rPr>
        <w:t xml:space="preserve"> and renewable energy integration (Tata Steel, 2024; Tata Steel UK, 2025). This strategy is further supported by the Carbon Bank project of the company that has developed a service-product offering to allow the customers to control and monetize carbon cuts and contribute to the Scope 3 reduction (Tata Steel Limited, 2025).</w:t>
      </w:r>
    </w:p>
    <w:p w14:paraId="238D94B9" w14:textId="77777777" w:rsidR="007937FA" w:rsidRPr="007937FA" w:rsidRDefault="007937FA" w:rsidP="007937FA">
      <w:pPr>
        <w:rPr>
          <w:rFonts w:ascii="Arial" w:hAnsi="Arial" w:cs="Arial"/>
          <w:lang w:val="en-IN"/>
        </w:rPr>
      </w:pPr>
      <w:r w:rsidRPr="007937FA">
        <w:rPr>
          <w:rFonts w:ascii="Arial" w:hAnsi="Arial" w:cs="Arial"/>
          <w:lang w:val="en-IN"/>
        </w:rPr>
        <w:lastRenderedPageBreak/>
        <w:t>Tata Steel ought to also seek to engage in Market Development as it seeks to tap into those segments of the market that value its sustainability agenda, alongside Product Development. In Europe, there is a growing demand by automotive and construction companies to purchase certified low carbon steel at a higher price as a result of environmental responsibility of the materials (OECD, 2024). In India, the Green Steel Taxonomy generates chances to sell differentiated products to infrastructure projects, and corporations that are oriented to net-zero (PIB Delhi, 2024).</w:t>
      </w:r>
    </w:p>
    <w:p w14:paraId="098F387B" w14:textId="77777777" w:rsidR="007937FA" w:rsidRPr="007937FA" w:rsidRDefault="007937FA" w:rsidP="007937FA">
      <w:pPr>
        <w:rPr>
          <w:rFonts w:ascii="Arial" w:hAnsi="Arial" w:cs="Arial"/>
          <w:lang w:val="en-IN"/>
        </w:rPr>
      </w:pPr>
      <w:r w:rsidRPr="007937FA">
        <w:rPr>
          <w:rFonts w:ascii="Arial" w:hAnsi="Arial" w:cs="Arial"/>
          <w:lang w:val="en-IN"/>
        </w:rPr>
        <w:t>These strategies position business growth against environmental conditions as well as regulatory requirements and enhances competitive advantage. Nevertheless, further investment in blast furnace growth in India can lead to a credibility gap, which would undermine the claims of sustainability by Tata Steel, unless accompanied by a clear decarbonisation roadmap and mid-term targets (Garg et al., 2023; CPI, 2025).</w:t>
      </w:r>
    </w:p>
    <w:p w14:paraId="56766DCC" w14:textId="77777777" w:rsidR="007937FA" w:rsidRPr="007937FA" w:rsidRDefault="007937FA" w:rsidP="007937FA">
      <w:pPr>
        <w:pStyle w:val="Heading2"/>
        <w:spacing w:line="360" w:lineRule="auto"/>
        <w:rPr>
          <w:rFonts w:ascii="Arial" w:hAnsi="Arial" w:cs="Arial"/>
        </w:rPr>
      </w:pPr>
      <w:bookmarkStart w:id="8" w:name="_Toc233313425"/>
      <w:r w:rsidRPr="007937FA">
        <w:rPr>
          <w:rFonts w:ascii="Arial" w:hAnsi="Arial" w:cs="Arial"/>
        </w:rPr>
        <w:t>Implementation Considerations and Risks</w:t>
      </w:r>
      <w:bookmarkEnd w:id="8"/>
    </w:p>
    <w:p w14:paraId="185EFDE8" w14:textId="77777777" w:rsidR="007937FA" w:rsidRPr="007937FA" w:rsidRDefault="007937FA" w:rsidP="007937FA">
      <w:pPr>
        <w:rPr>
          <w:rFonts w:ascii="Arial" w:hAnsi="Arial" w:cs="Arial"/>
          <w:lang w:val="en-IN"/>
        </w:rPr>
      </w:pPr>
      <w:r w:rsidRPr="007937FA">
        <w:rPr>
          <w:rFonts w:ascii="Arial" w:hAnsi="Arial" w:cs="Arial"/>
          <w:lang w:val="en-IN"/>
        </w:rPr>
        <w:t xml:space="preserve">The proposed Product Development and Market Development strategies that Tata Steel recommends are to be put in place through coordinated efforts of their policy, marketing and organisational capabilities. On the policy front, in India the company ought to engage the policymakers towards development of green hydrogen infrastructure and access to cheap renewable energy which is critical to achieve decarbonisation in the long </w:t>
      </w:r>
      <w:proofErr w:type="gramStart"/>
      <w:r w:rsidRPr="007937FA">
        <w:rPr>
          <w:rFonts w:ascii="Arial" w:hAnsi="Arial" w:cs="Arial"/>
          <w:lang w:val="en-IN"/>
        </w:rPr>
        <w:t>term(</w:t>
      </w:r>
      <w:proofErr w:type="gramEnd"/>
      <w:r w:rsidRPr="007937FA">
        <w:rPr>
          <w:rFonts w:ascii="Arial" w:hAnsi="Arial" w:cs="Arial"/>
          <w:lang w:val="en-IN"/>
        </w:rPr>
        <w:t>Indian Steel Association, 2025). In Europe it is still an upholding aspect of the relationship maintained with governments so as to keep being supported in the execution of the project like the Port Talbot transformation and more massive projects of decarbonising the industries (Tata Steel UK, 2025).</w:t>
      </w:r>
    </w:p>
    <w:p w14:paraId="0F3F7C1C" w14:textId="77777777" w:rsidR="007937FA" w:rsidRPr="007937FA" w:rsidRDefault="007937FA" w:rsidP="007937FA">
      <w:pPr>
        <w:rPr>
          <w:rFonts w:ascii="Arial" w:hAnsi="Arial" w:cs="Arial"/>
          <w:lang w:val="en-IN"/>
        </w:rPr>
      </w:pPr>
      <w:r w:rsidRPr="007937FA">
        <w:rPr>
          <w:rFonts w:ascii="Arial" w:hAnsi="Arial" w:cs="Arial"/>
          <w:lang w:val="en-IN"/>
        </w:rPr>
        <w:t>Marketing wise, Tata Steel needs to enhance the consciousness of customers about the advantages of low-carbon steel. The question of what is considered to be green steel and how the claims of environmental friendliness are authenticated remains unclear to many customers. Thus, open reporting, established certification, and labelling of products will be vital in developing confidence and commanding high prices (Kotler and Armstrong, 2023).</w:t>
      </w:r>
    </w:p>
    <w:p w14:paraId="1188F4F3" w14:textId="77777777" w:rsidR="007937FA" w:rsidRPr="007937FA" w:rsidRDefault="007937FA" w:rsidP="007937FA">
      <w:pPr>
        <w:rPr>
          <w:rFonts w:ascii="Arial" w:hAnsi="Arial" w:cs="Arial"/>
          <w:lang w:val="en-IN"/>
        </w:rPr>
      </w:pPr>
      <w:r w:rsidRPr="007937FA">
        <w:rPr>
          <w:rFonts w:ascii="Arial" w:hAnsi="Arial" w:cs="Arial"/>
          <w:lang w:val="en-IN"/>
        </w:rPr>
        <w:t xml:space="preserve">On the internal front, a challenging task is maintaining a balance between European transformation investments and building credible low-carbon capabilities in India at Tata Steel. There should be good governance, quantifiable interim goals, and good </w:t>
      </w:r>
      <w:r w:rsidRPr="007937FA">
        <w:rPr>
          <w:rFonts w:ascii="Arial" w:hAnsi="Arial" w:cs="Arial"/>
          <w:lang w:val="en-IN"/>
        </w:rPr>
        <w:lastRenderedPageBreak/>
        <w:t>reporting to ensure confidence of stakeholders. Lack of attention to the issues related to the further growth of the blast furnace would hurt the reputations of the company and undermine the competitive advantages developed under its sustainability-oriented growth strategies.</w:t>
      </w:r>
    </w:p>
    <w:p w14:paraId="4E29B949" w14:textId="77777777" w:rsidR="007937FA" w:rsidRPr="007937FA" w:rsidRDefault="007937FA" w:rsidP="007937FA">
      <w:pPr>
        <w:pStyle w:val="Heading1"/>
        <w:spacing w:line="360" w:lineRule="auto"/>
        <w:rPr>
          <w:rFonts w:ascii="Arial" w:hAnsi="Arial" w:cs="Arial"/>
        </w:rPr>
      </w:pPr>
      <w:bookmarkStart w:id="9" w:name="_Toc233313426"/>
      <w:r w:rsidRPr="007937FA">
        <w:rPr>
          <w:rFonts w:ascii="Arial" w:hAnsi="Arial" w:cs="Arial"/>
        </w:rPr>
        <w:t>Task 3: Critical Reflection on AI Usage</w:t>
      </w:r>
      <w:bookmarkEnd w:id="9"/>
    </w:p>
    <w:p w14:paraId="31B60966" w14:textId="77777777" w:rsidR="007937FA" w:rsidRPr="007937FA" w:rsidRDefault="007937FA" w:rsidP="007937FA">
      <w:pPr>
        <w:rPr>
          <w:rFonts w:ascii="Arial" w:hAnsi="Arial" w:cs="Arial"/>
          <w:lang w:val="en-IN"/>
        </w:rPr>
      </w:pPr>
      <w:r w:rsidRPr="007937FA">
        <w:rPr>
          <w:rFonts w:ascii="Arial" w:hAnsi="Arial" w:cs="Arial"/>
          <w:lang w:val="en-IN"/>
        </w:rPr>
        <w:t>In this critical reflection, the author provides insight into the application of the generative use of artificial intelligence to the preparation of this assessment on the basis of the guidelines outlining acceptable AI use provided by the university.</w:t>
      </w:r>
    </w:p>
    <w:p w14:paraId="2F936CC4" w14:textId="77777777" w:rsidR="007937FA" w:rsidRPr="007937FA" w:rsidRDefault="007937FA" w:rsidP="007937FA">
      <w:pPr>
        <w:pStyle w:val="Heading2"/>
        <w:spacing w:line="360" w:lineRule="auto"/>
        <w:rPr>
          <w:rFonts w:ascii="Arial" w:hAnsi="Arial" w:cs="Arial"/>
        </w:rPr>
      </w:pPr>
      <w:bookmarkStart w:id="10" w:name="_Toc233313427"/>
      <w:r w:rsidRPr="007937FA">
        <w:rPr>
          <w:rFonts w:ascii="Arial" w:hAnsi="Arial" w:cs="Arial"/>
        </w:rPr>
        <w:t>a. Tool Disclosure</w:t>
      </w:r>
      <w:bookmarkEnd w:id="10"/>
      <w:r w:rsidRPr="007937FA">
        <w:rPr>
          <w:rFonts w:ascii="Arial" w:hAnsi="Arial" w:cs="Arial"/>
        </w:rPr>
        <w:t xml:space="preserve"> </w:t>
      </w:r>
    </w:p>
    <w:p w14:paraId="45C06575" w14:textId="77777777" w:rsidR="007937FA" w:rsidRPr="007937FA" w:rsidRDefault="007937FA" w:rsidP="007937FA">
      <w:pPr>
        <w:rPr>
          <w:rFonts w:ascii="Arial" w:hAnsi="Arial" w:cs="Arial"/>
          <w:lang w:val="en-IN"/>
        </w:rPr>
      </w:pPr>
      <w:r w:rsidRPr="007937FA">
        <w:rPr>
          <w:rFonts w:ascii="Arial" w:hAnsi="Arial" w:cs="Arial"/>
          <w:lang w:val="en-IN"/>
        </w:rPr>
        <w:t>The use of generative AI was limited in scope and frequency and was only applied to activities that were allowed within the assessment guidelines. In particular, AI tool ChatGPT was used to aid research tasks, such as the search of the appropriate academic and industry sources within the given reference list, summary of the main points of the Tata Steel corporate reports, and the comparing of the policy documents of various jurisdictions (OpenAI, 2025). AI was also utilized in the proofreading phase, helping to find grammatical mistakes, enhance intelligibility of the sentences and propose the shorter wording of the content the author wrote themselves. There were no AI tools to create original text and submit a work or to frame the work or determine the main points and analysis.</w:t>
      </w:r>
    </w:p>
    <w:p w14:paraId="01011392" w14:textId="77777777" w:rsidR="007937FA" w:rsidRPr="007937FA" w:rsidRDefault="007937FA" w:rsidP="007937FA">
      <w:pPr>
        <w:pStyle w:val="Heading2"/>
        <w:spacing w:line="360" w:lineRule="auto"/>
        <w:rPr>
          <w:rFonts w:ascii="Arial" w:hAnsi="Arial" w:cs="Arial"/>
        </w:rPr>
      </w:pPr>
      <w:bookmarkStart w:id="11" w:name="_Toc233313428"/>
      <w:r w:rsidRPr="007937FA">
        <w:rPr>
          <w:rFonts w:ascii="Arial" w:hAnsi="Arial" w:cs="Arial"/>
        </w:rPr>
        <w:t>b. Critical Evaluation of AI Output</w:t>
      </w:r>
      <w:bookmarkEnd w:id="11"/>
      <w:r w:rsidRPr="007937FA">
        <w:rPr>
          <w:rFonts w:ascii="Arial" w:hAnsi="Arial" w:cs="Arial"/>
        </w:rPr>
        <w:t xml:space="preserve"> </w:t>
      </w:r>
    </w:p>
    <w:p w14:paraId="21588841" w14:textId="77777777" w:rsidR="007937FA" w:rsidRPr="007937FA" w:rsidRDefault="007937FA" w:rsidP="007937FA">
      <w:pPr>
        <w:rPr>
          <w:rFonts w:ascii="Arial" w:hAnsi="Arial" w:cs="Arial"/>
          <w:lang w:val="en-IN"/>
        </w:rPr>
      </w:pPr>
      <w:r w:rsidRPr="007937FA">
        <w:rPr>
          <w:rFonts w:ascii="Arial" w:hAnsi="Arial" w:cs="Arial"/>
          <w:lang w:val="en-IN"/>
        </w:rPr>
        <w:t>All the texts generated or recommended by AI were very strictly verified. The summaries of the sources created by AI were also compared with the original document, Tata Steel Integrated Report 2023-24, the UK Sustainability Report 2023-2025, and policy texts, such as the National Green Hydrogen Mission. All the cases of the over-simplification of complex regulatory distinctions or outdated statistics by AI were discovered and fixed by direct consultation with the primary data. Logical issues, including the excessively generalised statements regarding the rate of decarbonisation in India, were corrected to indicate the more sophisticated image provided in Garg et al. (2023) and CPI (2025). This checking procedure made sure that only veritable and contextually befitting information was approved.</w:t>
      </w:r>
    </w:p>
    <w:p w14:paraId="5C6FF2A4" w14:textId="77777777" w:rsidR="007937FA" w:rsidRPr="007937FA" w:rsidRDefault="007937FA" w:rsidP="007937FA">
      <w:pPr>
        <w:pStyle w:val="Heading2"/>
        <w:spacing w:line="360" w:lineRule="auto"/>
        <w:rPr>
          <w:rFonts w:ascii="Arial" w:hAnsi="Arial" w:cs="Arial"/>
        </w:rPr>
      </w:pPr>
      <w:bookmarkStart w:id="12" w:name="_Toc233313429"/>
      <w:r w:rsidRPr="007937FA">
        <w:rPr>
          <w:rFonts w:ascii="Arial" w:hAnsi="Arial" w:cs="Arial"/>
        </w:rPr>
        <w:lastRenderedPageBreak/>
        <w:t>c. Contribution Analysis</w:t>
      </w:r>
      <w:bookmarkEnd w:id="12"/>
      <w:r w:rsidRPr="007937FA">
        <w:rPr>
          <w:rFonts w:ascii="Arial" w:hAnsi="Arial" w:cs="Arial"/>
        </w:rPr>
        <w:t xml:space="preserve"> </w:t>
      </w:r>
    </w:p>
    <w:p w14:paraId="4DBC586E" w14:textId="77777777" w:rsidR="007937FA" w:rsidRPr="007937FA" w:rsidRDefault="007937FA" w:rsidP="007937FA">
      <w:pPr>
        <w:rPr>
          <w:rFonts w:ascii="Arial" w:hAnsi="Arial" w:cs="Arial"/>
          <w:lang w:val="en-IN"/>
        </w:rPr>
      </w:pPr>
      <w:r w:rsidRPr="007937FA">
        <w:rPr>
          <w:rFonts w:ascii="Arial" w:hAnsi="Arial" w:cs="Arial"/>
          <w:lang w:val="en-IN"/>
        </w:rPr>
        <w:t xml:space="preserve">The report structure, way of selecting and organising the Natural Environment and Political and Legal Environment actors was elaborated on its own. Any critical observation, assessment of the interaction of the two actors, and the strategic suggestions employing the Ansoff Matrix are all the intellectual work of the author. Although AI helped in the search and </w:t>
      </w:r>
      <w:proofErr w:type="spellStart"/>
      <w:r w:rsidRPr="007937FA">
        <w:rPr>
          <w:rFonts w:ascii="Arial" w:hAnsi="Arial" w:cs="Arial"/>
          <w:lang w:val="en-IN"/>
        </w:rPr>
        <w:t>genrosing</w:t>
      </w:r>
      <w:proofErr w:type="spellEnd"/>
      <w:r w:rsidRPr="007937FA">
        <w:rPr>
          <w:rFonts w:ascii="Arial" w:hAnsi="Arial" w:cs="Arial"/>
          <w:lang w:val="en-IN"/>
        </w:rPr>
        <w:t xml:space="preserve"> of the relevant literature, synthesis of concepts, crafting arguments and subsequent written expression were carried out by the author exclusively. Throughout the process, the difference between AI-assisted subjects and free critical thinking was preserved to guarantee academic integrity.</w:t>
      </w:r>
    </w:p>
    <w:p w14:paraId="4D9943D6" w14:textId="77777777" w:rsidR="007937FA" w:rsidRPr="007937FA" w:rsidRDefault="007937FA" w:rsidP="007937FA">
      <w:pPr>
        <w:pStyle w:val="Heading2"/>
        <w:spacing w:line="360" w:lineRule="auto"/>
        <w:rPr>
          <w:rFonts w:ascii="Arial" w:hAnsi="Arial" w:cs="Arial"/>
        </w:rPr>
      </w:pPr>
      <w:bookmarkStart w:id="13" w:name="_Toc233313430"/>
      <w:r w:rsidRPr="007937FA">
        <w:rPr>
          <w:rFonts w:ascii="Arial" w:hAnsi="Arial" w:cs="Arial"/>
        </w:rPr>
        <w:t>d. Ethical and Professional Reflection</w:t>
      </w:r>
      <w:bookmarkEnd w:id="13"/>
      <w:r w:rsidRPr="007937FA">
        <w:rPr>
          <w:rFonts w:ascii="Arial" w:hAnsi="Arial" w:cs="Arial"/>
        </w:rPr>
        <w:t xml:space="preserve"> </w:t>
      </w:r>
    </w:p>
    <w:p w14:paraId="0BCC3459" w14:textId="77777777" w:rsidR="007937FA" w:rsidRPr="007937FA" w:rsidRDefault="007937FA" w:rsidP="007937FA">
      <w:pPr>
        <w:rPr>
          <w:rFonts w:ascii="Arial" w:hAnsi="Arial" w:cs="Arial"/>
          <w:lang w:val="en-IN"/>
        </w:rPr>
      </w:pPr>
      <w:r w:rsidRPr="007937FA">
        <w:rPr>
          <w:rFonts w:ascii="Arial" w:hAnsi="Arial" w:cs="Arial"/>
          <w:lang w:val="en-IN"/>
        </w:rPr>
        <w:t xml:space="preserve">Applications of generative AI must be ethical and involve transparency, accountability, and adherence to institutional rules. It was also in this evaluation that AI was employed as a means of research support and proofreading but not as a content-generating tool. This was such that the analysis, evaluation and conclusions were left to be left at the discretion of the student. Although restricting AI to supportive roles assists in conserving the importance of the mind and academic honesty, as well as professionalism, it </w:t>
      </w:r>
      <w:proofErr w:type="spellStart"/>
      <w:r w:rsidRPr="007937FA">
        <w:rPr>
          <w:rFonts w:ascii="Arial" w:hAnsi="Arial" w:cs="Arial"/>
          <w:lang w:val="en-IN"/>
        </w:rPr>
        <w:t>fulfills</w:t>
      </w:r>
      <w:proofErr w:type="spellEnd"/>
      <w:r w:rsidRPr="007937FA">
        <w:rPr>
          <w:rFonts w:ascii="Arial" w:hAnsi="Arial" w:cs="Arial"/>
          <w:lang w:val="en-IN"/>
        </w:rPr>
        <w:t xml:space="preserve"> the demands of postgraduate-level marketing research.</w:t>
      </w:r>
    </w:p>
    <w:p w14:paraId="3400F860" w14:textId="77777777" w:rsidR="007937FA" w:rsidRPr="007937FA" w:rsidRDefault="007937FA" w:rsidP="007937FA">
      <w:pPr>
        <w:pStyle w:val="Heading1"/>
        <w:spacing w:line="360" w:lineRule="auto"/>
        <w:rPr>
          <w:rFonts w:ascii="Arial" w:hAnsi="Arial" w:cs="Arial"/>
        </w:rPr>
      </w:pPr>
      <w:bookmarkStart w:id="14" w:name="_Toc233313431"/>
      <w:r w:rsidRPr="007937FA">
        <w:rPr>
          <w:rFonts w:ascii="Arial" w:hAnsi="Arial" w:cs="Arial"/>
        </w:rPr>
        <w:t>Conclusion</w:t>
      </w:r>
      <w:bookmarkEnd w:id="14"/>
    </w:p>
    <w:p w14:paraId="24453DA3" w14:textId="77777777" w:rsidR="007937FA" w:rsidRPr="007937FA" w:rsidRDefault="007937FA" w:rsidP="007937FA">
      <w:pPr>
        <w:rPr>
          <w:rFonts w:ascii="Arial" w:hAnsi="Arial" w:cs="Arial"/>
          <w:lang w:val="en-IN"/>
        </w:rPr>
      </w:pPr>
      <w:r w:rsidRPr="007937FA">
        <w:rPr>
          <w:rFonts w:ascii="Arial" w:hAnsi="Arial" w:cs="Arial"/>
          <w:lang w:val="en-IN"/>
        </w:rPr>
        <w:t xml:space="preserve">The conclusion of this report is that Tata Steel is experiencing extreme environmental and regulatory pressures that are influencing its decarbonisation strategy. Analysis suggests the focus should be on Product Development of certified low-carbon steel followed by the Market Development in the segments that are sustainability </w:t>
      </w:r>
      <w:proofErr w:type="spellStart"/>
      <w:r w:rsidRPr="007937FA">
        <w:rPr>
          <w:rFonts w:ascii="Arial" w:hAnsi="Arial" w:cs="Arial"/>
          <w:lang w:val="en-IN"/>
        </w:rPr>
        <w:t>centered</w:t>
      </w:r>
      <w:proofErr w:type="spellEnd"/>
      <w:r w:rsidRPr="007937FA">
        <w:rPr>
          <w:rFonts w:ascii="Arial" w:hAnsi="Arial" w:cs="Arial"/>
          <w:lang w:val="en-IN"/>
        </w:rPr>
        <w:t>. European operations are moving at a fast rate but sustained growth of blast furnace in India presents a challenge on credibility. The capabilities of the Tata Steel to tie its net-zero commitments to its consistent and transparent acts of decarbonisation across all operations will be needed to gain long-term competitive advantage.</w:t>
      </w:r>
    </w:p>
    <w:p w14:paraId="0F5A69FD" w14:textId="77777777" w:rsidR="007937FA" w:rsidRPr="007937FA" w:rsidRDefault="007937FA" w:rsidP="007937FA">
      <w:pPr>
        <w:rPr>
          <w:rFonts w:ascii="Arial" w:hAnsi="Arial" w:cs="Arial"/>
          <w:lang w:val="en-IN"/>
        </w:rPr>
      </w:pPr>
    </w:p>
    <w:p w14:paraId="1AA0C53C" w14:textId="77777777" w:rsidR="007937FA" w:rsidRPr="007937FA" w:rsidRDefault="007937FA" w:rsidP="007937FA">
      <w:pPr>
        <w:jc w:val="left"/>
        <w:rPr>
          <w:rFonts w:ascii="Arial" w:hAnsi="Arial" w:cs="Arial"/>
        </w:rPr>
      </w:pPr>
      <w:r w:rsidRPr="007937FA">
        <w:rPr>
          <w:rFonts w:ascii="Arial" w:hAnsi="Arial" w:cs="Arial"/>
        </w:rPr>
        <w:br w:type="page"/>
      </w:r>
    </w:p>
    <w:p w14:paraId="24BB5CB9" w14:textId="77777777" w:rsidR="007937FA" w:rsidRPr="007937FA" w:rsidRDefault="007937FA" w:rsidP="007937FA">
      <w:pPr>
        <w:pStyle w:val="Heading1"/>
        <w:spacing w:line="360" w:lineRule="auto"/>
        <w:rPr>
          <w:rFonts w:ascii="Arial" w:hAnsi="Arial" w:cs="Arial"/>
        </w:rPr>
      </w:pPr>
      <w:bookmarkStart w:id="15" w:name="_Toc233313432"/>
      <w:r w:rsidRPr="007937FA">
        <w:rPr>
          <w:rFonts w:ascii="Arial" w:hAnsi="Arial" w:cs="Arial"/>
        </w:rPr>
        <w:lastRenderedPageBreak/>
        <w:t>References</w:t>
      </w:r>
      <w:bookmarkEnd w:id="15"/>
    </w:p>
    <w:p w14:paraId="42E0FB73" w14:textId="77777777" w:rsidR="007937FA" w:rsidRPr="007937FA" w:rsidRDefault="007937FA" w:rsidP="007937FA">
      <w:pPr>
        <w:rPr>
          <w:rFonts w:ascii="Arial" w:hAnsi="Arial" w:cs="Arial"/>
          <w:lang w:val="en-IN"/>
        </w:rPr>
      </w:pPr>
      <w:r w:rsidRPr="007937FA">
        <w:rPr>
          <w:rFonts w:ascii="Arial" w:hAnsi="Arial" w:cs="Arial"/>
          <w:lang w:val="en-IN"/>
        </w:rPr>
        <w:t xml:space="preserve">CPI (2025). </w:t>
      </w:r>
      <w:r w:rsidRPr="007937FA">
        <w:rPr>
          <w:rFonts w:ascii="Arial" w:hAnsi="Arial" w:cs="Arial"/>
          <w:i/>
          <w:iCs/>
          <w:lang w:val="en-IN"/>
        </w:rPr>
        <w:t>Green Industrial Policy for India’s Iron and Steel Sector Transition</w:t>
      </w:r>
      <w:r w:rsidRPr="007937FA">
        <w:rPr>
          <w:rFonts w:ascii="Arial" w:hAnsi="Arial" w:cs="Arial"/>
          <w:lang w:val="en-IN"/>
        </w:rPr>
        <w:t xml:space="preserve">. [online] Available at: </w:t>
      </w:r>
      <w:hyperlink r:id="rId5" w:history="1">
        <w:r w:rsidRPr="007937FA">
          <w:rPr>
            <w:rStyle w:val="Hyperlink"/>
            <w:rFonts w:ascii="Arial" w:hAnsi="Arial" w:cs="Arial"/>
            <w:lang w:val="en-IN"/>
          </w:rPr>
          <w:t>https://www.climatepolicyinitiative.org/wp-content/uploads/2025/12/Green-Industrial-Policy-for-Iron-and-Steel.pdf</w:t>
        </w:r>
      </w:hyperlink>
      <w:r w:rsidRPr="007937FA">
        <w:rPr>
          <w:rFonts w:ascii="Arial" w:hAnsi="Arial" w:cs="Arial"/>
          <w:lang w:val="en-IN"/>
        </w:rPr>
        <w:t xml:space="preserve">. </w:t>
      </w:r>
    </w:p>
    <w:p w14:paraId="4C1B473D" w14:textId="77777777" w:rsidR="007937FA" w:rsidRPr="007937FA" w:rsidRDefault="007937FA" w:rsidP="007937FA">
      <w:pPr>
        <w:rPr>
          <w:rFonts w:ascii="Arial" w:hAnsi="Arial" w:cs="Arial"/>
          <w:lang w:val="en-IN"/>
        </w:rPr>
      </w:pPr>
      <w:proofErr w:type="spellStart"/>
      <w:r w:rsidRPr="007937FA">
        <w:rPr>
          <w:rFonts w:ascii="Arial" w:hAnsi="Arial" w:cs="Arial"/>
          <w:lang w:val="en-IN"/>
        </w:rPr>
        <w:t>Eurometal</w:t>
      </w:r>
      <w:proofErr w:type="spellEnd"/>
      <w:r w:rsidRPr="007937FA">
        <w:rPr>
          <w:rFonts w:ascii="Arial" w:hAnsi="Arial" w:cs="Arial"/>
          <w:lang w:val="en-IN"/>
        </w:rPr>
        <w:t xml:space="preserve"> (2024). </w:t>
      </w:r>
      <w:r w:rsidRPr="007937FA">
        <w:rPr>
          <w:rFonts w:ascii="Arial" w:hAnsi="Arial" w:cs="Arial"/>
          <w:i/>
          <w:iCs/>
          <w:lang w:val="en-IN"/>
        </w:rPr>
        <w:t>Indian steel mills face greatest CBAM risk: Goldman Sachs</w:t>
      </w:r>
      <w:r w:rsidRPr="007937FA">
        <w:rPr>
          <w:rFonts w:ascii="Arial" w:hAnsi="Arial" w:cs="Arial"/>
          <w:lang w:val="en-IN"/>
        </w:rPr>
        <w:t xml:space="preserve">. [online] Available at: </w:t>
      </w:r>
      <w:hyperlink r:id="rId6" w:history="1">
        <w:r w:rsidRPr="007937FA">
          <w:rPr>
            <w:rStyle w:val="Hyperlink"/>
            <w:rFonts w:ascii="Arial" w:hAnsi="Arial" w:cs="Arial"/>
            <w:lang w:val="en-IN"/>
          </w:rPr>
          <w:t>https://eurometal.net/indian-steel-mills-face-greatest-cbam-risk-goldman-sachs/</w:t>
        </w:r>
      </w:hyperlink>
      <w:r w:rsidRPr="007937FA">
        <w:rPr>
          <w:rFonts w:ascii="Arial" w:hAnsi="Arial" w:cs="Arial"/>
          <w:lang w:val="en-IN"/>
        </w:rPr>
        <w:t xml:space="preserve">. </w:t>
      </w:r>
    </w:p>
    <w:p w14:paraId="4D88CE8B" w14:textId="77777777" w:rsidR="007937FA" w:rsidRPr="007937FA" w:rsidRDefault="007937FA" w:rsidP="007937FA">
      <w:pPr>
        <w:rPr>
          <w:rFonts w:ascii="Arial" w:hAnsi="Arial" w:cs="Arial"/>
          <w:lang w:val="en-IN"/>
        </w:rPr>
      </w:pPr>
      <w:r w:rsidRPr="007937FA">
        <w:rPr>
          <w:rFonts w:ascii="Arial" w:hAnsi="Arial" w:cs="Arial"/>
          <w:lang w:val="en-IN"/>
        </w:rPr>
        <w:t xml:space="preserve">Garg, V., Gulia, J., Gupta, K., Shaik, N. and Srivastava, S. (2023). </w:t>
      </w:r>
      <w:r w:rsidRPr="007937FA">
        <w:rPr>
          <w:rFonts w:ascii="Arial" w:hAnsi="Arial" w:cs="Arial"/>
          <w:i/>
          <w:iCs/>
          <w:lang w:val="en-IN"/>
        </w:rPr>
        <w:t>Steel decarbonisation in India</w:t>
      </w:r>
      <w:r w:rsidRPr="007937FA">
        <w:rPr>
          <w:rFonts w:ascii="Arial" w:hAnsi="Arial" w:cs="Arial"/>
          <w:lang w:val="en-IN"/>
        </w:rPr>
        <w:t xml:space="preserve">. [online] ieefa.org. Available at: </w:t>
      </w:r>
      <w:hyperlink r:id="rId7" w:history="1">
        <w:r w:rsidRPr="007937FA">
          <w:rPr>
            <w:rStyle w:val="Hyperlink"/>
            <w:rFonts w:ascii="Arial" w:hAnsi="Arial" w:cs="Arial"/>
            <w:lang w:val="en-IN"/>
          </w:rPr>
          <w:t>https://ieefa.org/resources/steel-decarbonisation-india</w:t>
        </w:r>
      </w:hyperlink>
      <w:r w:rsidRPr="007937FA">
        <w:rPr>
          <w:rFonts w:ascii="Arial" w:hAnsi="Arial" w:cs="Arial"/>
          <w:lang w:val="en-IN"/>
        </w:rPr>
        <w:t xml:space="preserve">. </w:t>
      </w:r>
    </w:p>
    <w:p w14:paraId="14688D1B" w14:textId="77777777" w:rsidR="007937FA" w:rsidRPr="007937FA" w:rsidRDefault="007937FA" w:rsidP="007937FA">
      <w:pPr>
        <w:rPr>
          <w:rFonts w:ascii="Arial" w:hAnsi="Arial" w:cs="Arial"/>
          <w:lang w:val="en-IN"/>
        </w:rPr>
      </w:pPr>
      <w:r w:rsidRPr="007937FA">
        <w:rPr>
          <w:rFonts w:ascii="Arial" w:hAnsi="Arial" w:cs="Arial"/>
          <w:lang w:val="en-IN"/>
        </w:rPr>
        <w:t xml:space="preserve">Indian Steel Association (2025). </w:t>
      </w:r>
      <w:r w:rsidRPr="007937FA">
        <w:rPr>
          <w:rFonts w:ascii="Arial" w:hAnsi="Arial" w:cs="Arial"/>
          <w:i/>
          <w:iCs/>
          <w:lang w:val="en-IN"/>
        </w:rPr>
        <w:t>Roadmap for decarbonisation of Indian Steel sector- Presentation Workshop Organised by World Steel for National and Regional Associations</w:t>
      </w:r>
      <w:r w:rsidRPr="007937FA">
        <w:rPr>
          <w:rFonts w:ascii="Arial" w:hAnsi="Arial" w:cs="Arial"/>
          <w:lang w:val="en-IN"/>
        </w:rPr>
        <w:t xml:space="preserve">. [online] Available at: </w:t>
      </w:r>
      <w:hyperlink r:id="rId8" w:history="1">
        <w:r w:rsidRPr="007937FA">
          <w:rPr>
            <w:rStyle w:val="Hyperlink"/>
            <w:rFonts w:ascii="Arial" w:hAnsi="Arial" w:cs="Arial"/>
            <w:lang w:val="en-IN"/>
          </w:rPr>
          <w:t>https://worldsteel.org/wp-content/uploads/07_India.pdf</w:t>
        </w:r>
      </w:hyperlink>
      <w:r w:rsidRPr="007937FA">
        <w:rPr>
          <w:rFonts w:ascii="Arial" w:hAnsi="Arial" w:cs="Arial"/>
          <w:lang w:val="en-IN"/>
        </w:rPr>
        <w:t xml:space="preserve"> [Accessed 23 Jun. 2026].</w:t>
      </w:r>
    </w:p>
    <w:p w14:paraId="09F9F9C9" w14:textId="77777777" w:rsidR="007937FA" w:rsidRPr="007937FA" w:rsidRDefault="007937FA" w:rsidP="007937FA">
      <w:pPr>
        <w:rPr>
          <w:rFonts w:ascii="Arial" w:hAnsi="Arial" w:cs="Arial"/>
          <w:lang w:val="en-IN"/>
        </w:rPr>
      </w:pPr>
      <w:r w:rsidRPr="007937FA">
        <w:rPr>
          <w:rFonts w:ascii="Arial" w:hAnsi="Arial" w:cs="Arial"/>
          <w:lang w:val="en-IN"/>
        </w:rPr>
        <w:t xml:space="preserve">Kotler, P. and Armstrong, G. (2023). </w:t>
      </w:r>
      <w:r w:rsidRPr="007937FA">
        <w:rPr>
          <w:rFonts w:ascii="Arial" w:hAnsi="Arial" w:cs="Arial"/>
          <w:i/>
          <w:iCs/>
          <w:lang w:val="en-IN"/>
        </w:rPr>
        <w:t>Principles Of Marketing</w:t>
      </w:r>
      <w:r w:rsidRPr="007937FA">
        <w:rPr>
          <w:rFonts w:ascii="Arial" w:hAnsi="Arial" w:cs="Arial"/>
          <w:lang w:val="en-IN"/>
        </w:rPr>
        <w:t>. 19th ed. Harlow: Pearson Education Limited.</w:t>
      </w:r>
    </w:p>
    <w:p w14:paraId="55F0579B" w14:textId="77777777" w:rsidR="007937FA" w:rsidRPr="007937FA" w:rsidRDefault="007937FA" w:rsidP="007937FA">
      <w:pPr>
        <w:rPr>
          <w:rFonts w:ascii="Arial" w:hAnsi="Arial" w:cs="Arial"/>
          <w:lang w:val="en-IN"/>
        </w:rPr>
      </w:pPr>
      <w:r w:rsidRPr="007937FA">
        <w:rPr>
          <w:rFonts w:ascii="Arial" w:hAnsi="Arial" w:cs="Arial"/>
          <w:lang w:val="en-IN"/>
        </w:rPr>
        <w:t xml:space="preserve">Ministry of New and Renewable Energy (2023). </w:t>
      </w:r>
      <w:r w:rsidRPr="007937FA">
        <w:rPr>
          <w:rFonts w:ascii="Arial" w:hAnsi="Arial" w:cs="Arial"/>
          <w:i/>
          <w:iCs/>
          <w:lang w:val="en-IN"/>
        </w:rPr>
        <w:t>National Green Hydrogen Mission | MINISTRY OF NEW AND RENEWABLE ENERGY | India</w:t>
      </w:r>
      <w:r w:rsidRPr="007937FA">
        <w:rPr>
          <w:rFonts w:ascii="Arial" w:hAnsi="Arial" w:cs="Arial"/>
          <w:lang w:val="en-IN"/>
        </w:rPr>
        <w:t xml:space="preserve">. [online] Mnre.gov.in. Available at: </w:t>
      </w:r>
      <w:hyperlink r:id="rId9" w:history="1">
        <w:r w:rsidRPr="007937FA">
          <w:rPr>
            <w:rStyle w:val="Hyperlink"/>
            <w:rFonts w:ascii="Arial" w:hAnsi="Arial" w:cs="Arial"/>
            <w:lang w:val="en-IN"/>
          </w:rPr>
          <w:t>https://mnre.gov.in/en/national-green-hydrogen-mission/</w:t>
        </w:r>
      </w:hyperlink>
      <w:r w:rsidRPr="007937FA">
        <w:rPr>
          <w:rFonts w:ascii="Arial" w:hAnsi="Arial" w:cs="Arial"/>
          <w:lang w:val="en-IN"/>
        </w:rPr>
        <w:t xml:space="preserve">. </w:t>
      </w:r>
    </w:p>
    <w:p w14:paraId="005DA902" w14:textId="77777777" w:rsidR="007937FA" w:rsidRPr="007937FA" w:rsidRDefault="007937FA" w:rsidP="007937FA">
      <w:pPr>
        <w:rPr>
          <w:rFonts w:ascii="Arial" w:hAnsi="Arial" w:cs="Arial"/>
          <w:lang w:val="en-IN"/>
        </w:rPr>
      </w:pPr>
      <w:r w:rsidRPr="007937FA">
        <w:rPr>
          <w:rFonts w:ascii="Arial" w:hAnsi="Arial" w:cs="Arial"/>
          <w:lang w:val="en-IN"/>
        </w:rPr>
        <w:t xml:space="preserve">OECD (2024). </w:t>
      </w:r>
      <w:r w:rsidRPr="007937FA">
        <w:rPr>
          <w:rFonts w:ascii="Arial" w:hAnsi="Arial" w:cs="Arial"/>
          <w:i/>
          <w:iCs/>
          <w:lang w:val="en-IN"/>
        </w:rPr>
        <w:t>ADDRESSING STEEL DECARBONISATION CHALLENGES FOR INDUSTRY AND POLICY</w:t>
      </w:r>
      <w:r w:rsidRPr="007937FA">
        <w:rPr>
          <w:rFonts w:ascii="Arial" w:hAnsi="Arial" w:cs="Arial"/>
          <w:lang w:val="en-IN"/>
        </w:rPr>
        <w:t xml:space="preserve">. [online] Available at: </w:t>
      </w:r>
      <w:hyperlink r:id="rId10" w:history="1">
        <w:r w:rsidRPr="007937FA">
          <w:rPr>
            <w:rStyle w:val="Hyperlink"/>
            <w:rFonts w:ascii="Arial" w:hAnsi="Arial" w:cs="Arial"/>
            <w:lang w:val="en-IN"/>
          </w:rPr>
          <w:t>https://www.oecd.org/content/dam/oecd/en/publications/reports/2024/12/addressing-steel-decarbonisation-challenges-for-industry-and-policy_4caf7860/e6cb2f3c-en.pdf</w:t>
        </w:r>
      </w:hyperlink>
      <w:r w:rsidRPr="007937FA">
        <w:rPr>
          <w:rFonts w:ascii="Arial" w:hAnsi="Arial" w:cs="Arial"/>
          <w:lang w:val="en-IN"/>
        </w:rPr>
        <w:t xml:space="preserve">.   </w:t>
      </w:r>
    </w:p>
    <w:p w14:paraId="24296115" w14:textId="77777777" w:rsidR="007937FA" w:rsidRPr="007937FA" w:rsidRDefault="007937FA" w:rsidP="007937FA">
      <w:pPr>
        <w:rPr>
          <w:rFonts w:ascii="Arial" w:hAnsi="Arial" w:cs="Arial"/>
          <w:lang w:val="en-IN"/>
        </w:rPr>
      </w:pPr>
      <w:r w:rsidRPr="007937FA">
        <w:rPr>
          <w:rFonts w:ascii="Arial" w:hAnsi="Arial" w:cs="Arial"/>
          <w:lang w:val="en-IN"/>
        </w:rPr>
        <w:t xml:space="preserve">OpenAI (2025) ChatGPT (GPT-4o model). Available at: </w:t>
      </w:r>
      <w:hyperlink r:id="rId11" w:history="1">
        <w:r w:rsidRPr="007937FA">
          <w:rPr>
            <w:rStyle w:val="Hyperlink"/>
            <w:rFonts w:ascii="Arial" w:hAnsi="Arial" w:cs="Arial"/>
            <w:lang w:val="en-IN"/>
          </w:rPr>
          <w:t>https://chat.openai.com</w:t>
        </w:r>
      </w:hyperlink>
      <w:r w:rsidRPr="007937FA">
        <w:rPr>
          <w:rFonts w:ascii="Arial" w:hAnsi="Arial" w:cs="Arial"/>
          <w:lang w:val="en-IN"/>
        </w:rPr>
        <w:t xml:space="preserve">  (Accessed: 23 June 2026).</w:t>
      </w:r>
    </w:p>
    <w:p w14:paraId="627E34AD" w14:textId="77777777" w:rsidR="007937FA" w:rsidRPr="007937FA" w:rsidRDefault="007937FA" w:rsidP="007937FA">
      <w:pPr>
        <w:rPr>
          <w:rFonts w:ascii="Arial" w:hAnsi="Arial" w:cs="Arial"/>
          <w:lang w:val="en-IN"/>
        </w:rPr>
      </w:pPr>
      <w:r w:rsidRPr="007937FA">
        <w:rPr>
          <w:rFonts w:ascii="Arial" w:hAnsi="Arial" w:cs="Arial"/>
          <w:lang w:val="en-IN"/>
        </w:rPr>
        <w:t xml:space="preserve">PIB Delhi (2024). </w:t>
      </w:r>
      <w:r w:rsidRPr="007937FA">
        <w:rPr>
          <w:rFonts w:ascii="Arial" w:hAnsi="Arial" w:cs="Arial"/>
          <w:i/>
          <w:iCs/>
          <w:lang w:val="en-IN"/>
        </w:rPr>
        <w:t>Union Minister of Steel and Heavy Industries, Shri H.D. Kumaraswamy, Releases India’s Green Steel Taxonomy</w:t>
      </w:r>
      <w:r w:rsidRPr="007937FA">
        <w:rPr>
          <w:rFonts w:ascii="Arial" w:hAnsi="Arial" w:cs="Arial"/>
          <w:lang w:val="en-IN"/>
        </w:rPr>
        <w:t xml:space="preserve">. [online] Pib.gov.in. Available at: </w:t>
      </w:r>
      <w:hyperlink r:id="rId12" w:history="1">
        <w:r w:rsidRPr="007937FA">
          <w:rPr>
            <w:rStyle w:val="Hyperlink"/>
            <w:rFonts w:ascii="Arial" w:hAnsi="Arial" w:cs="Arial"/>
            <w:lang w:val="en-IN"/>
          </w:rPr>
          <w:t>https://www.pib.gov.in/PressReleaseIframePage.aspx?PRID=2083839®=48&amp;lang=2</w:t>
        </w:r>
      </w:hyperlink>
      <w:r w:rsidRPr="007937FA">
        <w:rPr>
          <w:rFonts w:ascii="Arial" w:hAnsi="Arial" w:cs="Arial"/>
          <w:lang w:val="en-IN"/>
        </w:rPr>
        <w:t xml:space="preserve"> [Accessed 23 Jun. 2026].</w:t>
      </w:r>
    </w:p>
    <w:p w14:paraId="1EB7B51B" w14:textId="77777777" w:rsidR="007937FA" w:rsidRPr="007937FA" w:rsidRDefault="007937FA" w:rsidP="007937FA">
      <w:pPr>
        <w:rPr>
          <w:rFonts w:ascii="Arial" w:hAnsi="Arial" w:cs="Arial"/>
          <w:lang w:val="en-IN"/>
        </w:rPr>
      </w:pPr>
      <w:proofErr w:type="spellStart"/>
      <w:r w:rsidRPr="007937FA">
        <w:rPr>
          <w:rFonts w:ascii="Arial" w:hAnsi="Arial" w:cs="Arial"/>
          <w:lang w:val="en-IN"/>
        </w:rPr>
        <w:lastRenderedPageBreak/>
        <w:t>Rumsa</w:t>
      </w:r>
      <w:proofErr w:type="spellEnd"/>
      <w:r w:rsidRPr="007937FA">
        <w:rPr>
          <w:rFonts w:ascii="Arial" w:hAnsi="Arial" w:cs="Arial"/>
          <w:lang w:val="en-IN"/>
        </w:rPr>
        <w:t xml:space="preserve">, M., John, M. and Biswas, W. (2025). Global steel decarbonisation roadmaps: Near-zero by 2050. </w:t>
      </w:r>
      <w:r w:rsidRPr="007937FA">
        <w:rPr>
          <w:rFonts w:ascii="Arial" w:hAnsi="Arial" w:cs="Arial"/>
          <w:i/>
          <w:iCs/>
          <w:lang w:val="en-IN"/>
        </w:rPr>
        <w:t>Environmental Impact Assessment Review</w:t>
      </w:r>
      <w:r w:rsidRPr="007937FA">
        <w:rPr>
          <w:rFonts w:ascii="Arial" w:hAnsi="Arial" w:cs="Arial"/>
          <w:lang w:val="en-IN"/>
        </w:rPr>
        <w:t xml:space="preserve">, 112, pp.107807–107807. </w:t>
      </w:r>
      <w:proofErr w:type="spellStart"/>
      <w:r w:rsidRPr="007937FA">
        <w:rPr>
          <w:rFonts w:ascii="Arial" w:hAnsi="Arial" w:cs="Arial"/>
          <w:lang w:val="en-IN"/>
        </w:rPr>
        <w:t>doi</w:t>
      </w:r>
      <w:proofErr w:type="spellEnd"/>
      <w:r w:rsidRPr="007937FA">
        <w:rPr>
          <w:rFonts w:ascii="Arial" w:hAnsi="Arial" w:cs="Arial"/>
          <w:lang w:val="en-IN"/>
        </w:rPr>
        <w:t xml:space="preserve">: </w:t>
      </w:r>
      <w:hyperlink r:id="rId13" w:history="1">
        <w:r w:rsidRPr="007937FA">
          <w:rPr>
            <w:rStyle w:val="Hyperlink"/>
            <w:rFonts w:ascii="Arial" w:hAnsi="Arial" w:cs="Arial"/>
            <w:lang w:val="en-IN"/>
          </w:rPr>
          <w:t>https://doi.org/10.1016/j.eiar.2025.107807</w:t>
        </w:r>
      </w:hyperlink>
      <w:r w:rsidRPr="007937FA">
        <w:rPr>
          <w:rFonts w:ascii="Arial" w:hAnsi="Arial" w:cs="Arial"/>
          <w:lang w:val="en-IN"/>
        </w:rPr>
        <w:t xml:space="preserve">. </w:t>
      </w:r>
    </w:p>
    <w:p w14:paraId="08AB81A3" w14:textId="77777777" w:rsidR="007937FA" w:rsidRPr="007937FA" w:rsidRDefault="007937FA" w:rsidP="007937FA">
      <w:pPr>
        <w:rPr>
          <w:rFonts w:ascii="Arial" w:hAnsi="Arial" w:cs="Arial"/>
          <w:lang w:val="en-IN"/>
        </w:rPr>
      </w:pPr>
      <w:r w:rsidRPr="007937FA">
        <w:rPr>
          <w:rFonts w:ascii="Arial" w:hAnsi="Arial" w:cs="Arial"/>
          <w:lang w:val="en-IN"/>
        </w:rPr>
        <w:t xml:space="preserve">Tata Steel (2024). </w:t>
      </w:r>
      <w:r w:rsidRPr="007937FA">
        <w:rPr>
          <w:rFonts w:ascii="Arial" w:hAnsi="Arial" w:cs="Arial"/>
          <w:i/>
          <w:iCs/>
          <w:lang w:val="en-IN"/>
        </w:rPr>
        <w:t>Integrated Report and Annual Accounts 2023-24</w:t>
      </w:r>
      <w:r w:rsidRPr="007937FA">
        <w:rPr>
          <w:rFonts w:ascii="Arial" w:hAnsi="Arial" w:cs="Arial"/>
          <w:lang w:val="en-IN"/>
        </w:rPr>
        <w:t xml:space="preserve">. [online] Available at: </w:t>
      </w:r>
      <w:hyperlink r:id="rId14" w:history="1">
        <w:r w:rsidRPr="007937FA">
          <w:rPr>
            <w:rStyle w:val="Hyperlink"/>
            <w:rFonts w:ascii="Arial" w:hAnsi="Arial" w:cs="Arial"/>
            <w:lang w:val="en-IN"/>
          </w:rPr>
          <w:t>https://www.tatasteel.com/media/21241/tata-steel-limited-ir-2024.pdf</w:t>
        </w:r>
      </w:hyperlink>
      <w:r w:rsidRPr="007937FA">
        <w:rPr>
          <w:rFonts w:ascii="Arial" w:hAnsi="Arial" w:cs="Arial"/>
          <w:lang w:val="en-IN"/>
        </w:rPr>
        <w:t xml:space="preserve">. </w:t>
      </w:r>
    </w:p>
    <w:p w14:paraId="3698FFDD" w14:textId="77777777" w:rsidR="007937FA" w:rsidRPr="007937FA" w:rsidRDefault="007937FA" w:rsidP="007937FA">
      <w:pPr>
        <w:rPr>
          <w:rFonts w:ascii="Arial" w:hAnsi="Arial" w:cs="Arial"/>
          <w:lang w:val="en-IN"/>
        </w:rPr>
      </w:pPr>
      <w:r w:rsidRPr="007937FA">
        <w:rPr>
          <w:rFonts w:ascii="Arial" w:hAnsi="Arial" w:cs="Arial"/>
          <w:lang w:val="en-IN"/>
        </w:rPr>
        <w:t xml:space="preserve">Tata Steel Limited (2025). </w:t>
      </w:r>
      <w:r w:rsidRPr="007937FA">
        <w:rPr>
          <w:rFonts w:ascii="Arial" w:hAnsi="Arial" w:cs="Arial"/>
          <w:i/>
          <w:iCs/>
          <w:lang w:val="en-IN"/>
        </w:rPr>
        <w:t>Business Responsibility and Sustainability Report for FY2024-25</w:t>
      </w:r>
      <w:r w:rsidRPr="007937FA">
        <w:rPr>
          <w:rFonts w:ascii="Arial" w:hAnsi="Arial" w:cs="Arial"/>
          <w:lang w:val="en-IN"/>
        </w:rPr>
        <w:t xml:space="preserve">. [online] Available at: </w:t>
      </w:r>
      <w:hyperlink r:id="rId15" w:history="1">
        <w:r w:rsidRPr="007937FA">
          <w:rPr>
            <w:rStyle w:val="Hyperlink"/>
            <w:rFonts w:ascii="Arial" w:hAnsi="Arial" w:cs="Arial"/>
            <w:lang w:val="en-IN"/>
          </w:rPr>
          <w:t>https://www.tatasteel.com/media/23970/brsr-fy2024-25.pdf</w:t>
        </w:r>
      </w:hyperlink>
      <w:r w:rsidRPr="007937FA">
        <w:rPr>
          <w:rFonts w:ascii="Arial" w:hAnsi="Arial" w:cs="Arial"/>
          <w:lang w:val="en-IN"/>
        </w:rPr>
        <w:t xml:space="preserve">. </w:t>
      </w:r>
    </w:p>
    <w:p w14:paraId="269C9D39" w14:textId="77777777" w:rsidR="007937FA" w:rsidRPr="007937FA" w:rsidRDefault="007937FA" w:rsidP="007937FA">
      <w:pPr>
        <w:rPr>
          <w:rFonts w:ascii="Arial" w:hAnsi="Arial" w:cs="Arial"/>
          <w:lang w:val="en-IN"/>
        </w:rPr>
      </w:pPr>
      <w:r w:rsidRPr="007937FA">
        <w:rPr>
          <w:rFonts w:ascii="Arial" w:hAnsi="Arial" w:cs="Arial"/>
          <w:lang w:val="en-IN"/>
        </w:rPr>
        <w:t xml:space="preserve">Tata Steel Nederland (2025). </w:t>
      </w:r>
      <w:r w:rsidRPr="007937FA">
        <w:rPr>
          <w:rFonts w:ascii="Arial" w:hAnsi="Arial" w:cs="Arial"/>
          <w:i/>
          <w:iCs/>
          <w:lang w:val="en-IN"/>
        </w:rPr>
        <w:t>Annual Report and Accounts 2024–2025</w:t>
      </w:r>
      <w:r w:rsidRPr="007937FA">
        <w:rPr>
          <w:rFonts w:ascii="Arial" w:hAnsi="Arial" w:cs="Arial"/>
          <w:lang w:val="en-IN"/>
        </w:rPr>
        <w:t xml:space="preserve">. [online] Available at: </w:t>
      </w:r>
      <w:hyperlink r:id="rId16" w:history="1">
        <w:r w:rsidRPr="007937FA">
          <w:rPr>
            <w:rStyle w:val="Hyperlink"/>
            <w:rFonts w:ascii="Arial" w:hAnsi="Arial" w:cs="Arial"/>
            <w:lang w:val="en-IN"/>
          </w:rPr>
          <w:t>https://content.presspage.com/uploads/2939/721796bf-1831-4134-bea2-09cc3a118d00/tatasteelnederland-financieeljaarverslag2025.pdf</w:t>
        </w:r>
      </w:hyperlink>
      <w:r w:rsidRPr="007937FA">
        <w:rPr>
          <w:rFonts w:ascii="Arial" w:hAnsi="Arial" w:cs="Arial"/>
          <w:lang w:val="en-IN"/>
        </w:rPr>
        <w:t xml:space="preserve">. </w:t>
      </w:r>
    </w:p>
    <w:p w14:paraId="614868AD" w14:textId="77777777" w:rsidR="007937FA" w:rsidRPr="007937FA" w:rsidRDefault="007937FA" w:rsidP="007937FA">
      <w:pPr>
        <w:rPr>
          <w:rFonts w:ascii="Arial" w:hAnsi="Arial" w:cs="Arial"/>
          <w:lang w:val="en-IN"/>
        </w:rPr>
      </w:pPr>
      <w:r w:rsidRPr="007937FA">
        <w:rPr>
          <w:rFonts w:ascii="Arial" w:hAnsi="Arial" w:cs="Arial"/>
          <w:lang w:val="en-IN"/>
        </w:rPr>
        <w:t xml:space="preserve">Tata Steel UK (2025). </w:t>
      </w:r>
      <w:r w:rsidRPr="007937FA">
        <w:rPr>
          <w:rFonts w:ascii="Arial" w:hAnsi="Arial" w:cs="Arial"/>
          <w:i/>
          <w:iCs/>
          <w:lang w:val="en-IN"/>
        </w:rPr>
        <w:t>Tata Steel UK Sustainability Report 2023-2025</w:t>
      </w:r>
      <w:r w:rsidRPr="007937FA">
        <w:rPr>
          <w:rFonts w:ascii="Arial" w:hAnsi="Arial" w:cs="Arial"/>
          <w:lang w:val="en-IN"/>
        </w:rPr>
        <w:t xml:space="preserve">. [online] Available at: </w:t>
      </w:r>
      <w:hyperlink r:id="rId17" w:history="1">
        <w:r w:rsidRPr="007937FA">
          <w:rPr>
            <w:rStyle w:val="Hyperlink"/>
            <w:rFonts w:ascii="Arial" w:hAnsi="Arial" w:cs="Arial"/>
            <w:lang w:val="en-IN"/>
          </w:rPr>
          <w:t>https://www.tatasteeluk.com/sites/default/files/pimcore_doc/tata-steel-uk-sustainability-report-2023-2025.pdf</w:t>
        </w:r>
      </w:hyperlink>
      <w:r w:rsidRPr="007937FA">
        <w:rPr>
          <w:rFonts w:ascii="Arial" w:hAnsi="Arial" w:cs="Arial"/>
          <w:lang w:val="en-IN"/>
        </w:rPr>
        <w:t xml:space="preserve">. </w:t>
      </w:r>
    </w:p>
    <w:p w14:paraId="31E48DF0" w14:textId="77777777" w:rsidR="007937FA" w:rsidRPr="007937FA" w:rsidRDefault="007937FA" w:rsidP="007937FA">
      <w:pPr>
        <w:rPr>
          <w:rFonts w:ascii="Arial" w:hAnsi="Arial" w:cs="Arial"/>
        </w:rPr>
      </w:pPr>
    </w:p>
    <w:p w14:paraId="275DBEC8" w14:textId="77777777" w:rsidR="007937FA" w:rsidRPr="007937FA" w:rsidRDefault="007937FA" w:rsidP="007937FA">
      <w:pPr>
        <w:rPr>
          <w:rFonts w:ascii="Arial" w:hAnsi="Arial" w:cs="Arial"/>
        </w:rPr>
      </w:pPr>
    </w:p>
    <w:sectPr w:rsidR="007937FA" w:rsidRPr="007937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7FA"/>
    <w:rsid w:val="007937FA"/>
    <w:rsid w:val="00DF11C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0CCCA"/>
  <w15:chartTrackingRefBased/>
  <w15:docId w15:val="{D9D0F920-D9CF-4258-A987-419FDB7D4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7FA"/>
    <w:pPr>
      <w:spacing w:line="360" w:lineRule="auto"/>
      <w:jc w:val="both"/>
    </w:pPr>
    <w:rPr>
      <w:rFonts w:ascii="Times New Roman" w:hAnsi="Times New Roman"/>
      <w:szCs w:val="22"/>
      <w:lang w:val="en-GB"/>
    </w:rPr>
  </w:style>
  <w:style w:type="paragraph" w:styleId="Heading1">
    <w:name w:val="heading 1"/>
    <w:basedOn w:val="Normal"/>
    <w:next w:val="Normal"/>
    <w:link w:val="Heading1Char"/>
    <w:uiPriority w:val="9"/>
    <w:qFormat/>
    <w:rsid w:val="007937FA"/>
    <w:pPr>
      <w:keepNext/>
      <w:keepLines/>
      <w:spacing w:before="360" w:after="80" w:line="278" w:lineRule="auto"/>
      <w:jc w:val="left"/>
      <w:outlineLvl w:val="0"/>
    </w:pPr>
    <w:rPr>
      <w:rFonts w:asciiTheme="majorHAnsi" w:eastAsiaTheme="majorEastAsia" w:hAnsiTheme="majorHAnsi" w:cstheme="majorBidi"/>
      <w:color w:val="0F4761" w:themeColor="accent1" w:themeShade="BF"/>
      <w:sz w:val="40"/>
      <w:szCs w:val="40"/>
      <w:lang w:val="en-IN"/>
    </w:rPr>
  </w:style>
  <w:style w:type="paragraph" w:styleId="Heading2">
    <w:name w:val="heading 2"/>
    <w:basedOn w:val="Normal"/>
    <w:next w:val="Normal"/>
    <w:link w:val="Heading2Char"/>
    <w:uiPriority w:val="9"/>
    <w:unhideWhenUsed/>
    <w:qFormat/>
    <w:rsid w:val="007937FA"/>
    <w:pPr>
      <w:keepNext/>
      <w:keepLines/>
      <w:spacing w:before="160" w:after="80" w:line="278" w:lineRule="auto"/>
      <w:jc w:val="left"/>
      <w:outlineLvl w:val="1"/>
    </w:pPr>
    <w:rPr>
      <w:rFonts w:asciiTheme="majorHAnsi" w:eastAsiaTheme="majorEastAsia" w:hAnsiTheme="majorHAnsi" w:cstheme="majorBidi"/>
      <w:color w:val="0F4761" w:themeColor="accent1" w:themeShade="BF"/>
      <w:sz w:val="32"/>
      <w:szCs w:val="32"/>
      <w:lang w:val="en-IN"/>
    </w:rPr>
  </w:style>
  <w:style w:type="paragraph" w:styleId="Heading3">
    <w:name w:val="heading 3"/>
    <w:basedOn w:val="Normal"/>
    <w:next w:val="Normal"/>
    <w:link w:val="Heading3Char"/>
    <w:uiPriority w:val="9"/>
    <w:semiHidden/>
    <w:unhideWhenUsed/>
    <w:qFormat/>
    <w:rsid w:val="007937FA"/>
    <w:pPr>
      <w:keepNext/>
      <w:keepLines/>
      <w:spacing w:before="160" w:after="80" w:line="278" w:lineRule="auto"/>
      <w:jc w:val="left"/>
      <w:outlineLvl w:val="2"/>
    </w:pPr>
    <w:rPr>
      <w:rFonts w:asciiTheme="minorHAnsi" w:eastAsiaTheme="majorEastAsia" w:hAnsiTheme="minorHAnsi" w:cstheme="majorBidi"/>
      <w:color w:val="0F4761" w:themeColor="accent1" w:themeShade="BF"/>
      <w:sz w:val="28"/>
      <w:szCs w:val="28"/>
      <w:lang w:val="en-IN"/>
    </w:rPr>
  </w:style>
  <w:style w:type="paragraph" w:styleId="Heading4">
    <w:name w:val="heading 4"/>
    <w:basedOn w:val="Normal"/>
    <w:next w:val="Normal"/>
    <w:link w:val="Heading4Char"/>
    <w:uiPriority w:val="9"/>
    <w:semiHidden/>
    <w:unhideWhenUsed/>
    <w:qFormat/>
    <w:rsid w:val="007937FA"/>
    <w:pPr>
      <w:keepNext/>
      <w:keepLines/>
      <w:spacing w:before="80" w:after="40" w:line="278" w:lineRule="auto"/>
      <w:jc w:val="left"/>
      <w:outlineLvl w:val="3"/>
    </w:pPr>
    <w:rPr>
      <w:rFonts w:asciiTheme="minorHAnsi" w:eastAsiaTheme="majorEastAsia" w:hAnsiTheme="minorHAnsi" w:cstheme="majorBidi"/>
      <w:i/>
      <w:iCs/>
      <w:color w:val="0F4761" w:themeColor="accent1" w:themeShade="BF"/>
      <w:szCs w:val="24"/>
      <w:lang w:val="en-IN"/>
    </w:rPr>
  </w:style>
  <w:style w:type="paragraph" w:styleId="Heading5">
    <w:name w:val="heading 5"/>
    <w:basedOn w:val="Normal"/>
    <w:next w:val="Normal"/>
    <w:link w:val="Heading5Char"/>
    <w:uiPriority w:val="9"/>
    <w:semiHidden/>
    <w:unhideWhenUsed/>
    <w:qFormat/>
    <w:rsid w:val="007937FA"/>
    <w:pPr>
      <w:keepNext/>
      <w:keepLines/>
      <w:spacing w:before="80" w:after="40" w:line="278" w:lineRule="auto"/>
      <w:jc w:val="left"/>
      <w:outlineLvl w:val="4"/>
    </w:pPr>
    <w:rPr>
      <w:rFonts w:asciiTheme="minorHAnsi" w:eastAsiaTheme="majorEastAsia" w:hAnsiTheme="minorHAnsi" w:cstheme="majorBidi"/>
      <w:color w:val="0F4761" w:themeColor="accent1" w:themeShade="BF"/>
      <w:szCs w:val="24"/>
      <w:lang w:val="en-IN"/>
    </w:rPr>
  </w:style>
  <w:style w:type="paragraph" w:styleId="Heading6">
    <w:name w:val="heading 6"/>
    <w:basedOn w:val="Normal"/>
    <w:next w:val="Normal"/>
    <w:link w:val="Heading6Char"/>
    <w:uiPriority w:val="9"/>
    <w:semiHidden/>
    <w:unhideWhenUsed/>
    <w:qFormat/>
    <w:rsid w:val="007937FA"/>
    <w:pPr>
      <w:keepNext/>
      <w:keepLines/>
      <w:spacing w:before="40" w:after="0" w:line="278" w:lineRule="auto"/>
      <w:jc w:val="left"/>
      <w:outlineLvl w:val="5"/>
    </w:pPr>
    <w:rPr>
      <w:rFonts w:asciiTheme="minorHAnsi" w:eastAsiaTheme="majorEastAsia" w:hAnsiTheme="minorHAnsi" w:cstheme="majorBidi"/>
      <w:i/>
      <w:iCs/>
      <w:color w:val="595959" w:themeColor="text1" w:themeTint="A6"/>
      <w:szCs w:val="24"/>
      <w:lang w:val="en-IN"/>
    </w:rPr>
  </w:style>
  <w:style w:type="paragraph" w:styleId="Heading7">
    <w:name w:val="heading 7"/>
    <w:basedOn w:val="Normal"/>
    <w:next w:val="Normal"/>
    <w:link w:val="Heading7Char"/>
    <w:uiPriority w:val="9"/>
    <w:semiHidden/>
    <w:unhideWhenUsed/>
    <w:qFormat/>
    <w:rsid w:val="007937FA"/>
    <w:pPr>
      <w:keepNext/>
      <w:keepLines/>
      <w:spacing w:before="40" w:after="0" w:line="278" w:lineRule="auto"/>
      <w:jc w:val="left"/>
      <w:outlineLvl w:val="6"/>
    </w:pPr>
    <w:rPr>
      <w:rFonts w:asciiTheme="minorHAnsi" w:eastAsiaTheme="majorEastAsia" w:hAnsiTheme="minorHAnsi" w:cstheme="majorBidi"/>
      <w:color w:val="595959" w:themeColor="text1" w:themeTint="A6"/>
      <w:szCs w:val="24"/>
      <w:lang w:val="en-IN"/>
    </w:rPr>
  </w:style>
  <w:style w:type="paragraph" w:styleId="Heading8">
    <w:name w:val="heading 8"/>
    <w:basedOn w:val="Normal"/>
    <w:next w:val="Normal"/>
    <w:link w:val="Heading8Char"/>
    <w:uiPriority w:val="9"/>
    <w:semiHidden/>
    <w:unhideWhenUsed/>
    <w:qFormat/>
    <w:rsid w:val="007937FA"/>
    <w:pPr>
      <w:keepNext/>
      <w:keepLines/>
      <w:spacing w:after="0" w:line="278" w:lineRule="auto"/>
      <w:jc w:val="left"/>
      <w:outlineLvl w:val="7"/>
    </w:pPr>
    <w:rPr>
      <w:rFonts w:asciiTheme="minorHAnsi" w:eastAsiaTheme="majorEastAsia" w:hAnsiTheme="minorHAnsi" w:cstheme="majorBidi"/>
      <w:i/>
      <w:iCs/>
      <w:color w:val="272727" w:themeColor="text1" w:themeTint="D8"/>
      <w:szCs w:val="24"/>
      <w:lang w:val="en-IN"/>
    </w:rPr>
  </w:style>
  <w:style w:type="paragraph" w:styleId="Heading9">
    <w:name w:val="heading 9"/>
    <w:basedOn w:val="Normal"/>
    <w:next w:val="Normal"/>
    <w:link w:val="Heading9Char"/>
    <w:uiPriority w:val="9"/>
    <w:semiHidden/>
    <w:unhideWhenUsed/>
    <w:qFormat/>
    <w:rsid w:val="007937FA"/>
    <w:pPr>
      <w:keepNext/>
      <w:keepLines/>
      <w:spacing w:after="0" w:line="278" w:lineRule="auto"/>
      <w:jc w:val="left"/>
      <w:outlineLvl w:val="8"/>
    </w:pPr>
    <w:rPr>
      <w:rFonts w:asciiTheme="minorHAnsi" w:eastAsiaTheme="majorEastAsia" w:hAnsiTheme="minorHAnsi" w:cstheme="majorBidi"/>
      <w:color w:val="272727" w:themeColor="text1" w:themeTint="D8"/>
      <w:szCs w:val="24"/>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7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937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37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37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37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37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37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37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37FA"/>
    <w:rPr>
      <w:rFonts w:eastAsiaTheme="majorEastAsia" w:cstheme="majorBidi"/>
      <w:color w:val="272727" w:themeColor="text1" w:themeTint="D8"/>
    </w:rPr>
  </w:style>
  <w:style w:type="paragraph" w:styleId="Title">
    <w:name w:val="Title"/>
    <w:basedOn w:val="Normal"/>
    <w:next w:val="Normal"/>
    <w:link w:val="TitleChar"/>
    <w:uiPriority w:val="10"/>
    <w:qFormat/>
    <w:rsid w:val="007937FA"/>
    <w:pPr>
      <w:spacing w:after="80" w:line="240" w:lineRule="auto"/>
      <w:contextualSpacing/>
      <w:jc w:val="left"/>
    </w:pPr>
    <w:rPr>
      <w:rFonts w:asciiTheme="majorHAnsi" w:eastAsiaTheme="majorEastAsia" w:hAnsiTheme="majorHAnsi" w:cstheme="majorBidi"/>
      <w:spacing w:val="-10"/>
      <w:kern w:val="28"/>
      <w:sz w:val="56"/>
      <w:szCs w:val="56"/>
      <w:lang w:val="en-IN"/>
    </w:rPr>
  </w:style>
  <w:style w:type="character" w:customStyle="1" w:styleId="TitleChar">
    <w:name w:val="Title Char"/>
    <w:basedOn w:val="DefaultParagraphFont"/>
    <w:link w:val="Title"/>
    <w:uiPriority w:val="10"/>
    <w:rsid w:val="007937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37FA"/>
    <w:pPr>
      <w:numPr>
        <w:ilvl w:val="1"/>
      </w:numPr>
      <w:spacing w:line="278" w:lineRule="auto"/>
      <w:jc w:val="left"/>
    </w:pPr>
    <w:rPr>
      <w:rFonts w:asciiTheme="minorHAnsi" w:eastAsiaTheme="majorEastAsia" w:hAnsiTheme="minorHAnsi" w:cstheme="majorBidi"/>
      <w:color w:val="595959" w:themeColor="text1" w:themeTint="A6"/>
      <w:spacing w:val="15"/>
      <w:sz w:val="28"/>
      <w:szCs w:val="28"/>
      <w:lang w:val="en-IN"/>
    </w:rPr>
  </w:style>
  <w:style w:type="character" w:customStyle="1" w:styleId="SubtitleChar">
    <w:name w:val="Subtitle Char"/>
    <w:basedOn w:val="DefaultParagraphFont"/>
    <w:link w:val="Subtitle"/>
    <w:uiPriority w:val="11"/>
    <w:rsid w:val="007937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37FA"/>
    <w:pPr>
      <w:spacing w:before="160" w:line="278" w:lineRule="auto"/>
      <w:jc w:val="center"/>
    </w:pPr>
    <w:rPr>
      <w:rFonts w:asciiTheme="minorHAnsi" w:hAnsiTheme="minorHAnsi"/>
      <w:i/>
      <w:iCs/>
      <w:color w:val="404040" w:themeColor="text1" w:themeTint="BF"/>
      <w:szCs w:val="24"/>
      <w:lang w:val="en-IN"/>
    </w:rPr>
  </w:style>
  <w:style w:type="character" w:customStyle="1" w:styleId="QuoteChar">
    <w:name w:val="Quote Char"/>
    <w:basedOn w:val="DefaultParagraphFont"/>
    <w:link w:val="Quote"/>
    <w:uiPriority w:val="29"/>
    <w:rsid w:val="007937FA"/>
    <w:rPr>
      <w:i/>
      <w:iCs/>
      <w:color w:val="404040" w:themeColor="text1" w:themeTint="BF"/>
    </w:rPr>
  </w:style>
  <w:style w:type="paragraph" w:styleId="ListParagraph">
    <w:name w:val="List Paragraph"/>
    <w:basedOn w:val="Normal"/>
    <w:uiPriority w:val="34"/>
    <w:qFormat/>
    <w:rsid w:val="007937FA"/>
    <w:pPr>
      <w:spacing w:line="278" w:lineRule="auto"/>
      <w:ind w:left="720"/>
      <w:contextualSpacing/>
      <w:jc w:val="left"/>
    </w:pPr>
    <w:rPr>
      <w:rFonts w:asciiTheme="minorHAnsi" w:hAnsiTheme="minorHAnsi"/>
      <w:szCs w:val="24"/>
      <w:lang w:val="en-IN"/>
    </w:rPr>
  </w:style>
  <w:style w:type="character" w:styleId="IntenseEmphasis">
    <w:name w:val="Intense Emphasis"/>
    <w:basedOn w:val="DefaultParagraphFont"/>
    <w:uiPriority w:val="21"/>
    <w:qFormat/>
    <w:rsid w:val="007937FA"/>
    <w:rPr>
      <w:i/>
      <w:iCs/>
      <w:color w:val="0F4761" w:themeColor="accent1" w:themeShade="BF"/>
    </w:rPr>
  </w:style>
  <w:style w:type="paragraph" w:styleId="IntenseQuote">
    <w:name w:val="Intense Quote"/>
    <w:basedOn w:val="Normal"/>
    <w:next w:val="Normal"/>
    <w:link w:val="IntenseQuoteChar"/>
    <w:uiPriority w:val="30"/>
    <w:qFormat/>
    <w:rsid w:val="007937F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i/>
      <w:iCs/>
      <w:color w:val="0F4761" w:themeColor="accent1" w:themeShade="BF"/>
      <w:szCs w:val="24"/>
      <w:lang w:val="en-IN"/>
    </w:rPr>
  </w:style>
  <w:style w:type="character" w:customStyle="1" w:styleId="IntenseQuoteChar">
    <w:name w:val="Intense Quote Char"/>
    <w:basedOn w:val="DefaultParagraphFont"/>
    <w:link w:val="IntenseQuote"/>
    <w:uiPriority w:val="30"/>
    <w:rsid w:val="007937FA"/>
    <w:rPr>
      <w:i/>
      <w:iCs/>
      <w:color w:val="0F4761" w:themeColor="accent1" w:themeShade="BF"/>
    </w:rPr>
  </w:style>
  <w:style w:type="character" w:styleId="IntenseReference">
    <w:name w:val="Intense Reference"/>
    <w:basedOn w:val="DefaultParagraphFont"/>
    <w:uiPriority w:val="32"/>
    <w:qFormat/>
    <w:rsid w:val="007937FA"/>
    <w:rPr>
      <w:b/>
      <w:bCs/>
      <w:smallCaps/>
      <w:color w:val="0F4761" w:themeColor="accent1" w:themeShade="BF"/>
      <w:spacing w:val="5"/>
    </w:rPr>
  </w:style>
  <w:style w:type="table" w:styleId="GridTable4-Accent1">
    <w:name w:val="Grid Table 4 Accent 1"/>
    <w:basedOn w:val="TableNormal"/>
    <w:uiPriority w:val="49"/>
    <w:rsid w:val="007937FA"/>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2">
    <w:name w:val="Grid Table 4 Accent 2"/>
    <w:basedOn w:val="TableNormal"/>
    <w:uiPriority w:val="49"/>
    <w:rsid w:val="007937FA"/>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3">
    <w:name w:val="Grid Table 4 Accent 3"/>
    <w:basedOn w:val="TableNormal"/>
    <w:uiPriority w:val="49"/>
    <w:rsid w:val="007937FA"/>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character" w:styleId="Hyperlink">
    <w:name w:val="Hyperlink"/>
    <w:basedOn w:val="DefaultParagraphFont"/>
    <w:uiPriority w:val="99"/>
    <w:unhideWhenUsed/>
    <w:rsid w:val="007937FA"/>
    <w:rPr>
      <w:color w:val="467886" w:themeColor="hyperlink"/>
      <w:u w:val="single"/>
    </w:rPr>
  </w:style>
  <w:style w:type="paragraph" w:styleId="TOCHeading">
    <w:name w:val="TOC Heading"/>
    <w:basedOn w:val="Heading1"/>
    <w:next w:val="Normal"/>
    <w:uiPriority w:val="39"/>
    <w:unhideWhenUsed/>
    <w:qFormat/>
    <w:rsid w:val="007937F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937FA"/>
    <w:pPr>
      <w:spacing w:after="100"/>
    </w:pPr>
  </w:style>
  <w:style w:type="paragraph" w:styleId="TOC2">
    <w:name w:val="toc 2"/>
    <w:basedOn w:val="Normal"/>
    <w:next w:val="Normal"/>
    <w:autoRedefine/>
    <w:uiPriority w:val="39"/>
    <w:unhideWhenUsed/>
    <w:rsid w:val="007937F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rldsteel.org/wp-content/uploads/07_India.pdf" TargetMode="External"/><Relationship Id="rId13" Type="http://schemas.openxmlformats.org/officeDocument/2006/relationships/hyperlink" Target="https://doi.org/10.1016/j.eiar.2025.107807"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ieefa.org/resources/steel-decarbonisation-india" TargetMode="External"/><Relationship Id="rId12" Type="http://schemas.openxmlformats.org/officeDocument/2006/relationships/hyperlink" Target="https://www.pib.gov.in/PressReleaseIframePage.aspx?PRID=2083839&amp;reg=48&amp;lang=2" TargetMode="External"/><Relationship Id="rId17" Type="http://schemas.openxmlformats.org/officeDocument/2006/relationships/hyperlink" Target="https://www.tatasteeluk.com/sites/default/files/pimcore_doc/tata-steel-uk-sustainability-report-2023-2025.pdf" TargetMode="External"/><Relationship Id="rId2" Type="http://schemas.openxmlformats.org/officeDocument/2006/relationships/settings" Target="settings.xml"/><Relationship Id="rId16" Type="http://schemas.openxmlformats.org/officeDocument/2006/relationships/hyperlink" Target="https://content.presspage.com/uploads/2939/721796bf-1831-4134-bea2-09cc3a118d00/tatasteelnederland-financieeljaarverslag2025.pdf" TargetMode="External"/><Relationship Id="rId1" Type="http://schemas.openxmlformats.org/officeDocument/2006/relationships/styles" Target="styles.xml"/><Relationship Id="rId6" Type="http://schemas.openxmlformats.org/officeDocument/2006/relationships/hyperlink" Target="https://eurometal.net/indian-steel-mills-face-greatest-cbam-risk-goldman-sachs/" TargetMode="External"/><Relationship Id="rId11" Type="http://schemas.openxmlformats.org/officeDocument/2006/relationships/hyperlink" Target="https://chat.openai.com" TargetMode="External"/><Relationship Id="rId5" Type="http://schemas.openxmlformats.org/officeDocument/2006/relationships/hyperlink" Target="https://www.climatepolicyinitiative.org/wp-content/uploads/2025/12/Green-Industrial-Policy-for-Iron-and-Steel.pdf" TargetMode="External"/><Relationship Id="rId15" Type="http://schemas.openxmlformats.org/officeDocument/2006/relationships/hyperlink" Target="https://www.tatasteel.com/media/23970/brsr-fy2024-25.pdf" TargetMode="External"/><Relationship Id="rId10" Type="http://schemas.openxmlformats.org/officeDocument/2006/relationships/hyperlink" Target="https://www.oecd.org/content/dam/oecd/en/publications/reports/2024/12/addressing-steel-decarbonisation-challenges-for-industry-and-policy_4caf7860/e6cb2f3c-en.pdf" TargetMode="External"/><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hyperlink" Target="https://mnre.gov.in/en/national-green-hydrogen-mission/" TargetMode="External"/><Relationship Id="rId14" Type="http://schemas.openxmlformats.org/officeDocument/2006/relationships/hyperlink" Target="https://www.tatasteel.com/media/21241/tata-steel-limited-ir-20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13</Pages>
  <Words>3568</Words>
  <Characters>20341</Characters>
  <Application>Microsoft Office Word</Application>
  <DocSecurity>0</DocSecurity>
  <Lines>169</Lines>
  <Paragraphs>47</Paragraphs>
  <ScaleCrop>false</ScaleCrop>
  <Company/>
  <LinksUpToDate>false</LinksUpToDate>
  <CharactersWithSpaces>23862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Harpreet Singh Rana</dc:creator>
  <cp:keywords/>
  <dc:description/>
  <cp:lastModifiedBy>Harpreet Singh Rana</cp:lastModifiedBy>
  <cp:revision>1</cp:revision>
  <dcterms:created xsi:type="dcterms:W3CDTF">2026-06-25T23:14:00Z</dcterms:created>
  <dcterms:modified xsi:type="dcterms:W3CDTF">2026-06-25T23:22:00Z</dcterms:modified>
</cp:coreProperties>
</file>