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9BF848F" w14:paraId="1D9ADBC5" wp14:textId="0298945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6D3471C2" wp14:textId="23F6852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70677E25" wp14:textId="6EE007D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06102D9B" wp14:textId="73D5FBB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1"/>
          <w:bCs w:val="1"/>
          <w:i w:val="0"/>
          <w:iCs w:val="0"/>
          <w:caps w:val="0"/>
          <w:smallCaps w:val="0"/>
          <w:noProof w:val="0"/>
          <w:color w:val="000000" w:themeColor="text1" w:themeTint="FF" w:themeShade="FF"/>
          <w:sz w:val="22"/>
          <w:szCs w:val="22"/>
          <w:lang w:val="en-GB"/>
        </w:rPr>
        <w:t>Assessment 1</w:t>
      </w:r>
    </w:p>
    <w:p xmlns:wp14="http://schemas.microsoft.com/office/word/2010/wordml" w:rsidP="69BF848F" w14:paraId="496F08C1" wp14:textId="278A8B4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1"/>
          <w:bCs w:val="1"/>
          <w:i w:val="0"/>
          <w:iCs w:val="0"/>
          <w:caps w:val="0"/>
          <w:smallCaps w:val="0"/>
          <w:noProof w:val="0"/>
          <w:color w:val="000000" w:themeColor="text1" w:themeTint="FF" w:themeShade="FF"/>
          <w:sz w:val="22"/>
          <w:szCs w:val="22"/>
          <w:lang w:val="en-GB"/>
        </w:rPr>
        <w:t>Case Study (Essay Format) Choose ONE of the following case studies and critically explore how you might use a therapeutic approach with the client. You should make recommendations for future action and support.</w:t>
      </w:r>
    </w:p>
    <w:p xmlns:wp14="http://schemas.microsoft.com/office/word/2010/wordml" w:rsidP="69BF848F" w14:paraId="24E7C9DA" wp14:textId="5359381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67D20D58" wp14:textId="4F4E118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160F22EB" wp14:textId="26D886D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48BA0957" wp14:textId="3356679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245FEA94" wp14:textId="6CF5ED9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72DA4462" wp14:textId="68BBD54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Programme:</w:t>
      </w:r>
      <w:r w:rsidRPr="69BF848F" w:rsidR="5B1695A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BSCPSYCH Psychology and Counselling</w:t>
      </w:r>
    </w:p>
    <w:p xmlns:wp14="http://schemas.microsoft.com/office/word/2010/wordml" w:rsidP="69BF848F" w14:paraId="166C3D01" wp14:textId="7F8C9CB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68707798" wp14:textId="03DE83A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Module: Counselling Skills &amp; Approaches</w:t>
      </w:r>
    </w:p>
    <w:p xmlns:wp14="http://schemas.microsoft.com/office/word/2010/wordml" w:rsidP="69BF848F" w14:paraId="45A2ECFD" wp14:textId="2DFAF34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01053232" wp14:textId="27924F9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Module Code: ECPS5008</w:t>
      </w:r>
    </w:p>
    <w:p xmlns:wp14="http://schemas.microsoft.com/office/word/2010/wordml" w:rsidP="69BF848F" w14:paraId="5B6F4E68" wp14:textId="73B1EB2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0A62E9B1" wp14:textId="6D87DAC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16</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November 2021</w:t>
      </w:r>
    </w:p>
    <w:p xmlns:wp14="http://schemas.microsoft.com/office/word/2010/wordml" w:rsidP="69BF848F" w14:paraId="60D35733" wp14:textId="0EB6AC3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542B4A3B" wp14:textId="3F1EBEA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3F63C958" wp14:textId="038507B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76A39BBE" wp14:textId="6095968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129138C5" wp14:textId="21C855E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5E892B03" wp14:textId="0DABE4E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3E5DDF9A" wp14:textId="2EC5967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7DA11C37" wp14:textId="502AC37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604400A4" wp14:textId="78A2F41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66D9A916" wp14:textId="47B5A9A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6C6F44DE" wp14:textId="189ACAE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0B76BB89" wp14:textId="6576D76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72E26A37" wp14:textId="17B833A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05BD0788" wp14:textId="1C1B260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03BBE696" wp14:textId="027A6FA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316AD897" wp14:textId="7346D0D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1B34D543" wp14:textId="785A6C7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1"/>
          <w:bCs w:val="1"/>
          <w:i w:val="0"/>
          <w:iCs w:val="0"/>
          <w:caps w:val="0"/>
          <w:smallCaps w:val="0"/>
          <w:noProof w:val="0"/>
          <w:color w:val="000000" w:themeColor="text1" w:themeTint="FF" w:themeShade="FF"/>
          <w:sz w:val="22"/>
          <w:szCs w:val="22"/>
          <w:lang w:val="en-GB"/>
        </w:rPr>
        <w:t>Case Study (Essay Format) Choose ONE of the following case studies and critically explore how you might use a therapeutic approach with the client. You should make recommendations for future action and support.</w:t>
      </w:r>
    </w:p>
    <w:p xmlns:wp14="http://schemas.microsoft.com/office/word/2010/wordml" w:rsidP="69BF848F" w14:paraId="74BB6858" wp14:textId="2D1F1030">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25086808" wp14:textId="79F8612F">
      <w:pPr>
        <w:spacing w:after="160"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Lesley is a 38-year-old female with 3 teenage children. Recently she has been suffering from constant worry, restlessness, irritability, inability to sleep and catastrophising about the future. Lesley has decided to get help. From the symptoms she displays, it is reasonable to suggest Lesley is suffering with anxiety when comparing her symptoms to The General Anxiety Disorder Assessment (GAD-7) (Spitzer et al., 2006). GAD-7 uses a scale to score each symptom and lists each of the symptoms Lesley is describing. The fact that Lesley has requested help herself is testament to her self-awareness. She knows that she is unwell and importantly, wants to overcome this. It would be prudent to ask Lesley to complete a GAD-7 form as part of her therapy, to establish the severity of her symptoms more accurately. Frequently, there is comorbidity of anxiety and depression. It would be wise in this case to ask Lesley to also complete the Beck Depression Inventory (BDI) (Beck et al., 1961), to ensure treatment is most accurately applied.</w:t>
      </w:r>
    </w:p>
    <w:p xmlns:wp14="http://schemas.microsoft.com/office/word/2010/wordml" w:rsidP="69BF848F" w14:paraId="7D399219" wp14:textId="4C702EC5">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Psychodynamic therapy (PDT) is an approach that has developed from Freud’s Psychoanalytic theory and treatment. This was formed during his work</w:t>
      </w:r>
      <w:r w:rsidRPr="69BF848F" w:rsidR="5B1695A4">
        <w:rPr>
          <w:rFonts w:ascii="Georgia" w:hAnsi="Georgia" w:eastAsia="Georgia" w:cs="Georgia"/>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between the 1890s and the 1930s (McLeod, 2017). Psychoanalysis refers to Freud’s theory alone, however Psychodynamic therapy encompasses the psychoanalytic approach of Freud but also the theories of his followers thereafter. </w:t>
      </w:r>
      <w:r w:rsidRPr="69BF848F" w:rsidR="5B1695A4">
        <w:rPr>
          <w:rFonts w:ascii="Calibri" w:hAnsi="Calibri" w:eastAsia="Calibri" w:cs="Calibri"/>
          <w:b w:val="0"/>
          <w:bCs w:val="0"/>
          <w:i w:val="0"/>
          <w:iCs w:val="0"/>
          <w:caps w:val="0"/>
          <w:smallCaps w:val="0"/>
          <w:noProof w:val="0"/>
          <w:color w:val="2E2E2E"/>
          <w:sz w:val="22"/>
          <w:szCs w:val="22"/>
          <w:lang w:val="en-GB"/>
        </w:rPr>
        <w:t>Many psychology scholars have derived theories from following Freud, for example, Carl Jung, Erik Erikson, Alfred Adler and Melanie Klein. Though some later departed from Freud and his conclusions due to differences in opinion. The commonality, however, between these theorists is that the unconscious mind holds the key to the problematic symptoms of the client.</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Freud defined psychoanalysis as</w:t>
      </w:r>
      <w:r w:rsidRPr="69BF848F" w:rsidR="5B1695A4">
        <w:rPr>
          <w:rFonts w:ascii="Calibri" w:hAnsi="Calibri" w:eastAsia="Calibri" w:cs="Calibri"/>
          <w:b w:val="0"/>
          <w:bCs w:val="0"/>
          <w:i w:val="0"/>
          <w:iCs w:val="0"/>
          <w:caps w:val="0"/>
          <w:smallCaps w:val="0"/>
          <w:noProof w:val="0"/>
          <w:color w:val="2E2E2E"/>
          <w:sz w:val="22"/>
          <w:szCs w:val="22"/>
          <w:lang w:val="en-GB"/>
        </w:rPr>
        <w:t xml:space="preserve"> “The study of the processes of resistance and transference.” (Freud, 1914; Leiper &amp; Maltby, 2004).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Some of the basic assumptions of PDT are that the unconscious mind is responsible for certain behaviours that have a root cause,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continue</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into</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adulthood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and</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originate from childhood experiences (McLeod, 2017). </w:t>
      </w:r>
      <w:r w:rsidRPr="69BF848F" w:rsidR="5B1695A4">
        <w:rPr>
          <w:rFonts w:ascii="Calibri" w:hAnsi="Calibri" w:eastAsia="Calibri" w:cs="Calibri"/>
          <w:b w:val="0"/>
          <w:bCs w:val="0"/>
          <w:i w:val="0"/>
          <w:iCs w:val="0"/>
          <w:caps w:val="0"/>
          <w:smallCaps w:val="0"/>
          <w:noProof w:val="0"/>
          <w:color w:val="2E2E2E"/>
          <w:sz w:val="22"/>
          <w:szCs w:val="22"/>
          <w:lang w:val="en-GB"/>
        </w:rPr>
        <w:t xml:space="preserve">Also, that there is conflict between unconscious forces needing to express themselves and opposing forces preventing them from doing so (Gabbard, 2014). PDT works on the basis that symptoms and behaviours are reflections of unconscious processes that are defending against the reprisal of repressed feelings (Gabbard, 2014).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Borkovec (2004) suggests that permanent worrying acts as a defence function to avoid further threatening and traumatic experiences (Leichsenring &amp; Salzer, 2013).</w:t>
      </w:r>
      <w:r w:rsidRPr="69BF848F" w:rsidR="5B1695A4">
        <w:rPr>
          <w:rFonts w:ascii="Calibri" w:hAnsi="Calibri" w:eastAsia="Calibri" w:cs="Calibri"/>
          <w:b w:val="0"/>
          <w:bCs w:val="0"/>
          <w:i w:val="0"/>
          <w:iCs w:val="0"/>
          <w:caps w:val="0"/>
          <w:smallCaps w:val="0"/>
          <w:noProof w:val="0"/>
          <w:color w:val="2E2E2E"/>
          <w:sz w:val="22"/>
          <w:szCs w:val="22"/>
          <w:lang w:val="en-GB"/>
        </w:rPr>
        <w:t xml:space="preserve"> The therapy itself involves searching for and exposing repressed memories and thoughts from the unconscious, in order to process them in the conscious.</w:t>
      </w:r>
    </w:p>
    <w:p xmlns:wp14="http://schemas.microsoft.com/office/word/2010/wordml" w:rsidP="69BF848F" w14:paraId="66709DD8" wp14:textId="663B6DB4">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 xml:space="preserve">Lesley could benefit greatly from psychodynamic therapy. Reasoning for this stems from several previous empirical studies. Psychodynamic therapy has been found to be as efficacious as other treatments for anxiety (Keefe et al., 2014). As such, PDT should be given due consideration when identifying a treatment for anxiety. The fundamentals of PDT are different to those of other common anxiety treatments such as Cognitive Behaviour Therapy (CBT). The underlying psychological processes of anxiety disorders are theorised differently between the two therapies mentioned (Busch et al., 2011). PDT assumes that symptoms arise from relationship experiences where the client experienced painful feelings or unacceptable treatment. For example, loss or abandonment, inability to express anger (Keefe et all., 2014). The result of these suppressed negative feelings is symptoms of anxiety, such as panic attacks when faced with the sensation of being abandoned (Busch et al., 2011; Keefe et al., 2014). CBT, however, is a more pro-active therapy that is goal orientated.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The emphasis</w:t>
      </w:r>
      <w:r w:rsidRPr="69BF848F" w:rsidR="5B1695A4">
        <w:rPr>
          <w:rFonts w:ascii="Calibri" w:hAnsi="Calibri" w:eastAsia="Calibri" w:cs="Calibri"/>
          <w:b w:val="0"/>
          <w:bCs w:val="0"/>
          <w:i w:val="0"/>
          <w:iCs w:val="0"/>
          <w:caps w:val="0"/>
          <w:smallCaps w:val="0"/>
          <w:noProof w:val="0"/>
          <w:color w:val="FF0000"/>
          <w:sz w:val="22"/>
          <w:szCs w:val="22"/>
          <w:lang w:val="en-GB"/>
        </w:rPr>
        <w:t xml:space="preserve"> </w:t>
      </w:r>
      <w:r w:rsidRPr="69BF848F" w:rsidR="5B1695A4">
        <w:rPr>
          <w:rFonts w:ascii="Calibri" w:hAnsi="Calibri" w:eastAsia="Calibri" w:cs="Calibri"/>
          <w:b w:val="0"/>
          <w:bCs w:val="0"/>
          <w:i w:val="0"/>
          <w:iCs w:val="0"/>
          <w:caps w:val="0"/>
          <w:smallCaps w:val="0"/>
          <w:noProof w:val="0"/>
          <w:color w:val="2E2E2E"/>
          <w:sz w:val="22"/>
          <w:szCs w:val="22"/>
          <w:lang w:val="en-GB"/>
        </w:rPr>
        <w:t>is on challenging current thought processes rather than looking to the past. Patients are taught to identify, evaluate and respond to dysfunctional thoughts (Beck, 2011). Both are highly effective treatments for anxiety however, on this occasion, the essay will focus on PDT.</w:t>
      </w:r>
    </w:p>
    <w:p xmlns:wp14="http://schemas.microsoft.com/office/word/2010/wordml" w:rsidP="69BF848F" w14:paraId="31D9541B" wp14:textId="6219F80C">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Therapeutic alliance is extremely important in PDT. The therapist-client relationship is vital to encourage transference and when appropriate, countertransference (Luborsky et al., 1985; Barry, 1999). In a study of previous research, Horvarth and Luborsky (1993), reported an average effect size of r=.26 linking quality of alliance to therapy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Horvath &amp; Symonds, 1991) - the importance of the alliance clearly playing a vital role in therapy success.</w:t>
      </w:r>
      <w:r w:rsidRPr="69BF848F" w:rsidR="5B1695A4">
        <w:rPr>
          <w:rFonts w:ascii="Calibri" w:hAnsi="Calibri" w:eastAsia="Calibri" w:cs="Calibri"/>
          <w:b w:val="1"/>
          <w:bCs w:val="1"/>
          <w:i w:val="0"/>
          <w:iCs w:val="0"/>
          <w:caps w:val="0"/>
          <w:smallCaps w:val="0"/>
          <w:noProof w:val="0"/>
          <w:color w:val="2E2E2E"/>
          <w:sz w:val="22"/>
          <w:szCs w:val="22"/>
          <w:lang w:val="en-GB"/>
        </w:rPr>
        <w:t xml:space="preserve"> </w:t>
      </w:r>
    </w:p>
    <w:p xmlns:wp14="http://schemas.microsoft.com/office/word/2010/wordml" w:rsidP="69BF848F" w14:paraId="3A16FE0C" wp14:textId="1FCD314A">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Transference may be described as “</w:t>
      </w:r>
      <w:r w:rsidRPr="69BF848F" w:rsidR="5B1695A4">
        <w:rPr>
          <w:rFonts w:ascii="Calibri" w:hAnsi="Calibri" w:eastAsia="Calibri" w:cs="Calibri"/>
          <w:b w:val="0"/>
          <w:bCs w:val="0"/>
          <w:i w:val="0"/>
          <w:iCs w:val="0"/>
          <w:caps w:val="0"/>
          <w:smallCaps w:val="0"/>
          <w:noProof w:val="0"/>
          <w:color w:val="1C1D1E"/>
          <w:sz w:val="22"/>
          <w:szCs w:val="22"/>
          <w:lang w:val="en-GB"/>
        </w:rPr>
        <w:t>unconscious repetition in the here and now of pathogenic conflicts from the past, and the analysis of transference is the main source of specific change brought about by psychoanalytic treatment.” (Kernberg, 2016).</w:t>
      </w:r>
      <w:r w:rsidRPr="69BF848F" w:rsidR="5B1695A4">
        <w:rPr>
          <w:rFonts w:ascii="Calibri" w:hAnsi="Calibri" w:eastAsia="Calibri" w:cs="Calibri"/>
          <w:b w:val="0"/>
          <w:bCs w:val="0"/>
          <w:i w:val="0"/>
          <w:iCs w:val="0"/>
          <w:caps w:val="0"/>
          <w:smallCaps w:val="0"/>
          <w:noProof w:val="0"/>
          <w:color w:val="2E2E2E"/>
          <w:sz w:val="22"/>
          <w:szCs w:val="22"/>
          <w:lang w:val="en-GB"/>
        </w:rPr>
        <w:t xml:space="preserve"> In order to bring suppressed thoughts and feelings from the unconscious to the conscious (transference), PDT uses specific techniques. Expression of troubling inner thoughts may seem an obvious way to release them, and unquestionably, talking therapy is far from exclusive to PDT. However, it is not to be overlooked due to its ubiquity. The act of expression alone can trigger change and begin healing. The verbalisation of the issues can lead to further processing such as catharsis and confession (Leiper &amp; Maltby, 2004). </w:t>
      </w:r>
    </w:p>
    <w:p xmlns:wp14="http://schemas.microsoft.com/office/word/2010/wordml" w:rsidP="69BF848F" w14:paraId="0BA43E18" wp14:textId="6452F4B6">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 xml:space="preserve">Catharsis would be aimed for via abreaction. To truly relive their traumatic experience is to purge the client of troublesome emotions. Thus, change is achieved through the expression of emotion. This can sometimes occur spontaneously or is raised directly by the therapist (Leiper &amp; Maltby, 2004). </w:t>
      </w:r>
    </w:p>
    <w:p xmlns:wp14="http://schemas.microsoft.com/office/word/2010/wordml" w:rsidP="69BF848F" w14:paraId="25E05D0C" wp14:textId="6E423AD6">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 xml:space="preserve">Another tool used in PDT is confession. Carl Jung stated that after confessing, a person’s seclusion and moral isolation that were often intolerable, cease. A true display of the power of confession (Todd, 1985). If the client has suppressed an act that causes feelings of guilt or shame, then to confess is to free them of these feelings. PDT does not exploit confessions within expression during therapy, instead it explores them to lead to further fundamental changes (Leiper &amp; Maltby, 2004). </w:t>
      </w:r>
    </w:p>
    <w:p xmlns:wp14="http://schemas.microsoft.com/office/word/2010/wordml" w:rsidP="69BF848F" w14:paraId="273AF1AA" wp14:textId="096DED89">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Another technique used in PDT is that of Free Association</w:t>
      </w:r>
      <w:r w:rsidRPr="69BF848F" w:rsidR="5B1695A4">
        <w:rPr>
          <w:rFonts w:ascii="Calibri" w:hAnsi="Calibri" w:eastAsia="Calibri" w:cs="Calibri"/>
          <w:b w:val="0"/>
          <w:bCs w:val="0"/>
          <w:i w:val="0"/>
          <w:iCs w:val="0"/>
          <w:caps w:val="0"/>
          <w:smallCaps w:val="0"/>
          <w:strike w:val="0"/>
          <w:dstrike w:val="0"/>
          <w:noProof w:val="0"/>
          <w:color w:val="FF0000"/>
          <w:sz w:val="22"/>
          <w:szCs w:val="22"/>
          <w:u w:val="none"/>
          <w:lang w:val="en-GB"/>
        </w:rPr>
        <w:t xml:space="preserve">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whereby</w:t>
      </w:r>
      <w:r w:rsidRPr="69BF848F" w:rsidR="5B1695A4">
        <w:rPr>
          <w:rFonts w:ascii="Calibri" w:hAnsi="Calibri" w:eastAsia="Calibri" w:cs="Calibri"/>
          <w:b w:val="0"/>
          <w:bCs w:val="0"/>
          <w:i w:val="0"/>
          <w:iCs w:val="0"/>
          <w:caps w:val="0"/>
          <w:smallCaps w:val="0"/>
          <w:noProof w:val="0"/>
          <w:color w:val="2E2E2E"/>
          <w:sz w:val="22"/>
          <w:szCs w:val="22"/>
          <w:lang w:val="en-GB"/>
        </w:rPr>
        <w:t xml:space="preserve"> the client is encouraged to speak of thoughts that involuntarily come to mind, without any prompt or suggestion. They are left to express with freedom. If the flow of expression is restricted, the therapist will bring it to attention and explore that resistance. It is thought that resistance is repressed unconscious negative feeling. Bringing it to the fore aims to assist clients in making more adaptive choices (Cabaniss et al, 2016). </w:t>
      </w:r>
    </w:p>
    <w:p xmlns:wp14="http://schemas.microsoft.com/office/word/2010/wordml" w:rsidP="69BF848F" w14:paraId="5596D09C" wp14:textId="5F6673A2">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Dream analysis is another way a PDT therapist will examine the unconscious of a client. Dreams are viewed as narratives of the unconscious, revealing hidden conflicts along with the possible solution to overcoming them (Roesler, 2018). There has been a method of analysing dreams produced called the Structural Dream Analysis (SDA). This is an attempt to create a reliable structured method of analysing dreams by following a set of interpretive steps (Roesler, 2018).</w:t>
      </w:r>
    </w:p>
    <w:p xmlns:wp14="http://schemas.microsoft.com/office/word/2010/wordml" w:rsidP="69BF848F" w14:paraId="480335AD" wp14:textId="30F99381">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PDT is not without limitations and has received considerable criticism. A particular problem with the approach is that it is almost impossible to replicate the treatment of an individual due to its intrinsic method. The individual will carve their own path to a better self-awareness and improvement</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given that each client’s path is totally unique.</w:t>
      </w:r>
      <w:r w:rsidRPr="69BF848F" w:rsidR="5B1695A4">
        <w:rPr>
          <w:rFonts w:ascii="Calibri" w:hAnsi="Calibri" w:eastAsia="Calibri" w:cs="Calibri"/>
          <w:b w:val="0"/>
          <w:bCs w:val="0"/>
          <w:i w:val="0"/>
          <w:iCs w:val="0"/>
          <w:caps w:val="0"/>
          <w:smallCaps w:val="0"/>
          <w:noProof w:val="0"/>
          <w:color w:val="FF0000"/>
          <w:sz w:val="22"/>
          <w:szCs w:val="22"/>
          <w:lang w:val="en-GB"/>
        </w:rPr>
        <w:t xml:space="preserve"> </w:t>
      </w:r>
      <w:r w:rsidRPr="69BF848F" w:rsidR="5B1695A4">
        <w:rPr>
          <w:rFonts w:ascii="Calibri" w:hAnsi="Calibri" w:eastAsia="Calibri" w:cs="Calibri"/>
          <w:b w:val="0"/>
          <w:bCs w:val="0"/>
          <w:i w:val="0"/>
          <w:iCs w:val="0"/>
          <w:caps w:val="0"/>
          <w:smallCaps w:val="0"/>
          <w:noProof w:val="0"/>
          <w:color w:val="2E2E2E"/>
          <w:sz w:val="22"/>
          <w:szCs w:val="22"/>
          <w:lang w:val="en-GB"/>
        </w:rPr>
        <w:t xml:space="preserve">This leaves an impossible task for standardising PDT guidelines for the actual application of the approach (Vries &amp; Cheak, 2014). </w:t>
      </w:r>
    </w:p>
    <w:p xmlns:wp14="http://schemas.microsoft.com/office/word/2010/wordml" w:rsidP="69BF848F" w14:paraId="3179E80B" wp14:textId="53C51E48">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 xml:space="preserve">There is suspicion around the long-term effects of emotional expression. Cathartic release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can break the hold of a repressed emotion over the client’s behaviour. H</w:t>
      </w:r>
      <w:r w:rsidRPr="69BF848F" w:rsidR="5B1695A4">
        <w:rPr>
          <w:rFonts w:ascii="Calibri" w:hAnsi="Calibri" w:eastAsia="Calibri" w:cs="Calibri"/>
          <w:b w:val="0"/>
          <w:bCs w:val="0"/>
          <w:i w:val="0"/>
          <w:iCs w:val="0"/>
          <w:caps w:val="0"/>
          <w:smallCaps w:val="0"/>
          <w:noProof w:val="0"/>
          <w:color w:val="2E2E2E"/>
          <w:sz w:val="22"/>
          <w:szCs w:val="22"/>
          <w:lang w:val="en-GB"/>
        </w:rPr>
        <w:t xml:space="preserve">owever, there is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noted</w:t>
      </w:r>
      <w:r w:rsidRPr="69BF848F" w:rsidR="5B1695A4">
        <w:rPr>
          <w:rFonts w:ascii="Calibri" w:hAnsi="Calibri" w:eastAsia="Calibri" w:cs="Calibri"/>
          <w:b w:val="0"/>
          <w:bCs w:val="0"/>
          <w:i w:val="0"/>
          <w:iCs w:val="0"/>
          <w:caps w:val="0"/>
          <w:smallCaps w:val="0"/>
          <w:noProof w:val="0"/>
          <w:color w:val="FF0000"/>
          <w:sz w:val="22"/>
          <w:szCs w:val="22"/>
          <w:lang w:val="en-GB"/>
        </w:rPr>
        <w:t xml:space="preserve"> </w:t>
      </w:r>
      <w:r w:rsidRPr="69BF848F" w:rsidR="5B1695A4">
        <w:rPr>
          <w:rFonts w:ascii="Calibri" w:hAnsi="Calibri" w:eastAsia="Calibri" w:cs="Calibri"/>
          <w:b w:val="0"/>
          <w:bCs w:val="0"/>
          <w:i w:val="0"/>
          <w:iCs w:val="0"/>
          <w:caps w:val="0"/>
          <w:smallCaps w:val="0"/>
          <w:noProof w:val="0"/>
          <w:color w:val="2E2E2E"/>
          <w:sz w:val="22"/>
          <w:szCs w:val="22"/>
          <w:lang w:val="en-GB"/>
        </w:rPr>
        <w:t>concern that this action could in fact reinforce</w:t>
      </w:r>
      <w:r w:rsidRPr="69BF848F" w:rsidR="5B1695A4">
        <w:rPr>
          <w:rFonts w:ascii="Calibri" w:hAnsi="Calibri" w:eastAsia="Calibri" w:cs="Calibri"/>
          <w:b w:val="0"/>
          <w:bCs w:val="0"/>
          <w:i w:val="0"/>
          <w:iCs w:val="0"/>
          <w:caps w:val="0"/>
          <w:smallCaps w:val="0"/>
          <w:noProof w:val="0"/>
          <w:color w:val="FF0000"/>
          <w:sz w:val="22"/>
          <w:szCs w:val="22"/>
          <w:lang w:val="en-GB"/>
        </w:rPr>
        <w:t xml:space="preserve">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this constraint in the long term - especially if</w:t>
      </w:r>
      <w:r w:rsidRPr="69BF848F" w:rsidR="5B1695A4">
        <w:rPr>
          <w:rFonts w:ascii="Calibri" w:hAnsi="Calibri" w:eastAsia="Calibri" w:cs="Calibri"/>
          <w:b w:val="0"/>
          <w:bCs w:val="0"/>
          <w:i w:val="0"/>
          <w:iCs w:val="0"/>
          <w:caps w:val="0"/>
          <w:smallCaps w:val="0"/>
          <w:noProof w:val="0"/>
          <w:color w:val="FF0000"/>
          <w:sz w:val="22"/>
          <w:szCs w:val="22"/>
          <w:lang w:val="en-GB"/>
        </w:rPr>
        <w:t xml:space="preserve">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accompanied by additional, contributary feelings that fail to be examined also </w:t>
      </w:r>
      <w:r w:rsidRPr="69BF848F" w:rsidR="5B1695A4">
        <w:rPr>
          <w:rFonts w:ascii="Calibri" w:hAnsi="Calibri" w:eastAsia="Calibri" w:cs="Calibri"/>
          <w:b w:val="0"/>
          <w:bCs w:val="0"/>
          <w:i w:val="0"/>
          <w:iCs w:val="0"/>
          <w:caps w:val="0"/>
          <w:smallCaps w:val="0"/>
          <w:noProof w:val="0"/>
          <w:color w:val="2E2E2E"/>
          <w:sz w:val="22"/>
          <w:szCs w:val="22"/>
          <w:lang w:val="en-GB"/>
        </w:rPr>
        <w:t>(Leiper &amp; Maltby, 2004).</w:t>
      </w:r>
    </w:p>
    <w:p xmlns:wp14="http://schemas.microsoft.com/office/word/2010/wordml" w:rsidP="69BF848F" w14:paraId="189652EF" wp14:textId="10EBD138">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 xml:space="preserve">PDT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has and</w:t>
      </w:r>
      <w:r w:rsidRPr="69BF848F" w:rsidR="5B1695A4">
        <w:rPr>
          <w:rFonts w:ascii="Calibri" w:hAnsi="Calibri" w:eastAsia="Calibri" w:cs="Calibri"/>
          <w:b w:val="0"/>
          <w:bCs w:val="0"/>
          <w:i w:val="0"/>
          <w:iCs w:val="0"/>
          <w:caps w:val="0"/>
          <w:smallCaps w:val="0"/>
          <w:noProof w:val="0"/>
          <w:color w:val="2E2E2E"/>
          <w:sz w:val="22"/>
          <w:szCs w:val="22"/>
          <w:lang w:val="en-GB"/>
        </w:rPr>
        <w:t xml:space="preserve"> does experience controversy within its field. It is worth noting the findings of Leichsenring et al. (2018) who stated that the repeated criticism of PDT, by followers of differing approaches, appears to be a political motivation rather than scientifically informed. Depictions of PDT are often biased within scientific literature and even media. This negative view only reduces the accessibility of treatment and possible funding resources for new research. Such detrimental distortions damage the credibility of PDT along with the reputation of psychotherapy as a whole (Abbass et al., 2017). </w:t>
      </w:r>
    </w:p>
    <w:p xmlns:wp14="http://schemas.microsoft.com/office/word/2010/wordml" w:rsidP="69BF848F" w14:paraId="0A11FBC4" wp14:textId="2E7AC74F">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 xml:space="preserve">To support Lesley using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PDT would</w:t>
      </w:r>
      <w:r w:rsidRPr="69BF848F" w:rsidR="5B1695A4">
        <w:rPr>
          <w:rFonts w:ascii="Calibri" w:hAnsi="Calibri" w:eastAsia="Calibri" w:cs="Calibri"/>
          <w:b w:val="0"/>
          <w:bCs w:val="0"/>
          <w:i w:val="0"/>
          <w:iCs w:val="0"/>
          <w:caps w:val="0"/>
          <w:smallCaps w:val="0"/>
          <w:noProof w:val="0"/>
          <w:color w:val="2E2E2E"/>
          <w:sz w:val="22"/>
          <w:szCs w:val="22"/>
          <w:lang w:val="en-GB"/>
        </w:rPr>
        <w:t xml:space="preserve"> require several sessions over time. Though, as is the nature of PDT, there is no set way of delivering the therapy and each session will reveal what is required to progress. From her case description it appears there are many issues at play. To begin to worry over a safe and long-established employment raises concern. The compounding effect of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this appears</w:t>
      </w:r>
      <w:r w:rsidRPr="69BF848F" w:rsidR="5B1695A4">
        <w:rPr>
          <w:rFonts w:ascii="Calibri" w:hAnsi="Calibri" w:eastAsia="Calibri" w:cs="Calibri"/>
          <w:b w:val="0"/>
          <w:bCs w:val="0"/>
          <w:i w:val="0"/>
          <w:iCs w:val="0"/>
          <w:caps w:val="0"/>
          <w:smallCaps w:val="0"/>
          <w:noProof w:val="0"/>
          <w:color w:val="2E2E2E"/>
          <w:sz w:val="22"/>
          <w:szCs w:val="22"/>
          <w:lang w:val="en-GB"/>
        </w:rPr>
        <w:t xml:space="preserve"> to be concern regarding the support of her children. The elevation of these issues to the point of catastrophising will be severely damaging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regard to </w:t>
      </w:r>
      <w:r w:rsidRPr="69BF848F" w:rsidR="5B1695A4">
        <w:rPr>
          <w:rFonts w:ascii="Calibri" w:hAnsi="Calibri" w:eastAsia="Calibri" w:cs="Calibri"/>
          <w:b w:val="0"/>
          <w:bCs w:val="0"/>
          <w:i w:val="0"/>
          <w:iCs w:val="0"/>
          <w:caps w:val="0"/>
          <w:smallCaps w:val="0"/>
          <w:noProof w:val="0"/>
          <w:color w:val="2E2E2E"/>
          <w:sz w:val="22"/>
          <w:szCs w:val="22"/>
          <w:lang w:val="en-GB"/>
        </w:rPr>
        <w:t xml:space="preserve">her ability to function healthily and must be tackled. Allowing Lesley the time, environment and guidance of a psychodynamic therapist will offer her the opportunity to explore the root cause of these inhibiting behaviours. Encouraging the transference of those unconscious feelings in order to expose them and thus, explore further. Confrontation of what could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potentially transpire to</w:t>
      </w:r>
      <w:r w:rsidRPr="69BF848F" w:rsidR="5B1695A4">
        <w:rPr>
          <w:rFonts w:ascii="Calibri" w:hAnsi="Calibri" w:eastAsia="Calibri" w:cs="Calibri"/>
          <w:b w:val="0"/>
          <w:bCs w:val="0"/>
          <w:i w:val="0"/>
          <w:iCs w:val="0"/>
          <w:caps w:val="0"/>
          <w:smallCaps w:val="0"/>
          <w:noProof w:val="0"/>
          <w:color w:val="FF0000"/>
          <w:sz w:val="22"/>
          <w:szCs w:val="22"/>
          <w:lang w:val="en-GB"/>
        </w:rPr>
        <w:t xml:space="preserve"> </w:t>
      </w:r>
      <w:r w:rsidRPr="69BF848F" w:rsidR="5B1695A4">
        <w:rPr>
          <w:rFonts w:ascii="Calibri" w:hAnsi="Calibri" w:eastAsia="Calibri" w:cs="Calibri"/>
          <w:b w:val="0"/>
          <w:bCs w:val="0"/>
          <w:i w:val="0"/>
          <w:iCs w:val="0"/>
          <w:caps w:val="0"/>
          <w:smallCaps w:val="0"/>
          <w:noProof w:val="0"/>
          <w:color w:val="2E2E2E"/>
          <w:sz w:val="22"/>
          <w:szCs w:val="22"/>
          <w:lang w:val="en-GB"/>
        </w:rPr>
        <w:t xml:space="preserve">be uncomfortable truths in order to process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them, will</w:t>
      </w:r>
      <w:r w:rsidRPr="69BF848F" w:rsidR="5B1695A4">
        <w:rPr>
          <w:rFonts w:ascii="Calibri" w:hAnsi="Calibri" w:eastAsia="Calibri" w:cs="Calibri"/>
          <w:b w:val="0"/>
          <w:bCs w:val="0"/>
          <w:i w:val="0"/>
          <w:iCs w:val="0"/>
          <w:caps w:val="0"/>
          <w:smallCaps w:val="0"/>
          <w:noProof w:val="0"/>
          <w:color w:val="FF0000"/>
          <w:sz w:val="22"/>
          <w:szCs w:val="22"/>
          <w:lang w:val="en-GB"/>
        </w:rPr>
        <w:t xml:space="preserve"> </w:t>
      </w:r>
      <w:r w:rsidRPr="69BF848F" w:rsidR="5B1695A4">
        <w:rPr>
          <w:rFonts w:ascii="Calibri" w:hAnsi="Calibri" w:eastAsia="Calibri" w:cs="Calibri"/>
          <w:b w:val="0"/>
          <w:bCs w:val="0"/>
          <w:i w:val="0"/>
          <w:iCs w:val="0"/>
          <w:caps w:val="0"/>
          <w:smallCaps w:val="0"/>
          <w:noProof w:val="0"/>
          <w:color w:val="2E2E2E"/>
          <w:sz w:val="22"/>
          <w:szCs w:val="22"/>
          <w:lang w:val="en-GB"/>
        </w:rPr>
        <w:t>offer release and freedom. This is where positive change happens.</w:t>
      </w:r>
    </w:p>
    <w:p xmlns:wp14="http://schemas.microsoft.com/office/word/2010/wordml" w:rsidP="69BF848F" w14:paraId="5A46960E" wp14:textId="42250BE8">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 xml:space="preserve">This essay specifically discusses PDT as an option of treatment for Lesley’s current distressing symptoms. However, it does not mean that it must be used alone. There have been instances of combination therapy proving successful, though more research is clearly needed. For example, Haverkampf (2017) suggests that CBT and PDT should not be viewed as substitutes or alternatives, rather that they are complimentary. In a randomised control trial, Orvati-Aziz et al. (2020), found that the integrative treatment method (PDT with CBT), was more effective than CBT alone. This synthesising of approaches could be an option if progression with Lesley’s treatment is not proving as successful as hoped. </w:t>
      </w:r>
    </w:p>
    <w:p xmlns:wp14="http://schemas.microsoft.com/office/word/2010/wordml" w:rsidP="69BF848F" w14:paraId="60CCB669" wp14:textId="5967844F">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There is a stark lack of research studying how PDT can be used in conjunction with other therapies. There is considerable research on person-centred applied with CBT (Stiles et al., 2007), Gestalt combined with hypnosis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González-Ramírez, 2017), CBT with art therapy (Pifalo, 2007). These are easy to find examples. Searching for similar research featuring PDT was arduous. It remains under-researched and alludes to </w:t>
      </w:r>
      <w:r w:rsidRPr="69BF848F" w:rsidR="5B1695A4">
        <w:rPr>
          <w:rFonts w:ascii="Calibri" w:hAnsi="Calibri" w:eastAsia="Calibri" w:cs="Calibri"/>
          <w:b w:val="0"/>
          <w:bCs w:val="0"/>
          <w:i w:val="0"/>
          <w:iCs w:val="0"/>
          <w:caps w:val="0"/>
          <w:smallCaps w:val="0"/>
          <w:noProof w:val="0"/>
          <w:color w:val="2E2E2E"/>
          <w:sz w:val="22"/>
          <w:szCs w:val="22"/>
          <w:lang w:val="en-GB"/>
        </w:rPr>
        <w:t>Leichsenring et al. (2018) being correct in his findings, as mentioned above. To truly gain benefits that might yet be known, research of PDT combined with other therapies must be carried out. It holds its own as a monotherapy, even amongst unfounded criticism. Discovering its qualities as part of a combination therapy approach is both exciting and essential.</w:t>
      </w:r>
    </w:p>
    <w:p xmlns:wp14="http://schemas.microsoft.com/office/word/2010/wordml" w:rsidP="69BF848F" w14:paraId="319E978B" wp14:textId="0EADBD82">
      <w:pPr>
        <w:spacing w:after="160"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2E2E2E"/>
          <w:sz w:val="22"/>
          <w:szCs w:val="22"/>
          <w:lang w:val="en-GB"/>
        </w:rPr>
        <w:t xml:space="preserve">“To see into the mind of another, we must repeatedly immerse ourselves in the flood of his associations and feelings; we must be ourselves the instrument that sounds him.” (Nemiah, 1961). This quote really strikes at the gravity of the therapeutic alliance. It speaks to the core of what being a psychodynamic therapist truly entails. PDT creates an almost inexplicable therapeutic relationship with the client where treatment can continue for extended periods. This is reflected by the difficulty in producing a generic set of guidelines for the practice itself. Such a tailored and unique form of therapy gives PDT an alluring sense of being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exceptional, divergent</w:t>
      </w:r>
      <w:r w:rsidRPr="69BF848F" w:rsidR="5B1695A4">
        <w:rPr>
          <w:rFonts w:ascii="Calibri" w:hAnsi="Calibri" w:eastAsia="Calibri" w:cs="Calibri"/>
          <w:b w:val="0"/>
          <w:bCs w:val="0"/>
          <w:i w:val="0"/>
          <w:iCs w:val="0"/>
          <w:caps w:val="0"/>
          <w:smallCaps w:val="0"/>
          <w:noProof w:val="0"/>
          <w:color w:val="2E2E2E"/>
          <w:sz w:val="22"/>
          <w:szCs w:val="22"/>
          <w:lang w:val="en-GB"/>
        </w:rPr>
        <w:t xml:space="preserve"> to other commonly known therapies. Perhaps there is bias being shown through this essay,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however what cannot be refuted is</w:t>
      </w:r>
      <w:r w:rsidRPr="69BF848F" w:rsidR="5B1695A4">
        <w:rPr>
          <w:rFonts w:ascii="Calibri" w:hAnsi="Calibri" w:eastAsia="Calibri" w:cs="Calibri"/>
          <w:b w:val="0"/>
          <w:bCs w:val="0"/>
          <w:i w:val="0"/>
          <w:iCs w:val="0"/>
          <w:caps w:val="0"/>
          <w:smallCaps w:val="0"/>
          <w:noProof w:val="0"/>
          <w:color w:val="2E2E2E"/>
          <w:sz w:val="22"/>
          <w:szCs w:val="22"/>
          <w:lang w:val="en-GB"/>
        </w:rPr>
        <w:t xml:space="preserve"> the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explorative</w:t>
      </w:r>
      <w:r w:rsidRPr="69BF848F" w:rsidR="5B1695A4">
        <w:rPr>
          <w:rFonts w:ascii="Calibri" w:hAnsi="Calibri" w:eastAsia="Calibri" w:cs="Calibri"/>
          <w:b w:val="0"/>
          <w:bCs w:val="0"/>
          <w:i w:val="0"/>
          <w:iCs w:val="0"/>
          <w:caps w:val="0"/>
          <w:smallCaps w:val="0"/>
          <w:noProof w:val="0"/>
          <w:color w:val="FF0000"/>
          <w:sz w:val="22"/>
          <w:szCs w:val="22"/>
          <w:lang w:val="en-GB"/>
        </w:rPr>
        <w:t xml:space="preserve"> </w:t>
      </w:r>
      <w:r w:rsidRPr="69BF848F" w:rsidR="5B1695A4">
        <w:rPr>
          <w:rFonts w:ascii="Calibri" w:hAnsi="Calibri" w:eastAsia="Calibri" w:cs="Calibri"/>
          <w:b w:val="0"/>
          <w:bCs w:val="0"/>
          <w:i w:val="0"/>
          <w:iCs w:val="0"/>
          <w:caps w:val="0"/>
          <w:smallCaps w:val="0"/>
          <w:noProof w:val="0"/>
          <w:color w:val="2E2E2E"/>
          <w:sz w:val="22"/>
          <w:szCs w:val="22"/>
          <w:lang w:val="en-GB"/>
        </w:rPr>
        <w:t xml:space="preserve">depth and breadth of the therapy.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this context it is possible to conclude that PDT is a true application of maintaining individuality of each client, adopting the required variance in application as a positive aspect - not an obstacle to the outcome. </w:t>
      </w:r>
    </w:p>
    <w:p xmlns:wp14="http://schemas.microsoft.com/office/word/2010/wordml" w:rsidP="69BF848F" w14:paraId="59DBB269" wp14:textId="6C9E9FDA">
      <w:pPr>
        <w:spacing w:after="160" w:line="480" w:lineRule="auto"/>
        <w:ind w:firstLine="720"/>
        <w:jc w:val="left"/>
        <w:rPr>
          <w:rFonts w:ascii="Calibri" w:hAnsi="Calibri" w:eastAsia="Calibri" w:cs="Calibri"/>
          <w:b w:val="0"/>
          <w:bCs w:val="0"/>
          <w:i w:val="0"/>
          <w:iCs w:val="0"/>
          <w:caps w:val="0"/>
          <w:smallCaps w:val="0"/>
          <w:noProof w:val="0"/>
          <w:color w:val="2E2E2E"/>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Applying PDT as a treatment for Lesley will offer</w:t>
      </w:r>
      <w:r w:rsidRPr="69BF848F" w:rsidR="5B1695A4">
        <w:rPr>
          <w:rFonts w:ascii="Calibri" w:hAnsi="Calibri" w:eastAsia="Calibri" w:cs="Calibri"/>
          <w:b w:val="0"/>
          <w:bCs w:val="0"/>
          <w:i w:val="0"/>
          <w:iCs w:val="0"/>
          <w:caps w:val="0"/>
          <w:smallCaps w:val="0"/>
          <w:noProof w:val="0"/>
          <w:color w:val="2E2E2E"/>
          <w:sz w:val="22"/>
          <w:szCs w:val="22"/>
          <w:lang w:val="en-GB"/>
        </w:rPr>
        <w:t xml:space="preserve"> her an excellent chance at resolving her current emotional distress and unwanted behaviours. However, that is not to say that she would not equally benefit from other types of therapy. As is often the case in the field of counselling and therapy, it is not a one size fits all situation. It can take trial sessions with different therapists and methods by the client, to find what feels most suitable. That being said, psychodynamic therapy </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would appear to be an</w:t>
      </w:r>
      <w:r w:rsidRPr="69BF848F" w:rsidR="5B1695A4">
        <w:rPr>
          <w:rFonts w:ascii="Calibri" w:hAnsi="Calibri" w:eastAsia="Calibri" w:cs="Calibri"/>
          <w:b w:val="0"/>
          <w:bCs w:val="0"/>
          <w:i w:val="0"/>
          <w:iCs w:val="0"/>
          <w:caps w:val="0"/>
          <w:smallCaps w:val="0"/>
          <w:noProof w:val="0"/>
          <w:color w:val="2E2E2E"/>
          <w:sz w:val="22"/>
          <w:szCs w:val="22"/>
          <w:lang w:val="en-GB"/>
        </w:rPr>
        <w:t xml:space="preserve"> excellent place to start.</w:t>
      </w:r>
    </w:p>
    <w:p xmlns:wp14="http://schemas.microsoft.com/office/word/2010/wordml" w:rsidP="69BF848F" w14:paraId="4B82BA96" wp14:textId="02DEA034">
      <w:pPr>
        <w:spacing w:after="160" w:line="259" w:lineRule="auto"/>
        <w:jc w:val="left"/>
        <w:rPr>
          <w:rFonts w:ascii="Calibri" w:hAnsi="Calibri" w:eastAsia="Calibri" w:cs="Calibri"/>
          <w:b w:val="0"/>
          <w:bCs w:val="0"/>
          <w:i w:val="0"/>
          <w:iCs w:val="0"/>
          <w:caps w:val="0"/>
          <w:smallCaps w:val="0"/>
          <w:noProof w:val="0"/>
          <w:color w:val="2E2E2E"/>
          <w:sz w:val="22"/>
          <w:szCs w:val="22"/>
          <w:lang w:val="en-GB"/>
        </w:rPr>
      </w:pPr>
    </w:p>
    <w:p xmlns:wp14="http://schemas.microsoft.com/office/word/2010/wordml" w:rsidP="69BF848F" w14:paraId="5841D539" wp14:textId="4CE0A3D8">
      <w:pPr>
        <w:spacing w:after="160" w:line="259" w:lineRule="auto"/>
        <w:jc w:val="left"/>
        <w:rPr>
          <w:rFonts w:ascii="Calibri" w:hAnsi="Calibri" w:eastAsia="Calibri" w:cs="Calibri"/>
          <w:b w:val="0"/>
          <w:bCs w:val="0"/>
          <w:i w:val="0"/>
          <w:iCs w:val="0"/>
          <w:caps w:val="0"/>
          <w:smallCaps w:val="0"/>
          <w:noProof w:val="0"/>
          <w:color w:val="2E2E2E"/>
          <w:sz w:val="22"/>
          <w:szCs w:val="22"/>
          <w:lang w:val="en-GB"/>
        </w:rPr>
      </w:pPr>
    </w:p>
    <w:p xmlns:wp14="http://schemas.microsoft.com/office/word/2010/wordml" w:rsidP="69BF848F" w14:paraId="2B4A323D" wp14:textId="4974A84F">
      <w:pPr>
        <w:spacing w:after="160" w:line="259" w:lineRule="auto"/>
        <w:jc w:val="left"/>
        <w:rPr>
          <w:rFonts w:ascii="Calibri" w:hAnsi="Calibri" w:eastAsia="Calibri" w:cs="Calibri"/>
          <w:b w:val="0"/>
          <w:bCs w:val="0"/>
          <w:i w:val="0"/>
          <w:iCs w:val="0"/>
          <w:caps w:val="0"/>
          <w:smallCaps w:val="0"/>
          <w:noProof w:val="0"/>
          <w:color w:val="2E2E2E"/>
          <w:sz w:val="22"/>
          <w:szCs w:val="22"/>
          <w:lang w:val="en-GB"/>
        </w:rPr>
      </w:pPr>
    </w:p>
    <w:p xmlns:wp14="http://schemas.microsoft.com/office/word/2010/wordml" w:rsidP="69BF848F" w14:paraId="140656D8" wp14:textId="73C2B04B">
      <w:pPr>
        <w:spacing w:after="160" w:line="259" w:lineRule="auto"/>
        <w:jc w:val="left"/>
        <w:rPr>
          <w:rFonts w:ascii="Calibri" w:hAnsi="Calibri" w:eastAsia="Calibri" w:cs="Calibri"/>
          <w:b w:val="0"/>
          <w:bCs w:val="0"/>
          <w:i w:val="0"/>
          <w:iCs w:val="0"/>
          <w:caps w:val="0"/>
          <w:smallCaps w:val="0"/>
          <w:noProof w:val="0"/>
          <w:color w:val="2E2E2E"/>
          <w:sz w:val="22"/>
          <w:szCs w:val="22"/>
          <w:lang w:val="en-GB"/>
        </w:rPr>
      </w:pPr>
    </w:p>
    <w:p xmlns:wp14="http://schemas.microsoft.com/office/word/2010/wordml" w:rsidP="69BF848F" w14:paraId="39B2C06A" wp14:textId="074302D5">
      <w:pPr>
        <w:spacing w:after="160" w:line="259" w:lineRule="auto"/>
        <w:jc w:val="left"/>
        <w:rPr>
          <w:rFonts w:ascii="Calibri" w:hAnsi="Calibri" w:eastAsia="Calibri" w:cs="Calibri"/>
          <w:b w:val="0"/>
          <w:bCs w:val="0"/>
          <w:i w:val="0"/>
          <w:iCs w:val="0"/>
          <w:caps w:val="0"/>
          <w:smallCaps w:val="0"/>
          <w:noProof w:val="0"/>
          <w:color w:val="2E2E2E"/>
          <w:sz w:val="22"/>
          <w:szCs w:val="22"/>
          <w:lang w:val="en-GB"/>
        </w:rPr>
      </w:pPr>
    </w:p>
    <w:p xmlns:wp14="http://schemas.microsoft.com/office/word/2010/wordml" w:rsidP="69BF848F" w14:paraId="70938D90" wp14:textId="15F87C0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64336D7E" wp14:textId="2FC0D03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2DF7ED55" wp14:textId="4B1ABD8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9BF848F" w14:paraId="12FA49A3" wp14:textId="661483B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1"/>
          <w:bCs w:val="1"/>
          <w:i w:val="0"/>
          <w:iCs w:val="0"/>
          <w:caps w:val="0"/>
          <w:smallCaps w:val="0"/>
          <w:noProof w:val="0"/>
          <w:color w:val="000000" w:themeColor="text1" w:themeTint="FF" w:themeShade="FF"/>
          <w:sz w:val="22"/>
          <w:szCs w:val="22"/>
          <w:lang w:val="en-GB"/>
        </w:rPr>
        <w:t>References</w:t>
      </w:r>
    </w:p>
    <w:p xmlns:wp14="http://schemas.microsoft.com/office/word/2010/wordml" w:rsidP="69BF848F" w14:paraId="0F3FDC7F" wp14:textId="3BCE8786">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Abbass, A., Luyten, P., Steinert, C., &amp; Leichsenring, F. (2017). Bias toward psychodynamic therapy: Framing the problem and working toward a solution.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Journal of Psychiatric Practice</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23</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(5), 361–365. </w:t>
      </w:r>
      <w:hyperlink r:id="R0e712740179a42b8">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https://doi.org/10.1097/pra.0000000000000256</w:t>
        </w:r>
      </w:hyperlink>
    </w:p>
    <w:p xmlns:wp14="http://schemas.microsoft.com/office/word/2010/wordml" w:rsidP="69BF848F" w14:paraId="5516ED53" wp14:textId="1A4F3401">
      <w:pPr>
        <w:spacing w:after="160" w:line="480" w:lineRule="auto"/>
        <w:ind w:left="720" w:hanging="720"/>
        <w:jc w:val="left"/>
        <w:rPr>
          <w:rFonts w:ascii="Calibri" w:hAnsi="Calibri" w:eastAsia="Calibri" w:cs="Calibri"/>
          <w:b w:val="0"/>
          <w:bCs w:val="0"/>
          <w:i w:val="0"/>
          <w:iCs w:val="0"/>
          <w:caps w:val="0"/>
          <w:smallCaps w:val="0"/>
          <w:noProof w:val="0"/>
          <w:color w:val="222222"/>
          <w:sz w:val="22"/>
          <w:szCs w:val="22"/>
          <w:lang w:val="en-GB"/>
        </w:rPr>
      </w:pPr>
      <w:r w:rsidRPr="69BF848F" w:rsidR="5B1695A4">
        <w:rPr>
          <w:rFonts w:ascii="Calibri" w:hAnsi="Calibri" w:eastAsia="Calibri" w:cs="Calibri"/>
          <w:b w:val="0"/>
          <w:bCs w:val="0"/>
          <w:i w:val="0"/>
          <w:iCs w:val="0"/>
          <w:caps w:val="0"/>
          <w:smallCaps w:val="0"/>
          <w:noProof w:val="0"/>
          <w:color w:val="222222"/>
          <w:sz w:val="22"/>
          <w:szCs w:val="22"/>
          <w:lang w:val="en-GB"/>
        </w:rPr>
        <w:t xml:space="preserve">Barry, K. L. (1999). Brief interventions and brief therapies for substance abuse. Treatment Improvement Protocol (TIP) Series 34. </w:t>
      </w:r>
      <w:r w:rsidRPr="69BF848F" w:rsidR="5B1695A4">
        <w:rPr>
          <w:rFonts w:ascii="Calibri" w:hAnsi="Calibri" w:eastAsia="Calibri" w:cs="Calibri"/>
          <w:b w:val="0"/>
          <w:bCs w:val="0"/>
          <w:i w:val="1"/>
          <w:iCs w:val="1"/>
          <w:caps w:val="0"/>
          <w:smallCaps w:val="0"/>
          <w:noProof w:val="0"/>
          <w:color w:val="222222"/>
          <w:sz w:val="22"/>
          <w:szCs w:val="22"/>
          <w:lang w:val="en-GB"/>
        </w:rPr>
        <w:t>Substance Abuse and Mental Health Services Administration Center for Substance Abuse Treatment: Rockwell, MD</w:t>
      </w:r>
      <w:r w:rsidRPr="69BF848F" w:rsidR="5B1695A4">
        <w:rPr>
          <w:rFonts w:ascii="Calibri" w:hAnsi="Calibri" w:eastAsia="Calibri" w:cs="Calibri"/>
          <w:b w:val="0"/>
          <w:bCs w:val="0"/>
          <w:i w:val="0"/>
          <w:iCs w:val="0"/>
          <w:caps w:val="0"/>
          <w:smallCaps w:val="0"/>
          <w:noProof w:val="0"/>
          <w:color w:val="222222"/>
          <w:sz w:val="22"/>
          <w:szCs w:val="22"/>
          <w:lang w:val="en-GB"/>
        </w:rPr>
        <w:t>.</w:t>
      </w:r>
    </w:p>
    <w:p xmlns:wp14="http://schemas.microsoft.com/office/word/2010/wordml" w:rsidP="69BF848F" w14:paraId="061F1F85" wp14:textId="7F4B267A">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Beck, A.T., Ward, C. H., Mendelson, M., Mock, J., &amp; Erbaugh, J. (1961) An inventory for measuring depression.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Archives of General Psychiatry,</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4</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561-571.</w:t>
      </w:r>
    </w:p>
    <w:p xmlns:wp14="http://schemas.microsoft.com/office/word/2010/wordml" w:rsidP="69BF848F" w14:paraId="61ADC748" wp14:textId="59E4C0D9">
      <w:pPr>
        <w:spacing w:after="160" w:line="480" w:lineRule="auto"/>
        <w:ind w:left="720" w:hanging="720"/>
        <w:jc w:val="left"/>
        <w:rPr>
          <w:rFonts w:ascii="Calibri" w:hAnsi="Calibri" w:eastAsia="Calibri" w:cs="Calibri"/>
          <w:b w:val="0"/>
          <w:bCs w:val="0"/>
          <w:i w:val="0"/>
          <w:iCs w:val="0"/>
          <w:caps w:val="0"/>
          <w:smallCaps w:val="0"/>
          <w:noProof w:val="0"/>
          <w:color w:val="222222"/>
          <w:sz w:val="22"/>
          <w:szCs w:val="22"/>
          <w:lang w:val="en-GB"/>
        </w:rPr>
      </w:pPr>
      <w:r w:rsidRPr="69BF848F" w:rsidR="5B1695A4">
        <w:rPr>
          <w:rFonts w:ascii="Calibri" w:hAnsi="Calibri" w:eastAsia="Calibri" w:cs="Calibri"/>
          <w:b w:val="0"/>
          <w:bCs w:val="0"/>
          <w:i w:val="0"/>
          <w:iCs w:val="0"/>
          <w:caps w:val="0"/>
          <w:smallCaps w:val="0"/>
          <w:noProof w:val="0"/>
          <w:color w:val="222222"/>
          <w:sz w:val="22"/>
          <w:szCs w:val="22"/>
          <w:lang w:val="en-GB"/>
        </w:rPr>
        <w:t>Beck, J. S. (2012). Cognitive Behavior Therapy: Basics and Beyond.</w:t>
      </w:r>
    </w:p>
    <w:p xmlns:wp14="http://schemas.microsoft.com/office/word/2010/wordml" w:rsidP="69BF848F" w14:paraId="09D8453C" wp14:textId="7E275C76">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Busch, F. N., Milrod, B.L., Singer, M. B., &amp; Aron, A.C. (2011). Manual of panic focused psychodynamic psychotherapy—Extended range, Vol. 36, New York: Routledge.</w:t>
      </w:r>
    </w:p>
    <w:p xmlns:wp14="http://schemas.microsoft.com/office/word/2010/wordml" w:rsidP="69BF848F" w14:paraId="76410960" wp14:textId="21866B5A">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Cabaniss, D. L., Cherry, S., Douglas, C. J., &amp; Shwartz, A. (2016). Free association and resistance.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Psychodynamic Psychotherapy</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219–233. </w:t>
      </w:r>
      <w:hyperlink r:id="Rc928ec6fe5134272">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https://doi.org/10.1002/9781119142010.ch20</w:t>
        </w:r>
      </w:hyperlink>
    </w:p>
    <w:p xmlns:wp14="http://schemas.microsoft.com/office/word/2010/wordml" w:rsidP="69BF848F" w14:paraId="794A97EE" wp14:textId="36C68AC7">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Gabbard, G. O. (2014).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Psychodynamic Psychiatry in Clinical Practice, Fifth Edition</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(Fifth). American Psychiatric Publishing, Inc.</w:t>
      </w:r>
    </w:p>
    <w:p xmlns:wp14="http://schemas.microsoft.com/office/word/2010/wordml" w:rsidP="69BF848F" w14:paraId="272F8C3A" wp14:textId="472EA1CF">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González-Ramírez, E., Carrillo-Montoya, T., García-Vega, M. L., Hart, C. E., Zavala-Norzagaray, A. A., &amp; Ley-Quiñónez, C. P. (2017). Effectiveness of hypnosis therapy and gestalt therapy as Depression treatments.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Clínica y Salud</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28</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 33–37. </w:t>
      </w:r>
      <w:hyperlink r:id="R7e8dfb265faf4ae6">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https://doi.org/10.1016/j.clysa.2016.11.001</w:t>
        </w:r>
      </w:hyperlink>
    </w:p>
    <w:p xmlns:wp14="http://schemas.microsoft.com/office/word/2010/wordml" w:rsidP="69BF848F" w14:paraId="0DFF69B2" wp14:textId="2B2CD2BD">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Haverkampf, C. J. (2017). CBT and Psychodynamic Psychotherapy - A Comparison.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Journal of Psychiatry Psychotherapy and Communication</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61–67.</w:t>
      </w:r>
    </w:p>
    <w:p xmlns:wp14="http://schemas.microsoft.com/office/word/2010/wordml" w:rsidP="69BF848F" w14:paraId="1083D821" wp14:textId="7F9EF03C">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Horvath, A. O., &amp; Luborsky, L. (1993). The role of the Therapeutic Alliance in Psychotherapy.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Journal of Consulting and Clinical Psychology</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61</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(4), 561–573. </w:t>
      </w:r>
      <w:hyperlink r:id="R670751273e6a43b2">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https://doi.org/10.1037/0022-006x.61.4.561</w:t>
        </w:r>
      </w:hyperlink>
    </w:p>
    <w:p xmlns:wp14="http://schemas.microsoft.com/office/word/2010/wordml" w:rsidP="69BF848F" w14:paraId="45C70E82" wp14:textId="075BC0D5">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Horvath, A. O., &amp; Symonds, B. D. (1991). Relation between Working Alliance and outcome in psychotherapy: A meta-analysis.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Journal of Counseling Psychology</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38</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 139–149. </w:t>
      </w:r>
      <w:hyperlink r:id="R7af14eb31c7041d6">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https://doi.org/10.1037/0022-0167.38.2.139</w:t>
        </w:r>
      </w:hyperlink>
    </w:p>
    <w:p xmlns:wp14="http://schemas.microsoft.com/office/word/2010/wordml" w:rsidP="69BF848F" w14:paraId="12EB8DBB" wp14:textId="0938E335">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Keefe, J. R., McCarthy, K. S., Dinger, U., Zilcha-Mano, S., &amp; Barber, J. P. (2014). A meta-analytic review of Psychodynamic Therapies for Anxiety Disorders.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Clinical Psychology Review</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34</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(4), 309–323. </w:t>
      </w:r>
      <w:hyperlink r:id="R72c802e43bbc4522">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https://doi.org/10.1016/j.cpr.2014.03.004</w:t>
        </w:r>
      </w:hyperlink>
    </w:p>
    <w:p xmlns:wp14="http://schemas.microsoft.com/office/word/2010/wordml" w:rsidP="69BF848F" w14:paraId="593460DD" wp14:textId="7E2458C5">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Kets de Vries, M. F. R., &amp; Cheak, A. (2014). Psychodynamic Approach.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Leadership: Theory and Practice 7th Ed</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32f2ba8944664747">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https://doi.org/10.2139/ssrn.2456594</w:t>
        </w:r>
      </w:hyperlink>
    </w:p>
    <w:p xmlns:wp14="http://schemas.microsoft.com/office/word/2010/wordml" w:rsidP="69BF848F" w14:paraId="62B392D8" wp14:textId="0EA3FD59">
      <w:pPr>
        <w:spacing w:after="160" w:line="480" w:lineRule="auto"/>
        <w:ind w:left="567" w:hanging="567"/>
        <w:jc w:val="left"/>
        <w:rPr>
          <w:rFonts w:ascii="Calibri" w:hAnsi="Calibri" w:eastAsia="Calibri" w:cs="Calibri"/>
          <w:b w:val="0"/>
          <w:bCs w:val="0"/>
          <w:i w:val="0"/>
          <w:iCs w:val="0"/>
          <w:caps w:val="0"/>
          <w:smallCaps w:val="0"/>
          <w:noProof w:val="0"/>
          <w:color w:val="222222"/>
          <w:sz w:val="22"/>
          <w:szCs w:val="22"/>
          <w:lang w:val="en-GB"/>
        </w:rPr>
      </w:pPr>
      <w:r w:rsidRPr="69BF848F" w:rsidR="5B1695A4">
        <w:rPr>
          <w:rFonts w:ascii="Calibri" w:hAnsi="Calibri" w:eastAsia="Calibri" w:cs="Calibri"/>
          <w:b w:val="0"/>
          <w:bCs w:val="0"/>
          <w:i w:val="0"/>
          <w:iCs w:val="0"/>
          <w:caps w:val="0"/>
          <w:smallCaps w:val="0"/>
          <w:noProof w:val="0"/>
          <w:color w:val="222222"/>
          <w:sz w:val="22"/>
          <w:szCs w:val="22"/>
          <w:lang w:val="en-GB"/>
        </w:rPr>
        <w:t xml:space="preserve">Leichsenring, F., Salzer, S., Beutel, M. E., Herpertz, S., Hiller, W., Hoyer, J., ... &amp; Leibing, E. (2013). Psychodynamic therapy and cognitive-behavioral therapy in social anxiety disorder: a multicenter randomized controlled trial. </w:t>
      </w:r>
      <w:r w:rsidRPr="69BF848F" w:rsidR="5B1695A4">
        <w:rPr>
          <w:rFonts w:ascii="Calibri" w:hAnsi="Calibri" w:eastAsia="Calibri" w:cs="Calibri"/>
          <w:b w:val="0"/>
          <w:bCs w:val="0"/>
          <w:i w:val="1"/>
          <w:iCs w:val="1"/>
          <w:caps w:val="0"/>
          <w:smallCaps w:val="0"/>
          <w:noProof w:val="0"/>
          <w:color w:val="222222"/>
          <w:sz w:val="22"/>
          <w:szCs w:val="22"/>
          <w:lang w:val="en-GB"/>
        </w:rPr>
        <w:t>American Journal of Psychiatry</w:t>
      </w:r>
      <w:r w:rsidRPr="69BF848F" w:rsidR="5B1695A4">
        <w:rPr>
          <w:rFonts w:ascii="Calibri" w:hAnsi="Calibri" w:eastAsia="Calibri" w:cs="Calibri"/>
          <w:b w:val="0"/>
          <w:bCs w:val="0"/>
          <w:i w:val="0"/>
          <w:iCs w:val="0"/>
          <w:caps w:val="0"/>
          <w:smallCaps w:val="0"/>
          <w:noProof w:val="0"/>
          <w:color w:val="222222"/>
          <w:sz w:val="22"/>
          <w:szCs w:val="22"/>
          <w:lang w:val="en-GB"/>
        </w:rPr>
        <w:t xml:space="preserve">, </w:t>
      </w:r>
      <w:r w:rsidRPr="69BF848F" w:rsidR="5B1695A4">
        <w:rPr>
          <w:rFonts w:ascii="Calibri" w:hAnsi="Calibri" w:eastAsia="Calibri" w:cs="Calibri"/>
          <w:b w:val="0"/>
          <w:bCs w:val="0"/>
          <w:i w:val="1"/>
          <w:iCs w:val="1"/>
          <w:caps w:val="0"/>
          <w:smallCaps w:val="0"/>
          <w:noProof w:val="0"/>
          <w:color w:val="222222"/>
          <w:sz w:val="22"/>
          <w:szCs w:val="22"/>
          <w:lang w:val="en-GB"/>
        </w:rPr>
        <w:t>170</w:t>
      </w:r>
      <w:r w:rsidRPr="69BF848F" w:rsidR="5B1695A4">
        <w:rPr>
          <w:rFonts w:ascii="Calibri" w:hAnsi="Calibri" w:eastAsia="Calibri" w:cs="Calibri"/>
          <w:b w:val="0"/>
          <w:bCs w:val="0"/>
          <w:i w:val="0"/>
          <w:iCs w:val="0"/>
          <w:caps w:val="0"/>
          <w:smallCaps w:val="0"/>
          <w:noProof w:val="0"/>
          <w:color w:val="222222"/>
          <w:sz w:val="22"/>
          <w:szCs w:val="22"/>
          <w:lang w:val="en-GB"/>
        </w:rPr>
        <w:t>(7), 759-767.</w:t>
      </w:r>
    </w:p>
    <w:p xmlns:wp14="http://schemas.microsoft.com/office/word/2010/wordml" w:rsidP="69BF848F" w14:paraId="0E361F20" wp14:textId="20BB839D">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Leichsenring, F., Steinert, C., &amp; Crits-Christoph, P. (2018). On mechanisms of change in psychodynamic therapy.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Zeitschrift Für Psychosomatische Medizin Und Psychotherapie</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64</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 16–22. </w:t>
      </w:r>
      <w:hyperlink r:id="Rd433b13a1d424051">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https://doi.org/10.13109/zptm.2018.64.1.16</w:t>
        </w:r>
      </w:hyperlink>
    </w:p>
    <w:p xmlns:wp14="http://schemas.microsoft.com/office/word/2010/wordml" w:rsidP="69BF848F" w14:paraId="0E79BD30" wp14:textId="2D407BEB">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Leiper, R., &amp; Maltby, M. (2004).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The psychodynamic approach to Therapeutic Change</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SAGE.</w:t>
      </w:r>
    </w:p>
    <w:p xmlns:wp14="http://schemas.microsoft.com/office/word/2010/wordml" w:rsidP="69BF848F" w14:paraId="62FF1E34" wp14:textId="2AFAAB4F">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McLeod, S. A. (2017).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Psychodynamic approach</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Simply Psychology. </w:t>
      </w:r>
      <w:hyperlink r:id="Re26e9209890846ce">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www.simplypsychology.org/psychodynamic.html</w:t>
        </w:r>
      </w:hyperlink>
    </w:p>
    <w:p xmlns:wp14="http://schemas.microsoft.com/office/word/2010/wordml" w:rsidP="69BF848F" w14:paraId="0F4D8354" wp14:textId="37CED0C2">
      <w:pPr>
        <w:spacing w:after="160" w:line="480" w:lineRule="auto"/>
        <w:ind w:left="720" w:hanging="720"/>
        <w:jc w:val="left"/>
        <w:rPr>
          <w:rFonts w:ascii="Calibri" w:hAnsi="Calibri" w:eastAsia="Calibri" w:cs="Calibri"/>
          <w:b w:val="0"/>
          <w:bCs w:val="0"/>
          <w:i w:val="0"/>
          <w:iCs w:val="0"/>
          <w:caps w:val="0"/>
          <w:smallCaps w:val="0"/>
          <w:noProof w:val="0"/>
          <w:color w:val="222222"/>
          <w:sz w:val="22"/>
          <w:szCs w:val="22"/>
          <w:lang w:val="en-GB"/>
        </w:rPr>
      </w:pPr>
      <w:r w:rsidRPr="69BF848F" w:rsidR="5B1695A4">
        <w:rPr>
          <w:rFonts w:ascii="Calibri" w:hAnsi="Calibri" w:eastAsia="Calibri" w:cs="Calibri"/>
          <w:b w:val="0"/>
          <w:bCs w:val="0"/>
          <w:i w:val="0"/>
          <w:iCs w:val="0"/>
          <w:caps w:val="0"/>
          <w:smallCaps w:val="0"/>
          <w:noProof w:val="0"/>
          <w:color w:val="222222"/>
          <w:sz w:val="22"/>
          <w:szCs w:val="22"/>
          <w:lang w:val="en-GB"/>
        </w:rPr>
        <w:t xml:space="preserve">Nemiah, J. C. (1961). </w:t>
      </w:r>
      <w:r w:rsidRPr="69BF848F" w:rsidR="5B1695A4">
        <w:rPr>
          <w:rFonts w:ascii="Calibri" w:hAnsi="Calibri" w:eastAsia="Calibri" w:cs="Calibri"/>
          <w:b w:val="0"/>
          <w:bCs w:val="0"/>
          <w:i w:val="1"/>
          <w:iCs w:val="1"/>
          <w:caps w:val="0"/>
          <w:smallCaps w:val="0"/>
          <w:noProof w:val="0"/>
          <w:color w:val="222222"/>
          <w:sz w:val="22"/>
          <w:szCs w:val="22"/>
          <w:lang w:val="en-GB"/>
        </w:rPr>
        <w:t>Foundations of psychopathology</w:t>
      </w:r>
      <w:r w:rsidRPr="69BF848F" w:rsidR="5B1695A4">
        <w:rPr>
          <w:rFonts w:ascii="Calibri" w:hAnsi="Calibri" w:eastAsia="Calibri" w:cs="Calibri"/>
          <w:b w:val="0"/>
          <w:bCs w:val="0"/>
          <w:i w:val="0"/>
          <w:iCs w:val="0"/>
          <w:caps w:val="0"/>
          <w:smallCaps w:val="0"/>
          <w:noProof w:val="0"/>
          <w:color w:val="222222"/>
          <w:sz w:val="22"/>
          <w:szCs w:val="22"/>
          <w:lang w:val="en-GB"/>
        </w:rPr>
        <w:t>. Oxford University Press, USA.</w:t>
      </w:r>
    </w:p>
    <w:p xmlns:wp14="http://schemas.microsoft.com/office/word/2010/wordml" w:rsidP="69BF848F" w14:paraId="6DFD14A7" wp14:textId="6A85237D">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Orvati Aziz, M., Mehrinejad, S. A., Hashemian, K., &amp; Paivastegar, M. (2020). Integrative therapy (short-term Psychodynamic Psychotherapy &amp; Cognitive-behavioral therapy) and cognitive-behavioral therapy in the treatment of generalized anxiety disorder: A randomized controlled trial.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Complementary Therapies in Clinical Practice</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39</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101122. </w:t>
      </w:r>
      <w:hyperlink r:id="R5370899b65aa45c7">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https://doi.org/10.1016/j.ctcp.2020.101122</w:t>
        </w:r>
      </w:hyperlink>
    </w:p>
    <w:p xmlns:wp14="http://schemas.microsoft.com/office/word/2010/wordml" w:rsidP="69BF848F" w14:paraId="3161DC41" wp14:textId="707FC60F">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Pifalo, T. (2007). Jogging the cogs: Trauma-focused art therapy and cognitive behavioral therapy with sexually abused children.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Art Therapy</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24</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(4), 170–175. </w:t>
      </w:r>
      <w:hyperlink r:id="R130efc4b87df4781">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https://doi.org/10.1080/07421656.2007.10129471</w:t>
        </w:r>
      </w:hyperlink>
    </w:p>
    <w:p xmlns:wp14="http://schemas.microsoft.com/office/word/2010/wordml" w:rsidP="69BF848F" w14:paraId="04613401" wp14:textId="7528EFBE">
      <w:pPr>
        <w:spacing w:after="160" w:line="480" w:lineRule="auto"/>
        <w:ind w:left="720" w:hanging="720"/>
        <w:jc w:val="left"/>
        <w:rPr>
          <w:rFonts w:ascii="Calibri" w:hAnsi="Calibri" w:eastAsia="Calibri" w:cs="Calibri"/>
          <w:b w:val="0"/>
          <w:bCs w:val="0"/>
          <w:i w:val="0"/>
          <w:iCs w:val="0"/>
          <w:caps w:val="0"/>
          <w:smallCaps w:val="0"/>
          <w:noProof w:val="0"/>
          <w:color w:val="222222"/>
          <w:sz w:val="22"/>
          <w:szCs w:val="22"/>
          <w:lang w:val="en-GB"/>
        </w:rPr>
      </w:pPr>
      <w:r w:rsidRPr="69BF848F" w:rsidR="5B1695A4">
        <w:rPr>
          <w:rFonts w:ascii="Calibri" w:hAnsi="Calibri" w:eastAsia="Calibri" w:cs="Calibri"/>
          <w:b w:val="0"/>
          <w:bCs w:val="0"/>
          <w:i w:val="0"/>
          <w:iCs w:val="0"/>
          <w:caps w:val="0"/>
          <w:smallCaps w:val="0"/>
          <w:noProof w:val="0"/>
          <w:color w:val="222222"/>
          <w:sz w:val="22"/>
          <w:szCs w:val="22"/>
          <w:lang w:val="en-GB"/>
        </w:rPr>
        <w:t xml:space="preserve">Roesler, C. (2018). Structural Dream Analysis: A narrative research method for investigating the meaning of dream series in analytical psychotherapies. </w:t>
      </w:r>
      <w:r w:rsidRPr="69BF848F" w:rsidR="5B1695A4">
        <w:rPr>
          <w:rFonts w:ascii="Calibri" w:hAnsi="Calibri" w:eastAsia="Calibri" w:cs="Calibri"/>
          <w:b w:val="0"/>
          <w:bCs w:val="0"/>
          <w:i w:val="1"/>
          <w:iCs w:val="1"/>
          <w:caps w:val="0"/>
          <w:smallCaps w:val="0"/>
          <w:noProof w:val="0"/>
          <w:color w:val="222222"/>
          <w:sz w:val="22"/>
          <w:szCs w:val="22"/>
          <w:lang w:val="en-GB"/>
        </w:rPr>
        <w:t>International Journal of Dream Research</w:t>
      </w:r>
      <w:r w:rsidRPr="69BF848F" w:rsidR="5B1695A4">
        <w:rPr>
          <w:rFonts w:ascii="Calibri" w:hAnsi="Calibri" w:eastAsia="Calibri" w:cs="Calibri"/>
          <w:b w:val="0"/>
          <w:bCs w:val="0"/>
          <w:i w:val="0"/>
          <w:iCs w:val="0"/>
          <w:caps w:val="0"/>
          <w:smallCaps w:val="0"/>
          <w:noProof w:val="0"/>
          <w:color w:val="222222"/>
          <w:sz w:val="22"/>
          <w:szCs w:val="22"/>
          <w:lang w:val="en-GB"/>
        </w:rPr>
        <w:t xml:space="preserve">, </w:t>
      </w:r>
      <w:r w:rsidRPr="69BF848F" w:rsidR="5B1695A4">
        <w:rPr>
          <w:rFonts w:ascii="Calibri" w:hAnsi="Calibri" w:eastAsia="Calibri" w:cs="Calibri"/>
          <w:b w:val="0"/>
          <w:bCs w:val="0"/>
          <w:i w:val="1"/>
          <w:iCs w:val="1"/>
          <w:caps w:val="0"/>
          <w:smallCaps w:val="0"/>
          <w:noProof w:val="0"/>
          <w:color w:val="222222"/>
          <w:sz w:val="22"/>
          <w:szCs w:val="22"/>
          <w:lang w:val="en-GB"/>
        </w:rPr>
        <w:t>11</w:t>
      </w:r>
      <w:r w:rsidRPr="69BF848F" w:rsidR="5B1695A4">
        <w:rPr>
          <w:rFonts w:ascii="Calibri" w:hAnsi="Calibri" w:eastAsia="Calibri" w:cs="Calibri"/>
          <w:b w:val="0"/>
          <w:bCs w:val="0"/>
          <w:i w:val="0"/>
          <w:iCs w:val="0"/>
          <w:caps w:val="0"/>
          <w:smallCaps w:val="0"/>
          <w:noProof w:val="0"/>
          <w:color w:val="222222"/>
          <w:sz w:val="22"/>
          <w:szCs w:val="22"/>
          <w:lang w:val="en-GB"/>
        </w:rPr>
        <w:t>(1), 21-29.</w:t>
      </w:r>
    </w:p>
    <w:p xmlns:wp14="http://schemas.microsoft.com/office/word/2010/wordml" w:rsidP="69BF848F" w14:paraId="11DF2FEB" wp14:textId="68C26CCA">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Spitzer, R. L., Kroenke, K., Williams, J. B., &amp; Löwe, B. (2006). A brief measure for assessing generalized anxiety disorder.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Archives of Internal Medicine</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166</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(10), 1092. </w:t>
      </w:r>
      <w:hyperlink r:id="R43d4838b3d5c43d6">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https://doi.org/10.1001/archinte.166.10.1092</w:t>
        </w:r>
      </w:hyperlink>
    </w:p>
    <w:p xmlns:wp14="http://schemas.microsoft.com/office/word/2010/wordml" w:rsidP="69BF848F" w14:paraId="479613D5" wp14:textId="515A8306">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Stiles, W. B., Barkham, M., Mellor-Clark, J., &amp; Connell, J. (2007). Effectiveness of cognitive-behavioural, person-centred, and psychodynamic therapies in UK primary-care routine practice: Replication in a larger sample.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Psychological Medicine</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38</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(5), 677–688. </w:t>
      </w:r>
      <w:hyperlink r:id="R5231101081074157">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https://doi.org/10.1017/s0033291707001511</w:t>
        </w:r>
      </w:hyperlink>
    </w:p>
    <w:p xmlns:wp14="http://schemas.microsoft.com/office/word/2010/wordml" w:rsidP="69BF848F" w14:paraId="70A4C223" wp14:textId="5E02563C">
      <w:pPr>
        <w:spacing w:after="160" w:line="480"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Todd, E. (1985). The value of confession and forgiveness according to Jung.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Journal of Religion &amp; Health</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9BF848F" w:rsidR="5B1695A4">
        <w:rPr>
          <w:rFonts w:ascii="Calibri" w:hAnsi="Calibri" w:eastAsia="Calibri" w:cs="Calibri"/>
          <w:b w:val="0"/>
          <w:bCs w:val="0"/>
          <w:i w:val="1"/>
          <w:iCs w:val="1"/>
          <w:caps w:val="0"/>
          <w:smallCaps w:val="0"/>
          <w:noProof w:val="0"/>
          <w:color w:val="000000" w:themeColor="text1" w:themeTint="FF" w:themeShade="FF"/>
          <w:sz w:val="22"/>
          <w:szCs w:val="22"/>
          <w:lang w:val="en-GB"/>
        </w:rPr>
        <w:t>24</w:t>
      </w:r>
      <w:r w:rsidRPr="69BF848F" w:rsidR="5B1695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 39–48. </w:t>
      </w:r>
      <w:hyperlink r:id="R67f80bc39df14f47">
        <w:r w:rsidRPr="69BF848F" w:rsidR="5B1695A4">
          <w:rPr>
            <w:rStyle w:val="Hyperlink"/>
            <w:rFonts w:ascii="Calibri" w:hAnsi="Calibri" w:eastAsia="Calibri" w:cs="Calibri"/>
            <w:b w:val="0"/>
            <w:bCs w:val="0"/>
            <w:i w:val="0"/>
            <w:iCs w:val="0"/>
            <w:caps w:val="0"/>
            <w:smallCaps w:val="0"/>
            <w:strike w:val="0"/>
            <w:dstrike w:val="0"/>
            <w:noProof w:val="0"/>
            <w:sz w:val="22"/>
            <w:szCs w:val="22"/>
            <w:lang w:val="en-GB"/>
          </w:rPr>
          <w:t>https://doi.org/10.1007/bf01533258</w:t>
        </w:r>
      </w:hyperlink>
    </w:p>
    <w:p xmlns:wp14="http://schemas.microsoft.com/office/word/2010/wordml" w:rsidP="69BF848F" w14:paraId="58B057C1" wp14:textId="37F09AD7">
      <w:pPr>
        <w:spacing w:after="160" w:line="480" w:lineRule="auto"/>
        <w:ind w:left="720" w:hanging="720"/>
        <w:jc w:val="left"/>
        <w:rPr>
          <w:rFonts w:ascii="Calibri" w:hAnsi="Calibri" w:eastAsia="Calibri" w:cs="Calibri"/>
          <w:b w:val="0"/>
          <w:bCs w:val="0"/>
          <w:i w:val="0"/>
          <w:iCs w:val="0"/>
          <w:caps w:val="0"/>
          <w:smallCaps w:val="0"/>
          <w:noProof w:val="0"/>
          <w:color w:val="222222"/>
          <w:sz w:val="19"/>
          <w:szCs w:val="19"/>
          <w:lang w:val="en-GB"/>
        </w:rPr>
      </w:pPr>
    </w:p>
    <w:p xmlns:wp14="http://schemas.microsoft.com/office/word/2010/wordml" w:rsidP="69BF848F" w14:paraId="5E5787A5" wp14:textId="21196E1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901ACF"/>
    <w:rsid w:val="5B1695A4"/>
    <w:rsid w:val="62F4819F"/>
    <w:rsid w:val="69BF848F"/>
    <w:rsid w:val="74901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01ACF"/>
  <w15:chartTrackingRefBased/>
  <w15:docId w15:val="{1B6F165A-2F6D-4ADA-989D-807251E285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97/pra.0000000000000256" TargetMode="External" Id="R0e712740179a42b8" /><Relationship Type="http://schemas.openxmlformats.org/officeDocument/2006/relationships/hyperlink" Target="https://doi.org/10.1002/9781119142010.ch20" TargetMode="External" Id="Rc928ec6fe5134272" /><Relationship Type="http://schemas.openxmlformats.org/officeDocument/2006/relationships/hyperlink" Target="https://doi.org/10.1016/j.clysa.2016.11.001" TargetMode="External" Id="R7e8dfb265faf4ae6" /><Relationship Type="http://schemas.openxmlformats.org/officeDocument/2006/relationships/hyperlink" Target="https://doi.org/10.1037/0022-006x.61.4.561" TargetMode="External" Id="R670751273e6a43b2" /><Relationship Type="http://schemas.openxmlformats.org/officeDocument/2006/relationships/hyperlink" Target="https://doi.org/10.1037/0022-0167.38.2.139" TargetMode="External" Id="R7af14eb31c7041d6" /><Relationship Type="http://schemas.openxmlformats.org/officeDocument/2006/relationships/hyperlink" Target="https://doi.org/10.1016/j.cpr.2014.03.004" TargetMode="External" Id="R72c802e43bbc4522" /><Relationship Type="http://schemas.openxmlformats.org/officeDocument/2006/relationships/hyperlink" Target="https://doi.org/10.2139/ssrn.2456594" TargetMode="External" Id="R32f2ba8944664747" /><Relationship Type="http://schemas.openxmlformats.org/officeDocument/2006/relationships/hyperlink" Target="https://doi.org/10.13109/zptm.2018.64.1.16" TargetMode="External" Id="Rd433b13a1d424051" /><Relationship Type="http://schemas.openxmlformats.org/officeDocument/2006/relationships/hyperlink" Target="http://www.simplypsychology.org/psychodynamic.html" TargetMode="External" Id="Re26e9209890846ce" /><Relationship Type="http://schemas.openxmlformats.org/officeDocument/2006/relationships/hyperlink" Target="https://doi.org/10.1016/j.ctcp.2020.101122" TargetMode="External" Id="R5370899b65aa45c7" /><Relationship Type="http://schemas.openxmlformats.org/officeDocument/2006/relationships/hyperlink" Target="https://doi.org/10.1080/07421656.2007.10129471" TargetMode="External" Id="R130efc4b87df4781" /><Relationship Type="http://schemas.openxmlformats.org/officeDocument/2006/relationships/hyperlink" Target="https://doi.org/10.1001/archinte.166.10.1092" TargetMode="External" Id="R43d4838b3d5c43d6" /><Relationship Type="http://schemas.openxmlformats.org/officeDocument/2006/relationships/hyperlink" Target="https://doi.org/10.1017/s0033291707001511" TargetMode="External" Id="R5231101081074157" /><Relationship Type="http://schemas.openxmlformats.org/officeDocument/2006/relationships/hyperlink" Target="https://doi.org/10.1007/bf01533258" TargetMode="External" Id="R67f80bc39df14f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Angharad John (2007011)</dc:creator>
  <keywords/>
  <dc:description/>
  <lastModifiedBy>Lowri Angharad John (2007011)</lastModifiedBy>
  <revision>2</revision>
  <dcterms:created xsi:type="dcterms:W3CDTF">2021-11-16T21:27:01.5886810Z</dcterms:created>
  <dcterms:modified xsi:type="dcterms:W3CDTF">2021-11-16T21:29:49.0561149Z</dcterms:modified>
</coreProperties>
</file>