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sz w:val="24"/>
          <w:szCs w:val="24"/>
          <w:lang w:val="en-GB"/>
        </w:rPr>
      </w:pPr>
      <w:r>
        <w:rPr>
          <w:rFonts w:ascii="Calibri" w:hAnsi="Calibri" w:cs="Calibri"/>
          <w:b/>
          <w:bCs/>
          <w:sz w:val="48"/>
          <w:szCs w:val="48"/>
        </w:rPr>
        <w:drawing>
          <wp:inline distT="0" distB="0" distL="0" distR="0">
            <wp:extent cx="3840480" cy="1508760"/>
            <wp:effectExtent l="0" t="0" r="762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3840480" cy="1508760"/>
                    </a:xfrm>
                    <a:prstGeom prst="rect">
                      <a:avLst/>
                    </a:prstGeom>
                    <a:noFill/>
                  </pic:spPr>
                </pic:pic>
              </a:graphicData>
            </a:graphic>
          </wp:inline>
        </w:drawing>
      </w:r>
    </w:p>
    <w:p>
      <w:pPr>
        <w:rPr>
          <w:rFonts w:ascii="Calibri" w:hAnsi="Calibri" w:cs="Calibri"/>
          <w:b/>
          <w:bCs/>
          <w:sz w:val="48"/>
          <w:szCs w:val="48"/>
        </w:rPr>
      </w:pPr>
    </w:p>
    <w:p>
      <w:pPr>
        <w:rPr>
          <w:rStyle w:val="31"/>
          <w:rFonts w:ascii="Arial" w:hAnsi="Arial" w:cs="Arial"/>
          <w:sz w:val="48"/>
          <w:szCs w:val="48"/>
        </w:rPr>
      </w:pPr>
    </w:p>
    <w:p>
      <w:pPr>
        <w:rPr>
          <w:rFonts w:ascii="Arial" w:hAnsi="Arial" w:cs="Arial"/>
          <w:sz w:val="44"/>
          <w:szCs w:val="44"/>
        </w:rPr>
      </w:pPr>
    </w:p>
    <w:p>
      <w:pPr>
        <w:rPr>
          <w:rFonts w:hint="eastAsia" w:ascii="Arial" w:hAnsi="Arial" w:cs="Arial"/>
          <w:sz w:val="44"/>
          <w:szCs w:val="44"/>
          <w:lang w:val="en-US" w:eastAsia="zh-CN"/>
        </w:rPr>
      </w:pPr>
      <w:r>
        <w:rPr>
          <w:rFonts w:hint="eastAsia" w:ascii="Arial" w:hAnsi="Arial" w:cs="Arial"/>
          <w:sz w:val="44"/>
          <w:szCs w:val="44"/>
          <w:lang w:val="en-US" w:eastAsia="zh-CN"/>
        </w:rPr>
        <w:t>Marriott Marketing Audit on the Impact of Covid-19</w:t>
      </w: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Student name：Yao Rui</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Number：2108266</w:t>
      </w:r>
    </w:p>
    <w:p>
      <w:pPr>
        <w:rPr>
          <w:rFonts w:ascii="Arial" w:hAnsi="Arial" w:cs="Arial"/>
          <w:sz w:val="44"/>
          <w:szCs w:val="44"/>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ascii="Arial" w:hAnsi="Arial" w:cs="Arial"/>
          <w:sz w:val="32"/>
          <w:szCs w:val="32"/>
        </w:rPr>
        <w:t xml:space="preserve"> </w:t>
      </w:r>
      <w:r>
        <w:rPr>
          <w:rFonts w:hint="eastAsia" w:ascii="Arial" w:hAnsi="Arial" w:cs="Arial"/>
          <w:sz w:val="44"/>
          <w:szCs w:val="44"/>
          <w:lang w:val="en-US" w:eastAsia="zh-CN"/>
        </w:rPr>
        <w:t>16 March</w:t>
      </w:r>
      <w:r>
        <w:rPr>
          <w:rFonts w:ascii="Arial" w:hAnsi="Arial" w:cs="Arial"/>
          <w:sz w:val="44"/>
          <w:szCs w:val="44"/>
        </w:rPr>
        <w:t xml:space="preserve"> 202</w:t>
      </w:r>
      <w:r>
        <w:rPr>
          <w:rFonts w:hint="eastAsia" w:ascii="Arial" w:hAnsi="Arial" w:cs="Arial"/>
          <w:sz w:val="44"/>
          <w:szCs w:val="44"/>
          <w:lang w:val="en-US" w:eastAsia="zh-CN"/>
        </w:rPr>
        <w:t>2</w:t>
      </w:r>
    </w:p>
    <w:p>
      <w:pPr>
        <w:rPr>
          <w:rFonts w:ascii="Arial" w:hAnsi="Arial" w:cs="Arial"/>
          <w:sz w:val="36"/>
          <w:szCs w:val="36"/>
        </w:rPr>
      </w:pPr>
    </w:p>
    <w:p>
      <w:pPr>
        <w:rPr>
          <w:rFonts w:ascii="Arial" w:hAnsi="Arial" w:cs="Arial"/>
          <w:sz w:val="36"/>
          <w:szCs w:val="36"/>
        </w:rPr>
      </w:pPr>
    </w:p>
    <w:p>
      <w:pPr>
        <w:keepNext w:val="0"/>
        <w:keepLines w:val="0"/>
        <w:widowControl/>
        <w:suppressLineNumbers w:val="0"/>
        <w:jc w:val="left"/>
        <w:rPr>
          <w:rFonts w:ascii="Arial" w:hAnsi="Arial" w:cs="Arial"/>
          <w:sz w:val="36"/>
          <w:szCs w:val="36"/>
        </w:rPr>
      </w:pPr>
      <w:r>
        <w:rPr>
          <w:rFonts w:ascii="Arial" w:hAnsi="Arial" w:cs="Arial"/>
          <w:sz w:val="36"/>
          <w:szCs w:val="36"/>
        </w:rPr>
        <w:t>A report submitted in fulfilment of the requirements for Course BMBM60</w:t>
      </w:r>
      <w:r>
        <w:rPr>
          <w:rFonts w:hint="eastAsia" w:ascii="Arial" w:hAnsi="Arial" w:cs="Arial"/>
          <w:sz w:val="36"/>
          <w:szCs w:val="36"/>
          <w:lang w:val="en-US" w:eastAsia="zh-CN"/>
        </w:rPr>
        <w:t>16</w:t>
      </w:r>
      <w:r>
        <w:rPr>
          <w:rFonts w:ascii="Arial" w:hAnsi="Arial" w:cs="Arial"/>
          <w:sz w:val="36"/>
          <w:szCs w:val="36"/>
        </w:rPr>
        <w:t xml:space="preserve">, </w:t>
      </w:r>
      <w:r>
        <w:rPr>
          <w:rFonts w:ascii="Segoe UI" w:hAnsi="Segoe UI" w:eastAsia="Segoe UI" w:cs="Segoe UI"/>
          <w:i w:val="0"/>
          <w:caps w:val="0"/>
          <w:color w:val="013E5B"/>
          <w:spacing w:val="0"/>
          <w:kern w:val="0"/>
          <w:sz w:val="15"/>
          <w:szCs w:val="15"/>
          <w:u w:val="none"/>
          <w:lang w:val="en-US" w:eastAsia="zh-CN" w:bidi="ar"/>
        </w:rPr>
        <w:fldChar w:fldCharType="begin"/>
      </w:r>
      <w:r>
        <w:rPr>
          <w:rFonts w:ascii="Segoe UI" w:hAnsi="Segoe UI" w:eastAsia="Segoe UI" w:cs="Segoe UI"/>
          <w:i w:val="0"/>
          <w:caps w:val="0"/>
          <w:color w:val="013E5B"/>
          <w:spacing w:val="0"/>
          <w:kern w:val="0"/>
          <w:sz w:val="15"/>
          <w:szCs w:val="15"/>
          <w:u w:val="none"/>
          <w:lang w:val="en-US" w:eastAsia="zh-CN" w:bidi="ar"/>
        </w:rPr>
        <w:instrText xml:space="preserve"> HYPERLINK "https://moodle.uwtsd.ac.uk/course/view.php?id=8801" </w:instrText>
      </w:r>
      <w:r>
        <w:rPr>
          <w:rFonts w:ascii="Segoe UI" w:hAnsi="Segoe UI" w:eastAsia="Segoe UI" w:cs="Segoe UI"/>
          <w:i w:val="0"/>
          <w:caps w:val="0"/>
          <w:color w:val="013E5B"/>
          <w:spacing w:val="0"/>
          <w:kern w:val="0"/>
          <w:sz w:val="15"/>
          <w:szCs w:val="15"/>
          <w:u w:val="none"/>
          <w:lang w:val="en-US" w:eastAsia="zh-CN" w:bidi="ar"/>
        </w:rPr>
        <w:fldChar w:fldCharType="separate"/>
      </w:r>
      <w:r>
        <w:rPr>
          <w:rFonts w:ascii="Arial" w:hAnsi="Arial" w:cs="Arial"/>
          <w:sz w:val="36"/>
          <w:szCs w:val="36"/>
        </w:rPr>
        <w:t>Strategic Marketing</w:t>
      </w:r>
      <w:r>
        <w:rPr>
          <w:rFonts w:hint="eastAsia" w:ascii="Arial" w:hAnsi="Arial" w:cs="Arial"/>
          <w:sz w:val="36"/>
          <w:szCs w:val="36"/>
          <w:lang w:val="en-US" w:eastAsia="zh-CN"/>
        </w:rPr>
        <w:t xml:space="preserve"> A1</w:t>
      </w:r>
      <w:r>
        <w:rPr>
          <w:rFonts w:ascii="Arial" w:hAnsi="Arial" w:cs="Arial"/>
          <w:sz w:val="36"/>
          <w:szCs w:val="36"/>
        </w:rPr>
        <w:t>, University of Wales Trinity Saint David.</w:t>
      </w:r>
    </w:p>
    <w:p>
      <w:pPr>
        <w:keepNext w:val="0"/>
        <w:keepLines w:val="0"/>
        <w:widowControl/>
        <w:suppressLineNumbers w:val="0"/>
        <w:jc w:val="left"/>
        <w:rPr>
          <w:rFonts w:ascii="Arial" w:hAnsi="Arial" w:cs="Arial"/>
          <w:sz w:val="36"/>
          <w:szCs w:val="36"/>
        </w:rPr>
      </w:pPr>
    </w:p>
    <w:p>
      <w:pPr>
        <w:keepNext w:val="0"/>
        <w:keepLines w:val="0"/>
        <w:widowControl/>
        <w:suppressLineNumbers w:val="0"/>
        <w:jc w:val="left"/>
        <w:rPr>
          <w:rFonts w:ascii="Arial" w:hAnsi="Arial" w:cs="Arial"/>
          <w:sz w:val="36"/>
          <w:szCs w:val="36"/>
        </w:rPr>
      </w:pPr>
      <w:r>
        <w:rPr>
          <w:rFonts w:hint="default" w:ascii="Segoe UI" w:hAnsi="Segoe UI" w:eastAsia="Segoe UI" w:cs="Segoe UI"/>
          <w:i w:val="0"/>
          <w:caps w:val="0"/>
          <w:color w:val="013E5B"/>
          <w:spacing w:val="0"/>
          <w:kern w:val="0"/>
          <w:sz w:val="15"/>
          <w:szCs w:val="15"/>
          <w:u w:val="none"/>
          <w:lang w:val="en-US" w:eastAsia="zh-CN" w:bidi="ar"/>
        </w:rPr>
        <w:fldChar w:fldCharType="end"/>
      </w:r>
    </w:p>
    <w:p>
      <w:pPr>
        <w:spacing w:line="360" w:lineRule="auto"/>
        <w:jc w:val="center"/>
        <w:rPr>
          <w:rFonts w:ascii="Times New Roman" w:hAnsi="Times New Roman" w:cs="Times New Roman"/>
          <w:sz w:val="24"/>
          <w:szCs w:val="24"/>
        </w:rPr>
      </w:pPr>
    </w:p>
    <w:p>
      <w:pPr>
        <w:pStyle w:val="2"/>
        <w:jc w:val="both"/>
        <w:rPr>
          <w:rFonts w:ascii="Times New Roman" w:hAnsi="Times New Roman" w:cs="Times New Roman"/>
          <w:sz w:val="24"/>
          <w:szCs w:val="24"/>
        </w:rPr>
      </w:pPr>
      <w:bookmarkStart w:id="0" w:name="_Toc98280594"/>
      <w:bookmarkStart w:id="12" w:name="_GoBack"/>
      <w:bookmarkEnd w:id="12"/>
      <w:r>
        <w:rPr>
          <w:rFonts w:ascii="Times New Roman" w:hAnsi="Times New Roman" w:cs="Times New Roman"/>
          <w:sz w:val="24"/>
          <w:szCs w:val="24"/>
        </w:rPr>
        <w:t>Executive Summary</w:t>
      </w:r>
      <w:bookmarkEnd w:id="0"/>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report's purpose was to critically analyse Marriott’s current and future external and internal environment, showing how Covid-19 has impacted the hotel and response to the impact in the UK. The internal and external environment analysis was provided using PESTEL, Porter's five forces, SWOT and VRIN analysis. The PESTEL analysis showed </w:t>
      </w:r>
      <w:r>
        <w:rPr>
          <w:rFonts w:hint="eastAsia" w:ascii="Times New Roman" w:hAnsi="Times New Roman" w:cs="Times New Roman"/>
          <w:sz w:val="24"/>
          <w:szCs w:val="24"/>
          <w:lang w:eastAsia="zh-CN"/>
        </w:rPr>
        <w:t xml:space="preserve">two </w:t>
      </w:r>
      <w:r>
        <w:rPr>
          <w:rFonts w:ascii="Times New Roman" w:hAnsi="Times New Roman" w:cs="Times New Roman"/>
          <w:sz w:val="24"/>
          <w:szCs w:val="24"/>
        </w:rPr>
        <w:t>key issues related to Covid-19 regulations and guidelines, technology use in promoting contactless service provision but has also caused customer shift to other products. The Five forces review showed high competitive rivalry, which create issues to company because of the key competitors are big, have heavily invested in core business and produce same premium products in same segment. Furthermore, while financial strength has been source of competitive advantage, the recent drop in financial performance has created competitive parity.</w:t>
      </w:r>
      <w:r>
        <w:rPr>
          <w:rFonts w:ascii="Times New Roman" w:hAnsi="Times New Roman" w:cs="Times New Roman"/>
          <w:bCs/>
          <w:sz w:val="24"/>
          <w:szCs w:val="24"/>
        </w:rPr>
        <w:t xml:space="preserve"> Thus, recommendations were provided to address financial weaknesses, and address high competitive rivalry as it takes advantage of IT, reduction of strict measures and having safety guidelines. This can be done by </w:t>
      </w:r>
      <w:r>
        <w:rPr>
          <w:rFonts w:ascii="Times New Roman" w:hAnsi="Times New Roman" w:cs="Times New Roman"/>
          <w:sz w:val="24"/>
          <w:szCs w:val="24"/>
        </w:rPr>
        <w:t>establishing a safety and health department to ensure adherence to Covid-19 guidelines, automation of hotel services to promote safety and reduce Covid-19 transmission, and giving discounts to attract customers who are yet to consume its products and services.</w:t>
      </w:r>
    </w:p>
    <w:p>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hAnsiTheme="minorHAnsi" w:eastAsiaTheme="minorHAnsi" w:cstheme="minorBidi"/>
          <w:color w:val="auto"/>
          <w:sz w:val="22"/>
          <w:szCs w:val="22"/>
          <w:lang w:val="en-GB"/>
        </w:rPr>
        <w:id w:val="209304312"/>
        <w:docPartObj>
          <w:docPartGallery w:val="Table of Contents"/>
          <w:docPartUnique/>
        </w:docPartObj>
      </w:sdtPr>
      <w:sdtEndPr>
        <w:rPr>
          <w:rFonts w:asciiTheme="minorHAnsi" w:hAnsiTheme="minorHAnsi" w:eastAsiaTheme="minorEastAsia" w:cstheme="minorBidi"/>
          <w:b/>
          <w:bCs/>
          <w:color w:val="auto"/>
          <w:sz w:val="22"/>
          <w:szCs w:val="22"/>
          <w:lang w:val="en-GB"/>
        </w:rPr>
      </w:sdtEndPr>
      <w:sdtContent>
        <w:p>
          <w:pPr>
            <w:pStyle w:val="25"/>
            <w:spacing w:line="360" w:lineRule="auto"/>
            <w:jc w:val="center"/>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Table of Contents</w:t>
          </w:r>
        </w:p>
        <w:p>
          <w:pPr>
            <w:pStyle w:val="11"/>
            <w:tabs>
              <w:tab w:val="right" w:leader="dot" w:pos="9016"/>
            </w:tabs>
            <w:spacing w:line="360" w:lineRule="auto"/>
            <w:rPr>
              <w:rFonts w:ascii="Times New Roman" w:hAnsi="Times New Roman" w:cs="Times New Roman"/>
              <w:sz w:val="24"/>
              <w:szCs w:val="24"/>
              <w:lang w:eastAsia="en-GB"/>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r>
            <w:fldChar w:fldCharType="begin"/>
          </w:r>
          <w:r>
            <w:instrText xml:space="preserve"> HYPERLINK \l "_Toc98280594" </w:instrText>
          </w:r>
          <w:r>
            <w:fldChar w:fldCharType="separate"/>
          </w:r>
          <w:r>
            <w:rPr>
              <w:rStyle w:val="17"/>
              <w:rFonts w:ascii="Times New Roman" w:hAnsi="Times New Roman" w:cs="Times New Roman"/>
              <w:color w:val="auto"/>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_Toc98280594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left" w:pos="66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"_Toc98280595" </w:instrText>
          </w:r>
          <w:r>
            <w:fldChar w:fldCharType="separate"/>
          </w:r>
          <w:r>
            <w:rPr>
              <w:rStyle w:val="17"/>
              <w:rFonts w:ascii="Times New Roman" w:hAnsi="Times New Roman" w:cs="Times New Roman"/>
              <w:color w:val="auto"/>
              <w:sz w:val="24"/>
              <w:szCs w:val="24"/>
            </w:rPr>
            <w:t>1.0.</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_Toc98280595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left" w:pos="66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"_Toc98280596" </w:instrText>
          </w:r>
          <w:r>
            <w:fldChar w:fldCharType="separate"/>
          </w:r>
          <w:r>
            <w:rPr>
              <w:rStyle w:val="17"/>
              <w:rFonts w:ascii="Times New Roman" w:hAnsi="Times New Roman" w:cs="Times New Roman"/>
              <w:color w:val="auto"/>
              <w:sz w:val="24"/>
              <w:szCs w:val="24"/>
            </w:rPr>
            <w:t>2.0.</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Analysis of External and Internal Environment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_Toc98280596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left" w:pos="88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"_Toc98280597" </w:instrText>
          </w:r>
          <w:r>
            <w:fldChar w:fldCharType="separate"/>
          </w:r>
          <w:r>
            <w:rPr>
              <w:rStyle w:val="17"/>
              <w:rFonts w:ascii="Times New Roman" w:hAnsi="Times New Roman" w:cs="Times New Roman"/>
              <w:color w:val="auto"/>
              <w:sz w:val="24"/>
              <w:szCs w:val="24"/>
            </w:rPr>
            <w:t>2.1.</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PESTEL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_Toc98280597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left" w:pos="88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"_Toc98280598" </w:instrText>
          </w:r>
          <w:r>
            <w:fldChar w:fldCharType="separate"/>
          </w:r>
          <w:r>
            <w:rPr>
              <w:rStyle w:val="17"/>
              <w:rFonts w:ascii="Times New Roman" w:hAnsi="Times New Roman" w:cs="Times New Roman"/>
              <w:color w:val="auto"/>
              <w:sz w:val="24"/>
              <w:szCs w:val="24"/>
            </w:rPr>
            <w:t>2.2.</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Porter's Five Forces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_Toc98280598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left" w:pos="88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"_Toc98280599" </w:instrText>
          </w:r>
          <w:r>
            <w:fldChar w:fldCharType="separate"/>
          </w:r>
          <w:r>
            <w:rPr>
              <w:rStyle w:val="17"/>
              <w:rFonts w:ascii="Times New Roman" w:hAnsi="Times New Roman" w:cs="Times New Roman"/>
              <w:color w:val="auto"/>
              <w:sz w:val="24"/>
              <w:szCs w:val="24"/>
            </w:rPr>
            <w:t>2.3.</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VRIN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_Toc98280599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left" w:pos="88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"_Toc98280600" </w:instrText>
          </w:r>
          <w:r>
            <w:fldChar w:fldCharType="separate"/>
          </w:r>
          <w:r>
            <w:rPr>
              <w:rStyle w:val="17"/>
              <w:rFonts w:ascii="Times New Roman" w:hAnsi="Times New Roman" w:cs="Times New Roman"/>
              <w:color w:val="auto"/>
              <w:sz w:val="24"/>
              <w:szCs w:val="24"/>
            </w:rPr>
            <w:t>2.4.</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_Toc98280600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left" w:pos="66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"_Toc98280601" </w:instrText>
          </w:r>
          <w:r>
            <w:fldChar w:fldCharType="separate"/>
          </w:r>
          <w:r>
            <w:rPr>
              <w:rStyle w:val="17"/>
              <w:rFonts w:ascii="Times New Roman" w:hAnsi="Times New Roman" w:cs="Times New Roman"/>
              <w:color w:val="auto"/>
              <w:sz w:val="24"/>
              <w:szCs w:val="24"/>
            </w:rPr>
            <w:t>3.0.</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_Toc98280601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left" w:pos="660"/>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"_Toc98280602" </w:instrText>
          </w:r>
          <w:r>
            <w:fldChar w:fldCharType="separate"/>
          </w:r>
          <w:r>
            <w:rPr>
              <w:rStyle w:val="17"/>
              <w:rFonts w:ascii="Times New Roman" w:hAnsi="Times New Roman" w:cs="Times New Roman"/>
              <w:color w:val="auto"/>
              <w:sz w:val="24"/>
              <w:szCs w:val="24"/>
            </w:rPr>
            <w:t>4.0.</w:t>
          </w:r>
          <w:r>
            <w:rPr>
              <w:rFonts w:ascii="Times New Roman" w:hAnsi="Times New Roman" w:cs="Times New Roman"/>
              <w:sz w:val="24"/>
              <w:szCs w:val="24"/>
              <w:lang w:eastAsia="en-GB"/>
            </w:rPr>
            <w:tab/>
          </w:r>
          <w:r>
            <w:rPr>
              <w:rStyle w:val="17"/>
              <w:rFonts w:ascii="Times New Roman" w:hAnsi="Times New Roman" w:cs="Times New Roman"/>
              <w:color w:val="auto"/>
              <w:sz w:val="24"/>
              <w:szCs w:val="24"/>
            </w:rPr>
            <w:t>Conclusions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_Toc98280602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016"/>
            </w:tabs>
            <w:spacing w:line="360" w:lineRule="auto"/>
            <w:rPr>
              <w:rFonts w:ascii="Times New Roman" w:hAnsi="Times New Roman" w:cs="Times New Roman"/>
              <w:sz w:val="24"/>
              <w:szCs w:val="24"/>
              <w:lang w:eastAsia="en-GB"/>
            </w:rPr>
          </w:pPr>
          <w:r>
            <w:fldChar w:fldCharType="begin"/>
          </w:r>
          <w:r>
            <w:instrText xml:space="preserve"> HYPERLINK \l "_Toc98280603" </w:instrText>
          </w:r>
          <w:r>
            <w:fldChar w:fldCharType="separate"/>
          </w:r>
          <w:r>
            <w:rPr>
              <w:rStyle w:val="17"/>
              <w:rFonts w:ascii="Times New Roman" w:hAnsi="Times New Roman" w:cs="Times New Roman"/>
              <w:color w:val="auto"/>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_Toc98280603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pPr>
          <w:r>
            <w:rPr>
              <w:rFonts w:ascii="Times New Roman" w:hAnsi="Times New Roman" w:cs="Times New Roman"/>
              <w:b/>
              <w:bCs/>
              <w:sz w:val="24"/>
              <w:szCs w:val="24"/>
            </w:rPr>
            <w:fldChar w:fldCharType="end"/>
          </w:r>
        </w:p>
      </w:sdtContent>
    </w:sdt>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pPr>
        <w:pStyle w:val="2"/>
        <w:numPr>
          <w:ilvl w:val="0"/>
          <w:numId w:val="1"/>
        </w:numPr>
        <w:spacing w:line="360" w:lineRule="auto"/>
        <w:jc w:val="both"/>
        <w:rPr>
          <w:rFonts w:ascii="Times New Roman" w:hAnsi="Times New Roman" w:cs="Times New Roman"/>
          <w:sz w:val="24"/>
          <w:szCs w:val="24"/>
        </w:rPr>
      </w:pPr>
      <w:bookmarkStart w:id="1" w:name="_Toc98280595"/>
      <w:r>
        <w:rPr>
          <w:rFonts w:ascii="Times New Roman" w:hAnsi="Times New Roman" w:cs="Times New Roman"/>
          <w:sz w:val="24"/>
          <w:szCs w:val="24"/>
        </w:rPr>
        <w:t>Introduction</w:t>
      </w:r>
      <w:bookmarkEnd w:id="1"/>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lang w:eastAsia="zh-CN"/>
        </w:rPr>
      </w:pPr>
      <w:r>
        <w:rPr>
          <w:rFonts w:hint="eastAsia" w:ascii="Times New Roman" w:hAnsi="Times New Roman" w:cs="Times New Roman"/>
          <w:sz w:val="24"/>
          <w:szCs w:val="24"/>
          <w:lang w:eastAsia="zh-CN"/>
        </w:rPr>
        <w:t>T</w:t>
      </w:r>
      <w:r>
        <w:rPr>
          <w:rFonts w:ascii="Times New Roman" w:hAnsi="Times New Roman" w:cs="Times New Roman"/>
          <w:sz w:val="24"/>
          <w:szCs w:val="24"/>
        </w:rPr>
        <w:t>he hospitality industry</w:t>
      </w:r>
      <w:r>
        <w:rPr>
          <w:rFonts w:hint="eastAsia" w:ascii="Times New Roman" w:hAnsi="Times New Roman" w:cs="Times New Roman"/>
          <w:sz w:val="24"/>
          <w:szCs w:val="24"/>
          <w:lang w:eastAsia="zh-CN"/>
        </w:rPr>
        <w:t xml:space="preserve"> is identified</w:t>
      </w:r>
      <w:r>
        <w:rPr>
          <w:rFonts w:ascii="Times New Roman" w:hAnsi="Times New Roman" w:cs="Times New Roman"/>
          <w:sz w:val="24"/>
          <w:szCs w:val="24"/>
        </w:rPr>
        <w:t xml:space="preserve"> as among the most affected sectors in the UK by lockdown and government restrictions as measures to prevent the spread of Covid-19</w:t>
      </w:r>
      <w:r>
        <w:rPr>
          <w:rFonts w:hint="eastAsia" w:ascii="Times New Roman" w:hAnsi="Times New Roman" w:cs="Times New Roman"/>
          <w:sz w:val="24"/>
          <w:szCs w:val="24"/>
          <w:lang w:eastAsia="zh-CN"/>
        </w:rPr>
        <w:t xml:space="preserve">, and </w:t>
      </w:r>
      <w:r>
        <w:rPr>
          <w:rFonts w:ascii="Times New Roman" w:hAnsi="Times New Roman" w:cs="Times New Roman"/>
          <w:sz w:val="24"/>
          <w:szCs w:val="24"/>
        </w:rPr>
        <w:t>81% of businesses have temporarily closed in spring 2020, with 54% remaining closed early 2021</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ONS</w:t>
      </w:r>
      <w:r>
        <w:rPr>
          <w:rFonts w:hint="eastAsia" w:ascii="Times New Roman" w:hAnsi="Times New Roman" w:cs="Times New Roman"/>
          <w:sz w:val="24"/>
          <w:szCs w:val="24"/>
          <w:lang w:eastAsia="zh-CN"/>
        </w:rPr>
        <w:t xml:space="preserve">, 2021). </w:t>
      </w:r>
      <w:r>
        <w:rPr>
          <w:rFonts w:ascii="Times New Roman" w:hAnsi="Times New Roman" w:cs="Times New Roman"/>
          <w:sz w:val="24"/>
          <w:szCs w:val="24"/>
        </w:rPr>
        <w:t>With such lockdown, The Guardian (2021) identified dramatic reduction in revenues, as hotels struggle to attract customers, on average occupation of hotel rooms being at 45% capacity. This is also the situation with Marriott Hotel, which saw total revenue for 2020 and 2021 drop by 49.5% and 44% compared to 2019</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($20,972m), with profits for 2020 and 2021 dropping by  129.14% and 25.7% compared to 2019</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($1,599m) (Marriott 2020;</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2021).</w:t>
      </w:r>
    </w:p>
    <w:p>
      <w:pPr>
        <w:spacing w:line="360" w:lineRule="auto"/>
        <w:jc w:val="both"/>
        <w:rPr>
          <w:rFonts w:ascii="Times New Roman" w:hAnsi="Times New Roman" w:cs="Times New Roman"/>
          <w:sz w:val="24"/>
          <w:szCs w:val="24"/>
          <w:lang w:eastAsia="zh-CN"/>
        </w:rPr>
      </w:pPr>
      <w:r>
        <w:rPr>
          <w:rFonts w:ascii="Times New Roman" w:hAnsi="Times New Roman" w:cs="Times New Roman"/>
          <w:sz w:val="24"/>
          <w:szCs w:val="24"/>
        </w:rPr>
        <w:t>Marriott is among leading Hotels and Resorts in the World, with more than 350,000 workers working across more than 130 countries, with 30 brands and 7,000 destinations (Marriott, 2022a). However, Covid-19 hit revenue generation of Marriott same as other players in the industry, with decline in revenues and profit showing this (WSJ, 2022). Therefore, the report critically analy</w:t>
      </w:r>
      <w:r>
        <w:rPr>
          <w:rFonts w:hint="eastAsia" w:ascii="Times New Roman" w:hAnsi="Times New Roman" w:cs="Times New Roman"/>
          <w:sz w:val="24"/>
          <w:szCs w:val="24"/>
          <w:lang w:eastAsia="zh-CN"/>
        </w:rPr>
        <w:t>s</w:t>
      </w:r>
      <w:r>
        <w:rPr>
          <w:rFonts w:ascii="Times New Roman" w:hAnsi="Times New Roman" w:cs="Times New Roman"/>
          <w:sz w:val="24"/>
          <w:szCs w:val="24"/>
        </w:rPr>
        <w:t>e the organisational current and future external and internal environment, showing how Covid-19 has impacted the hotel and its</w:t>
      </w:r>
      <w:r>
        <w:rPr>
          <w:rFonts w:ascii="Times New Roman" w:hAnsi="Times New Roman" w:cs="Times New Roman"/>
          <w:sz w:val="24"/>
          <w:szCs w:val="24"/>
          <w:lang w:eastAsia="zh-CN"/>
        </w:rPr>
        <w:t xml:space="preserve"> </w:t>
      </w:r>
      <w:r>
        <w:rPr>
          <w:rFonts w:ascii="Times New Roman" w:hAnsi="Times New Roman" w:cs="Times New Roman"/>
          <w:sz w:val="24"/>
          <w:szCs w:val="24"/>
        </w:rPr>
        <w:t>response to the impact in the UK. First, the report reviews the internal and external environment, using PESTEL, Porter's five forces, SWOT analysis and VRIN showing the proactive and reactive response to the environmental factors. Finally, three recommendations are provided to address issues identified.</w:t>
      </w:r>
    </w:p>
    <w:p>
      <w:pPr>
        <w:pStyle w:val="2"/>
        <w:numPr>
          <w:ilvl w:val="0"/>
          <w:numId w:val="1"/>
        </w:numPr>
        <w:spacing w:line="360" w:lineRule="auto"/>
        <w:jc w:val="both"/>
        <w:rPr>
          <w:rFonts w:ascii="Times New Roman" w:hAnsi="Times New Roman" w:cs="Times New Roman"/>
          <w:sz w:val="24"/>
          <w:szCs w:val="24"/>
        </w:rPr>
      </w:pPr>
      <w:bookmarkStart w:id="2" w:name="_Toc98280596"/>
      <w:r>
        <w:rPr>
          <w:rFonts w:ascii="Times New Roman" w:hAnsi="Times New Roman" w:cs="Times New Roman"/>
          <w:sz w:val="24"/>
          <w:szCs w:val="24"/>
        </w:rPr>
        <w:t>Analysis of External and Internal Environment</w:t>
      </w:r>
      <w:bookmarkEnd w:id="2"/>
    </w:p>
    <w:p>
      <w:pPr>
        <w:pStyle w:val="3"/>
        <w:numPr>
          <w:ilvl w:val="1"/>
          <w:numId w:val="1"/>
        </w:numPr>
        <w:spacing w:line="360" w:lineRule="auto"/>
        <w:jc w:val="both"/>
        <w:rPr>
          <w:rFonts w:ascii="Times New Roman" w:hAnsi="Times New Roman" w:cs="Times New Roman"/>
          <w:sz w:val="24"/>
          <w:szCs w:val="24"/>
        </w:rPr>
      </w:pPr>
      <w:bookmarkStart w:id="3" w:name="_Toc98280597"/>
      <w:r>
        <w:rPr>
          <w:rFonts w:ascii="Times New Roman" w:hAnsi="Times New Roman" w:cs="Times New Roman"/>
          <w:sz w:val="24"/>
          <w:szCs w:val="24"/>
        </w:rPr>
        <w:t>PESTEL Framework</w:t>
      </w:r>
      <w:bookmarkEnd w:id="3"/>
    </w:p>
    <w:p>
      <w:pPr>
        <w:spacing w:line="360" w:lineRule="auto"/>
        <w:jc w:val="both"/>
        <w:rPr>
          <w:rFonts w:ascii="Times New Roman" w:hAnsi="Times New Roman" w:cs="Times New Roman"/>
          <w:bCs/>
          <w:sz w:val="24"/>
          <w:szCs w:val="24"/>
          <w:lang w:eastAsia="zh-CN"/>
        </w:rPr>
      </w:pPr>
      <w:r>
        <w:rPr>
          <w:rFonts w:ascii="Times New Roman" w:hAnsi="Times New Roman" w:cs="Times New Roman"/>
          <w:bCs/>
          <w:sz w:val="24"/>
          <w:szCs w:val="24"/>
        </w:rPr>
        <w:t xml:space="preserve">PESTEL framework is a tool used by marketers and strategy managers to identify the changes in external environment of a business and how they impact the present and future operations of the business (Shatskaya et al., 2016 p. 49-50). PESTEL (political, economic, social, technological, ecological and legal) analysis has two relevance and functions to businesses such as </w:t>
      </w:r>
      <w:r>
        <w:rPr>
          <w:rFonts w:ascii="Times New Roman" w:hAnsi="Times New Roman" w:cs="Times New Roman"/>
          <w:sz w:val="24"/>
          <w:szCs w:val="24"/>
        </w:rPr>
        <w:t>Marriott</w:t>
      </w:r>
      <w:r>
        <w:rPr>
          <w:rFonts w:ascii="Times New Roman" w:hAnsi="Times New Roman" w:cs="Times New Roman"/>
          <w:bCs/>
          <w:sz w:val="24"/>
          <w:szCs w:val="24"/>
        </w:rPr>
        <w:t xml:space="preserve"> International. First, PESTEL allows a business to be aware of environment within its operations by identifying the forces that affect its operation (Oraman, 2014). Secondly, PESTEL provides information that can allow organisations to predict circumstances and situations they may encounter in the future, helping develop better proactive and reactive responses (</w:t>
      </w:r>
      <w:r>
        <w:rPr>
          <w:rFonts w:ascii="Times New Roman" w:hAnsi="Times New Roman" w:cs="Times New Roman"/>
          <w:sz w:val="24"/>
          <w:szCs w:val="24"/>
        </w:rPr>
        <w:t>Yüksel</w:t>
      </w:r>
      <w:r>
        <w:rPr>
          <w:rFonts w:ascii="Times New Roman" w:hAnsi="Times New Roman" w:cs="Times New Roman"/>
          <w:bCs/>
          <w:sz w:val="24"/>
          <w:szCs w:val="24"/>
        </w:rPr>
        <w:t xml:space="preserve">, 2012). For Marriott, the </w:t>
      </w:r>
      <w:r>
        <w:rPr>
          <w:rFonts w:hint="eastAsia" w:ascii="Times New Roman" w:hAnsi="Times New Roman" w:cs="Times New Roman"/>
          <w:bCs/>
          <w:sz w:val="24"/>
          <w:szCs w:val="24"/>
          <w:lang w:eastAsia="zh-CN"/>
        </w:rPr>
        <w:t>two</w:t>
      </w:r>
      <w:r>
        <w:rPr>
          <w:rFonts w:ascii="Times New Roman" w:hAnsi="Times New Roman" w:cs="Times New Roman"/>
          <w:bCs/>
          <w:sz w:val="24"/>
          <w:szCs w:val="24"/>
        </w:rPr>
        <w:t xml:space="preserve"> major issues it faces </w:t>
      </w:r>
      <w:r>
        <w:rPr>
          <w:rFonts w:hint="eastAsia" w:ascii="Times New Roman" w:hAnsi="Times New Roman" w:cs="Times New Roman"/>
          <w:bCs/>
          <w:sz w:val="24"/>
          <w:szCs w:val="24"/>
          <w:lang w:eastAsia="zh-CN"/>
        </w:rPr>
        <w:t xml:space="preserve">from political and teachnological aspects. </w:t>
      </w:r>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Politically, the major issue that face </w:t>
      </w:r>
      <w:r>
        <w:rPr>
          <w:rFonts w:ascii="Times New Roman" w:hAnsi="Times New Roman" w:cs="Times New Roman"/>
          <w:sz w:val="24"/>
          <w:szCs w:val="24"/>
        </w:rPr>
        <w:t>Marriott</w:t>
      </w:r>
      <w:r>
        <w:rPr>
          <w:rFonts w:ascii="Times New Roman" w:hAnsi="Times New Roman" w:cs="Times New Roman"/>
          <w:bCs/>
          <w:sz w:val="24"/>
          <w:szCs w:val="24"/>
        </w:rPr>
        <w:t xml:space="preserve"> is Covid-19 regulations and guidelines. To prevent further spread of Covid-19, the UK government requires that those visiting UK provide Covid19 pass 2 weeks before travel, proof of negative test and self-isolation for those who do not have Covid-19 certificate (Gov.UK, 2022). Such Covid-19 restrictions, although lighter since the travel bans and half-board restrictions have been removed, still affect the number of people visiting the UK, thus reducing customer traffic for hotels and ability to use its human resource and assets to full capacity. Specifically, the Covid-19 guidelines on risk assessment require that hotels assess hotel employees and customers risks (Gov.UK, 2022b). The regulation has five steps that require regular review of health and safety risks for Covid-19, adequate ventilation, often cleaning, following up to ensure that those with Covid-19 are traced early and communicating and training employees, especially if there are more than 5 workers (Gov.UK, 2022b). This regulation impacts generation of profits since it increases expenditure related to implementation of the Covid-19 guidelines. </w:t>
      </w:r>
      <w:r>
        <w:rPr>
          <w:rFonts w:ascii="Times New Roman" w:hAnsi="Times New Roman" w:cs="Times New Roman"/>
          <w:sz w:val="24"/>
          <w:szCs w:val="24"/>
        </w:rPr>
        <w:t>Marriott</w:t>
      </w:r>
      <w:r>
        <w:rPr>
          <w:rFonts w:ascii="Times New Roman" w:hAnsi="Times New Roman" w:cs="Times New Roman"/>
          <w:bCs/>
          <w:sz w:val="24"/>
          <w:szCs w:val="24"/>
        </w:rPr>
        <w:t>, in its part to ensure it reduces future impact, engages in proactive measures which include providing travel advisory with Covid-19 protocols to its visitors, which makes it easy to implement the stated guidelines and ensuring that international visitors are not at high threat of getting Covid-19 (Marriott, 2022d).</w:t>
      </w:r>
    </w:p>
    <w:p>
      <w:pPr>
        <w:spacing w:line="360" w:lineRule="auto"/>
        <w:jc w:val="both"/>
        <w:rPr>
          <w:rFonts w:ascii="Times New Roman" w:hAnsi="Times New Roman" w:cs="Times New Roman"/>
          <w:bCs/>
          <w:sz w:val="24"/>
          <w:szCs w:val="24"/>
          <w:lang w:eastAsia="zh-CN"/>
        </w:rPr>
      </w:pPr>
      <w:r>
        <w:rPr>
          <w:rFonts w:ascii="Times New Roman" w:hAnsi="Times New Roman" w:cs="Times New Roman"/>
          <w:bCs/>
          <w:sz w:val="24"/>
          <w:szCs w:val="24"/>
        </w:rPr>
        <w:t xml:space="preserve">Secondly, </w:t>
      </w:r>
      <w:r>
        <w:rPr>
          <w:rFonts w:hint="eastAsia" w:ascii="Times New Roman" w:hAnsi="Times New Roman" w:cs="Times New Roman"/>
          <w:bCs/>
          <w:sz w:val="24"/>
          <w:szCs w:val="24"/>
          <w:lang w:eastAsia="zh-CN"/>
        </w:rPr>
        <w:t>t</w:t>
      </w:r>
      <w:r>
        <w:rPr>
          <w:rFonts w:ascii="Times New Roman" w:hAnsi="Times New Roman" w:cs="Times New Roman"/>
          <w:bCs/>
          <w:sz w:val="24"/>
          <w:szCs w:val="24"/>
        </w:rPr>
        <w:t xml:space="preserve">echnology has provided challenges and opportunities for </w:t>
      </w:r>
      <w:r>
        <w:rPr>
          <w:rFonts w:hint="eastAsia" w:ascii="Times New Roman" w:hAnsi="Times New Roman" w:cs="Times New Roman"/>
          <w:bCs/>
          <w:sz w:val="24"/>
          <w:szCs w:val="24"/>
          <w:lang w:eastAsia="zh-CN"/>
        </w:rPr>
        <w:t>h</w:t>
      </w:r>
      <w:r>
        <w:rPr>
          <w:rFonts w:ascii="Times New Roman" w:hAnsi="Times New Roman" w:cs="Times New Roman"/>
          <w:bCs/>
          <w:sz w:val="24"/>
          <w:szCs w:val="24"/>
        </w:rPr>
        <w:t>otel industry in the UK. Deloitte (2021) identified technology to have provided alternative means for hotel and leisure, such as online entertainment and Apps that allow customers to order food products from home. This affects large hotels like Mariott, which mainly rely on physical presence of customers. However, hotels have also used the technology to their advantage by using it to promote contactless processes, preventing Covid-19 spread. Contactless processes include automatic hand wash and temperature gadgets, online booking and online payment mechanisms (WEF, 2021). The presence and use of such technologies at Mariott have critically helped the business implement proactive Covid-19 measures such as online and app booking, online payment, online consultation and contactless saniti</w:t>
      </w:r>
      <w:r>
        <w:rPr>
          <w:rFonts w:hint="eastAsia" w:ascii="Times New Roman" w:hAnsi="Times New Roman" w:cs="Times New Roman"/>
          <w:bCs/>
          <w:sz w:val="24"/>
          <w:szCs w:val="24"/>
          <w:lang w:eastAsia="zh-CN"/>
        </w:rPr>
        <w:t>s</w:t>
      </w:r>
      <w:r>
        <w:rPr>
          <w:rFonts w:ascii="Times New Roman" w:hAnsi="Times New Roman" w:cs="Times New Roman"/>
          <w:bCs/>
          <w:sz w:val="24"/>
          <w:szCs w:val="24"/>
        </w:rPr>
        <w:t xml:space="preserve">ation (Marriott, 2022b). These are some of the measures that have helped Mariott increase its revenue in 2021 by 104.1% compared to 2020, and may in future contribute to increase in sales to full capacity of Marriott (Macro-Trends, 2022). However, the negative impact is with the advancement of technology, customer behaviour has radically changed towards sharing economy and online consumption, in effort to reduce Covid-19 risk (Deloitte, 2021). For example, following Covid-19, there was 59.1% reduction in travel expenditure, with expenditure on hotels reducing by 88.4% and recreation and leisure by 17.7% (ONS, 2021). This is mainly being replaced by home ordering for food products and online consumption of food, leisure and entertainment products and sharing economy such as Airbnb which customers perceive safer than hotel environment (Deloitte, 2021). As these changes occur, the number of consumers </w:t>
      </w:r>
      <w:r>
        <w:rPr>
          <w:rFonts w:hint="eastAsia" w:ascii="Times New Roman" w:hAnsi="Times New Roman" w:cs="Times New Roman"/>
          <w:bCs/>
          <w:sz w:val="24"/>
          <w:szCs w:val="24"/>
          <w:lang w:eastAsia="zh-CN"/>
        </w:rPr>
        <w:t xml:space="preserve">has reduced. </w:t>
      </w:r>
    </w:p>
    <w:p>
      <w:pPr>
        <w:pStyle w:val="3"/>
        <w:numPr>
          <w:ilvl w:val="1"/>
          <w:numId w:val="1"/>
        </w:numPr>
        <w:spacing w:line="360" w:lineRule="auto"/>
        <w:jc w:val="both"/>
        <w:rPr>
          <w:rFonts w:ascii="Times New Roman" w:hAnsi="Times New Roman" w:cs="Times New Roman"/>
          <w:sz w:val="24"/>
          <w:szCs w:val="24"/>
        </w:rPr>
      </w:pPr>
      <w:bookmarkStart w:id="4" w:name="_Toc98280598"/>
      <w:r>
        <w:rPr>
          <w:rFonts w:ascii="Times New Roman" w:hAnsi="Times New Roman" w:cs="Times New Roman"/>
          <w:sz w:val="24"/>
          <w:szCs w:val="24"/>
        </w:rPr>
        <w:t>Porter's Five Forces Analysis</w:t>
      </w:r>
      <w:bookmarkEnd w:id="4"/>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Porter’s Five Forces is a framework that evaluates and assess competitive position and strength of a firm (Porter, 2008a). The framework is used to formulate strategy, including marketing strategy by helping firms understand the attractiveness of the industry and helping infirm positioning (Porter, 2008a&amp;b). Grundy (2006) found Five-force to provide a practical starting point to develop marketing strategy by knowing how unattractive or attractive industry is and implementing strategic initiatives that can enhance firm competitiveness. </w:t>
      </w:r>
    </w:p>
    <w:p>
      <w:pPr>
        <w:spacing w:line="360" w:lineRule="auto"/>
        <w:jc w:val="both"/>
        <w:rPr>
          <w:rFonts w:ascii="Times New Roman" w:hAnsi="Times New Roman" w:cs="Times New Roman"/>
          <w:bCs/>
          <w:sz w:val="24"/>
          <w:szCs w:val="24"/>
        </w:rPr>
      </w:pPr>
      <w:r>
        <w:rPr>
          <w:rFonts w:ascii="Times New Roman" w:hAnsi="Times New Roman" w:cs="Times New Roman"/>
          <w:sz w:val="24"/>
          <w:szCs w:val="24"/>
          <w:lang w:val="en-US" w:eastAsia="zh-CN"/>
        </w:rPr>
        <w:drawing>
          <wp:inline distT="0" distB="0" distL="0" distR="0">
            <wp:extent cx="5731510" cy="5688330"/>
            <wp:effectExtent l="0" t="0" r="2540" b="7620"/>
            <wp:docPr id="6" name="Picture 6" descr="Porter's Five Forces Analysis: Definition, Model &amp; Exampl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Porter's Five Forces Analysis: Definition, Model &amp; Examples Explain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731510" cy="5688330"/>
                    </a:xfrm>
                    <a:prstGeom prst="rect">
                      <a:avLst/>
                    </a:prstGeom>
                    <a:noFill/>
                    <a:ln>
                      <a:noFill/>
                    </a:ln>
                  </pic:spPr>
                </pic:pic>
              </a:graphicData>
            </a:graphic>
          </wp:inline>
        </w:drawing>
      </w:r>
    </w:p>
    <w:p>
      <w:pPr>
        <w:spacing w:line="360" w:lineRule="auto"/>
        <w:jc w:val="both"/>
        <w:rPr>
          <w:rFonts w:ascii="Times New Roman" w:hAnsi="Times New Roman" w:cs="Times New Roman"/>
          <w:bCs/>
          <w:i/>
          <w:sz w:val="24"/>
          <w:szCs w:val="24"/>
          <w:lang w:eastAsia="zh-CN"/>
        </w:rPr>
      </w:pPr>
      <w:r>
        <w:rPr>
          <w:rFonts w:ascii="Times New Roman" w:hAnsi="Times New Roman" w:cs="Times New Roman"/>
          <w:bCs/>
          <w:i/>
          <w:sz w:val="24"/>
          <w:szCs w:val="24"/>
        </w:rPr>
        <w:t>Figure 1: Five Forces factors (Adapted from Porter, 2008 p.80)</w:t>
      </w:r>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One of the key issue that Marriott faces is intensive competition and rivalry from competitors.</w:t>
      </w:r>
      <w:r>
        <w:rPr>
          <w:rFonts w:hint="eastAsia" w:ascii="Times New Roman" w:hAnsi="Times New Roman" w:cs="Times New Roman"/>
          <w:bCs/>
          <w:sz w:val="24"/>
          <w:szCs w:val="24"/>
          <w:lang w:eastAsia="zh-CN"/>
        </w:rPr>
        <w:t xml:space="preserve"> </w:t>
      </w:r>
      <w:r>
        <w:rPr>
          <w:rFonts w:ascii="Times New Roman" w:hAnsi="Times New Roman" w:cs="Times New Roman"/>
          <w:bCs/>
          <w:sz w:val="24"/>
          <w:szCs w:val="24"/>
        </w:rPr>
        <w:t xml:space="preserve">According to Porter (2008b p.85), competitive basis and competitive rivalry measure the competitive rivalry. In relation to intensity, the competitive rivalry is relatively high in hotel industry because the competitors are numerous and have equal power. Specifically, as Figure </w:t>
      </w:r>
      <w:r>
        <w:rPr>
          <w:rFonts w:hint="eastAsia" w:ascii="Times New Roman" w:hAnsi="Times New Roman" w:cs="Times New Roman"/>
          <w:bCs/>
          <w:sz w:val="24"/>
          <w:szCs w:val="24"/>
          <w:lang w:eastAsia="zh-CN"/>
        </w:rPr>
        <w:t>2</w:t>
      </w:r>
      <w:r>
        <w:rPr>
          <w:rFonts w:ascii="Times New Roman" w:hAnsi="Times New Roman" w:cs="Times New Roman"/>
          <w:bCs/>
          <w:sz w:val="24"/>
          <w:szCs w:val="24"/>
        </w:rPr>
        <w:t xml:space="preserve"> shows, while Marriott is second in Hotel industry, it faces intensive competition from big players like Hyatt, Hilton and IHG (Comparable, 2022). The key issue with having such big competitors is that they have very high commitment to business growth and value creation (Wang &amp; Chung, 2015). For example, companies like IHG have same economies of Scale as Marriott, given its operation in more than 100 countries and 6,000 destinations (IHG, 2022). </w:t>
      </w:r>
    </w:p>
    <w:p>
      <w:pPr>
        <w:spacing w:line="360" w:lineRule="auto"/>
        <w:jc w:val="both"/>
        <w:rPr>
          <w:rFonts w:ascii="Times New Roman" w:hAnsi="Times New Roman" w:cs="Times New Roman"/>
          <w:bCs/>
          <w:sz w:val="24"/>
          <w:szCs w:val="24"/>
        </w:rPr>
      </w:pPr>
      <w:r>
        <w:rPr>
          <w:rFonts w:ascii="Times New Roman" w:hAnsi="Times New Roman" w:cs="Times New Roman"/>
          <w:sz w:val="24"/>
          <w:szCs w:val="24"/>
          <w:lang w:val="en-US" w:eastAsia="zh-CN"/>
        </w:rPr>
        <w:drawing>
          <wp:inline distT="0" distB="0" distL="0" distR="0">
            <wp:extent cx="4800600" cy="32226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7"/>
                    <a:stretch>
                      <a:fillRect/>
                    </a:stretch>
                  </pic:blipFill>
                  <pic:spPr>
                    <a:xfrm>
                      <a:off x="0" y="0"/>
                      <a:ext cx="4823935" cy="3238927"/>
                    </a:xfrm>
                    <a:prstGeom prst="rect">
                      <a:avLst/>
                    </a:prstGeom>
                  </pic:spPr>
                </pic:pic>
              </a:graphicData>
            </a:graphic>
          </wp:inline>
        </w:drawing>
      </w:r>
      <w:r>
        <w:rPr>
          <w:rFonts w:ascii="Times New Roman" w:hAnsi="Times New Roman" w:cs="Times New Roman"/>
          <w:bCs/>
          <w:sz w:val="24"/>
          <w:szCs w:val="24"/>
        </w:rPr>
        <w:t xml:space="preserve"> </w:t>
      </w:r>
    </w:p>
    <w:p>
      <w:pPr>
        <w:spacing w:line="360" w:lineRule="auto"/>
        <w:jc w:val="both"/>
        <w:rPr>
          <w:rFonts w:ascii="Times New Roman" w:hAnsi="Times New Roman" w:cs="Times New Roman"/>
          <w:bCs/>
          <w:i/>
          <w:sz w:val="24"/>
          <w:szCs w:val="24"/>
        </w:rPr>
      </w:pPr>
      <w:r>
        <w:rPr>
          <w:rFonts w:ascii="Times New Roman" w:hAnsi="Times New Roman" w:cs="Times New Roman"/>
          <w:bCs/>
          <w:i/>
          <w:sz w:val="24"/>
          <w:szCs w:val="24"/>
        </w:rPr>
        <w:t>Figure 2: IGH Competitors and Ranking (Comparably, 2022).</w:t>
      </w:r>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Furthermore, Porter (2008b p.86) found decrease in average profit per organisation in highly competitive environment comes if firms serve same customer segment, have same products, features, services and brand identities. Among the six top competitors, they are well known brands that mainly focus on premium products, with their pricing and customer focus strategy being the same. The problem with such rivalry is that any issue affecting the industry affects all the firms, with Covid-19 proving this as noted by Craven et al.</w:t>
      </w:r>
      <w:r>
        <w:rPr>
          <w:rFonts w:hint="eastAsia" w:ascii="Times New Roman" w:hAnsi="Times New Roman" w:cs="Times New Roman"/>
          <w:bCs/>
          <w:sz w:val="24"/>
          <w:szCs w:val="24"/>
          <w:lang w:eastAsia="zh-CN"/>
        </w:rPr>
        <w:t xml:space="preserve"> (</w:t>
      </w:r>
      <w:r>
        <w:rPr>
          <w:rFonts w:ascii="Times New Roman" w:hAnsi="Times New Roman" w:cs="Times New Roman"/>
          <w:bCs/>
          <w:sz w:val="24"/>
          <w:szCs w:val="24"/>
        </w:rPr>
        <w:t xml:space="preserve">2020). This has resulted in </w:t>
      </w:r>
      <w:r>
        <w:rPr>
          <w:rFonts w:ascii="Times New Roman" w:hAnsi="Times New Roman" w:cs="Times New Roman"/>
          <w:sz w:val="24"/>
          <w:szCs w:val="24"/>
        </w:rPr>
        <w:t>seeking home entertainment rather than outdoor leisure activities and vacations, use of Airbnb for those engaging in recreation activity and ordering foods from home through online deliveries and fast food (Mehtah et al., 2020</w:t>
      </w:r>
      <w:r>
        <w:rPr>
          <w:rFonts w:hint="eastAsia" w:ascii="Times New Roman" w:hAnsi="Times New Roman" w:cs="Times New Roman"/>
          <w:sz w:val="24"/>
          <w:szCs w:val="24"/>
          <w:lang w:eastAsia="zh-CN"/>
        </w:rPr>
        <w:t>;</w:t>
      </w:r>
      <w:r>
        <w:rPr>
          <w:rFonts w:ascii="Times New Roman" w:hAnsi="Times New Roman" w:cs="Times New Roman"/>
          <w:sz w:val="24"/>
          <w:szCs w:val="24"/>
        </w:rPr>
        <w:t xml:space="preserve"> Deloitte, 2021). </w:t>
      </w:r>
      <w:r>
        <w:rPr>
          <w:rFonts w:ascii="Times New Roman" w:hAnsi="Times New Roman" w:cs="Times New Roman"/>
          <w:bCs/>
          <w:sz w:val="24"/>
          <w:szCs w:val="24"/>
        </w:rPr>
        <w:t>This reduces present and future revenues, given the resurgences of waves of Covid-19, which increases probability of lockdown and reduced customer traffic. In response, Marriott has implemented strict Covid-19 measures to enhance customer confidence for leisure and hotel products emerging from physical locations, their perception is mainly shaped by trust that the space is safe and their emotional and social needs are met (Figure 3). For example, in addition to having safe and secure website and app, Marriott has increased its commitment towards social distancing measures, contactless experience, cleanliness in property amenities and services, and food and beverage deliveries, removing self-service food from menu to reduce customer contact (Marriott, 2022b).</w:t>
      </w:r>
    </w:p>
    <w:p>
      <w:pPr>
        <w:spacing w:line="360" w:lineRule="auto"/>
        <w:jc w:val="both"/>
        <w:rPr>
          <w:rFonts w:ascii="Times New Roman" w:hAnsi="Times New Roman" w:cs="Times New Roman"/>
          <w:bCs/>
          <w:sz w:val="24"/>
          <w:szCs w:val="24"/>
        </w:rPr>
      </w:pPr>
      <w:r>
        <w:rPr>
          <w:rFonts w:ascii="Times New Roman" w:hAnsi="Times New Roman" w:cs="Times New Roman"/>
          <w:sz w:val="24"/>
          <w:szCs w:val="24"/>
          <w:lang w:val="en-US" w:eastAsia="zh-CN"/>
        </w:rPr>
        <w:drawing>
          <wp:inline distT="0" distB="0" distL="0" distR="0">
            <wp:extent cx="4547870" cy="335724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4552908" cy="3360782"/>
                    </a:xfrm>
                    <a:prstGeom prst="rect">
                      <a:avLst/>
                    </a:prstGeom>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bCs/>
          <w:i/>
          <w:sz w:val="24"/>
          <w:szCs w:val="24"/>
        </w:rPr>
        <w:t>Figure 3: Factors Shaping Consumption of Hotel and Restaurant Products (Deloitte, 2021</w:t>
      </w:r>
      <w:r>
        <w:rPr>
          <w:rFonts w:ascii="Times New Roman" w:hAnsi="Times New Roman" w:cs="Times New Roman"/>
          <w:sz w:val="24"/>
          <w:szCs w:val="24"/>
        </w:rPr>
        <w:t>).</w:t>
      </w:r>
    </w:p>
    <w:p>
      <w:pPr>
        <w:pStyle w:val="3"/>
        <w:numPr>
          <w:ilvl w:val="1"/>
          <w:numId w:val="1"/>
        </w:numPr>
        <w:spacing w:line="360" w:lineRule="auto"/>
        <w:jc w:val="both"/>
        <w:rPr>
          <w:rFonts w:ascii="Times New Roman" w:hAnsi="Times New Roman" w:cs="Times New Roman"/>
          <w:sz w:val="24"/>
          <w:szCs w:val="24"/>
        </w:rPr>
      </w:pPr>
      <w:bookmarkStart w:id="5" w:name="_Toc98280599"/>
      <w:r>
        <w:rPr>
          <w:rFonts w:ascii="Times New Roman" w:hAnsi="Times New Roman" w:cs="Times New Roman"/>
          <w:sz w:val="24"/>
          <w:szCs w:val="24"/>
        </w:rPr>
        <w:t>VRIN Framework</w:t>
      </w:r>
      <w:bookmarkEnd w:id="5"/>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According to Barney (1991) resource-based view (RBV), firm has specific resources that, if realized and utilized effectively, can lead to competitive advantage in the market. Consistently, VRIN (Valuable, Rare, Inimitable and Non-Substitutable) Model identify key resources that provide competitive power to organisation in terms of sustained competitive advantage(SCA), competitive advantage(CA), competitive parity(CP) or competitive disadvantage(CD) respectively based on value of resources (Wernerfelt, 1984). At Marriott, the importance of </w:t>
      </w:r>
      <w:bookmarkStart w:id="6" w:name="OLE_LINK2"/>
      <w:bookmarkStart w:id="7" w:name="OLE_LINK1"/>
      <w:r>
        <w:rPr>
          <w:rFonts w:ascii="Times New Roman" w:hAnsi="Times New Roman" w:cs="Times New Roman"/>
          <w:bCs/>
          <w:sz w:val="24"/>
          <w:szCs w:val="24"/>
        </w:rPr>
        <w:t>VRIN</w:t>
      </w:r>
      <w:bookmarkEnd w:id="6"/>
      <w:bookmarkEnd w:id="7"/>
      <w:r>
        <w:rPr>
          <w:rFonts w:ascii="Times New Roman" w:hAnsi="Times New Roman" w:cs="Times New Roman"/>
          <w:bCs/>
          <w:sz w:val="24"/>
          <w:szCs w:val="24"/>
        </w:rPr>
        <w:t xml:space="preserve"> is to understand how resources create competitive advantage, addressing challenges in the industry. The key aspect that has been major contributor to sustained competitive advantage is </w:t>
      </w:r>
      <w:r>
        <w:rPr>
          <w:rFonts w:hint="eastAsia" w:ascii="Times New Roman" w:hAnsi="Times New Roman" w:cs="Times New Roman"/>
          <w:bCs/>
          <w:sz w:val="24"/>
          <w:szCs w:val="24"/>
          <w:lang w:eastAsia="zh-CN"/>
        </w:rPr>
        <w:t>f</w:t>
      </w:r>
      <w:r>
        <w:rPr>
          <w:rFonts w:ascii="Times New Roman" w:hAnsi="Times New Roman" w:cs="Times New Roman"/>
          <w:bCs/>
          <w:sz w:val="24"/>
          <w:szCs w:val="24"/>
        </w:rPr>
        <w:t xml:space="preserve">inancial </w:t>
      </w:r>
      <w:r>
        <w:rPr>
          <w:rFonts w:hint="eastAsia" w:ascii="Times New Roman" w:hAnsi="Times New Roman" w:cs="Times New Roman"/>
          <w:bCs/>
          <w:sz w:val="24"/>
          <w:szCs w:val="24"/>
          <w:lang w:eastAsia="zh-CN"/>
        </w:rPr>
        <w:t>r</w:t>
      </w:r>
      <w:r>
        <w:rPr>
          <w:rFonts w:ascii="Times New Roman" w:hAnsi="Times New Roman" w:cs="Times New Roman"/>
          <w:bCs/>
          <w:sz w:val="24"/>
          <w:szCs w:val="24"/>
        </w:rPr>
        <w:t xml:space="preserve">esource. </w:t>
      </w:r>
    </w:p>
    <w:p>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According to Johnson et al. (2020), financial resource can be source of competitive advantage of a firm because when a firm has finances, then it has enough capital to invest in technological assets, best employees’ ad market expansion as a way to enjoy economies of scale. Before Covid-19, the revenues of Marriott have been source of competitive advantage, recording its increase year on (Figure 4). </w:t>
      </w:r>
    </w:p>
    <w:p>
      <w:pPr>
        <w:spacing w:line="360" w:lineRule="auto"/>
        <w:jc w:val="both"/>
        <w:rPr>
          <w:rFonts w:ascii="Times New Roman" w:hAnsi="Times New Roman" w:cs="Times New Roman"/>
          <w:bCs/>
          <w:sz w:val="24"/>
          <w:szCs w:val="24"/>
        </w:rPr>
      </w:pPr>
      <w:r>
        <w:rPr>
          <w:lang w:val="en-US" w:eastAsia="zh-CN"/>
        </w:rPr>
        <w:drawing>
          <wp:inline distT="0" distB="0" distL="0" distR="0">
            <wp:extent cx="4029075" cy="4610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4029075" cy="4610100"/>
                    </a:xfrm>
                    <a:prstGeom prst="rect">
                      <a:avLst/>
                    </a:prstGeom>
                  </pic:spPr>
                </pic:pic>
              </a:graphicData>
            </a:graphic>
          </wp:inline>
        </w:drawing>
      </w:r>
    </w:p>
    <w:p>
      <w:pPr>
        <w:spacing w:line="360" w:lineRule="auto"/>
        <w:jc w:val="both"/>
        <w:rPr>
          <w:rFonts w:ascii="Times New Roman" w:hAnsi="Times New Roman" w:cs="Times New Roman"/>
          <w:bCs/>
          <w:i/>
          <w:sz w:val="24"/>
          <w:szCs w:val="24"/>
        </w:rPr>
      </w:pPr>
      <w:r>
        <w:rPr>
          <w:rFonts w:ascii="Times New Roman" w:hAnsi="Times New Roman" w:cs="Times New Roman"/>
          <w:bCs/>
          <w:i/>
          <w:sz w:val="24"/>
          <w:szCs w:val="24"/>
        </w:rPr>
        <w:t>Figure 4: Marriott’s Financial Performance Summary (Marriott, 2020-22</w:t>
      </w:r>
      <w:r>
        <w:rPr>
          <w:rFonts w:hint="eastAsia" w:ascii="Times New Roman" w:hAnsi="Times New Roman" w:cs="Times New Roman"/>
          <w:bCs/>
          <w:i/>
          <w:sz w:val="24"/>
          <w:szCs w:val="24"/>
          <w:lang w:eastAsia="zh-CN"/>
        </w:rPr>
        <w:t xml:space="preserve">; </w:t>
      </w:r>
      <w:r>
        <w:rPr>
          <w:rFonts w:ascii="Times New Roman" w:hAnsi="Times New Roman" w:cs="Times New Roman"/>
          <w:bCs/>
          <w:i/>
          <w:sz w:val="24"/>
          <w:szCs w:val="24"/>
        </w:rPr>
        <w:t>Macro-Trends, 2022).</w:t>
      </w:r>
    </w:p>
    <w:p>
      <w:pPr>
        <w:spacing w:line="360" w:lineRule="auto"/>
        <w:jc w:val="both"/>
        <w:rPr>
          <w:rFonts w:ascii="Times New Roman" w:hAnsi="Times New Roman" w:cs="Times New Roman"/>
          <w:sz w:val="24"/>
          <w:szCs w:val="24"/>
        </w:rPr>
      </w:pPr>
      <w:r>
        <w:rPr>
          <w:rFonts w:ascii="Times New Roman" w:hAnsi="Times New Roman" w:cs="Times New Roman"/>
          <w:bCs/>
          <w:sz w:val="24"/>
          <w:szCs w:val="24"/>
        </w:rPr>
        <w:t>However, at the moment, financial resource has created only competitive parity, with its value reducing radically. In 2020, Marriott rec</w:t>
      </w:r>
      <w:r>
        <w:rPr>
          <w:rFonts w:hint="eastAsia" w:ascii="Times New Roman" w:hAnsi="Times New Roman" w:cs="Times New Roman"/>
          <w:bCs/>
          <w:sz w:val="24"/>
          <w:szCs w:val="24"/>
          <w:lang w:eastAsia="zh-CN"/>
        </w:rPr>
        <w:t xml:space="preserve"> </w:t>
      </w:r>
      <w:r>
        <w:rPr>
          <w:rFonts w:ascii="Times New Roman" w:hAnsi="Times New Roman" w:cs="Times New Roman"/>
          <w:bCs/>
          <w:sz w:val="24"/>
          <w:szCs w:val="24"/>
        </w:rPr>
        <w:t xml:space="preserve">orded highest decline in revenue since 2009, with 2021 revenue increasing but still lowest since 2012 (See Figure 4). In the past 2 years, Covid-19 has caused decline in both sales and profits. For example, sales </w:t>
      </w:r>
      <w:r>
        <w:rPr>
          <w:rFonts w:ascii="Times New Roman" w:hAnsi="Times New Roman" w:cs="Times New Roman"/>
          <w:sz w:val="24"/>
          <w:szCs w:val="24"/>
        </w:rPr>
        <w:t>revenue for 2020 and 2021 drop by 49.5% and 44% compared to 2019($20,972m), with profits for 2020 and 2021 dropping by  129.14% and 25.7% compared to 2019($1,599m) (WSJ, 2022</w:t>
      </w:r>
      <w:r>
        <w:rPr>
          <w:rFonts w:hint="eastAsia" w:ascii="Times New Roman" w:hAnsi="Times New Roman" w:cs="Times New Roman"/>
          <w:sz w:val="24"/>
          <w:szCs w:val="24"/>
          <w:lang w:eastAsia="zh-CN"/>
        </w:rPr>
        <w:t>;</w:t>
      </w:r>
      <w:r>
        <w:rPr>
          <w:rFonts w:ascii="Times New Roman" w:hAnsi="Times New Roman" w:cs="Times New Roman"/>
          <w:sz w:val="24"/>
          <w:szCs w:val="24"/>
        </w:rPr>
        <w:t xml:space="preserve"> Marriott 2020;</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2021). Furthermore, the drop can show the impact to company competitive advantage and performance in the market through its ratios. As figure 5 below shows, gross margin profit margin and net profit margin went down in 2020, reporting negative balance for net profit and pre-tax profit, which shows that the business made huge loss following Covid-19. Also, return on assets and investments were also negative in 2020, an indication that the firm assets and investments were underutilized, which can be explained by reduced number of customers, following Covid-19 restrictions. Comparing 2021 ROA(4.3) and ROI(10.3), it is evident that the firm has not fully recovered, as both are below 2019 ROA(5.08) and ROI(11.9). As a result, financial strength which has been Marriott source of competitive advantage has turned to present competitive parity, which can be reduced by investing in Covid-19 measures.</w:t>
      </w:r>
    </w:p>
    <w:p>
      <w:pPr>
        <w:spacing w:line="360" w:lineRule="auto"/>
        <w:jc w:val="both"/>
        <w:rPr>
          <w:rFonts w:ascii="Times New Roman" w:hAnsi="Times New Roman" w:cs="Times New Roman"/>
          <w:bCs/>
          <w:i/>
          <w:sz w:val="24"/>
          <w:szCs w:val="24"/>
        </w:rPr>
      </w:pPr>
      <w:r>
        <w:rPr>
          <w:lang w:val="en-US" w:eastAsia="zh-CN"/>
        </w:rPr>
        <w:drawing>
          <wp:inline distT="0" distB="0" distL="0" distR="0">
            <wp:extent cx="5181600" cy="3943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181600" cy="3943350"/>
                    </a:xfrm>
                    <a:prstGeom prst="rect">
                      <a:avLst/>
                    </a:prstGeom>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bCs/>
          <w:i/>
          <w:sz w:val="24"/>
          <w:szCs w:val="24"/>
        </w:rPr>
        <w:t xml:space="preserve">Figure 5: Major Marriott Ratios  </w:t>
      </w:r>
      <w:r>
        <w:rPr>
          <w:rFonts w:ascii="Times New Roman" w:hAnsi="Times New Roman" w:cs="Times New Roman"/>
          <w:i/>
          <w:sz w:val="24"/>
          <w:szCs w:val="24"/>
        </w:rPr>
        <w:t>(Marriott 2019-21: Macro-Trends, 2022).</w:t>
      </w:r>
      <w:r>
        <w:rPr>
          <w:rFonts w:ascii="Times New Roman" w:hAnsi="Times New Roman" w:cs="Times New Roman"/>
          <w:bCs/>
          <w:i/>
          <w:sz w:val="24"/>
          <w:szCs w:val="24"/>
        </w:rPr>
        <w:br w:type="page"/>
      </w:r>
    </w:p>
    <w:p>
      <w:pPr>
        <w:pStyle w:val="3"/>
        <w:numPr>
          <w:ilvl w:val="1"/>
          <w:numId w:val="1"/>
        </w:numPr>
        <w:spacing w:line="360" w:lineRule="auto"/>
        <w:jc w:val="both"/>
        <w:rPr>
          <w:rFonts w:ascii="Times New Roman" w:hAnsi="Times New Roman" w:cs="Times New Roman"/>
          <w:sz w:val="24"/>
          <w:szCs w:val="24"/>
        </w:rPr>
      </w:pPr>
      <w:bookmarkStart w:id="8" w:name="_Toc98280600"/>
      <w:r>
        <w:rPr>
          <w:rFonts w:ascii="Times New Roman" w:hAnsi="Times New Roman" w:cs="Times New Roman"/>
          <w:sz w:val="24"/>
          <w:szCs w:val="24"/>
        </w:rPr>
        <w:t>SWOT Analysis</w:t>
      </w:r>
      <w:bookmarkEnd w:id="8"/>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Helms and Nixon (2010), SWOT analysis identifies the strengths, weaknesses, opportunities and threats to a business, important in identifying areas for business to perform well. The SWOT framework mainly summarizes the internal and external environment critical success factors, thus allowing effective recommendations for competitive advantage (Ghazinoory et al., 2011).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aspect that has created issues to Marriott is threat of being substituted as customers have shifted to safer products, reducing the number of customers visiting Marriott and Company income. Specifically, Deliotte (2021) identified that the major challenge that Marriott and other players in hotel industry face is shift by customers from physical hotels to more secure means of consuming same hotel products. This has seen consumption of hotel products reduce even as the consumption of substitute products like Airbnb, online purchase of food, leisure and entertainment product rise. For example, Mehtah et al. (2020) noted that with rise in security issues, customers are seeking more safe means to consume food products, which include food delivery services, avoiding physical entertainment and recreational places.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impact of such threat to Marriott can be felt presently and in future as it is evidenced by its financial performance, which has shown that the assets and investments of the hotel have not brought enough returns (Macro-Trends, 2022). As reactive response to this threat and proactive response to ensure that this threat does not affect the performance of Marriott negatively, Marriott has heavily invested in “Taking Care of You” program which has targeted excellent service production and high cleanliness standards. This is Covid-19 guide ad standards by the company which aims to ensure that a shared responsibility to employees and customer safety is adopted, reducing chances of Covid-19 transmission in the Hotel (Marriott, 2022b).</w:t>
      </w:r>
    </w:p>
    <w:p>
      <w:pPr>
        <w:pStyle w:val="2"/>
        <w:numPr>
          <w:ilvl w:val="0"/>
          <w:numId w:val="1"/>
        </w:numPr>
        <w:spacing w:line="360" w:lineRule="auto"/>
        <w:jc w:val="both"/>
        <w:rPr>
          <w:rFonts w:ascii="Times New Roman" w:hAnsi="Times New Roman" w:cs="Times New Roman"/>
          <w:sz w:val="24"/>
          <w:szCs w:val="24"/>
        </w:rPr>
      </w:pPr>
      <w:bookmarkStart w:id="9" w:name="_Toc98280601"/>
      <w:r>
        <w:rPr>
          <w:rFonts w:ascii="Times New Roman" w:hAnsi="Times New Roman" w:cs="Times New Roman"/>
          <w:sz w:val="24"/>
          <w:szCs w:val="24"/>
        </w:rPr>
        <w:t>Recommendations</w:t>
      </w:r>
      <w:bookmarkEnd w:id="9"/>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internal and external environment analysis, there are key areas in which Marriott can improve. The first area of improvement relates to addressing Covid-19 regulation and guidelines by the government by establishing safety and health department. Gov.UK (2022a-b) allowed business to thrive by reducing travel restrictions and many requirements as tourists visit countries. However, Deloitte (2021) identified that customers are concerned about their physical and emotional safety. With this department, Marriott can have a risk assessment and response committee, ensuring that employees are trained about safety measures on Covid-19 and other safety beyond Covid-19 such as safety policies (Craven et al., 2020). The team can also regularly review safety in hotels and customers by giving them Covid-19 brief and prevention measures, increasing trust in hotels and overall consumption reducing threat of substitution.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other area of improvement includes full automation of its hotels. According to Deloitte (2021), IT provides an opportunity for firms to ensure their customers' safety and promote seamless and effective booking and payment. Comparably (2022) identified value in customer services to be created by providing seamless, unique and high-quality services with safety concerns and great competition. By automating its payment, booking, saniti</w:t>
      </w:r>
      <w:r>
        <w:rPr>
          <w:rFonts w:hint="eastAsia" w:ascii="Times New Roman" w:hAnsi="Times New Roman" w:cs="Times New Roman"/>
          <w:sz w:val="24"/>
          <w:szCs w:val="24"/>
          <w:lang w:eastAsia="zh-CN"/>
        </w:rPr>
        <w:t>s</w:t>
      </w:r>
      <w:r>
        <w:rPr>
          <w:rFonts w:ascii="Times New Roman" w:hAnsi="Times New Roman" w:cs="Times New Roman"/>
          <w:sz w:val="24"/>
          <w:szCs w:val="24"/>
        </w:rPr>
        <w:t xml:space="preserve">ation and hotel operations online, the business can allow customers to have quality experience without contacting customer service providers. Such safety may help address competitive rivalry threat and customer power due to valuable services they cannot access elsewhere (Porter, 2009). This also reduce move by customers to consume safer products and services such as Airbnb, online entertainment and online food deliveries since the customers will feel physically, digitally and emotionally safe.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as a premium service provider, to address the weakness associated with decline in profit due to Covid-19 restrictions, Marriott can focus on building its financial strength by giving customer discounts. Marriott offers differentiated products as its strategy, where it focuses on premium, uniqueness and personality and to go back to its financial footing, it can offer discounts on group and family booking as a way to remind customers of its services. This is a workable strategy since, with its economies of scale and experienced workers (Marriott, 2022a&amp;b), it is possible to improve operational efficiency by reducing costs associated with offering services and facilitating discounts. This way, customers can choose Marriott as accommodation choice as they resume leisure activities. </w:t>
      </w:r>
    </w:p>
    <w:p>
      <w:pPr>
        <w:pStyle w:val="2"/>
        <w:numPr>
          <w:ilvl w:val="0"/>
          <w:numId w:val="1"/>
        </w:numPr>
        <w:spacing w:line="360" w:lineRule="auto"/>
        <w:jc w:val="both"/>
        <w:rPr>
          <w:rFonts w:ascii="Times New Roman" w:hAnsi="Times New Roman" w:cs="Times New Roman"/>
          <w:sz w:val="24"/>
          <w:szCs w:val="24"/>
        </w:rPr>
      </w:pPr>
      <w:bookmarkStart w:id="10" w:name="_Toc98280602"/>
      <w:r>
        <w:rPr>
          <w:rFonts w:ascii="Times New Roman" w:hAnsi="Times New Roman" w:cs="Times New Roman"/>
          <w:sz w:val="24"/>
          <w:szCs w:val="24"/>
        </w:rPr>
        <w:t>Conclusions</w:t>
      </w:r>
      <w:bookmarkEnd w:id="10"/>
    </w:p>
    <w:p>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The report critically analyses the organisational current and future external and internal environment, showing how Covid-19 has impacted the hotel and response to the impact in the UK. The PESTEL analysis showed </w:t>
      </w:r>
      <w:r>
        <w:rPr>
          <w:rFonts w:hint="eastAsia" w:ascii="Times New Roman" w:hAnsi="Times New Roman" w:cs="Times New Roman"/>
          <w:sz w:val="24"/>
          <w:szCs w:val="24"/>
          <w:lang w:eastAsia="zh-CN"/>
        </w:rPr>
        <w:t>two</w:t>
      </w:r>
      <w:r>
        <w:rPr>
          <w:rFonts w:ascii="Times New Roman" w:hAnsi="Times New Roman" w:cs="Times New Roman"/>
          <w:sz w:val="24"/>
          <w:szCs w:val="24"/>
        </w:rPr>
        <w:t xml:space="preserve"> key issues related to Covid-19 regulations and guidelines, technology use in promoting contactless service provision but has also caused customer shift to other products. The Five forces review showed high competitive rivalry, which create issues to company because of the key competitors are big, have heavily invested in core business and produce same premium products in same segment. Furthermore, while financial strength has been source of competitive advantage, the recent drop in financial performance has created competitive parity.</w:t>
      </w:r>
      <w:r>
        <w:rPr>
          <w:rFonts w:ascii="Times New Roman" w:hAnsi="Times New Roman" w:cs="Times New Roman"/>
          <w:bCs/>
          <w:sz w:val="24"/>
          <w:szCs w:val="24"/>
        </w:rPr>
        <w:t xml:space="preserve"> Thus, recommendations were provided to address financial weaknesses, and address high competitive rivalry as it takes advantage of IT, reduction of strict measures and having safety guidelines. This can be done by </w:t>
      </w:r>
      <w:r>
        <w:rPr>
          <w:rFonts w:ascii="Times New Roman" w:hAnsi="Times New Roman" w:cs="Times New Roman"/>
          <w:sz w:val="24"/>
          <w:szCs w:val="24"/>
        </w:rPr>
        <w:t>establishing a safety and health department to ensure adherence to Covid-19 guidelines, automation of hotel services to promote safety and reduce Covid-19 transmission, and giving discounts to attract customers who are yet to consume its products and services.</w:t>
      </w:r>
    </w:p>
    <w:p>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pPr>
        <w:pStyle w:val="2"/>
        <w:spacing w:line="360" w:lineRule="auto"/>
        <w:rPr>
          <w:rFonts w:ascii="Times New Roman" w:hAnsi="Times New Roman" w:cs="Times New Roman"/>
          <w:sz w:val="24"/>
          <w:szCs w:val="24"/>
        </w:rPr>
      </w:pPr>
      <w:bookmarkStart w:id="11" w:name="_Toc98280603"/>
      <w:r>
        <w:rPr>
          <w:rFonts w:ascii="Times New Roman" w:hAnsi="Times New Roman" w:cs="Times New Roman"/>
          <w:sz w:val="24"/>
          <w:szCs w:val="24"/>
        </w:rPr>
        <w:t>Reference List</w:t>
      </w:r>
      <w:bookmarkEnd w:id="11"/>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Barney, J. (1991) 'Firm resources and sustained competitive advantage.' </w:t>
      </w:r>
      <w:r>
        <w:rPr>
          <w:rFonts w:ascii="Times New Roman" w:hAnsi="Times New Roman" w:cs="Times New Roman"/>
          <w:i/>
          <w:iCs/>
          <w:sz w:val="24"/>
          <w:szCs w:val="24"/>
        </w:rPr>
        <w:t>Journal of Management</w:t>
      </w:r>
      <w:r>
        <w:rPr>
          <w:rFonts w:ascii="Times New Roman" w:hAnsi="Times New Roman" w:cs="Times New Roman"/>
          <w:sz w:val="24"/>
          <w:szCs w:val="24"/>
        </w:rPr>
        <w:t>,</w:t>
      </w:r>
      <w:r>
        <w:rPr>
          <w:rFonts w:hint="eastAsia" w:ascii="Times New Roman" w:hAnsi="Times New Roman" w:cs="Times New Roman"/>
          <w:sz w:val="24"/>
          <w:szCs w:val="24"/>
          <w:lang w:eastAsia="zh-CN"/>
        </w:rPr>
        <w:t xml:space="preserve"> </w:t>
      </w:r>
      <w:r>
        <w:rPr>
          <w:rFonts w:ascii="Times New Roman" w:hAnsi="Times New Roman" w:cs="Times New Roman"/>
          <w:iCs/>
          <w:sz w:val="24"/>
          <w:szCs w:val="24"/>
        </w:rPr>
        <w:t>17</w:t>
      </w:r>
      <w:r>
        <w:rPr>
          <w:rFonts w:ascii="Times New Roman" w:hAnsi="Times New Roman" w:cs="Times New Roman"/>
          <w:sz w:val="24"/>
          <w:szCs w:val="24"/>
        </w:rPr>
        <w:t>(1), pp. 99-120.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Comparably (2022) </w:t>
      </w:r>
      <w:r>
        <w:rPr>
          <w:rFonts w:ascii="Times New Roman" w:hAnsi="Times New Roman" w:cs="Times New Roman"/>
          <w:i/>
          <w:sz w:val="24"/>
          <w:szCs w:val="24"/>
        </w:rPr>
        <w:t>Marriott Competitors</w:t>
      </w:r>
      <w:r>
        <w:rPr>
          <w:rFonts w:ascii="Times New Roman" w:hAnsi="Times New Roman" w:cs="Times New Roman"/>
          <w:bCs/>
          <w:i/>
          <w:sz w:val="24"/>
          <w:szCs w:val="24"/>
        </w:rPr>
        <w:t>.</w:t>
      </w:r>
      <w:r>
        <w:rPr>
          <w:rFonts w:ascii="Times New Roman" w:hAnsi="Times New Roman" w:cs="Times New Roman"/>
          <w:bCs/>
          <w:sz w:val="24"/>
          <w:szCs w:val="24"/>
        </w:rPr>
        <w:t xml:space="preserve"> </w:t>
      </w:r>
      <w:r>
        <w:rPr>
          <w:rFonts w:ascii="Times New Roman" w:hAnsi="Times New Roman" w:cs="Times New Roman"/>
          <w:sz w:val="24"/>
          <w:szCs w:val="24"/>
        </w:rPr>
        <w:t>Available at: https://www.comparably.com/companies/342644/competitors (Accessed: 12/03/2022).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Craven, M., Liu, L., Mysore, M., &amp; Wilson, M. (2020) 'COVID-19: Implications for business.' </w:t>
      </w:r>
      <w:r>
        <w:rPr>
          <w:rFonts w:ascii="Times New Roman" w:hAnsi="Times New Roman" w:cs="Times New Roman"/>
          <w:i/>
          <w:iCs/>
          <w:sz w:val="24"/>
          <w:szCs w:val="24"/>
        </w:rPr>
        <w:t>McKinsey &amp; Company</w:t>
      </w:r>
      <w:r>
        <w:rPr>
          <w:rFonts w:ascii="Times New Roman" w:hAnsi="Times New Roman" w:cs="Times New Roman"/>
          <w:sz w:val="24"/>
          <w:szCs w:val="24"/>
        </w:rPr>
        <w:t>,</w:t>
      </w:r>
      <w:r>
        <w:rPr>
          <w:rFonts w:hint="eastAsia" w:ascii="Times New Roman" w:hAnsi="Times New Roman" w:cs="Times New Roman"/>
          <w:sz w:val="24"/>
          <w:szCs w:val="24"/>
          <w:lang w:eastAsia="zh-CN"/>
        </w:rPr>
        <w:t xml:space="preserve"> </w:t>
      </w:r>
      <w:r>
        <w:rPr>
          <w:rFonts w:ascii="Times New Roman" w:hAnsi="Times New Roman" w:cs="Times New Roman"/>
          <w:sz w:val="24"/>
          <w:szCs w:val="24"/>
        </w:rPr>
        <w:t xml:space="preserve">p. </w:t>
      </w:r>
      <w:r>
        <w:rPr>
          <w:rFonts w:ascii="Times New Roman" w:hAnsi="Times New Roman" w:cs="Times New Roman"/>
          <w:i/>
          <w:iCs/>
          <w:sz w:val="24"/>
          <w:szCs w:val="24"/>
        </w:rPr>
        <w:t>8</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Deloitte (2021) </w:t>
      </w:r>
      <w:r>
        <w:rPr>
          <w:rFonts w:ascii="Times New Roman" w:hAnsi="Times New Roman" w:cs="Times New Roman"/>
          <w:i/>
          <w:sz w:val="24"/>
          <w:szCs w:val="24"/>
        </w:rPr>
        <w:t xml:space="preserve">the future of hospitality Uncovering opportunities to recover and thrive in the new normal. </w:t>
      </w:r>
      <w:r>
        <w:rPr>
          <w:rFonts w:ascii="Times New Roman" w:hAnsi="Times New Roman" w:cs="Times New Roman"/>
          <w:sz w:val="24"/>
          <w:szCs w:val="24"/>
        </w:rPr>
        <w:t>Available at: https://www2.deloitte.com/content/dam/Deloitte/ca/Documents/consumer-industrial-products/ca-future-of-hospitality-pov-aoda-en.pdf (Accessed: 10/03/2022).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Ghazinoory, S., Abdi, M., &amp; Azadegan-Mehr, M. (2011) 'SWOT methodology: a state-of-the-art review for the past, a framework for the future.'</w:t>
      </w:r>
      <w:r>
        <w:rPr>
          <w:rFonts w:hint="eastAsia" w:ascii="Times New Roman" w:hAnsi="Times New Roman" w:cs="Times New Roman"/>
          <w:sz w:val="24"/>
          <w:szCs w:val="24"/>
          <w:lang w:eastAsia="zh-CN"/>
        </w:rPr>
        <w:t xml:space="preserve"> </w:t>
      </w:r>
      <w:r>
        <w:rPr>
          <w:rFonts w:ascii="Times New Roman" w:hAnsi="Times New Roman" w:cs="Times New Roman"/>
          <w:i/>
          <w:iCs/>
          <w:sz w:val="24"/>
          <w:szCs w:val="24"/>
        </w:rPr>
        <w:t>Journal of business economics and management</w:t>
      </w:r>
      <w:r>
        <w:rPr>
          <w:rFonts w:ascii="Times New Roman" w:hAnsi="Times New Roman" w:cs="Times New Roman"/>
          <w:sz w:val="24"/>
          <w:szCs w:val="24"/>
        </w:rPr>
        <w:t xml:space="preserve">, </w:t>
      </w:r>
      <w:r>
        <w:rPr>
          <w:rFonts w:ascii="Times New Roman" w:hAnsi="Times New Roman" w:cs="Times New Roman"/>
          <w:i/>
          <w:iCs/>
          <w:sz w:val="24"/>
          <w:szCs w:val="24"/>
        </w:rPr>
        <w:t>12</w:t>
      </w:r>
      <w:r>
        <w:rPr>
          <w:rFonts w:ascii="Times New Roman" w:hAnsi="Times New Roman" w:cs="Times New Roman"/>
          <w:sz w:val="24"/>
          <w:szCs w:val="24"/>
        </w:rPr>
        <w:t>(1), pp. 24-48.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Gov.UK (2022a) Using your NHS COVID Pass for travel abroad and at venues and settings in England. Available at: https://www.gov.uk/guidance/nhs-covid-pass?priority-taxon=774cee22-d896-44c1-a611-e3109cce8eae (Accessed: 05/03/2022).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Grundy, T. (2006) 'Rethinking and reinventing Michael Porter's five forces model.' </w:t>
      </w:r>
      <w:r>
        <w:rPr>
          <w:rFonts w:ascii="Times New Roman" w:hAnsi="Times New Roman" w:cs="Times New Roman"/>
          <w:i/>
          <w:sz w:val="24"/>
          <w:szCs w:val="24"/>
        </w:rPr>
        <w:t>Strategic Change,</w:t>
      </w:r>
      <w:r>
        <w:rPr>
          <w:rFonts w:ascii="Times New Roman" w:hAnsi="Times New Roman" w:cs="Times New Roman"/>
          <w:sz w:val="24"/>
          <w:szCs w:val="24"/>
        </w:rPr>
        <w:t xml:space="preserve"> 15(5), pp. 213-229.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Helms, M. M., &amp; Nixon, J. (2010) 'Exploring SWOT analysis–where are we now? A review of academic research from the last decade.' </w:t>
      </w:r>
      <w:r>
        <w:rPr>
          <w:rFonts w:ascii="Times New Roman" w:hAnsi="Times New Roman" w:cs="Times New Roman"/>
          <w:i/>
          <w:iCs/>
          <w:sz w:val="24"/>
          <w:szCs w:val="24"/>
        </w:rPr>
        <w:t>Journal of strategy and management</w:t>
      </w:r>
      <w:r>
        <w:rPr>
          <w:rFonts w:ascii="Times New Roman" w:hAnsi="Times New Roman" w:cs="Times New Roman"/>
          <w:sz w:val="24"/>
          <w:szCs w:val="24"/>
        </w:rPr>
        <w:t>. 3(3), pp. 215-251.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IHG (2022) </w:t>
      </w:r>
      <w:r>
        <w:rPr>
          <w:rFonts w:ascii="Times New Roman" w:hAnsi="Times New Roman" w:cs="Times New Roman"/>
          <w:i/>
          <w:sz w:val="24"/>
          <w:szCs w:val="24"/>
        </w:rPr>
        <w:t>4 collections. 16 brands. 6,000 destinations.</w:t>
      </w:r>
      <w:r>
        <w:rPr>
          <w:rFonts w:ascii="Times New Roman" w:hAnsi="Times New Roman" w:cs="Times New Roman"/>
          <w:sz w:val="24"/>
          <w:szCs w:val="24"/>
        </w:rPr>
        <w:t xml:space="preserve"> Available at: https://www.ihg.com/content/gb/en/about/brands (Accessed: 02/03/2022).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Johnson, G., Scholes, K., Whittington, R., Regn_r, P., &amp; Angwin, D. (2017) </w:t>
      </w:r>
      <w:r>
        <w:rPr>
          <w:rFonts w:ascii="Times New Roman" w:hAnsi="Times New Roman" w:cs="Times New Roman"/>
          <w:i/>
          <w:iCs/>
          <w:sz w:val="24"/>
          <w:szCs w:val="24"/>
        </w:rPr>
        <w:t>Fundamentals of strategy</w:t>
      </w:r>
      <w:r>
        <w:rPr>
          <w:rFonts w:ascii="Times New Roman" w:hAnsi="Times New Roman" w:cs="Times New Roman"/>
          <w:sz w:val="24"/>
          <w:szCs w:val="24"/>
        </w:rPr>
        <w:t>. London; Pearson UK.</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Macro-Trends (2022) </w:t>
      </w:r>
      <w:r>
        <w:rPr>
          <w:rFonts w:ascii="Times New Roman" w:hAnsi="Times New Roman" w:cs="Times New Roman"/>
          <w:i/>
          <w:sz w:val="24"/>
          <w:szCs w:val="24"/>
        </w:rPr>
        <w:t>Marriott Revenue 2010-2021|MAR.</w:t>
      </w:r>
      <w:r>
        <w:rPr>
          <w:rFonts w:ascii="Times New Roman" w:hAnsi="Times New Roman" w:cs="Times New Roman"/>
          <w:sz w:val="24"/>
          <w:szCs w:val="24"/>
        </w:rPr>
        <w:t xml:space="preserve">  Available at: https://www.macrotrends.net/stocks/charts/MAR/marriott/revenue (Accessed: 15/03/2022).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(2020) </w:t>
      </w:r>
      <w:r>
        <w:rPr>
          <w:rFonts w:ascii="Times New Roman" w:hAnsi="Times New Roman" w:cs="Times New Roman"/>
          <w:i/>
          <w:sz w:val="24"/>
          <w:szCs w:val="24"/>
        </w:rPr>
        <w:t>Annual Report 2019</w:t>
      </w:r>
      <w:r>
        <w:rPr>
          <w:rFonts w:ascii="Times New Roman" w:hAnsi="Times New Roman" w:cs="Times New Roman"/>
          <w:sz w:val="24"/>
          <w:szCs w:val="24"/>
        </w:rPr>
        <w:t>. Available at: https://marriott.gcs-web.com/news-releases/news-release-details/marriott-international-reports-fourth-quarter-2019-results (Accessed: 03/03/2022).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(2021) </w:t>
      </w:r>
      <w:r>
        <w:rPr>
          <w:rFonts w:ascii="Times New Roman" w:hAnsi="Times New Roman" w:cs="Times New Roman"/>
          <w:i/>
          <w:sz w:val="24"/>
          <w:szCs w:val="24"/>
        </w:rPr>
        <w:t>Annual Report 4rth Quarter.</w:t>
      </w:r>
      <w:r>
        <w:rPr>
          <w:rFonts w:ascii="Times New Roman" w:hAnsi="Times New Roman" w:cs="Times New Roman"/>
          <w:sz w:val="24"/>
          <w:szCs w:val="24"/>
        </w:rPr>
        <w:t xml:space="preserve"> Available at: https://marriott.gcs-web.com/news-releases/news-release-details/marriott-international-reports-fourth-quarter-2020-results (Accessed: 03/03/2022).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(2022a) </w:t>
      </w:r>
      <w:r>
        <w:rPr>
          <w:rFonts w:ascii="Times New Roman" w:hAnsi="Times New Roman" w:cs="Times New Roman"/>
          <w:i/>
          <w:sz w:val="24"/>
          <w:szCs w:val="24"/>
        </w:rPr>
        <w:t>We Are Marriott International.</w:t>
      </w:r>
      <w:r>
        <w:rPr>
          <w:rFonts w:ascii="Times New Roman" w:hAnsi="Times New Roman" w:cs="Times New Roman"/>
          <w:sz w:val="24"/>
          <w:szCs w:val="24"/>
        </w:rPr>
        <w:t xml:space="preserve"> Available at: https://www.marriott.com/marriott/aboutmarriott.mi (Accessed: 03/03/2022).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(2022b) </w:t>
      </w:r>
      <w:r>
        <w:rPr>
          <w:rFonts w:ascii="Times New Roman" w:hAnsi="Times New Roman" w:cs="Times New Roman"/>
          <w:i/>
          <w:sz w:val="24"/>
          <w:szCs w:val="24"/>
        </w:rPr>
        <w:t>Taking Care of You</w:t>
      </w:r>
      <w:r>
        <w:rPr>
          <w:rFonts w:ascii="Times New Roman" w:hAnsi="Times New Roman" w:cs="Times New Roman"/>
          <w:sz w:val="24"/>
          <w:szCs w:val="24"/>
        </w:rPr>
        <w:t>. Available at: https://whattoexpect.marriott.com/msyla (Accessed: 12/03/2022).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Mehta, S., Saxena, T., &amp; Purohit, N. (2020) 'The new consumer behaviour paradigm amid COVID-19: permanent or transient?' </w:t>
      </w:r>
      <w:r>
        <w:rPr>
          <w:rFonts w:ascii="Times New Roman" w:hAnsi="Times New Roman" w:cs="Times New Roman"/>
          <w:i/>
          <w:iCs/>
          <w:sz w:val="24"/>
          <w:szCs w:val="24"/>
        </w:rPr>
        <w:t>Journal of health management</w:t>
      </w:r>
      <w:r>
        <w:rPr>
          <w:rFonts w:ascii="Times New Roman" w:hAnsi="Times New Roman" w:cs="Times New Roman"/>
          <w:sz w:val="24"/>
          <w:szCs w:val="24"/>
        </w:rPr>
        <w:t xml:space="preserve">, </w:t>
      </w:r>
      <w:r>
        <w:rPr>
          <w:rFonts w:ascii="Times New Roman" w:hAnsi="Times New Roman" w:cs="Times New Roman"/>
          <w:i/>
          <w:iCs/>
          <w:sz w:val="24"/>
          <w:szCs w:val="24"/>
        </w:rPr>
        <w:t>22</w:t>
      </w:r>
      <w:r>
        <w:rPr>
          <w:rFonts w:ascii="Times New Roman" w:hAnsi="Times New Roman" w:cs="Times New Roman"/>
          <w:sz w:val="24"/>
          <w:szCs w:val="24"/>
        </w:rPr>
        <w:t>(2), pp. 291-301.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of National Statistics (ONS) (2021) </w:t>
      </w:r>
      <w:r>
        <w:rPr>
          <w:rFonts w:ascii="Times New Roman" w:hAnsi="Times New Roman" w:cs="Times New Roman"/>
          <w:i/>
          <w:sz w:val="24"/>
          <w:szCs w:val="24"/>
        </w:rPr>
        <w:t>Coronavirus and its impact on UK hospitality: January 2020 to June 2021.</w:t>
      </w:r>
      <w:r>
        <w:rPr>
          <w:rFonts w:ascii="Times New Roman" w:hAnsi="Times New Roman" w:cs="Times New Roman"/>
          <w:sz w:val="24"/>
          <w:szCs w:val="24"/>
        </w:rPr>
        <w:t xml:space="preserve"> Available at: https://www.ons.gov.uk/businessindustryandtrade/business/activitysizeandlocation/articles/coronavirusanditsimpactonukhospitality/january2020tojune2021 (Accessed: 03/03/2022).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ONS (2020) </w:t>
      </w:r>
      <w:r>
        <w:rPr>
          <w:rFonts w:ascii="Times New Roman" w:hAnsi="Times New Roman" w:cs="Times New Roman"/>
          <w:i/>
          <w:sz w:val="24"/>
          <w:szCs w:val="24"/>
        </w:rPr>
        <w:t>Coronavirus and the Impact on UK households and businesses: 2020</w:t>
      </w:r>
      <w:r>
        <w:rPr>
          <w:rFonts w:ascii="Times New Roman" w:hAnsi="Times New Roman" w:cs="Times New Roman"/>
          <w:sz w:val="24"/>
          <w:szCs w:val="24"/>
        </w:rPr>
        <w:t>. Available at: https://www.ons.gov.uk/economy/nationalaccounts/uksectoraccounts/articles/coronavirusandtheimpactonukhouseholdsandbusinesses/2020 (Accessed: 09/03/2022).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Oraman, Y. (2014) 'An analytic study of organic food industry as part of healthy eating habit in Turkey: Market growth, challenges and prospects.' </w:t>
      </w:r>
      <w:r>
        <w:rPr>
          <w:rFonts w:ascii="Times New Roman" w:hAnsi="Times New Roman" w:cs="Times New Roman"/>
          <w:i/>
          <w:iCs/>
          <w:sz w:val="24"/>
          <w:szCs w:val="24"/>
        </w:rPr>
        <w:t>Procedia-Social and Behavioral Sciences</w:t>
      </w:r>
      <w:r>
        <w:rPr>
          <w:rFonts w:ascii="Times New Roman" w:hAnsi="Times New Roman" w:cs="Times New Roman"/>
          <w:sz w:val="24"/>
          <w:szCs w:val="24"/>
        </w:rPr>
        <w:t xml:space="preserve">, </w:t>
      </w:r>
      <w:r>
        <w:rPr>
          <w:rFonts w:ascii="Times New Roman" w:hAnsi="Times New Roman" w:cs="Times New Roman"/>
          <w:i/>
          <w:iCs/>
          <w:sz w:val="24"/>
          <w:szCs w:val="24"/>
        </w:rPr>
        <w:t>150</w:t>
      </w:r>
      <w:r>
        <w:rPr>
          <w:rFonts w:ascii="Times New Roman" w:hAnsi="Times New Roman" w:cs="Times New Roman"/>
          <w:sz w:val="24"/>
          <w:szCs w:val="24"/>
        </w:rPr>
        <w:t>, pp. 1030-1039.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Porter, M. (2008a)</w:t>
      </w:r>
      <w:r>
        <w:rPr>
          <w:rFonts w:ascii="Times New Roman" w:hAnsi="Times New Roman" w:cs="Times New Roman"/>
          <w:i/>
          <w:iCs/>
          <w:sz w:val="24"/>
          <w:szCs w:val="24"/>
        </w:rPr>
        <w:t xml:space="preserve"> On competition</w:t>
      </w:r>
      <w:r>
        <w:rPr>
          <w:rFonts w:ascii="Times New Roman" w:hAnsi="Times New Roman" w:cs="Times New Roman"/>
          <w:sz w:val="24"/>
          <w:szCs w:val="24"/>
        </w:rPr>
        <w:t>. Harvard; Harvard Business Press.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 M. (2008b) 'The five competitive forces that shape strategy.' </w:t>
      </w:r>
      <w:r>
        <w:rPr>
          <w:rFonts w:ascii="Times New Roman" w:hAnsi="Times New Roman" w:cs="Times New Roman"/>
          <w:i/>
          <w:sz w:val="24"/>
          <w:szCs w:val="24"/>
        </w:rPr>
        <w:t>Harvard Business Review</w:t>
      </w:r>
      <w:r>
        <w:rPr>
          <w:rFonts w:ascii="Times New Roman" w:hAnsi="Times New Roman" w:cs="Times New Roman"/>
          <w:sz w:val="24"/>
          <w:szCs w:val="24"/>
        </w:rPr>
        <w:t>, 86(1), pp. 78-93.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Shatskaya, E., Samarina, M., &amp; Nekhorosheva, K. (2016) 'PESTEL analysis as a tool of strategic analysis in international markets.' </w:t>
      </w:r>
      <w:r>
        <w:rPr>
          <w:rFonts w:ascii="Times New Roman" w:hAnsi="Times New Roman" w:cs="Times New Roman"/>
          <w:i/>
          <w:iCs/>
          <w:sz w:val="24"/>
          <w:szCs w:val="24"/>
        </w:rPr>
        <w:t>Scope Academic House B&amp;M Publishing</w:t>
      </w:r>
      <w:r>
        <w:rPr>
          <w:rFonts w:ascii="Times New Roman" w:hAnsi="Times New Roman" w:cs="Times New Roman"/>
          <w:sz w:val="24"/>
          <w:szCs w:val="24"/>
        </w:rPr>
        <w:t>, pp.</w:t>
      </w:r>
      <w:r>
        <w:rPr>
          <w:rFonts w:ascii="Times New Roman" w:hAnsi="Times New Roman" w:cs="Times New Roman"/>
          <w:i/>
          <w:iCs/>
          <w:sz w:val="24"/>
          <w:szCs w:val="24"/>
        </w:rPr>
        <w:t>47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Guardian (2021) </w:t>
      </w:r>
      <w:r>
        <w:rPr>
          <w:rFonts w:ascii="Times New Roman" w:hAnsi="Times New Roman" w:cs="Times New Roman"/>
          <w:i/>
          <w:sz w:val="24"/>
          <w:szCs w:val="24"/>
        </w:rPr>
        <w:t>Covid19-hit UK hotels unlikely to recover for four years, says PwC.</w:t>
      </w:r>
      <w:r>
        <w:rPr>
          <w:rFonts w:ascii="Times New Roman" w:hAnsi="Times New Roman" w:cs="Times New Roman"/>
          <w:sz w:val="24"/>
          <w:szCs w:val="24"/>
        </w:rPr>
        <w:t xml:space="preserve"> Available at: https://www.theguardian.com/business/2020/oct/27/covid-hit-uk-hotels-unlikely-to-recover-for-four-years-says-pwc (Accessed: 03/03/2022).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Wall Street Journal (WSJ) (2022) </w:t>
      </w:r>
      <w:r>
        <w:rPr>
          <w:rFonts w:ascii="Times New Roman" w:hAnsi="Times New Roman" w:cs="Times New Roman"/>
          <w:i/>
          <w:sz w:val="24"/>
          <w:szCs w:val="24"/>
        </w:rPr>
        <w:t xml:space="preserve">Marriott International Inc.; MAR (U.S.: NASDAQ). </w:t>
      </w:r>
      <w:r>
        <w:rPr>
          <w:rFonts w:ascii="Times New Roman" w:hAnsi="Times New Roman" w:cs="Times New Roman"/>
          <w:sz w:val="24"/>
          <w:szCs w:val="24"/>
        </w:rPr>
        <w:t>Available at: https://www.wsj.com/market-data/quotes/MAR/financials/annual/income-statement (Accessed: 0</w:t>
      </w:r>
      <w:r>
        <w:rPr>
          <w:rFonts w:hint="eastAsia" w:ascii="Times New Roman" w:hAnsi="Times New Roman" w:cs="Times New Roman"/>
          <w:sz w:val="24"/>
          <w:szCs w:val="24"/>
          <w:lang w:eastAsia="zh-CN"/>
        </w:rPr>
        <w:t>4</w:t>
      </w:r>
      <w:r>
        <w:rPr>
          <w:rFonts w:ascii="Times New Roman" w:hAnsi="Times New Roman" w:cs="Times New Roman"/>
          <w:sz w:val="24"/>
          <w:szCs w:val="24"/>
        </w:rPr>
        <w:t>/03/2022).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Wang, Y. C., &amp; Chung, Y. (2015) 'Hotel brand portfolio strategy.'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27(4), pp.561-584.</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Wernerfelt, B. (1984) 'A resource‐based view of the firm.' </w:t>
      </w:r>
      <w:r>
        <w:rPr>
          <w:rFonts w:ascii="Times New Roman" w:hAnsi="Times New Roman" w:cs="Times New Roman"/>
          <w:i/>
          <w:iCs/>
          <w:sz w:val="24"/>
          <w:szCs w:val="24"/>
        </w:rPr>
        <w:t>Strategic management journal</w:t>
      </w:r>
      <w:r>
        <w:rPr>
          <w:rFonts w:ascii="Times New Roman" w:hAnsi="Times New Roman" w:cs="Times New Roman"/>
          <w:sz w:val="24"/>
          <w:szCs w:val="24"/>
        </w:rPr>
        <w:t xml:space="preserve">, </w:t>
      </w:r>
      <w:r>
        <w:rPr>
          <w:rFonts w:ascii="Times New Roman" w:hAnsi="Times New Roman" w:cs="Times New Roman"/>
          <w:i/>
          <w:iCs/>
          <w:sz w:val="24"/>
          <w:szCs w:val="24"/>
        </w:rPr>
        <w:t>5</w:t>
      </w:r>
      <w:r>
        <w:rPr>
          <w:rFonts w:ascii="Times New Roman" w:hAnsi="Times New Roman" w:cs="Times New Roman"/>
          <w:sz w:val="24"/>
          <w:szCs w:val="24"/>
        </w:rPr>
        <w:t>(2), pp. 171-180.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Economic Forum (WEF) (2021) </w:t>
      </w:r>
      <w:r>
        <w:rPr>
          <w:rFonts w:ascii="Times New Roman" w:hAnsi="Times New Roman" w:cs="Times New Roman"/>
          <w:i/>
          <w:sz w:val="24"/>
          <w:szCs w:val="24"/>
        </w:rPr>
        <w:t xml:space="preserve">10 technology trends to watch in the COVID-19 pandemic. </w:t>
      </w:r>
      <w:r>
        <w:rPr>
          <w:rFonts w:ascii="Times New Roman" w:hAnsi="Times New Roman" w:cs="Times New Roman"/>
          <w:sz w:val="24"/>
          <w:szCs w:val="24"/>
        </w:rPr>
        <w:t>Available at: https://www.weforum.org/agenda/2020/04/10-technology-trends-coronavirus-covid19-pandemic-robotics-telehealth/ (Accessed: 10/03/2022).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Yüksel, I. (2012) 'Developing a multi-criteria decision making model for PESTEL analysis.' </w:t>
      </w:r>
      <w:r>
        <w:rPr>
          <w:rFonts w:ascii="Times New Roman" w:hAnsi="Times New Roman" w:cs="Times New Roman"/>
          <w:i/>
          <w:iCs/>
          <w:sz w:val="24"/>
          <w:szCs w:val="24"/>
        </w:rPr>
        <w:t>International Journal of Business and Management</w:t>
      </w:r>
      <w:r>
        <w:rPr>
          <w:rFonts w:ascii="Times New Roman" w:hAnsi="Times New Roman" w:cs="Times New Roman"/>
          <w:sz w:val="24"/>
          <w:szCs w:val="24"/>
        </w:rPr>
        <w:t xml:space="preserve">, </w:t>
      </w:r>
      <w:r>
        <w:rPr>
          <w:rFonts w:ascii="Times New Roman" w:hAnsi="Times New Roman" w:cs="Times New Roman"/>
          <w:i/>
          <w:iCs/>
          <w:sz w:val="24"/>
          <w:szCs w:val="24"/>
        </w:rPr>
        <w:t>7</w:t>
      </w:r>
      <w:r>
        <w:rPr>
          <w:rFonts w:ascii="Times New Roman" w:hAnsi="Times New Roman" w:cs="Times New Roman"/>
          <w:sz w:val="24"/>
          <w:szCs w:val="24"/>
        </w:rPr>
        <w:t>(24), pp. 52.</w:t>
      </w: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54336833"/>
      <w:docPartObj>
        <w:docPartGallery w:val="autotext"/>
      </w:docPartObj>
    </w:sdtPr>
    <w:sdtContent>
      <w:p>
        <w:pPr>
          <w:pStyle w:val="9"/>
          <w:jc w:val="center"/>
        </w:pPr>
        <w:r>
          <w:fldChar w:fldCharType="begin"/>
        </w:r>
        <w:r>
          <w:instrText xml:space="preserve">PAGE   \* MERGEFORMAT</w:instrText>
        </w:r>
        <w:r>
          <w:fldChar w:fldCharType="separate"/>
        </w:r>
        <w:r>
          <w:rPr>
            <w:lang w:val="zh-CN" w:eastAsia="zh-CN"/>
          </w:rPr>
          <w:t>17</w:t>
        </w:r>
        <w:r>
          <w:fldChar w:fldCharType="end"/>
        </w:r>
      </w:p>
    </w:sdtContent>
  </w:sdt>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C41415"/>
    <w:multiLevelType w:val="multilevel"/>
    <w:tmpl w:val="12C41415"/>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hideSpellingErrors/>
  <w:hideGrammaticalErrors/>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QzMTQwNDE1tTAxtzRR0lEKTi0uzszPAykwqgUA0Pzt6iwAAAA="/>
  </w:docVars>
  <w:rsids>
    <w:rsidRoot w:val="00E2400C"/>
    <w:rsid w:val="0000229C"/>
    <w:rsid w:val="0001693A"/>
    <w:rsid w:val="00066FAB"/>
    <w:rsid w:val="000827EA"/>
    <w:rsid w:val="000958FE"/>
    <w:rsid w:val="000A0E43"/>
    <w:rsid w:val="000A728D"/>
    <w:rsid w:val="000D5E21"/>
    <w:rsid w:val="000E5C32"/>
    <w:rsid w:val="001270C7"/>
    <w:rsid w:val="00154DE8"/>
    <w:rsid w:val="00195F9C"/>
    <w:rsid w:val="001B5706"/>
    <w:rsid w:val="001B6A43"/>
    <w:rsid w:val="001C3A74"/>
    <w:rsid w:val="00222E30"/>
    <w:rsid w:val="00232B33"/>
    <w:rsid w:val="0027219F"/>
    <w:rsid w:val="002831B4"/>
    <w:rsid w:val="00293565"/>
    <w:rsid w:val="002A2A65"/>
    <w:rsid w:val="002B54FE"/>
    <w:rsid w:val="002C25F5"/>
    <w:rsid w:val="002E0655"/>
    <w:rsid w:val="002F09FB"/>
    <w:rsid w:val="00314481"/>
    <w:rsid w:val="00320977"/>
    <w:rsid w:val="00373C95"/>
    <w:rsid w:val="00381A26"/>
    <w:rsid w:val="003B020A"/>
    <w:rsid w:val="003D74EE"/>
    <w:rsid w:val="003F1924"/>
    <w:rsid w:val="0040797F"/>
    <w:rsid w:val="00410B78"/>
    <w:rsid w:val="004177D0"/>
    <w:rsid w:val="00426FAC"/>
    <w:rsid w:val="00437D5E"/>
    <w:rsid w:val="004450F4"/>
    <w:rsid w:val="0044783C"/>
    <w:rsid w:val="004833A4"/>
    <w:rsid w:val="00495AA6"/>
    <w:rsid w:val="004A686A"/>
    <w:rsid w:val="00515982"/>
    <w:rsid w:val="00550EFC"/>
    <w:rsid w:val="00557534"/>
    <w:rsid w:val="005817D4"/>
    <w:rsid w:val="005A23F8"/>
    <w:rsid w:val="005C7CE3"/>
    <w:rsid w:val="00624F40"/>
    <w:rsid w:val="00660B8D"/>
    <w:rsid w:val="006E4634"/>
    <w:rsid w:val="00714AFA"/>
    <w:rsid w:val="007412D2"/>
    <w:rsid w:val="00757703"/>
    <w:rsid w:val="00780782"/>
    <w:rsid w:val="00792371"/>
    <w:rsid w:val="007A02D2"/>
    <w:rsid w:val="007B169A"/>
    <w:rsid w:val="007D2127"/>
    <w:rsid w:val="008369D9"/>
    <w:rsid w:val="008534E7"/>
    <w:rsid w:val="008560AB"/>
    <w:rsid w:val="00866D9E"/>
    <w:rsid w:val="00884D12"/>
    <w:rsid w:val="008F0621"/>
    <w:rsid w:val="008F4116"/>
    <w:rsid w:val="009070AA"/>
    <w:rsid w:val="00916B39"/>
    <w:rsid w:val="0094175A"/>
    <w:rsid w:val="00942CF0"/>
    <w:rsid w:val="00957CFC"/>
    <w:rsid w:val="009972AE"/>
    <w:rsid w:val="009A6A45"/>
    <w:rsid w:val="009C4D1C"/>
    <w:rsid w:val="009C61BA"/>
    <w:rsid w:val="009D588A"/>
    <w:rsid w:val="009E2096"/>
    <w:rsid w:val="00A0209A"/>
    <w:rsid w:val="00A038CA"/>
    <w:rsid w:val="00A20C6E"/>
    <w:rsid w:val="00A23FA3"/>
    <w:rsid w:val="00A661F4"/>
    <w:rsid w:val="00A82861"/>
    <w:rsid w:val="00A9621E"/>
    <w:rsid w:val="00AA5B83"/>
    <w:rsid w:val="00AF33A7"/>
    <w:rsid w:val="00B21B4D"/>
    <w:rsid w:val="00B21CFE"/>
    <w:rsid w:val="00B36E8C"/>
    <w:rsid w:val="00B50D79"/>
    <w:rsid w:val="00BD28B4"/>
    <w:rsid w:val="00BD7DAD"/>
    <w:rsid w:val="00BF1042"/>
    <w:rsid w:val="00C07E7D"/>
    <w:rsid w:val="00C14DE7"/>
    <w:rsid w:val="00C615C8"/>
    <w:rsid w:val="00C731C1"/>
    <w:rsid w:val="00CB1197"/>
    <w:rsid w:val="00CF2424"/>
    <w:rsid w:val="00D66EEA"/>
    <w:rsid w:val="00D8296A"/>
    <w:rsid w:val="00DA2FBF"/>
    <w:rsid w:val="00DA4814"/>
    <w:rsid w:val="00DC2D70"/>
    <w:rsid w:val="00DE26A3"/>
    <w:rsid w:val="00DF5D48"/>
    <w:rsid w:val="00E10028"/>
    <w:rsid w:val="00E2400C"/>
    <w:rsid w:val="00E4014D"/>
    <w:rsid w:val="00E50ED4"/>
    <w:rsid w:val="00E54C36"/>
    <w:rsid w:val="00E61FEA"/>
    <w:rsid w:val="00E62A50"/>
    <w:rsid w:val="00E93604"/>
    <w:rsid w:val="00EB7690"/>
    <w:rsid w:val="00F012DA"/>
    <w:rsid w:val="00F622FD"/>
    <w:rsid w:val="00F97DEF"/>
    <w:rsid w:val="00FB7443"/>
    <w:rsid w:val="00FB7B8F"/>
    <w:rsid w:val="00FC051B"/>
    <w:rsid w:val="00FC1E52"/>
    <w:rsid w:val="00FD6BFE"/>
    <w:rsid w:val="5D3C51D4"/>
    <w:rsid w:val="77D837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19"/>
    <w:qFormat/>
    <w:uiPriority w:val="9"/>
    <w:pPr>
      <w:keepNext/>
      <w:keepLines/>
      <w:spacing w:before="480" w:after="240"/>
      <w:outlineLvl w:val="0"/>
    </w:pPr>
    <w:rPr>
      <w:rFonts w:eastAsiaTheme="majorEastAsia" w:cstheme="majorBidi"/>
      <w:b/>
      <w:szCs w:val="32"/>
    </w:rPr>
  </w:style>
  <w:style w:type="paragraph" w:styleId="3">
    <w:name w:val="heading 2"/>
    <w:basedOn w:val="1"/>
    <w:next w:val="1"/>
    <w:link w:val="20"/>
    <w:unhideWhenUsed/>
    <w:qFormat/>
    <w:uiPriority w:val="9"/>
    <w:pPr>
      <w:keepNext/>
      <w:keepLines/>
      <w:spacing w:before="160" w:after="120"/>
      <w:outlineLvl w:val="1"/>
    </w:pPr>
    <w:rPr>
      <w:rFonts w:eastAsiaTheme="majorEastAsia" w:cstheme="majorBidi"/>
      <w:b/>
      <w:szCs w:val="26"/>
    </w:rPr>
  </w:style>
  <w:style w:type="paragraph" w:styleId="4">
    <w:name w:val="heading 3"/>
    <w:basedOn w:val="1"/>
    <w:next w:val="1"/>
    <w:link w:val="21"/>
    <w:unhideWhenUsed/>
    <w:qFormat/>
    <w:uiPriority w:val="9"/>
    <w:pPr>
      <w:keepNext/>
      <w:keepLines/>
      <w:spacing w:before="40" w:after="0"/>
      <w:outlineLvl w:val="2"/>
    </w:pPr>
    <w:rPr>
      <w:rFonts w:eastAsiaTheme="majorEastAsia" w:cstheme="majorBidi"/>
      <w:b/>
      <w:i/>
      <w:szCs w:val="24"/>
    </w:rPr>
  </w:style>
  <w:style w:type="paragraph" w:styleId="5">
    <w:name w:val="heading 4"/>
    <w:basedOn w:val="1"/>
    <w:next w:val="1"/>
    <w:link w:val="22"/>
    <w:unhideWhenUsed/>
    <w:qFormat/>
    <w:uiPriority w:val="9"/>
    <w:pPr>
      <w:keepNext/>
      <w:keepLines/>
      <w:spacing w:before="40" w:after="0"/>
      <w:outlineLvl w:val="3"/>
    </w:pPr>
    <w:rPr>
      <w:rFonts w:eastAsiaTheme="majorEastAsia" w:cstheme="majorBidi"/>
      <w:b/>
      <w:i/>
      <w:iCs/>
      <w:sz w:val="20"/>
    </w:rPr>
  </w:style>
  <w:style w:type="paragraph" w:styleId="6">
    <w:name w:val="heading 5"/>
    <w:basedOn w:val="1"/>
    <w:next w:val="1"/>
    <w:link w:val="23"/>
    <w:unhideWhenUsed/>
    <w:qFormat/>
    <w:uiPriority w:val="9"/>
    <w:pPr>
      <w:keepNext/>
      <w:keepLines/>
      <w:spacing w:before="40" w:after="0"/>
      <w:outlineLvl w:val="4"/>
    </w:pPr>
    <w:rPr>
      <w:rFonts w:eastAsiaTheme="majorEastAsia" w:cstheme="majorBidi"/>
      <w:b/>
      <w:i/>
      <w:sz w:val="20"/>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7">
    <w:name w:val="annotation text"/>
    <w:basedOn w:val="1"/>
    <w:link w:val="27"/>
    <w:semiHidden/>
    <w:unhideWhenUsed/>
    <w:qFormat/>
    <w:uiPriority w:val="99"/>
  </w:style>
  <w:style w:type="paragraph" w:styleId="8">
    <w:name w:val="Balloon Text"/>
    <w:basedOn w:val="1"/>
    <w:link w:val="26"/>
    <w:semiHidden/>
    <w:unhideWhenUsed/>
    <w:qFormat/>
    <w:uiPriority w:val="99"/>
    <w:pPr>
      <w:spacing w:after="0" w:line="240" w:lineRule="auto"/>
    </w:pPr>
    <w:rPr>
      <w:sz w:val="18"/>
      <w:szCs w:val="18"/>
    </w:rPr>
  </w:style>
  <w:style w:type="paragraph" w:styleId="9">
    <w:name w:val="footer"/>
    <w:basedOn w:val="1"/>
    <w:link w:val="30"/>
    <w:unhideWhenUsed/>
    <w:uiPriority w:val="99"/>
    <w:pPr>
      <w:tabs>
        <w:tab w:val="center" w:pos="4153"/>
        <w:tab w:val="right" w:pos="8306"/>
      </w:tabs>
      <w:snapToGrid w:val="0"/>
      <w:spacing w:line="240" w:lineRule="auto"/>
    </w:pPr>
    <w:rPr>
      <w:sz w:val="18"/>
      <w:szCs w:val="18"/>
    </w:rPr>
  </w:style>
  <w:style w:type="paragraph" w:styleId="10">
    <w:name w:val="header"/>
    <w:basedOn w:val="1"/>
    <w:link w:val="29"/>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1">
    <w:name w:val="toc 1"/>
    <w:basedOn w:val="1"/>
    <w:next w:val="1"/>
    <w:unhideWhenUsed/>
    <w:qFormat/>
    <w:uiPriority w:val="39"/>
    <w:pPr>
      <w:spacing w:after="100"/>
    </w:pPr>
  </w:style>
  <w:style w:type="paragraph" w:styleId="12">
    <w:name w:val="toc 2"/>
    <w:basedOn w:val="1"/>
    <w:next w:val="1"/>
    <w:unhideWhenUsed/>
    <w:uiPriority w:val="39"/>
    <w:pPr>
      <w:spacing w:after="100"/>
      <w:ind w:left="220"/>
    </w:pPr>
  </w:style>
  <w:style w:type="paragraph" w:styleId="13">
    <w:name w:val="annotation subject"/>
    <w:basedOn w:val="7"/>
    <w:next w:val="7"/>
    <w:link w:val="28"/>
    <w:semiHidden/>
    <w:unhideWhenUsed/>
    <w:qFormat/>
    <w:uiPriority w:val="99"/>
    <w:rPr>
      <w:b/>
      <w:bCs/>
    </w:rPr>
  </w:style>
  <w:style w:type="table" w:styleId="15">
    <w:name w:val="Table Grid"/>
    <w:basedOn w:val="1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17">
    <w:name w:val="Hyperlink"/>
    <w:basedOn w:val="16"/>
    <w:unhideWhenUsed/>
    <w:qFormat/>
    <w:uiPriority w:val="99"/>
    <w:rPr>
      <w:color w:val="0563C1" w:themeColor="hyperlink"/>
      <w:u w:val="single"/>
      <w14:textFill>
        <w14:solidFill>
          <w14:schemeClr w14:val="hlink"/>
        </w14:solidFill>
      </w14:textFill>
    </w:rPr>
  </w:style>
  <w:style w:type="character" w:styleId="18">
    <w:name w:val="annotation reference"/>
    <w:basedOn w:val="16"/>
    <w:semiHidden/>
    <w:unhideWhenUsed/>
    <w:uiPriority w:val="99"/>
    <w:rPr>
      <w:sz w:val="21"/>
      <w:szCs w:val="21"/>
    </w:rPr>
  </w:style>
  <w:style w:type="character" w:customStyle="1" w:styleId="19">
    <w:name w:val="标题 1 Char"/>
    <w:basedOn w:val="16"/>
    <w:link w:val="2"/>
    <w:uiPriority w:val="9"/>
    <w:rPr>
      <w:rFonts w:ascii="Times New Roman" w:hAnsi="Times New Roman" w:eastAsiaTheme="majorEastAsia" w:cstheme="majorBidi"/>
      <w:b/>
      <w:sz w:val="24"/>
      <w:szCs w:val="32"/>
    </w:rPr>
  </w:style>
  <w:style w:type="character" w:customStyle="1" w:styleId="20">
    <w:name w:val="标题 2 Char"/>
    <w:basedOn w:val="16"/>
    <w:link w:val="3"/>
    <w:uiPriority w:val="9"/>
    <w:rPr>
      <w:rFonts w:ascii="Times New Roman" w:hAnsi="Times New Roman" w:eastAsiaTheme="majorEastAsia" w:cstheme="majorBidi"/>
      <w:b/>
      <w:sz w:val="24"/>
      <w:szCs w:val="26"/>
    </w:rPr>
  </w:style>
  <w:style w:type="character" w:customStyle="1" w:styleId="21">
    <w:name w:val="标题 3 Char"/>
    <w:basedOn w:val="16"/>
    <w:link w:val="4"/>
    <w:uiPriority w:val="9"/>
    <w:rPr>
      <w:rFonts w:ascii="Times New Roman" w:hAnsi="Times New Roman" w:eastAsiaTheme="majorEastAsia" w:cstheme="majorBidi"/>
      <w:b/>
      <w:i/>
      <w:sz w:val="24"/>
      <w:szCs w:val="24"/>
    </w:rPr>
  </w:style>
  <w:style w:type="character" w:customStyle="1" w:styleId="22">
    <w:name w:val="标题 4 Char"/>
    <w:basedOn w:val="16"/>
    <w:link w:val="5"/>
    <w:uiPriority w:val="9"/>
    <w:rPr>
      <w:rFonts w:ascii="Times New Roman" w:hAnsi="Times New Roman" w:eastAsiaTheme="majorEastAsia" w:cstheme="majorBidi"/>
      <w:b/>
      <w:i/>
      <w:iCs/>
      <w:sz w:val="20"/>
    </w:rPr>
  </w:style>
  <w:style w:type="character" w:customStyle="1" w:styleId="23">
    <w:name w:val="标题 5 Char"/>
    <w:basedOn w:val="16"/>
    <w:link w:val="6"/>
    <w:qFormat/>
    <w:uiPriority w:val="9"/>
    <w:rPr>
      <w:rFonts w:ascii="Times New Roman" w:hAnsi="Times New Roman" w:eastAsiaTheme="majorEastAsia" w:cstheme="majorBidi"/>
      <w:b/>
      <w:i/>
      <w:sz w:val="20"/>
    </w:rPr>
  </w:style>
  <w:style w:type="paragraph" w:styleId="24">
    <w:name w:val="List Paragraph"/>
    <w:basedOn w:val="1"/>
    <w:qFormat/>
    <w:uiPriority w:val="34"/>
    <w:pPr>
      <w:ind w:left="720"/>
      <w:contextualSpacing/>
    </w:pPr>
  </w:style>
  <w:style w:type="paragraph" w:customStyle="1" w:styleId="25">
    <w:name w:val="TOC Heading"/>
    <w:basedOn w:val="2"/>
    <w:next w:val="1"/>
    <w:unhideWhenUsed/>
    <w:qFormat/>
    <w:uiPriority w:val="39"/>
    <w:pPr>
      <w:spacing w:before="240" w:after="0"/>
      <w:outlineLvl w:val="9"/>
    </w:pPr>
    <w:rPr>
      <w:rFonts w:asciiTheme="majorHAnsi" w:hAnsiTheme="majorHAnsi"/>
      <w:b w:val="0"/>
      <w:color w:val="2E75B6" w:themeColor="accent1" w:themeShade="BF"/>
      <w:sz w:val="32"/>
      <w:lang w:val="en-US"/>
    </w:rPr>
  </w:style>
  <w:style w:type="character" w:customStyle="1" w:styleId="26">
    <w:name w:val="批注框文本 Char"/>
    <w:basedOn w:val="16"/>
    <w:link w:val="8"/>
    <w:semiHidden/>
    <w:uiPriority w:val="99"/>
    <w:rPr>
      <w:sz w:val="18"/>
      <w:szCs w:val="18"/>
    </w:rPr>
  </w:style>
  <w:style w:type="character" w:customStyle="1" w:styleId="27">
    <w:name w:val="批注文字 Char"/>
    <w:basedOn w:val="16"/>
    <w:link w:val="7"/>
    <w:semiHidden/>
    <w:qFormat/>
    <w:uiPriority w:val="99"/>
  </w:style>
  <w:style w:type="character" w:customStyle="1" w:styleId="28">
    <w:name w:val="批注主题 Char"/>
    <w:basedOn w:val="27"/>
    <w:link w:val="13"/>
    <w:semiHidden/>
    <w:qFormat/>
    <w:uiPriority w:val="99"/>
    <w:rPr>
      <w:b/>
      <w:bCs/>
    </w:rPr>
  </w:style>
  <w:style w:type="character" w:customStyle="1" w:styleId="29">
    <w:name w:val="页眉 Char"/>
    <w:basedOn w:val="16"/>
    <w:link w:val="10"/>
    <w:uiPriority w:val="99"/>
    <w:rPr>
      <w:sz w:val="18"/>
      <w:szCs w:val="18"/>
    </w:rPr>
  </w:style>
  <w:style w:type="character" w:customStyle="1" w:styleId="30">
    <w:name w:val="页脚 Char"/>
    <w:basedOn w:val="16"/>
    <w:link w:val="9"/>
    <w:uiPriority w:val="99"/>
    <w:rPr>
      <w:sz w:val="18"/>
      <w:szCs w:val="18"/>
    </w:rPr>
  </w:style>
  <w:style w:type="character" w:customStyle="1" w:styleId="31">
    <w:name w:val="Book Title"/>
    <w:basedOn w:val="16"/>
    <w:qFormat/>
    <w:uiPriority w:val="33"/>
    <w:rPr>
      <w:b/>
      <w:bCs/>
      <w:i/>
      <w:iCs/>
      <w:spacing w:val="5"/>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3719</Words>
  <Characters>21202</Characters>
  <Lines>176</Lines>
  <Paragraphs>49</Paragraphs>
  <TotalTime>0</TotalTime>
  <ScaleCrop>false</ScaleCrop>
  <LinksUpToDate>false</LinksUpToDate>
  <CharactersWithSpaces>24872</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2022-03-13T10:30:00Z</dcterms:created>
  <dc:creator>姚睿</dc:creator>
  <cp:lastModifiedBy>姚大兄弟</cp:lastModifiedBy>
  <dcterms:modified xsi:type="dcterms:W3CDTF">2022-03-16T19:46:02Z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