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5485B" w14:textId="2D1F134D" w:rsidR="00CA18AC" w:rsidRDefault="00CA18AC" w:rsidP="00C61A07">
      <w:pPr>
        <w:jc w:val="center"/>
        <w:rPr>
          <w:u w:val="single"/>
          <w:lang w:val="en-US"/>
        </w:rPr>
      </w:pPr>
      <w:r w:rsidRPr="00C61A07">
        <w:rPr>
          <w:u w:val="single"/>
          <w:lang w:val="en-US"/>
        </w:rPr>
        <w:t>Evaluate the significance of the Mishnah in Judaism</w:t>
      </w:r>
    </w:p>
    <w:p w14:paraId="1C343B74" w14:textId="3C013861" w:rsidR="00C61A07" w:rsidRDefault="00C61A07" w:rsidP="00C61A07">
      <w:r>
        <w:t xml:space="preserve">In my essay, </w:t>
      </w:r>
      <w:r w:rsidR="00FA49F1">
        <w:t>I will evaluate the significance of the Mishnah in Judaism</w:t>
      </w:r>
      <w:r w:rsidR="005C19DA">
        <w:t xml:space="preserve">. There are a lot of significance that the Mishnah holds within Judaism as the Mishnah is ‘the earliest </w:t>
      </w:r>
      <w:r w:rsidR="00892E98">
        <w:t>compendium of Jewish law completed in the second century’.</w:t>
      </w:r>
      <w:r w:rsidR="00892E98">
        <w:rPr>
          <w:rStyle w:val="FootnoteReference"/>
        </w:rPr>
        <w:footnoteReference w:id="1"/>
      </w:r>
      <w:r w:rsidR="002C48E0">
        <w:t xml:space="preserve"> I will evaluate the significance of the Mishnah by explaining its historical context</w:t>
      </w:r>
      <w:r w:rsidR="007409A6">
        <w:t>, what is the Mishnah and how it works.</w:t>
      </w:r>
      <w:r w:rsidR="00F073E6">
        <w:t xml:space="preserve"> By expl</w:t>
      </w:r>
      <w:r w:rsidR="0068596D">
        <w:t>oring</w:t>
      </w:r>
      <w:r w:rsidR="00F073E6">
        <w:t xml:space="preserve"> these </w:t>
      </w:r>
      <w:r w:rsidR="009023AF">
        <w:t>sections,</w:t>
      </w:r>
      <w:r w:rsidR="00F073E6">
        <w:t xml:space="preserve"> it will allow me to see the significance of the Mishnah.</w:t>
      </w:r>
    </w:p>
    <w:p w14:paraId="295E18DA" w14:textId="41C0A961" w:rsidR="00F15AAA" w:rsidRDefault="00F15AAA" w:rsidP="00C93AC4">
      <w:r>
        <w:t xml:space="preserve">   </w:t>
      </w:r>
      <w:r w:rsidR="00487C75">
        <w:t xml:space="preserve"> </w:t>
      </w:r>
      <w:r w:rsidR="00CE41AA">
        <w:t xml:space="preserve">Galilee was the centre of Jewish life </w:t>
      </w:r>
      <w:r w:rsidR="00723752">
        <w:t>after the death of Hadrian</w:t>
      </w:r>
      <w:r w:rsidR="009B6AF3">
        <w:t xml:space="preserve">, which was after the Bar </w:t>
      </w:r>
      <w:proofErr w:type="spellStart"/>
      <w:r w:rsidR="009B6AF3">
        <w:t>Kokbha</w:t>
      </w:r>
      <w:proofErr w:type="spellEnd"/>
      <w:r w:rsidR="009B6AF3">
        <w:t xml:space="preserve"> Revolt between the years of 132-135 CE.</w:t>
      </w:r>
      <w:r w:rsidR="00FD502A">
        <w:t xml:space="preserve"> </w:t>
      </w:r>
      <w:r w:rsidR="00565C8C">
        <w:t>A</w:t>
      </w:r>
      <w:r w:rsidR="00FD502A">
        <w:t xml:space="preserve">fter the death </w:t>
      </w:r>
      <w:r w:rsidR="004D365B">
        <w:t xml:space="preserve">of Hadrian the prohibitions against </w:t>
      </w:r>
      <w:r w:rsidR="00B71AD2">
        <w:t>Judaism were</w:t>
      </w:r>
      <w:r w:rsidR="00B60435">
        <w:t xml:space="preserve"> abrogated. </w:t>
      </w:r>
      <w:r w:rsidR="0047229D">
        <w:t>So</w:t>
      </w:r>
      <w:r w:rsidR="00DC7557">
        <w:t>,</w:t>
      </w:r>
      <w:r w:rsidR="0047229D">
        <w:t xml:space="preserve"> after the repeal, </w:t>
      </w:r>
      <w:r w:rsidR="00C065E9">
        <w:t>the</w:t>
      </w:r>
      <w:r w:rsidR="00DD3CE9">
        <w:t xml:space="preserve"> leadership </w:t>
      </w:r>
      <w:r w:rsidR="00731724">
        <w:t xml:space="preserve">was taken over by </w:t>
      </w:r>
      <w:r w:rsidR="000F2EE2">
        <w:t>scholars such as Rabbi Simeon ben Gamal</w:t>
      </w:r>
      <w:r w:rsidR="005D1154">
        <w:t xml:space="preserve">iel II </w:t>
      </w:r>
      <w:r w:rsidR="00B4584C">
        <w:t xml:space="preserve">and Rabbi Meir, so the ‘rabbi’s emerge as a decisive </w:t>
      </w:r>
      <w:r w:rsidR="007821C7">
        <w:t xml:space="preserve">force </w:t>
      </w:r>
      <w:r w:rsidR="005429E6">
        <w:t>in Jewish life’.</w:t>
      </w:r>
      <w:r w:rsidR="005429E6">
        <w:rPr>
          <w:rStyle w:val="FootnoteReference"/>
        </w:rPr>
        <w:footnoteReference w:id="2"/>
      </w:r>
      <w:r w:rsidR="00B71AD2">
        <w:t xml:space="preserve"> </w:t>
      </w:r>
      <w:r w:rsidR="00503BA4">
        <w:t>The leadership of</w:t>
      </w:r>
      <w:r w:rsidR="00774443">
        <w:t xml:space="preserve"> scholars allowed </w:t>
      </w:r>
      <w:r w:rsidR="0060751B">
        <w:t>the</w:t>
      </w:r>
      <w:r w:rsidR="004B71FA" w:rsidRPr="004B71FA">
        <w:t xml:space="preserve"> study and instruction of rabbinic law </w:t>
      </w:r>
      <w:r w:rsidR="0060751B">
        <w:t xml:space="preserve">to </w:t>
      </w:r>
      <w:r w:rsidR="004B71FA" w:rsidRPr="004B71FA">
        <w:t>start to flo</w:t>
      </w:r>
      <w:r w:rsidR="004B71FA">
        <w:t>urish.</w:t>
      </w:r>
      <w:r w:rsidR="00CD4E91">
        <w:t xml:space="preserve"> However, the </w:t>
      </w:r>
      <w:r w:rsidR="006D20D9">
        <w:t xml:space="preserve">generation </w:t>
      </w:r>
      <w:r w:rsidR="005D5EB9">
        <w:t>after Rabbi Meir was the ones to assemble the Mishnah.</w:t>
      </w:r>
      <w:r w:rsidR="005E6F07">
        <w:t xml:space="preserve"> </w:t>
      </w:r>
      <w:r w:rsidR="007066E8">
        <w:t xml:space="preserve">The Mishnah </w:t>
      </w:r>
      <w:r w:rsidR="00EE6DE5">
        <w:t xml:space="preserve">was ‘produced in about 200 CE under the scholarship of Judah, patriarch </w:t>
      </w:r>
      <w:r w:rsidR="007A2B7F">
        <w:t xml:space="preserve">(Nasi) or ethnic ruler </w:t>
      </w:r>
      <w:r w:rsidR="002041EE">
        <w:t xml:space="preserve">of Jews </w:t>
      </w:r>
      <w:r w:rsidR="000015DF">
        <w:t>of the land of Israel’.</w:t>
      </w:r>
      <w:r w:rsidR="000015DF">
        <w:rPr>
          <w:rStyle w:val="FootnoteReference"/>
        </w:rPr>
        <w:footnoteReference w:id="3"/>
      </w:r>
      <w:r w:rsidR="00F705D1">
        <w:t xml:space="preserve"> </w:t>
      </w:r>
      <w:r w:rsidR="00C076DC">
        <w:t>Judah</w:t>
      </w:r>
      <w:r w:rsidR="00FE232A">
        <w:t xml:space="preserve"> Ha-Nasi, who was also known as ‘our Holy Rabbi’, </w:t>
      </w:r>
      <w:r w:rsidR="002F69A2">
        <w:t>comp</w:t>
      </w:r>
      <w:r w:rsidR="00C55E66">
        <w:t>iled the</w:t>
      </w:r>
      <w:r w:rsidR="00D76416">
        <w:t xml:space="preserve"> </w:t>
      </w:r>
      <w:r w:rsidR="00C55E66">
        <w:t xml:space="preserve">oral Torah between 200-220 </w:t>
      </w:r>
      <w:r w:rsidR="00E537F6">
        <w:t xml:space="preserve">CE. This complied work was then called the Mishnah, which </w:t>
      </w:r>
      <w:r w:rsidR="0052372A">
        <w:t>from</w:t>
      </w:r>
      <w:r w:rsidR="006E6713">
        <w:t xml:space="preserve"> the Hebrew</w:t>
      </w:r>
      <w:r w:rsidR="0052372A">
        <w:t xml:space="preserve"> </w:t>
      </w:r>
      <w:proofErr w:type="spellStart"/>
      <w:r w:rsidR="0052372A" w:rsidRPr="00FF5247">
        <w:rPr>
          <w:i/>
          <w:iCs/>
        </w:rPr>
        <w:t>shanah</w:t>
      </w:r>
      <w:proofErr w:type="spellEnd"/>
      <w:r w:rsidR="0052372A">
        <w:t xml:space="preserve"> translates as ‘to repeat’.</w:t>
      </w:r>
      <w:r w:rsidR="00647E0E">
        <w:t xml:space="preserve"> The word was originally used in </w:t>
      </w:r>
      <w:r w:rsidR="004C5C8D">
        <w:t xml:space="preserve">early rabbinic circles to give reference to </w:t>
      </w:r>
      <w:r w:rsidR="00242B06">
        <w:t>a variety of teaching or sets of rab</w:t>
      </w:r>
      <w:r w:rsidR="0010001D">
        <w:t xml:space="preserve">binic law. However, </w:t>
      </w:r>
      <w:r w:rsidR="00E35F32">
        <w:t>‘</w:t>
      </w:r>
      <w:r w:rsidR="004D609C">
        <w:rPr>
          <w:rFonts w:eastAsia="Times New Roman"/>
        </w:rPr>
        <w:t>Rabbi Judah’s Mishnah quickly gained priority and was soon known as ‘‘our Mishnah’’ or simply the Mishnah.</w:t>
      </w:r>
      <w:r w:rsidR="00E35F32">
        <w:rPr>
          <w:rFonts w:eastAsia="Times New Roman"/>
        </w:rPr>
        <w:t>’</w:t>
      </w:r>
      <w:r w:rsidR="00E35F32">
        <w:rPr>
          <w:rStyle w:val="FootnoteReference"/>
          <w:rFonts w:eastAsia="Times New Roman"/>
        </w:rPr>
        <w:footnoteReference w:id="4"/>
      </w:r>
      <w:r w:rsidR="004D609C">
        <w:rPr>
          <w:rFonts w:eastAsia="Times New Roman"/>
        </w:rPr>
        <w:t xml:space="preserve"> </w:t>
      </w:r>
      <w:r w:rsidR="005449FD">
        <w:t xml:space="preserve">Even though Judah </w:t>
      </w:r>
      <w:r w:rsidR="009E30B1">
        <w:t>collate th</w:t>
      </w:r>
      <w:r w:rsidR="00E103E2">
        <w:t>e Mishnah, he did not start</w:t>
      </w:r>
      <w:r w:rsidR="00B83407">
        <w:t xml:space="preserve"> the Mishnah from scratch, </w:t>
      </w:r>
      <w:r w:rsidR="00F34FA8">
        <w:t xml:space="preserve">‘he was the one who was the redactor or editor </w:t>
      </w:r>
      <w:r w:rsidR="00236B42">
        <w:t>of the Mishnah, not its creator’.</w:t>
      </w:r>
      <w:r w:rsidR="00DB204B">
        <w:rPr>
          <w:rStyle w:val="FootnoteReference"/>
        </w:rPr>
        <w:footnoteReference w:id="5"/>
      </w:r>
      <w:r w:rsidR="002225DA">
        <w:t xml:space="preserve"> </w:t>
      </w:r>
      <w:r w:rsidR="00480E03">
        <w:t xml:space="preserve">The Mishnah is the first </w:t>
      </w:r>
      <w:r w:rsidR="006B5CF3">
        <w:t>written record of the Oral Torah, as the or</w:t>
      </w:r>
      <w:r w:rsidR="00AB66C4">
        <w:t xml:space="preserve">al law before the Mishnah, was not a formalised </w:t>
      </w:r>
      <w:r w:rsidR="001565A5">
        <w:t xml:space="preserve">text or permanent record. It was passed </w:t>
      </w:r>
      <w:r w:rsidR="00C879F7">
        <w:t xml:space="preserve">on from scholar to scholar to the next, and from one generation </w:t>
      </w:r>
      <w:r w:rsidR="003308EE">
        <w:t>to the next’</w:t>
      </w:r>
      <w:r w:rsidR="00E46A86">
        <w:t xml:space="preserve"> orally. Until </w:t>
      </w:r>
      <w:r w:rsidR="00C817FD">
        <w:t xml:space="preserve">Rabbi </w:t>
      </w:r>
      <w:r w:rsidR="00B13539">
        <w:t xml:space="preserve">Judah gathered together notes </w:t>
      </w:r>
      <w:r w:rsidR="00365693">
        <w:t>and put them together</w:t>
      </w:r>
      <w:r w:rsidR="002D6DBD">
        <w:t>,</w:t>
      </w:r>
      <w:r w:rsidR="00B13539">
        <w:t xml:space="preserve"> ‘individuals in earlier </w:t>
      </w:r>
      <w:r w:rsidR="00365693">
        <w:t xml:space="preserve">generations had kept notes </w:t>
      </w:r>
      <w:r w:rsidR="0055656B">
        <w:t>that summarised the oral law, but these notes were kept private’.</w:t>
      </w:r>
      <w:r w:rsidR="002913B6">
        <w:rPr>
          <w:rStyle w:val="FootnoteReference"/>
        </w:rPr>
        <w:footnoteReference w:id="6"/>
      </w:r>
      <w:r w:rsidR="00F329A4">
        <w:t xml:space="preserve"> Rabbi Meir, who took leadership to allow </w:t>
      </w:r>
      <w:r w:rsidR="00FE2D01">
        <w:t>rabbinic law to flourish, was one of the individuals who kept these notes of the oral law</w:t>
      </w:r>
      <w:r w:rsidR="00A004E0">
        <w:t>. However, the notes were not organised, nor did they a</w:t>
      </w:r>
      <w:r w:rsidR="00222781">
        <w:t xml:space="preserve">lways reflect the different opinions in Jewish law. </w:t>
      </w:r>
      <w:r w:rsidR="00172430">
        <w:t>So, Rabbi Judah</w:t>
      </w:r>
      <w:r w:rsidR="00AB28AE">
        <w:t xml:space="preserve"> </w:t>
      </w:r>
      <w:r w:rsidR="00172430">
        <w:t>the prince</w:t>
      </w:r>
      <w:r w:rsidR="00AB28AE">
        <w:t xml:space="preserve">, </w:t>
      </w:r>
      <w:r w:rsidR="00172430">
        <w:t xml:space="preserve">published the Mishnah </w:t>
      </w:r>
      <w:r w:rsidR="00020232">
        <w:t xml:space="preserve">in ‘an organised, authoritative </w:t>
      </w:r>
      <w:r w:rsidR="00506989">
        <w:t xml:space="preserve">form a generation after Rabbi </w:t>
      </w:r>
      <w:r w:rsidR="00AE1892">
        <w:t>Meir.’</w:t>
      </w:r>
      <w:r w:rsidR="00AE1892">
        <w:rPr>
          <w:rStyle w:val="FootnoteReference"/>
        </w:rPr>
        <w:footnoteReference w:id="7"/>
      </w:r>
      <w:r w:rsidR="00AB28AE">
        <w:t xml:space="preserve"> </w:t>
      </w:r>
      <w:r w:rsidR="00987767">
        <w:t xml:space="preserve">Around the time of </w:t>
      </w:r>
      <w:r w:rsidR="009E6DAA">
        <w:t>the construct of the Mishnah, there was a problem that Rabbi Judah</w:t>
      </w:r>
      <w:r w:rsidR="006F63D9">
        <w:t xml:space="preserve"> had to</w:t>
      </w:r>
      <w:r w:rsidR="009E6DAA">
        <w:t xml:space="preserve"> overcome. The problem was that </w:t>
      </w:r>
      <w:r w:rsidR="00B65209">
        <w:t>the Jewish Law instructed that the oral law remains oral</w:t>
      </w:r>
      <w:r w:rsidR="005A31AA">
        <w:t xml:space="preserve">, so in other words it was </w:t>
      </w:r>
      <w:r w:rsidR="00592FAF">
        <w:t>impermissible for the oral law to be written</w:t>
      </w:r>
      <w:r w:rsidR="006F63D9">
        <w:t xml:space="preserve"> down.</w:t>
      </w:r>
      <w:r w:rsidR="00F2218C">
        <w:t xml:space="preserve"> </w:t>
      </w:r>
      <w:r w:rsidR="00227DAA">
        <w:t xml:space="preserve">However, Rabbi Judah reasoned with the Jewish community </w:t>
      </w:r>
      <w:r w:rsidR="0089600A">
        <w:t xml:space="preserve">by mentioning that </w:t>
      </w:r>
      <w:r w:rsidR="00D63B66">
        <w:t xml:space="preserve">the Torah may be forgotten </w:t>
      </w:r>
      <w:r w:rsidR="0024467B">
        <w:t xml:space="preserve">due to the conflicts that were happening around this time, and </w:t>
      </w:r>
      <w:r w:rsidR="00B8371F">
        <w:t>there could be a time</w:t>
      </w:r>
      <w:r w:rsidR="004D382F">
        <w:t xml:space="preserve"> </w:t>
      </w:r>
      <w:r w:rsidR="004D382F">
        <w:lastRenderedPageBreak/>
        <w:t>where</w:t>
      </w:r>
      <w:r w:rsidR="00B8371F">
        <w:t xml:space="preserve"> ‘Jewish people could be threatened </w:t>
      </w:r>
      <w:r w:rsidR="00627A19">
        <w:t>with extinction’</w:t>
      </w:r>
      <w:r w:rsidR="00627A19">
        <w:rPr>
          <w:rStyle w:val="FootnoteReference"/>
        </w:rPr>
        <w:footnoteReference w:id="8"/>
      </w:r>
      <w:r w:rsidR="009C6EFE">
        <w:t>.</w:t>
      </w:r>
      <w:r w:rsidR="0072410F">
        <w:t xml:space="preserve"> To follow on with th</w:t>
      </w:r>
      <w:r w:rsidR="007A468C">
        <w:t>is point,</w:t>
      </w:r>
      <w:r w:rsidR="000E21C7">
        <w:t xml:space="preserve"> I agree with Rabbi Judah’s decision to </w:t>
      </w:r>
      <w:r w:rsidR="00CC1B2D">
        <w:t xml:space="preserve">persuade the Jewish community to </w:t>
      </w:r>
      <w:r w:rsidR="006E20E4">
        <w:t xml:space="preserve">write down the oral law as </w:t>
      </w:r>
      <w:r w:rsidR="00321BDA">
        <w:t xml:space="preserve">it is significant </w:t>
      </w:r>
      <w:r w:rsidR="000A4A22">
        <w:t xml:space="preserve">for the teachings of oral law </w:t>
      </w:r>
      <w:r w:rsidR="00A23CA2">
        <w:t xml:space="preserve">to be passed down through generations in a way that would ensure it would not be forgotten </w:t>
      </w:r>
      <w:r w:rsidR="00E9458E">
        <w:t xml:space="preserve">and secondly, the significance of writing the oral law </w:t>
      </w:r>
      <w:r w:rsidR="00E73647">
        <w:t xml:space="preserve">is that the Mishnah, when studied, can be </w:t>
      </w:r>
      <w:r w:rsidR="00D95E70">
        <w:t>easier to</w:t>
      </w:r>
      <w:r w:rsidR="00E73647">
        <w:t xml:space="preserve"> </w:t>
      </w:r>
      <w:r w:rsidR="00D95E70">
        <w:t>remember</w:t>
      </w:r>
      <w:r w:rsidR="00EC2F05">
        <w:t>.</w:t>
      </w:r>
      <w:r w:rsidR="00CA5783">
        <w:t xml:space="preserve"> </w:t>
      </w:r>
    </w:p>
    <w:p w14:paraId="0C8F4470" w14:textId="01CC9F0D" w:rsidR="00EA4ED2" w:rsidRDefault="00B21747" w:rsidP="00A32347">
      <w:r w:rsidRPr="00A32347">
        <w:t xml:space="preserve">              There is a suggestion that the Mishnah was not written for the general </w:t>
      </w:r>
      <w:r w:rsidR="00E6713A" w:rsidRPr="00A32347">
        <w:t xml:space="preserve">Jewish community, even though </w:t>
      </w:r>
      <w:r w:rsidR="00552805" w:rsidRPr="00A32347">
        <w:t xml:space="preserve">Rabbi </w:t>
      </w:r>
      <w:r w:rsidR="00E6713A" w:rsidRPr="00A32347">
        <w:t xml:space="preserve">Judah took the </w:t>
      </w:r>
      <w:r w:rsidR="00B93121" w:rsidRPr="00A32347">
        <w:t xml:space="preserve">chance in being allowed to write down the oral law and convincing the Jewish community. </w:t>
      </w:r>
      <w:r w:rsidR="002826C5" w:rsidRPr="00A32347">
        <w:t xml:space="preserve">The audience </w:t>
      </w:r>
      <w:r w:rsidR="00592A0C" w:rsidRPr="00A32347">
        <w:t xml:space="preserve">the Mishnah is assumed to have </w:t>
      </w:r>
      <w:r w:rsidR="00827BD2" w:rsidRPr="00A32347">
        <w:t xml:space="preserve">been ‘formulated for rabbinic sages and their disciples </w:t>
      </w:r>
      <w:r w:rsidR="00A56EA5" w:rsidRPr="00A32347">
        <w:t>and not for a mass audience’</w:t>
      </w:r>
      <w:r w:rsidR="00A56EA5" w:rsidRPr="00A32347">
        <w:footnoteReference w:id="9"/>
      </w:r>
      <w:r w:rsidR="006C704B" w:rsidRPr="00A32347">
        <w:t>, due to the language used in the Mishnah.</w:t>
      </w:r>
      <w:r w:rsidR="00CF7BF9" w:rsidRPr="00A32347">
        <w:t xml:space="preserve"> The Mishnah’s language</w:t>
      </w:r>
      <w:r w:rsidR="002B3662" w:rsidRPr="00A32347">
        <w:t>,</w:t>
      </w:r>
      <w:r w:rsidR="00CF7BF9" w:rsidRPr="00A32347">
        <w:t xml:space="preserve"> </w:t>
      </w:r>
      <w:r w:rsidR="00E776DA" w:rsidRPr="00A32347">
        <w:t>which is rabbinic Hebrew</w:t>
      </w:r>
      <w:r w:rsidR="00A943AC" w:rsidRPr="00A32347">
        <w:t>,</w:t>
      </w:r>
      <w:r w:rsidR="00E776DA" w:rsidRPr="00A32347">
        <w:t xml:space="preserve"> was not used commonly in the Jewish population </w:t>
      </w:r>
      <w:r w:rsidR="00411184" w:rsidRPr="00A32347">
        <w:t>in Galilee in the second century</w:t>
      </w:r>
      <w:r w:rsidR="007855C3" w:rsidRPr="00A32347">
        <w:t xml:space="preserve">, </w:t>
      </w:r>
      <w:r w:rsidR="00FF19AD" w:rsidRPr="00A32347">
        <w:t>‘</w:t>
      </w:r>
      <w:r w:rsidR="00FA6BE9" w:rsidRPr="00A32347">
        <w:t xml:space="preserve">the system </w:t>
      </w:r>
      <w:r w:rsidR="000D25C3" w:rsidRPr="00A32347">
        <w:t xml:space="preserve">of grammar and syntax distinctive to Mishnah </w:t>
      </w:r>
      <w:r w:rsidR="00516640" w:rsidRPr="00A32347">
        <w:t>expresses conventions in</w:t>
      </w:r>
      <w:r w:rsidR="00C60673" w:rsidRPr="00A32347">
        <w:t>telligible to the members of a particular community’</w:t>
      </w:r>
      <w:r w:rsidR="00C81ABB" w:rsidRPr="00A32347">
        <w:footnoteReference w:id="10"/>
      </w:r>
      <w:r w:rsidR="000375A2" w:rsidRPr="00A32347">
        <w:t xml:space="preserve">, so in other words it was for rabbis. </w:t>
      </w:r>
      <w:r w:rsidR="0001139D" w:rsidRPr="00A32347">
        <w:t xml:space="preserve">To </w:t>
      </w:r>
      <w:r w:rsidR="00260E8F" w:rsidRPr="00A32347">
        <w:t xml:space="preserve">follow on, another point to suggest that the Mishnah is aimed at a particular audience </w:t>
      </w:r>
      <w:r w:rsidR="00D633C7" w:rsidRPr="00A32347">
        <w:t>is that it</w:t>
      </w:r>
      <w:r w:rsidR="00A2055E" w:rsidRPr="00A32347">
        <w:t xml:space="preserve"> focuses on exper</w:t>
      </w:r>
      <w:r w:rsidR="00FD6ED1">
        <w:t>t</w:t>
      </w:r>
      <w:r w:rsidR="00FB20AD" w:rsidRPr="00A32347">
        <w:t>ise.</w:t>
      </w:r>
      <w:r w:rsidR="00AA5F6C" w:rsidRPr="00A32347">
        <w:t xml:space="preserve"> </w:t>
      </w:r>
      <w:r w:rsidR="005858CD" w:rsidRPr="00A32347">
        <w:t xml:space="preserve">Steven T Katz mentions this idea by saying </w:t>
      </w:r>
      <w:r w:rsidR="00AD2507" w:rsidRPr="00A32347">
        <w:t xml:space="preserve">‘the Mishnah </w:t>
      </w:r>
      <w:r w:rsidR="006E2C33" w:rsidRPr="00A32347">
        <w:t xml:space="preserve">commonly refers with little or no explanation </w:t>
      </w:r>
      <w:r w:rsidR="00DC123E" w:rsidRPr="00A32347">
        <w:t xml:space="preserve">to concepts or institutions that are unlikely </w:t>
      </w:r>
      <w:r w:rsidR="0082554D">
        <w:t>to be fully</w:t>
      </w:r>
      <w:r w:rsidR="00D000AB" w:rsidRPr="00A32347">
        <w:t xml:space="preserve"> comprehensible to any but a specialised audience’</w:t>
      </w:r>
      <w:r w:rsidR="00E668EC">
        <w:rPr>
          <w:rStyle w:val="FootnoteReference"/>
        </w:rPr>
        <w:footnoteReference w:id="11"/>
      </w:r>
      <w:r w:rsidR="00603F6C" w:rsidRPr="00A32347">
        <w:t>.</w:t>
      </w:r>
      <w:r w:rsidR="00FB20AD" w:rsidRPr="00A32347">
        <w:t xml:space="preserve"> An example of this would be ‘’the </w:t>
      </w:r>
      <w:proofErr w:type="spellStart"/>
      <w:r w:rsidR="00FB20AD" w:rsidRPr="00A32347">
        <w:t>shema</w:t>
      </w:r>
      <w:proofErr w:type="spellEnd"/>
      <w:r w:rsidR="00FB20AD" w:rsidRPr="00A32347">
        <w:t>’</w:t>
      </w:r>
      <w:r w:rsidR="00311BA9" w:rsidRPr="00A32347">
        <w:t xml:space="preserve">’, some of the </w:t>
      </w:r>
      <w:proofErr w:type="spellStart"/>
      <w:r w:rsidR="00311BA9" w:rsidRPr="00A32347">
        <w:t>shema</w:t>
      </w:r>
      <w:proofErr w:type="spellEnd"/>
      <w:r w:rsidR="00311BA9" w:rsidRPr="00A32347">
        <w:t xml:space="preserve"> is </w:t>
      </w:r>
    </w:p>
    <w:p w14:paraId="784EA304" w14:textId="07B55792" w:rsidR="00D16BEF" w:rsidRPr="00EE477F" w:rsidRDefault="00511D0C" w:rsidP="001A20E0">
      <w:pPr>
        <w:ind w:left="720"/>
        <w:rPr>
          <w:i/>
          <w:iCs/>
        </w:rPr>
      </w:pPr>
      <w:r w:rsidRPr="00EE477F">
        <w:rPr>
          <w:i/>
          <w:iCs/>
        </w:rPr>
        <w:t>‘</w:t>
      </w:r>
      <w:r w:rsidR="00D16BEF" w:rsidRPr="00EE477F">
        <w:rPr>
          <w:i/>
          <w:iCs/>
        </w:rPr>
        <w:t>From when does one recite Shema in the morning? From when a person can distinguish between sky-blue [</w:t>
      </w:r>
      <w:proofErr w:type="spellStart"/>
      <w:r w:rsidR="00D16BEF" w:rsidRPr="00EE477F">
        <w:rPr>
          <w:i/>
          <w:iCs/>
        </w:rPr>
        <w:t>tekhelet</w:t>
      </w:r>
      <w:proofErr w:type="spellEnd"/>
      <w:r w:rsidR="00D16BEF" w:rsidRPr="00EE477F">
        <w:rPr>
          <w:i/>
          <w:iCs/>
        </w:rPr>
        <w:t>] and white. Rabbi Eliezer says: From when one can distinguish between sky-blue and leek-green. And one must finish reciting Shema until the end of the period when you rise, i.e., sunrise</w:t>
      </w:r>
      <w:r w:rsidR="006F6062">
        <w:rPr>
          <w:i/>
          <w:iCs/>
        </w:rPr>
        <w:t>...</w:t>
      </w:r>
      <w:r w:rsidR="00D16BEF" w:rsidRPr="00EE477F">
        <w:rPr>
          <w:i/>
          <w:iCs/>
        </w:rPr>
        <w:t xml:space="preserve"> Rabbi Yehoshua says: One may recite the morning Shema until three hours of the day, which this is still considered when you rise, as that is the habit of kings to rise from their sleep at </w:t>
      </w:r>
      <w:r w:rsidR="00171F83">
        <w:rPr>
          <w:i/>
          <w:iCs/>
        </w:rPr>
        <w:t>t</w:t>
      </w:r>
      <w:r w:rsidR="00D16BEF" w:rsidRPr="00EE477F">
        <w:rPr>
          <w:i/>
          <w:iCs/>
        </w:rPr>
        <w:t>hree hours of the day. While there is a set time frame for the recitation of Shema, one who recites Shema from that time onward loses nothing.</w:t>
      </w:r>
      <w:r w:rsidRPr="00EE477F">
        <w:rPr>
          <w:i/>
          <w:iCs/>
        </w:rPr>
        <w:t>’ (</w:t>
      </w:r>
      <w:proofErr w:type="spellStart"/>
      <w:r w:rsidR="00A55488" w:rsidRPr="00EE477F">
        <w:rPr>
          <w:i/>
          <w:iCs/>
        </w:rPr>
        <w:t>M</w:t>
      </w:r>
      <w:r w:rsidR="00BF2812" w:rsidRPr="00EE477F">
        <w:rPr>
          <w:i/>
          <w:iCs/>
        </w:rPr>
        <w:t>.B</w:t>
      </w:r>
      <w:r w:rsidR="00174991" w:rsidRPr="00EE477F">
        <w:rPr>
          <w:i/>
          <w:iCs/>
        </w:rPr>
        <w:t>erakhot</w:t>
      </w:r>
      <w:proofErr w:type="spellEnd"/>
      <w:r w:rsidR="00BF2812" w:rsidRPr="00EE477F">
        <w:rPr>
          <w:i/>
          <w:iCs/>
        </w:rPr>
        <w:t xml:space="preserve"> 1:1)</w:t>
      </w:r>
    </w:p>
    <w:p w14:paraId="5416F87C" w14:textId="6B876B6F" w:rsidR="00311BA9" w:rsidRDefault="00BB77E7" w:rsidP="00C93AC4">
      <w:r>
        <w:t xml:space="preserve">So from this </w:t>
      </w:r>
      <w:r w:rsidR="00E109D5">
        <w:t>verse, it has given a</w:t>
      </w:r>
      <w:r w:rsidR="00F446D5">
        <w:t xml:space="preserve"> discussion as to when it would be most appropriate to recite the </w:t>
      </w:r>
      <w:proofErr w:type="spellStart"/>
      <w:r w:rsidR="00F446D5" w:rsidRPr="000658B8">
        <w:rPr>
          <w:i/>
          <w:iCs/>
        </w:rPr>
        <w:t>shema</w:t>
      </w:r>
      <w:proofErr w:type="spellEnd"/>
      <w:r w:rsidR="00F446D5">
        <w:t xml:space="preserve">, however </w:t>
      </w:r>
      <w:r w:rsidR="00884264">
        <w:t>I agree that to understand the meaning of the verse</w:t>
      </w:r>
      <w:r w:rsidR="00DA19D1">
        <w:t>, you will firstly</w:t>
      </w:r>
      <w:r w:rsidR="0060173C">
        <w:t xml:space="preserve"> </w:t>
      </w:r>
      <w:r w:rsidR="00DA19D1">
        <w:t xml:space="preserve">have to know the recitation of the </w:t>
      </w:r>
      <w:proofErr w:type="spellStart"/>
      <w:r w:rsidR="00DA19D1" w:rsidRPr="0060173C">
        <w:rPr>
          <w:i/>
          <w:iCs/>
        </w:rPr>
        <w:t>shema</w:t>
      </w:r>
      <w:proofErr w:type="spellEnd"/>
      <w:r w:rsidR="00DA19D1">
        <w:t xml:space="preserve">, and secondly </w:t>
      </w:r>
      <w:r w:rsidR="0098134A">
        <w:t>a good knowledge of which one would seem more accurate</w:t>
      </w:r>
      <w:r w:rsidR="007B1428">
        <w:t>.</w:t>
      </w:r>
    </w:p>
    <w:p w14:paraId="77450FD3" w14:textId="1309AAE9" w:rsidR="00236C03" w:rsidRPr="000E0BDF" w:rsidRDefault="00EB2F02" w:rsidP="008E64A8">
      <w:r w:rsidRPr="000E0BDF">
        <w:t xml:space="preserve">          The </w:t>
      </w:r>
      <w:r w:rsidR="006E1B12" w:rsidRPr="000E0BDF">
        <w:t xml:space="preserve">significance of the Mishnah is </w:t>
      </w:r>
      <w:r w:rsidR="00FE0AA8" w:rsidRPr="000E0BDF">
        <w:t>due to it being the written oral law</w:t>
      </w:r>
      <w:r w:rsidR="002D1774" w:rsidRPr="000E0BDF">
        <w:t>. The Mishnah</w:t>
      </w:r>
      <w:r w:rsidR="00A1283B" w:rsidRPr="000E0BDF">
        <w:t xml:space="preserve">’s context </w:t>
      </w:r>
      <w:r w:rsidR="00CA7E61">
        <w:t xml:space="preserve">of </w:t>
      </w:r>
      <w:r w:rsidR="00E03410" w:rsidRPr="000E0BDF">
        <w:t xml:space="preserve">the </w:t>
      </w:r>
      <w:proofErr w:type="spellStart"/>
      <w:r w:rsidR="00A1283B" w:rsidRPr="00A53783">
        <w:rPr>
          <w:i/>
          <w:iCs/>
        </w:rPr>
        <w:t>Hal</w:t>
      </w:r>
      <w:r w:rsidR="00923376" w:rsidRPr="00A53783">
        <w:rPr>
          <w:i/>
          <w:iCs/>
        </w:rPr>
        <w:t>akhah</w:t>
      </w:r>
      <w:proofErr w:type="spellEnd"/>
      <w:r w:rsidR="00923376" w:rsidRPr="000E0BDF">
        <w:t xml:space="preserve"> </w:t>
      </w:r>
      <w:r w:rsidR="00E03410" w:rsidRPr="000E0BDF">
        <w:t xml:space="preserve">is contrasted with </w:t>
      </w:r>
      <w:r w:rsidR="00923376" w:rsidRPr="00A53783">
        <w:rPr>
          <w:i/>
          <w:iCs/>
        </w:rPr>
        <w:t>Aggadah</w:t>
      </w:r>
      <w:r w:rsidR="00923376" w:rsidRPr="000E0BDF">
        <w:t>. However, its predominately more Hala</w:t>
      </w:r>
      <w:r w:rsidR="00864CD1" w:rsidRPr="000E0BDF">
        <w:t xml:space="preserve">khic. </w:t>
      </w:r>
      <w:proofErr w:type="spellStart"/>
      <w:r w:rsidR="002A389F" w:rsidRPr="00A53783">
        <w:rPr>
          <w:i/>
          <w:iCs/>
        </w:rPr>
        <w:t>Halakhah</w:t>
      </w:r>
      <w:proofErr w:type="spellEnd"/>
      <w:r w:rsidR="002A389F" w:rsidRPr="000E0BDF">
        <w:t xml:space="preserve"> translated means ‘the way in which one </w:t>
      </w:r>
      <w:proofErr w:type="gramStart"/>
      <w:r w:rsidR="002A389F" w:rsidRPr="000E0BDF">
        <w:t>walks’</w:t>
      </w:r>
      <w:proofErr w:type="gramEnd"/>
      <w:r w:rsidR="000374EA" w:rsidRPr="000E0BDF">
        <w:rPr>
          <w:rStyle w:val="FootnoteReference"/>
        </w:rPr>
        <w:footnoteReference w:id="12"/>
      </w:r>
      <w:r w:rsidR="008E2FB4" w:rsidRPr="000E0BDF">
        <w:t>, so refers to the laws</w:t>
      </w:r>
      <w:r w:rsidR="00956349" w:rsidRPr="000E0BDF">
        <w:t xml:space="preserve"> and these can be applied to everyday life</w:t>
      </w:r>
      <w:r w:rsidR="00F546E7" w:rsidRPr="000E0BDF">
        <w:t xml:space="preserve">. An example </w:t>
      </w:r>
      <w:r w:rsidR="00C35E84" w:rsidRPr="000E0BDF">
        <w:t>that this would be relevant to traditions</w:t>
      </w:r>
      <w:r w:rsidR="005A3B77" w:rsidRPr="000E0BDF">
        <w:t xml:space="preserve"> and can be applied to everyday life is divorce. </w:t>
      </w:r>
      <w:r w:rsidR="00F558A0" w:rsidRPr="000E0BDF">
        <w:t>I</w:t>
      </w:r>
      <w:r w:rsidR="00A53783">
        <w:t xml:space="preserve">n </w:t>
      </w:r>
      <w:r w:rsidR="00F558A0" w:rsidRPr="000E0BDF">
        <w:t>the Mishnah</w:t>
      </w:r>
      <w:r w:rsidR="00A53783">
        <w:t>, it</w:t>
      </w:r>
      <w:r w:rsidR="00C72626" w:rsidRPr="000E0BDF">
        <w:t xml:space="preserve"> </w:t>
      </w:r>
      <w:r w:rsidR="00132515" w:rsidRPr="000E0BDF">
        <w:t xml:space="preserve">provides the ideal and traditional way of divorce, it says </w:t>
      </w:r>
      <w:r w:rsidR="00A24D90" w:rsidRPr="000E0BDF">
        <w:rPr>
          <w:i/>
          <w:iCs/>
        </w:rPr>
        <w:t>‘</w:t>
      </w:r>
      <w:r w:rsidR="00132515" w:rsidRPr="000E0BDF">
        <w:rPr>
          <w:rFonts w:eastAsia="Times New Roman"/>
          <w:i/>
          <w:iCs/>
        </w:rPr>
        <w:t xml:space="preserve">The </w:t>
      </w:r>
      <w:proofErr w:type="spellStart"/>
      <w:r w:rsidR="00132515" w:rsidRPr="000E0BDF">
        <w:rPr>
          <w:rFonts w:eastAsia="Times New Roman"/>
          <w:i/>
          <w:iCs/>
        </w:rPr>
        <w:t>mishna</w:t>
      </w:r>
      <w:proofErr w:type="spellEnd"/>
      <w:r w:rsidR="00132515" w:rsidRPr="000E0BDF">
        <w:rPr>
          <w:rFonts w:eastAsia="Times New Roman"/>
          <w:i/>
          <w:iCs/>
        </w:rPr>
        <w:t xml:space="preserve"> relates that initially, a husband who wished to render the bill of</w:t>
      </w:r>
      <w:r w:rsidR="00132515" w:rsidRPr="000E0BDF">
        <w:rPr>
          <w:rStyle w:val="querytexthighlight"/>
          <w:rFonts w:eastAsia="Times New Roman"/>
          <w:i/>
          <w:iCs/>
        </w:rPr>
        <w:t xml:space="preserve"> divorce </w:t>
      </w:r>
      <w:r w:rsidR="00132515" w:rsidRPr="000E0BDF">
        <w:rPr>
          <w:rFonts w:eastAsia="Times New Roman"/>
          <w:i/>
          <w:iCs/>
        </w:rPr>
        <w:t>void would convene a court elsewhere and render the bill of</w:t>
      </w:r>
      <w:r w:rsidR="00132515" w:rsidRPr="000E0BDF">
        <w:rPr>
          <w:rStyle w:val="querytexthighlight"/>
          <w:rFonts w:eastAsia="Times New Roman"/>
          <w:i/>
          <w:iCs/>
        </w:rPr>
        <w:t xml:space="preserve"> divorce </w:t>
      </w:r>
      <w:r w:rsidR="00132515" w:rsidRPr="000E0BDF">
        <w:rPr>
          <w:rFonts w:eastAsia="Times New Roman"/>
          <w:i/>
          <w:iCs/>
        </w:rPr>
        <w:t>void in the presence of the court before it reached his wife.</w:t>
      </w:r>
      <w:r w:rsidR="00A24D90" w:rsidRPr="000E0BDF">
        <w:rPr>
          <w:rFonts w:eastAsia="Times New Roman"/>
          <w:i/>
          <w:iCs/>
        </w:rPr>
        <w:t>’</w:t>
      </w:r>
      <w:r w:rsidR="0055728B" w:rsidRPr="000E0BDF">
        <w:rPr>
          <w:rFonts w:eastAsia="Times New Roman"/>
          <w:i/>
          <w:iCs/>
        </w:rPr>
        <w:t xml:space="preserve"> </w:t>
      </w:r>
      <w:r w:rsidR="00A24D90" w:rsidRPr="000E0BDF">
        <w:rPr>
          <w:rFonts w:eastAsia="Times New Roman"/>
        </w:rPr>
        <w:t>(</w:t>
      </w:r>
      <w:proofErr w:type="spellStart"/>
      <w:proofErr w:type="gramStart"/>
      <w:r w:rsidR="00A24D90" w:rsidRPr="000E0BDF">
        <w:rPr>
          <w:rFonts w:eastAsia="Times New Roman"/>
        </w:rPr>
        <w:t>M.</w:t>
      </w:r>
      <w:r w:rsidR="00A66FFC" w:rsidRPr="000E0BDF">
        <w:rPr>
          <w:rFonts w:eastAsia="Times New Roman"/>
        </w:rPr>
        <w:t>Gittin</w:t>
      </w:r>
      <w:proofErr w:type="spellEnd"/>
      <w:proofErr w:type="gramEnd"/>
      <w:r w:rsidR="00A66FFC" w:rsidRPr="000E0BDF">
        <w:rPr>
          <w:rFonts w:eastAsia="Times New Roman"/>
        </w:rPr>
        <w:t xml:space="preserve"> 1</w:t>
      </w:r>
      <w:r w:rsidR="00705351" w:rsidRPr="000E0BDF">
        <w:rPr>
          <w:rFonts w:eastAsia="Times New Roman"/>
        </w:rPr>
        <w:t>:4)</w:t>
      </w:r>
      <w:r w:rsidR="00031CAB" w:rsidRPr="000E0BDF">
        <w:t xml:space="preserve">. So, the meaning of this </w:t>
      </w:r>
      <w:r w:rsidR="000637D9" w:rsidRPr="000E0BDF">
        <w:t>verse is that the court must know of the divorce before the subject of divorce can be known by the wife.</w:t>
      </w:r>
      <w:r w:rsidR="009B3946" w:rsidRPr="000E0BDF">
        <w:t xml:space="preserve"> The passage goes on to explain what the husband will have to do to get a divorce,</w:t>
      </w:r>
      <w:r w:rsidR="004C6DE8" w:rsidRPr="000E0BDF">
        <w:t xml:space="preserve"> and other elements to it such as</w:t>
      </w:r>
      <w:r w:rsidR="00AD07E9" w:rsidRPr="000E0BDF">
        <w:t>,</w:t>
      </w:r>
      <w:r w:rsidR="004C6DE8" w:rsidRPr="000E0BDF">
        <w:t xml:space="preserve"> who can write the bill of divorce.</w:t>
      </w:r>
      <w:r w:rsidR="00AD07E9" w:rsidRPr="000E0BDF">
        <w:t xml:space="preserve"> </w:t>
      </w:r>
      <w:r w:rsidR="003261C1" w:rsidRPr="000E0BDF">
        <w:t xml:space="preserve">Even though the </w:t>
      </w:r>
      <w:r w:rsidR="009820D4" w:rsidRPr="000E0BDF">
        <w:t xml:space="preserve">concept </w:t>
      </w:r>
      <w:r w:rsidR="00AC0025" w:rsidRPr="000E0BDF">
        <w:t xml:space="preserve">of </w:t>
      </w:r>
      <w:proofErr w:type="spellStart"/>
      <w:r w:rsidR="00A452F7" w:rsidRPr="00796AF4">
        <w:rPr>
          <w:i/>
          <w:iCs/>
        </w:rPr>
        <w:t>Halakhah</w:t>
      </w:r>
      <w:proofErr w:type="spellEnd"/>
      <w:r w:rsidR="00A452F7" w:rsidRPr="000E0BDF">
        <w:t xml:space="preserve"> is the reference to laws and the way in which they can be applied</w:t>
      </w:r>
      <w:r w:rsidR="00CD4671">
        <w:t>, it</w:t>
      </w:r>
      <w:r w:rsidR="0022018A" w:rsidRPr="000E0BDF">
        <w:t xml:space="preserve"> can refer in a way to a </w:t>
      </w:r>
      <w:r w:rsidR="00447A01" w:rsidRPr="000E0BDF">
        <w:t>spiritual sense</w:t>
      </w:r>
      <w:r w:rsidR="007B5568" w:rsidRPr="000E0BDF">
        <w:t xml:space="preserve">, and how </w:t>
      </w:r>
      <w:r w:rsidR="00B40DAB" w:rsidRPr="000E0BDF">
        <w:t>following these laws can be a way of showing dedication</w:t>
      </w:r>
      <w:r w:rsidR="008E64A8" w:rsidRPr="000E0BDF">
        <w:t xml:space="preserve"> as </w:t>
      </w:r>
      <w:r w:rsidR="001C0D2F" w:rsidRPr="000E0BDF">
        <w:t>‘</w:t>
      </w:r>
      <w:proofErr w:type="spellStart"/>
      <w:r w:rsidR="008E64A8" w:rsidRPr="000E0BDF">
        <w:t>halakhah</w:t>
      </w:r>
      <w:proofErr w:type="spellEnd"/>
      <w:r w:rsidR="008E64A8" w:rsidRPr="000E0BDF">
        <w:t xml:space="preserve"> could be more accurately described as a moral or a spiritual discipline which the initiate freely accepts in order to draw closer to the ideal of divine service.</w:t>
      </w:r>
      <w:r w:rsidR="001C0D2F" w:rsidRPr="000E0BDF">
        <w:t>’</w:t>
      </w:r>
      <w:r w:rsidR="001C0D2F" w:rsidRPr="000E0BDF">
        <w:rPr>
          <w:rStyle w:val="FootnoteReference"/>
        </w:rPr>
        <w:footnoteReference w:id="13"/>
      </w:r>
      <w:r w:rsidR="00CA63DF" w:rsidRPr="000E0BDF">
        <w:t xml:space="preserve"> </w:t>
      </w:r>
      <w:r w:rsidR="00933CD0" w:rsidRPr="000E0BDF">
        <w:t xml:space="preserve">To follow on, the contrast to </w:t>
      </w:r>
      <w:proofErr w:type="spellStart"/>
      <w:r w:rsidR="00933CD0" w:rsidRPr="000A2E1B">
        <w:rPr>
          <w:i/>
          <w:iCs/>
        </w:rPr>
        <w:t>Halakhah</w:t>
      </w:r>
      <w:proofErr w:type="spellEnd"/>
      <w:r w:rsidR="00933CD0" w:rsidRPr="000E0BDF">
        <w:t xml:space="preserve"> is </w:t>
      </w:r>
      <w:r w:rsidR="00933CD0" w:rsidRPr="000A2E1B">
        <w:rPr>
          <w:i/>
          <w:iCs/>
        </w:rPr>
        <w:t>Aggadah</w:t>
      </w:r>
      <w:r w:rsidR="00933CD0" w:rsidRPr="000E0BDF">
        <w:t>.</w:t>
      </w:r>
      <w:r w:rsidR="00CA63DF" w:rsidRPr="000E0BDF">
        <w:t xml:space="preserve"> ‘</w:t>
      </w:r>
      <w:r w:rsidR="00CA63DF" w:rsidRPr="000A2E1B">
        <w:rPr>
          <w:i/>
          <w:iCs/>
        </w:rPr>
        <w:t>Aggadah’</w:t>
      </w:r>
      <w:r w:rsidR="00CA63DF" w:rsidRPr="000E0BDF">
        <w:t xml:space="preserve"> translates to</w:t>
      </w:r>
      <w:r w:rsidR="00457D35" w:rsidRPr="000E0BDF">
        <w:t xml:space="preserve"> ‘that which one tells’</w:t>
      </w:r>
      <w:r w:rsidR="00457D35" w:rsidRPr="000E0BDF">
        <w:rPr>
          <w:rStyle w:val="FootnoteReference"/>
        </w:rPr>
        <w:footnoteReference w:id="14"/>
      </w:r>
      <w:r w:rsidR="006779A4" w:rsidRPr="000E0BDF">
        <w:t xml:space="preserve">. The </w:t>
      </w:r>
      <w:r w:rsidR="00E33C97" w:rsidRPr="006968FF">
        <w:rPr>
          <w:i/>
          <w:iCs/>
        </w:rPr>
        <w:t>Aggadah</w:t>
      </w:r>
      <w:r w:rsidR="00E33C97" w:rsidRPr="000E0BDF">
        <w:t xml:space="preserve"> in the Mishnah </w:t>
      </w:r>
      <w:r w:rsidR="00F9352E" w:rsidRPr="000E0BDF">
        <w:t xml:space="preserve">technically refers to anything that the </w:t>
      </w:r>
      <w:proofErr w:type="spellStart"/>
      <w:r w:rsidR="00F9352E" w:rsidRPr="006968FF">
        <w:rPr>
          <w:i/>
          <w:iCs/>
        </w:rPr>
        <w:t>Halakhah</w:t>
      </w:r>
      <w:proofErr w:type="spellEnd"/>
      <w:r w:rsidR="00F9352E" w:rsidRPr="000E0BDF">
        <w:t xml:space="preserve"> does not to refer to</w:t>
      </w:r>
      <w:r w:rsidR="006753D8" w:rsidRPr="000E0BDF">
        <w:t xml:space="preserve">, so in other words the </w:t>
      </w:r>
      <w:r w:rsidR="00F66310" w:rsidRPr="006968FF">
        <w:rPr>
          <w:i/>
          <w:iCs/>
        </w:rPr>
        <w:t>A</w:t>
      </w:r>
      <w:r w:rsidR="006753D8" w:rsidRPr="006968FF">
        <w:rPr>
          <w:i/>
          <w:iCs/>
        </w:rPr>
        <w:t>ggadah</w:t>
      </w:r>
      <w:r w:rsidR="006753D8" w:rsidRPr="000E0BDF">
        <w:t xml:space="preserve"> refers to non</w:t>
      </w:r>
      <w:r w:rsidR="00043AAE" w:rsidRPr="000E0BDF">
        <w:t>-</w:t>
      </w:r>
      <w:r w:rsidR="006753D8" w:rsidRPr="000E0BDF">
        <w:t xml:space="preserve">legal traditions within the Mishnah. </w:t>
      </w:r>
      <w:r w:rsidR="0082293F" w:rsidRPr="000E0BDF">
        <w:t xml:space="preserve">In my opinion, I think the </w:t>
      </w:r>
      <w:r w:rsidR="0082293F" w:rsidRPr="006968FF">
        <w:rPr>
          <w:i/>
          <w:iCs/>
        </w:rPr>
        <w:t>Aggadah</w:t>
      </w:r>
      <w:r w:rsidR="0082293F" w:rsidRPr="000E0BDF">
        <w:t xml:space="preserve"> </w:t>
      </w:r>
      <w:r w:rsidR="00E71935" w:rsidRPr="000E0BDF">
        <w:t xml:space="preserve">gives more significance to the Mishnah as it </w:t>
      </w:r>
      <w:r w:rsidR="003A171F" w:rsidRPr="000E0BDF">
        <w:t xml:space="preserve">provides the reader with folklore, medical advice, </w:t>
      </w:r>
      <w:r w:rsidR="00043AAE" w:rsidRPr="000E0BDF">
        <w:t>parables and prayers</w:t>
      </w:r>
      <w:r w:rsidR="006A2CF5" w:rsidRPr="000E0BDF">
        <w:t xml:space="preserve">, which can be as fundamentally important as the law as it gives Judaism a sense of </w:t>
      </w:r>
      <w:r w:rsidR="000A6929" w:rsidRPr="000E0BDF">
        <w:t>the beginnings of tradition</w:t>
      </w:r>
      <w:r w:rsidR="003872CC" w:rsidRPr="000E0BDF">
        <w:t xml:space="preserve">, </w:t>
      </w:r>
      <w:r w:rsidR="000A6929" w:rsidRPr="000E0BDF">
        <w:t>rather than just laws</w:t>
      </w:r>
      <w:r w:rsidR="008C1C38" w:rsidRPr="000E0BDF">
        <w:t xml:space="preserve"> and also to further my opinion the </w:t>
      </w:r>
      <w:r w:rsidR="0055756F" w:rsidRPr="0055756F">
        <w:rPr>
          <w:i/>
          <w:iCs/>
        </w:rPr>
        <w:t>A</w:t>
      </w:r>
      <w:r w:rsidR="008C1C38" w:rsidRPr="0055756F">
        <w:rPr>
          <w:i/>
          <w:iCs/>
        </w:rPr>
        <w:t>ggadah</w:t>
      </w:r>
      <w:r w:rsidR="008C1C38" w:rsidRPr="000E0BDF">
        <w:t xml:space="preserve"> </w:t>
      </w:r>
      <w:r w:rsidR="00853E16" w:rsidRPr="000E0BDF">
        <w:t>‘</w:t>
      </w:r>
      <w:r w:rsidR="008C1C38" w:rsidRPr="000E0BDF">
        <w:t>investigates and interprets the meaning, the values, and the ideas which underlie the concrete forms of religious life – as opposed to the specific rules which actually govern that life.</w:t>
      </w:r>
      <w:r w:rsidR="00853E16" w:rsidRPr="000E0BDF">
        <w:t>’</w:t>
      </w:r>
      <w:r w:rsidR="00444D65" w:rsidRPr="000E0BDF">
        <w:rPr>
          <w:rStyle w:val="FootnoteReference"/>
        </w:rPr>
        <w:footnoteReference w:id="15"/>
      </w:r>
      <w:r w:rsidR="003872CC" w:rsidRPr="000E0BDF">
        <w:t xml:space="preserve"> </w:t>
      </w:r>
      <w:r w:rsidR="001A15D8" w:rsidRPr="000E0BDF">
        <w:t>So,</w:t>
      </w:r>
      <w:r w:rsidR="00444D65" w:rsidRPr="000E0BDF">
        <w:t xml:space="preserve"> </w:t>
      </w:r>
      <w:r w:rsidR="001A15D8" w:rsidRPr="000E0BDF">
        <w:t xml:space="preserve">this gives </w:t>
      </w:r>
      <w:proofErr w:type="spellStart"/>
      <w:r w:rsidR="00B14C6D" w:rsidRPr="000E0BDF">
        <w:t>aggadic</w:t>
      </w:r>
      <w:proofErr w:type="spellEnd"/>
      <w:r w:rsidR="00962B70" w:rsidRPr="000E0BDF">
        <w:t xml:space="preserve"> scripture a</w:t>
      </w:r>
      <w:r w:rsidR="00BA4709" w:rsidRPr="000E0BDF">
        <w:t xml:space="preserve">n </w:t>
      </w:r>
      <w:r w:rsidR="00962B70" w:rsidRPr="000E0BDF">
        <w:t>informal context</w:t>
      </w:r>
      <w:r w:rsidR="001A15D8" w:rsidRPr="000E0BDF">
        <w:t>, which may be a way to understand a concept.</w:t>
      </w:r>
    </w:p>
    <w:p w14:paraId="032E8DC2" w14:textId="6C43087D" w:rsidR="00095433" w:rsidRDefault="00095433" w:rsidP="008E64A8">
      <w:pPr>
        <w:rPr>
          <w:rFonts w:eastAsia="Times New Roman"/>
        </w:rPr>
      </w:pPr>
      <w:r>
        <w:t xml:space="preserve">           Furthermore, </w:t>
      </w:r>
      <w:r w:rsidR="008931F6">
        <w:t xml:space="preserve">the Mishnah is </w:t>
      </w:r>
      <w:r w:rsidR="0050497E">
        <w:t xml:space="preserve">divided into six </w:t>
      </w:r>
      <w:r w:rsidR="007D1CD6">
        <w:t xml:space="preserve">sections </w:t>
      </w:r>
      <w:r w:rsidR="006F5715">
        <w:t>and they are all known as ‘</w:t>
      </w:r>
      <w:r w:rsidR="006F5715" w:rsidRPr="00480AF4">
        <w:rPr>
          <w:i/>
          <w:iCs/>
        </w:rPr>
        <w:t>seder’</w:t>
      </w:r>
      <w:r w:rsidR="006F5715">
        <w:t>, or translated as ‘order’.</w:t>
      </w:r>
      <w:r w:rsidR="00604FCE">
        <w:t xml:space="preserve"> </w:t>
      </w:r>
      <w:r w:rsidR="00D57965">
        <w:t>There are sixty-two in all of them</w:t>
      </w:r>
      <w:r w:rsidR="00562A2D">
        <w:t xml:space="preserve"> and </w:t>
      </w:r>
      <w:r w:rsidR="00B81B8D">
        <w:t>most of them are organised in</w:t>
      </w:r>
      <w:r w:rsidR="00995883">
        <w:t>to</w:t>
      </w:r>
      <w:r w:rsidR="00B81B8D">
        <w:t xml:space="preserve"> topics </w:t>
      </w:r>
      <w:r w:rsidR="00D51493">
        <w:t xml:space="preserve">which </w:t>
      </w:r>
      <w:r w:rsidR="00F835C3">
        <w:t>gives guidance on the law</w:t>
      </w:r>
      <w:r w:rsidR="00690147">
        <w:t xml:space="preserve">s of agriculture, </w:t>
      </w:r>
      <w:r w:rsidR="0062645F">
        <w:t xml:space="preserve">criminal law and other topics. </w:t>
      </w:r>
      <w:r w:rsidR="00E166F1">
        <w:t xml:space="preserve">However, this is fundamental in the significance of the Mishnah as within these </w:t>
      </w:r>
      <w:r w:rsidR="00945630">
        <w:t>six sections everything is mentioned, no matter how mundane</w:t>
      </w:r>
      <w:r w:rsidR="006D5614">
        <w:t xml:space="preserve">, the Mishnah emphasises everything. </w:t>
      </w:r>
      <w:r w:rsidR="009D213D">
        <w:t xml:space="preserve">Also, by the Mishnah putting emphasis </w:t>
      </w:r>
      <w:r w:rsidR="001D7746">
        <w:t xml:space="preserve">on everything, no matter how small, suggests that there is holy in everything and everything </w:t>
      </w:r>
      <w:r w:rsidR="004E3460">
        <w:t xml:space="preserve">has guidance to it. The six sections </w:t>
      </w:r>
      <w:r w:rsidR="00BA070D">
        <w:t xml:space="preserve">within the Mishnah are </w:t>
      </w:r>
      <w:r w:rsidR="002A38C3">
        <w:t>‘</w:t>
      </w:r>
      <w:proofErr w:type="spellStart"/>
      <w:r w:rsidR="002A38C3" w:rsidRPr="00DE29E1">
        <w:rPr>
          <w:i/>
          <w:iCs/>
        </w:rPr>
        <w:t>Zera’im</w:t>
      </w:r>
      <w:proofErr w:type="spellEnd"/>
      <w:r w:rsidR="002A38C3" w:rsidRPr="00DE29E1">
        <w:rPr>
          <w:i/>
          <w:iCs/>
        </w:rPr>
        <w:t>’</w:t>
      </w:r>
      <w:r w:rsidR="002A38C3">
        <w:t>, or translated as ‘seeds’</w:t>
      </w:r>
      <w:r w:rsidR="00725ACC">
        <w:t>, or also known as agriculture.</w:t>
      </w:r>
      <w:r w:rsidR="00BC3F25">
        <w:t xml:space="preserve"> So</w:t>
      </w:r>
      <w:r w:rsidR="00DA68C1">
        <w:t>,</w:t>
      </w:r>
      <w:r w:rsidR="00BC3F25">
        <w:t xml:space="preserve"> this would include </w:t>
      </w:r>
      <w:r w:rsidR="005E0D0E">
        <w:t>laws on plants and seeds, tithes, first fruits and so on.</w:t>
      </w:r>
      <w:r w:rsidR="00DA68C1">
        <w:t xml:space="preserve"> The second </w:t>
      </w:r>
      <w:r w:rsidR="0037498F">
        <w:t xml:space="preserve">is </w:t>
      </w:r>
      <w:proofErr w:type="spellStart"/>
      <w:r w:rsidR="0037498F" w:rsidRPr="00DE29E1">
        <w:rPr>
          <w:i/>
          <w:iCs/>
        </w:rPr>
        <w:t>Mo’ed</w:t>
      </w:r>
      <w:proofErr w:type="spellEnd"/>
      <w:r w:rsidR="0037498F">
        <w:t xml:space="preserve">, which translates to </w:t>
      </w:r>
      <w:r w:rsidR="00713157">
        <w:t xml:space="preserve">‘season’ and this concerns subjects such as the sabbath, judgement day and </w:t>
      </w:r>
      <w:proofErr w:type="spellStart"/>
      <w:r w:rsidR="00713157">
        <w:t>passover</w:t>
      </w:r>
      <w:proofErr w:type="spellEnd"/>
      <w:r w:rsidR="00713157">
        <w:t>.</w:t>
      </w:r>
      <w:r w:rsidR="00E86B1E">
        <w:t xml:space="preserve"> </w:t>
      </w:r>
      <w:r w:rsidR="00C15EDA">
        <w:t xml:space="preserve">The third is </w:t>
      </w:r>
      <w:proofErr w:type="spellStart"/>
      <w:r w:rsidR="00C15EDA" w:rsidRPr="00DE29E1">
        <w:rPr>
          <w:i/>
          <w:iCs/>
        </w:rPr>
        <w:t>Nashim</w:t>
      </w:r>
      <w:proofErr w:type="spellEnd"/>
      <w:r w:rsidR="00C15EDA">
        <w:t>, which translated means ‘women’</w:t>
      </w:r>
      <w:r w:rsidR="00586A21">
        <w:t>, which is the laws concerning marriage, adult</w:t>
      </w:r>
      <w:r w:rsidR="00962043">
        <w:t xml:space="preserve">ery, divorce, and so on. The next </w:t>
      </w:r>
      <w:r w:rsidR="00402368">
        <w:t xml:space="preserve">of the order is </w:t>
      </w:r>
      <w:proofErr w:type="spellStart"/>
      <w:r w:rsidR="001C13EA" w:rsidRPr="00F50464">
        <w:rPr>
          <w:i/>
          <w:iCs/>
        </w:rPr>
        <w:t>Nezikin</w:t>
      </w:r>
      <w:proofErr w:type="spellEnd"/>
      <w:r w:rsidR="001C13EA">
        <w:t xml:space="preserve">, which means torts and this is the subject of </w:t>
      </w:r>
      <w:r w:rsidR="00EB5650">
        <w:t>wrongs, injuries, inadvertent sin.</w:t>
      </w:r>
      <w:r w:rsidR="009806D2">
        <w:t xml:space="preserve"> The last two </w:t>
      </w:r>
      <w:r w:rsidR="00EB72B3">
        <w:t xml:space="preserve">orders are </w:t>
      </w:r>
      <w:proofErr w:type="spellStart"/>
      <w:r w:rsidR="00EB72B3" w:rsidRPr="00F50464">
        <w:rPr>
          <w:i/>
          <w:iCs/>
        </w:rPr>
        <w:t>Kodashim</w:t>
      </w:r>
      <w:proofErr w:type="spellEnd"/>
      <w:r w:rsidR="00EB72B3">
        <w:t xml:space="preserve">, which </w:t>
      </w:r>
      <w:r w:rsidR="00160394">
        <w:t>translates as</w:t>
      </w:r>
      <w:r w:rsidR="00EB72B3">
        <w:t xml:space="preserve"> sanctities and this is </w:t>
      </w:r>
      <w:r w:rsidR="000153D8">
        <w:t xml:space="preserve">the laws of </w:t>
      </w:r>
      <w:r w:rsidR="00EE62BA">
        <w:t xml:space="preserve">things such as temple sacrifices and temple architecture. Then there is </w:t>
      </w:r>
      <w:proofErr w:type="spellStart"/>
      <w:r w:rsidR="00661CB6" w:rsidRPr="00F50464">
        <w:rPr>
          <w:i/>
          <w:iCs/>
        </w:rPr>
        <w:t>Tohoroth</w:t>
      </w:r>
      <w:proofErr w:type="spellEnd"/>
      <w:r w:rsidR="00661CB6">
        <w:t xml:space="preserve">, which means purities and the subject of this order are </w:t>
      </w:r>
      <w:r w:rsidR="001E381F">
        <w:t>tent purity, issues with blood and so on.</w:t>
      </w:r>
      <w:r w:rsidR="007F778C">
        <w:t xml:space="preserve"> Within these six orders there </w:t>
      </w:r>
      <w:r w:rsidR="00225860">
        <w:t>is a further division into individual treati</w:t>
      </w:r>
      <w:r w:rsidR="00E263B4">
        <w:t xml:space="preserve">ses on specific subjects, this is known as the </w:t>
      </w:r>
      <w:proofErr w:type="spellStart"/>
      <w:r w:rsidR="005F1462">
        <w:rPr>
          <w:i/>
          <w:iCs/>
        </w:rPr>
        <w:t>M</w:t>
      </w:r>
      <w:r w:rsidR="00E263B4" w:rsidRPr="00B232E8">
        <w:rPr>
          <w:i/>
          <w:iCs/>
        </w:rPr>
        <w:t>asek</w:t>
      </w:r>
      <w:r w:rsidR="00302ACF" w:rsidRPr="00B232E8">
        <w:rPr>
          <w:i/>
          <w:iCs/>
        </w:rPr>
        <w:t>h</w:t>
      </w:r>
      <w:r w:rsidR="00E263B4" w:rsidRPr="00B232E8">
        <w:rPr>
          <w:i/>
          <w:iCs/>
        </w:rPr>
        <w:t>et</w:t>
      </w:r>
      <w:proofErr w:type="spellEnd"/>
      <w:r w:rsidR="00302ACF">
        <w:t xml:space="preserve">. These include seven to twelve </w:t>
      </w:r>
      <w:r w:rsidR="005C6083">
        <w:t>individual tractates and there are sixty-three all together.</w:t>
      </w:r>
      <w:r w:rsidR="008236CF">
        <w:t xml:space="preserve"> Furthermore,</w:t>
      </w:r>
      <w:r w:rsidR="00A679BD">
        <w:t xml:space="preserve"> tractates</w:t>
      </w:r>
      <w:r w:rsidR="001D7379">
        <w:t xml:space="preserve"> don’t just</w:t>
      </w:r>
      <w:r w:rsidR="00A679BD">
        <w:t xml:space="preserve"> paraphrase scripture</w:t>
      </w:r>
      <w:r w:rsidR="001D7379">
        <w:t xml:space="preserve">, but instead </w:t>
      </w:r>
      <w:r w:rsidR="00580C5A">
        <w:t xml:space="preserve">there is a sense of development with spiritual laws </w:t>
      </w:r>
      <w:r w:rsidR="00677FCF">
        <w:t xml:space="preserve">with </w:t>
      </w:r>
      <w:r w:rsidR="00015385">
        <w:t>different way</w:t>
      </w:r>
      <w:r w:rsidR="005F1462">
        <w:t>s</w:t>
      </w:r>
      <w:r w:rsidR="00015385">
        <w:t xml:space="preserve"> of thinking</w:t>
      </w:r>
      <w:r w:rsidR="00677FCF">
        <w:t>.</w:t>
      </w:r>
      <w:r w:rsidR="00851998">
        <w:t xml:space="preserve"> An example from a tractate is </w:t>
      </w:r>
      <w:proofErr w:type="spellStart"/>
      <w:r w:rsidR="009A2576" w:rsidRPr="00CC19C3">
        <w:rPr>
          <w:i/>
          <w:iCs/>
        </w:rPr>
        <w:t>Mo’ed</w:t>
      </w:r>
      <w:proofErr w:type="spellEnd"/>
      <w:r w:rsidR="009A2576">
        <w:t>, in this tractate there is a specific focus on seasons with festivals</w:t>
      </w:r>
      <w:r w:rsidR="00A0144B">
        <w:t xml:space="preserve">, so within the tractate </w:t>
      </w:r>
      <w:proofErr w:type="spellStart"/>
      <w:r w:rsidR="00A0144B" w:rsidRPr="00CC19C3">
        <w:rPr>
          <w:i/>
          <w:iCs/>
        </w:rPr>
        <w:t>Mo’ed</w:t>
      </w:r>
      <w:proofErr w:type="spellEnd"/>
      <w:r w:rsidR="00A0144B">
        <w:t>, it mentions the laws regarding the pil</w:t>
      </w:r>
      <w:r w:rsidR="000813D5">
        <w:t xml:space="preserve">grimage festivals, these would be </w:t>
      </w:r>
      <w:r w:rsidR="000813D5" w:rsidRPr="003636F6">
        <w:rPr>
          <w:i/>
          <w:iCs/>
        </w:rPr>
        <w:t>Pesach</w:t>
      </w:r>
      <w:r w:rsidR="000813D5">
        <w:t xml:space="preserve">, </w:t>
      </w:r>
      <w:r w:rsidR="000813D5" w:rsidRPr="003636F6">
        <w:rPr>
          <w:i/>
          <w:iCs/>
        </w:rPr>
        <w:t>Shavuot</w:t>
      </w:r>
      <w:r w:rsidR="000813D5">
        <w:t xml:space="preserve">, and </w:t>
      </w:r>
      <w:r w:rsidR="003636F6" w:rsidRPr="003636F6">
        <w:rPr>
          <w:i/>
          <w:iCs/>
        </w:rPr>
        <w:t>Sukkot</w:t>
      </w:r>
      <w:r w:rsidR="003636F6">
        <w:t>.</w:t>
      </w:r>
      <w:r w:rsidR="002649AB">
        <w:t xml:space="preserve"> In the Mishnah</w:t>
      </w:r>
      <w:r w:rsidR="00C130D0">
        <w:t>, it mentions that ‘</w:t>
      </w:r>
      <w:r w:rsidR="00C130D0">
        <w:rPr>
          <w:rFonts w:eastAsia="Times New Roman"/>
        </w:rPr>
        <w:t>one may water an irrigated field on the</w:t>
      </w:r>
      <w:r w:rsidR="00C130D0">
        <w:rPr>
          <w:rStyle w:val="querytexthighlight"/>
          <w:rFonts w:eastAsia="Times New Roman"/>
        </w:rPr>
        <w:t xml:space="preserve"> </w:t>
      </w:r>
      <w:proofErr w:type="spellStart"/>
      <w:r w:rsidR="00C130D0">
        <w:rPr>
          <w:rStyle w:val="querytexthighlight"/>
          <w:rFonts w:eastAsia="Times New Roman"/>
          <w:i/>
          <w:iCs/>
        </w:rPr>
        <w:t>Moed</w:t>
      </w:r>
      <w:proofErr w:type="spellEnd"/>
      <w:r w:rsidR="00C130D0">
        <w:rPr>
          <w:rStyle w:val="querytexthighlight"/>
          <w:rFonts w:eastAsia="Times New Roman"/>
        </w:rPr>
        <w:t xml:space="preserve"> </w:t>
      </w:r>
      <w:r w:rsidR="00C130D0">
        <w:rPr>
          <w:rFonts w:eastAsia="Times New Roman"/>
        </w:rPr>
        <w:t xml:space="preserve">[intermediate days of </w:t>
      </w:r>
      <w:r w:rsidR="00C130D0">
        <w:rPr>
          <w:rFonts w:eastAsia="Times New Roman"/>
          <w:i/>
          <w:iCs/>
        </w:rPr>
        <w:t>Pesach</w:t>
      </w:r>
      <w:r w:rsidR="00C130D0">
        <w:rPr>
          <w:rFonts w:eastAsia="Times New Roman"/>
        </w:rPr>
        <w:t xml:space="preserve"> and </w:t>
      </w:r>
      <w:r w:rsidR="00C130D0">
        <w:rPr>
          <w:rFonts w:eastAsia="Times New Roman"/>
          <w:i/>
          <w:iCs/>
        </w:rPr>
        <w:t>Sukkot</w:t>
      </w:r>
      <w:r w:rsidR="00C130D0">
        <w:rPr>
          <w:rFonts w:eastAsia="Times New Roman"/>
        </w:rPr>
        <w:t xml:space="preserve">, upon which some forms of </w:t>
      </w:r>
      <w:proofErr w:type="spellStart"/>
      <w:r w:rsidR="00C130D0">
        <w:rPr>
          <w:rFonts w:eastAsia="Times New Roman"/>
          <w:i/>
          <w:iCs/>
        </w:rPr>
        <w:t>melakhah</w:t>
      </w:r>
      <w:proofErr w:type="spellEnd"/>
      <w:r w:rsidR="00C130D0">
        <w:rPr>
          <w:rFonts w:eastAsia="Times New Roman"/>
        </w:rPr>
        <w:t xml:space="preserve"> are prohibited] and during the Sabbatical year’</w:t>
      </w:r>
      <w:r w:rsidR="00392568">
        <w:rPr>
          <w:rFonts w:eastAsia="Times New Roman"/>
        </w:rPr>
        <w:t>(</w:t>
      </w:r>
      <w:proofErr w:type="spellStart"/>
      <w:r w:rsidR="00392568">
        <w:rPr>
          <w:rFonts w:eastAsia="Times New Roman"/>
        </w:rPr>
        <w:t>M.Moed</w:t>
      </w:r>
      <w:proofErr w:type="spellEnd"/>
      <w:r w:rsidR="00392568">
        <w:rPr>
          <w:rFonts w:eastAsia="Times New Roman"/>
        </w:rPr>
        <w:t xml:space="preserve"> Katan</w:t>
      </w:r>
      <w:r w:rsidR="000A12A3">
        <w:rPr>
          <w:rFonts w:eastAsia="Times New Roman"/>
        </w:rPr>
        <w:t xml:space="preserve"> 1:1)</w:t>
      </w:r>
      <w:r w:rsidR="00C130D0">
        <w:rPr>
          <w:rFonts w:eastAsia="Times New Roman"/>
        </w:rPr>
        <w:t xml:space="preserve">, this is an example of </w:t>
      </w:r>
      <w:r w:rsidR="0080084C">
        <w:rPr>
          <w:rFonts w:eastAsia="Times New Roman"/>
        </w:rPr>
        <w:t>the guidance offered on what is prohibited when there are festivals</w:t>
      </w:r>
      <w:r w:rsidR="00392568">
        <w:rPr>
          <w:rFonts w:eastAsia="Times New Roman"/>
        </w:rPr>
        <w:t>.</w:t>
      </w:r>
    </w:p>
    <w:p w14:paraId="4E5DC059" w14:textId="2943E003" w:rsidR="00A108C3" w:rsidRPr="00BF392E" w:rsidRDefault="00A108C3" w:rsidP="008E64A8">
      <w:pPr>
        <w:rPr>
          <w:rFonts w:eastAsia="Times New Roman"/>
        </w:rPr>
      </w:pPr>
      <w:r>
        <w:rPr>
          <w:rFonts w:eastAsia="Times New Roman"/>
        </w:rPr>
        <w:t xml:space="preserve">           To add to this, </w:t>
      </w:r>
      <w:r w:rsidR="0005649B">
        <w:rPr>
          <w:rFonts w:eastAsia="Times New Roman"/>
        </w:rPr>
        <w:t>during the centuries</w:t>
      </w:r>
      <w:r w:rsidR="00BA65FE">
        <w:rPr>
          <w:rFonts w:eastAsia="Times New Roman"/>
        </w:rPr>
        <w:t xml:space="preserve"> following the completion of the Mishnah</w:t>
      </w:r>
      <w:r w:rsidR="00C739F9">
        <w:rPr>
          <w:rFonts w:eastAsia="Times New Roman"/>
        </w:rPr>
        <w:t>, there were extensive discussions about the contents in the Mishnah</w:t>
      </w:r>
      <w:r w:rsidR="001E0DD0">
        <w:rPr>
          <w:rFonts w:eastAsia="Times New Roman"/>
        </w:rPr>
        <w:t>,</w:t>
      </w:r>
      <w:r w:rsidR="00C739F9">
        <w:rPr>
          <w:rFonts w:eastAsia="Times New Roman"/>
        </w:rPr>
        <w:t xml:space="preserve"> </w:t>
      </w:r>
      <w:r w:rsidR="00275522">
        <w:rPr>
          <w:rFonts w:eastAsia="Times New Roman"/>
        </w:rPr>
        <w:t xml:space="preserve">which led </w:t>
      </w:r>
      <w:r w:rsidR="0037156F">
        <w:rPr>
          <w:rFonts w:eastAsia="Times New Roman"/>
        </w:rPr>
        <w:t xml:space="preserve">to the </w:t>
      </w:r>
      <w:proofErr w:type="spellStart"/>
      <w:r w:rsidR="0037156F">
        <w:rPr>
          <w:rFonts w:eastAsia="Times New Roman"/>
        </w:rPr>
        <w:t>Gemara</w:t>
      </w:r>
      <w:proofErr w:type="spellEnd"/>
      <w:r w:rsidR="0037156F">
        <w:rPr>
          <w:rFonts w:eastAsia="Times New Roman"/>
        </w:rPr>
        <w:t>.</w:t>
      </w:r>
      <w:r w:rsidR="006C1AEF">
        <w:rPr>
          <w:rFonts w:eastAsia="Times New Roman"/>
        </w:rPr>
        <w:t xml:space="preserve"> </w:t>
      </w:r>
      <w:r w:rsidR="006C1AEF">
        <w:t xml:space="preserve">The fundamental significance of the Mishnah is that it was combined with the </w:t>
      </w:r>
      <w:proofErr w:type="spellStart"/>
      <w:r w:rsidR="006C1AEF">
        <w:t>Gemara</w:t>
      </w:r>
      <w:proofErr w:type="spellEnd"/>
      <w:r w:rsidR="006C1AEF">
        <w:t xml:space="preserve"> to create the Talmud. </w:t>
      </w:r>
      <w:proofErr w:type="spellStart"/>
      <w:r w:rsidR="006C1AEF">
        <w:t>Gemara</w:t>
      </w:r>
      <w:proofErr w:type="spellEnd"/>
      <w:r w:rsidR="006C1AEF">
        <w:t xml:space="preserve">, when translated from Hebrew means ‘completion’. The </w:t>
      </w:r>
      <w:proofErr w:type="spellStart"/>
      <w:r w:rsidR="006C1AEF">
        <w:t>Gemara</w:t>
      </w:r>
      <w:proofErr w:type="spellEnd"/>
      <w:r w:rsidR="006C1AEF">
        <w:t xml:space="preserve"> is the discussions, debates of the </w:t>
      </w:r>
      <w:r w:rsidR="006C1AEF" w:rsidRPr="00166A7D">
        <w:rPr>
          <w:i/>
          <w:iCs/>
        </w:rPr>
        <w:t>Amoraim</w:t>
      </w:r>
      <w:r w:rsidR="006C1AEF">
        <w:t>, these are the generations of scholars that are after the completion of the Mishnah in the 6</w:t>
      </w:r>
      <w:r w:rsidR="006C1AEF" w:rsidRPr="00EC1521">
        <w:rPr>
          <w:vertAlign w:val="superscript"/>
        </w:rPr>
        <w:t>th</w:t>
      </w:r>
      <w:r w:rsidR="006C1AEF">
        <w:t xml:space="preserve"> century. The Mishnah gives significance to the Talmud as it is ideas of the law, so the </w:t>
      </w:r>
      <w:proofErr w:type="spellStart"/>
      <w:r w:rsidR="006C1AEF">
        <w:t>Gemara</w:t>
      </w:r>
      <w:proofErr w:type="spellEnd"/>
      <w:r w:rsidR="006C1AEF">
        <w:t xml:space="preserve"> is the analysis and discussion of the Mishnah. The significance of the Mishnah is that it contributed to </w:t>
      </w:r>
      <w:r w:rsidR="006C1AEF">
        <w:rPr>
          <w:rFonts w:eastAsia="Times New Roman"/>
        </w:rPr>
        <w:t xml:space="preserve">the </w:t>
      </w:r>
      <w:proofErr w:type="spellStart"/>
      <w:r w:rsidR="006C1AEF">
        <w:rPr>
          <w:rFonts w:eastAsia="Times New Roman"/>
        </w:rPr>
        <w:t>Talmuds</w:t>
      </w:r>
      <w:proofErr w:type="spellEnd"/>
      <w:r w:rsidR="006C1AEF">
        <w:rPr>
          <w:rFonts w:eastAsia="Times New Roman"/>
        </w:rPr>
        <w:t xml:space="preserve"> which ‘drew together the entire received heritage of law and theology and restated the whole in a new intellectual idiom and in a definitive formulation.’</w:t>
      </w:r>
      <w:r w:rsidR="006C1AEF">
        <w:rPr>
          <w:rStyle w:val="FootnoteReference"/>
          <w:rFonts w:eastAsia="Times New Roman"/>
        </w:rPr>
        <w:footnoteReference w:id="16"/>
      </w:r>
      <w:r w:rsidR="006C1AEF">
        <w:rPr>
          <w:rFonts w:eastAsia="Times New Roman"/>
        </w:rPr>
        <w:t xml:space="preserve"> To follow on, the Mishnah gives significance to the Talmud as the laws and guidance given within the Mishnah and then combined with the </w:t>
      </w:r>
      <w:proofErr w:type="spellStart"/>
      <w:r w:rsidR="006C1AEF">
        <w:rPr>
          <w:rFonts w:eastAsia="Times New Roman"/>
        </w:rPr>
        <w:t>Gemara</w:t>
      </w:r>
      <w:proofErr w:type="spellEnd"/>
      <w:r w:rsidR="006C1AEF">
        <w:rPr>
          <w:rFonts w:eastAsia="Times New Roman"/>
        </w:rPr>
        <w:t xml:space="preserve"> allowed discussion, which allowed the development of Judaism and serves as a reminder of folklore, history and laws</w:t>
      </w:r>
      <w:r w:rsidR="00BF392E">
        <w:rPr>
          <w:rFonts w:eastAsia="Times New Roman"/>
        </w:rPr>
        <w:t xml:space="preserve">. </w:t>
      </w:r>
      <w:r w:rsidR="0037156F">
        <w:rPr>
          <w:rFonts w:eastAsia="Times New Roman"/>
        </w:rPr>
        <w:t xml:space="preserve">These commentaries and discussions were created into what is known as the Talmud. Two </w:t>
      </w:r>
      <w:proofErr w:type="spellStart"/>
      <w:r w:rsidR="0037156F">
        <w:rPr>
          <w:rFonts w:eastAsia="Times New Roman"/>
        </w:rPr>
        <w:t>Talmuds</w:t>
      </w:r>
      <w:proofErr w:type="spellEnd"/>
      <w:r w:rsidR="0037156F">
        <w:rPr>
          <w:rFonts w:eastAsia="Times New Roman"/>
        </w:rPr>
        <w:t xml:space="preserve"> were created, one by </w:t>
      </w:r>
      <w:r w:rsidR="00797E95">
        <w:rPr>
          <w:rFonts w:eastAsia="Times New Roman"/>
        </w:rPr>
        <w:t>B</w:t>
      </w:r>
      <w:r w:rsidR="0037156F">
        <w:rPr>
          <w:rFonts w:eastAsia="Times New Roman"/>
        </w:rPr>
        <w:t>abylonia</w:t>
      </w:r>
      <w:r w:rsidR="00797E95">
        <w:rPr>
          <w:rFonts w:eastAsia="Times New Roman"/>
        </w:rPr>
        <w:t>n rabbis and</w:t>
      </w:r>
      <w:r w:rsidR="004B22B0">
        <w:rPr>
          <w:rFonts w:eastAsia="Times New Roman"/>
        </w:rPr>
        <w:t xml:space="preserve"> the other by</w:t>
      </w:r>
      <w:r w:rsidR="00797E95">
        <w:rPr>
          <w:rFonts w:eastAsia="Times New Roman"/>
        </w:rPr>
        <w:t xml:space="preserve"> Palestinian rabbis, however the Babylonian version is seen </w:t>
      </w:r>
      <w:r w:rsidR="00722DDC">
        <w:rPr>
          <w:rFonts w:eastAsia="Times New Roman"/>
        </w:rPr>
        <w:t>as the most significant of the both, so was seen significantly more author</w:t>
      </w:r>
      <w:r w:rsidR="003A30AF">
        <w:rPr>
          <w:rFonts w:eastAsia="Times New Roman"/>
        </w:rPr>
        <w:t xml:space="preserve">itive. </w:t>
      </w:r>
      <w:r w:rsidR="0055663D">
        <w:rPr>
          <w:rFonts w:eastAsia="Times New Roman"/>
        </w:rPr>
        <w:t>However</w:t>
      </w:r>
      <w:r w:rsidR="00C31DA3">
        <w:rPr>
          <w:rFonts w:eastAsia="Times New Roman"/>
        </w:rPr>
        <w:t>,</w:t>
      </w:r>
      <w:r w:rsidR="0055663D">
        <w:rPr>
          <w:rFonts w:eastAsia="Times New Roman"/>
        </w:rPr>
        <w:t xml:space="preserve"> there is one rule</w:t>
      </w:r>
      <w:r w:rsidR="00EB53D7">
        <w:rPr>
          <w:rFonts w:eastAsia="Times New Roman"/>
        </w:rPr>
        <w:t xml:space="preserve">, which is the </w:t>
      </w:r>
      <w:proofErr w:type="spellStart"/>
      <w:r w:rsidR="00EB53D7">
        <w:rPr>
          <w:rFonts w:eastAsia="Times New Roman"/>
        </w:rPr>
        <w:t>Gemara’s</w:t>
      </w:r>
      <w:proofErr w:type="spellEnd"/>
      <w:r w:rsidR="00EB53D7">
        <w:rPr>
          <w:rFonts w:eastAsia="Times New Roman"/>
        </w:rPr>
        <w:t xml:space="preserve"> must begin with a reading from the Mishnah</w:t>
      </w:r>
      <w:r w:rsidR="00C55718">
        <w:rPr>
          <w:rFonts w:eastAsia="Times New Roman"/>
        </w:rPr>
        <w:t xml:space="preserve">, so an example of this would be that </w:t>
      </w:r>
      <w:r w:rsidR="00F618EE">
        <w:rPr>
          <w:rFonts w:eastAsia="Times New Roman"/>
        </w:rPr>
        <w:t xml:space="preserve">the Mishnah </w:t>
      </w:r>
      <w:r w:rsidR="00BE214F">
        <w:rPr>
          <w:rFonts w:eastAsia="Times New Roman"/>
        </w:rPr>
        <w:t>teaches</w:t>
      </w:r>
      <w:r w:rsidR="00F618EE" w:rsidRPr="00EF5DC5">
        <w:t xml:space="preserve"> </w:t>
      </w:r>
      <w:r w:rsidR="004645E0">
        <w:t>‘</w:t>
      </w:r>
      <w:r w:rsidR="00F618EE" w:rsidRPr="00EF5DC5">
        <w:t>If a man hired labo</w:t>
      </w:r>
      <w:r w:rsidR="00091251">
        <w:t>u</w:t>
      </w:r>
      <w:r w:rsidR="00F618EE" w:rsidRPr="00EF5DC5">
        <w:t>rers and ordered them to work early in the morning and late at night, he cannot compel them to work early and late if it is not the custom to do so in that place</w:t>
      </w:r>
      <w:r w:rsidR="004645E0">
        <w:t>’</w:t>
      </w:r>
      <w:r w:rsidR="00444B45">
        <w:t xml:space="preserve"> </w:t>
      </w:r>
      <w:r w:rsidR="004645E0">
        <w:t>(</w:t>
      </w:r>
      <w:proofErr w:type="spellStart"/>
      <w:r w:rsidR="004645E0">
        <w:t>M.</w:t>
      </w:r>
      <w:r w:rsidR="00BE214F">
        <w:t>Bava</w:t>
      </w:r>
      <w:proofErr w:type="spellEnd"/>
      <w:r w:rsidR="00BE214F">
        <w:t xml:space="preserve"> </w:t>
      </w:r>
      <w:proofErr w:type="spellStart"/>
      <w:r w:rsidR="00BE214F">
        <w:t>Me</w:t>
      </w:r>
      <w:r w:rsidR="00091251">
        <w:t>t</w:t>
      </w:r>
      <w:r w:rsidR="00BE214F">
        <w:t>zia</w:t>
      </w:r>
      <w:proofErr w:type="spellEnd"/>
      <w:r w:rsidR="00C31DA3">
        <w:t xml:space="preserve"> 7:1)</w:t>
      </w:r>
      <w:r w:rsidR="00563FF5">
        <w:t>.</w:t>
      </w:r>
      <w:r w:rsidR="006A1E19">
        <w:t xml:space="preserve"> The </w:t>
      </w:r>
      <w:proofErr w:type="spellStart"/>
      <w:r w:rsidR="006A1E19">
        <w:t>Gemara</w:t>
      </w:r>
      <w:proofErr w:type="spellEnd"/>
      <w:r w:rsidR="006A1E19">
        <w:t xml:space="preserve"> then comments </w:t>
      </w:r>
      <w:r w:rsidR="00054E7C">
        <w:t xml:space="preserve">how the man could mention that he paid the labourers extra for longer hours, however this is not clarified so the labourers could </w:t>
      </w:r>
      <w:r w:rsidR="004F4630">
        <w:t xml:space="preserve">answer back and </w:t>
      </w:r>
      <w:r w:rsidR="00B4472C">
        <w:t>say the extra pay could be for better quality work, rather than longer hours</w:t>
      </w:r>
      <w:r w:rsidR="008733D0">
        <w:t>.</w:t>
      </w:r>
      <w:r w:rsidR="00957A7D">
        <w:t xml:space="preserve"> That would be a valid reason </w:t>
      </w:r>
      <w:r w:rsidR="002166D7">
        <w:t xml:space="preserve">for the increase in pay. </w:t>
      </w:r>
    </w:p>
    <w:p w14:paraId="5559C97D" w14:textId="31B33C9D" w:rsidR="00E14C81" w:rsidRDefault="00584C8B" w:rsidP="002E798D">
      <w:pPr>
        <w:rPr>
          <w:rFonts w:eastAsia="Times New Roman"/>
        </w:rPr>
      </w:pPr>
      <w:r>
        <w:rPr>
          <w:rFonts w:eastAsia="Times New Roman"/>
        </w:rPr>
        <w:t xml:space="preserve">             </w:t>
      </w:r>
      <w:r w:rsidR="0072479F">
        <w:rPr>
          <w:rFonts w:eastAsia="Times New Roman"/>
        </w:rPr>
        <w:t xml:space="preserve">After all </w:t>
      </w:r>
      <w:r w:rsidR="00BC06F2">
        <w:rPr>
          <w:rFonts w:eastAsia="Times New Roman"/>
        </w:rPr>
        <w:t>points</w:t>
      </w:r>
      <w:r w:rsidR="00253781">
        <w:rPr>
          <w:rFonts w:eastAsia="Times New Roman"/>
        </w:rPr>
        <w:t xml:space="preserve"> that evaluates the Mishnah’s significance</w:t>
      </w:r>
      <w:r w:rsidR="00BC06F2">
        <w:rPr>
          <w:rFonts w:eastAsia="Times New Roman"/>
        </w:rPr>
        <w:t xml:space="preserve"> considered</w:t>
      </w:r>
      <w:r w:rsidR="00253781">
        <w:rPr>
          <w:rFonts w:eastAsia="Times New Roman"/>
        </w:rPr>
        <w:t xml:space="preserve">, I think the Mishnah has a fundamental </w:t>
      </w:r>
      <w:r w:rsidR="00A23104">
        <w:rPr>
          <w:rFonts w:eastAsia="Times New Roman"/>
        </w:rPr>
        <w:t xml:space="preserve">significance to teaching in Judaism as </w:t>
      </w:r>
      <w:r w:rsidR="00823DC7">
        <w:rPr>
          <w:rFonts w:eastAsia="Times New Roman"/>
        </w:rPr>
        <w:t xml:space="preserve">it gives </w:t>
      </w:r>
      <w:r w:rsidR="00E938DB">
        <w:rPr>
          <w:rFonts w:eastAsia="Times New Roman"/>
        </w:rPr>
        <w:t>important information and wisdom on laws</w:t>
      </w:r>
      <w:r w:rsidR="009D2083">
        <w:rPr>
          <w:rFonts w:eastAsia="Times New Roman"/>
        </w:rPr>
        <w:t xml:space="preserve">, which is the context of </w:t>
      </w:r>
      <w:proofErr w:type="spellStart"/>
      <w:r w:rsidR="009D2083">
        <w:rPr>
          <w:rFonts w:eastAsia="Times New Roman"/>
        </w:rPr>
        <w:t>Halakhah</w:t>
      </w:r>
      <w:proofErr w:type="spellEnd"/>
      <w:r w:rsidR="009D2083">
        <w:rPr>
          <w:rFonts w:eastAsia="Times New Roman"/>
        </w:rPr>
        <w:t xml:space="preserve"> and the informal side of the </w:t>
      </w:r>
      <w:r w:rsidR="001F3051">
        <w:rPr>
          <w:rFonts w:eastAsia="Times New Roman"/>
        </w:rPr>
        <w:t xml:space="preserve">Mishnah, which is the Aggadah which concentrates on folklore, medicine, and anything that is </w:t>
      </w:r>
      <w:r w:rsidR="0001420B">
        <w:rPr>
          <w:rFonts w:eastAsia="Times New Roman"/>
        </w:rPr>
        <w:t>not to do with laws.</w:t>
      </w:r>
      <w:r w:rsidR="00F76CB5">
        <w:rPr>
          <w:rFonts w:eastAsia="Times New Roman"/>
        </w:rPr>
        <w:t xml:space="preserve"> Further points that show the sign</w:t>
      </w:r>
      <w:r w:rsidR="00030801">
        <w:rPr>
          <w:rFonts w:eastAsia="Times New Roman"/>
        </w:rPr>
        <w:t>ificance of the Mishnah is that</w:t>
      </w:r>
      <w:r w:rsidR="00C71FA4">
        <w:rPr>
          <w:rFonts w:eastAsia="Times New Roman"/>
        </w:rPr>
        <w:t xml:space="preserve"> no matter how mundane a situation is</w:t>
      </w:r>
      <w:r w:rsidR="008B19EB">
        <w:rPr>
          <w:rFonts w:eastAsia="Times New Roman"/>
        </w:rPr>
        <w:t>, at least</w:t>
      </w:r>
      <w:r w:rsidR="00C71FA4">
        <w:rPr>
          <w:rFonts w:eastAsia="Times New Roman"/>
        </w:rPr>
        <w:t xml:space="preserve"> in one of the tractates, will have the guidance to that situation</w:t>
      </w:r>
      <w:r w:rsidR="009379F3">
        <w:rPr>
          <w:rFonts w:eastAsia="Times New Roman"/>
        </w:rPr>
        <w:t xml:space="preserve">. </w:t>
      </w:r>
      <w:r w:rsidR="0054415B">
        <w:rPr>
          <w:rFonts w:eastAsia="Times New Roman"/>
        </w:rPr>
        <w:t xml:space="preserve">The development of the Mishnah shows its significance due to being combined with </w:t>
      </w:r>
      <w:proofErr w:type="spellStart"/>
      <w:r w:rsidR="0054415B">
        <w:rPr>
          <w:rFonts w:eastAsia="Times New Roman"/>
        </w:rPr>
        <w:t>Gemara</w:t>
      </w:r>
      <w:proofErr w:type="spellEnd"/>
      <w:r w:rsidR="0054415B">
        <w:rPr>
          <w:rFonts w:eastAsia="Times New Roman"/>
        </w:rPr>
        <w:t xml:space="preserve"> to create the Talmud, so </w:t>
      </w:r>
      <w:r w:rsidR="00CE4BA2">
        <w:rPr>
          <w:rFonts w:eastAsia="Times New Roman"/>
        </w:rPr>
        <w:t>the laws in the Mishnah has been discussed and interpreted through generations of scholars</w:t>
      </w:r>
      <w:r w:rsidR="00B41CB6">
        <w:rPr>
          <w:rFonts w:eastAsia="Times New Roman"/>
        </w:rPr>
        <w:t>, which allows the laws to remain relevant through discussion.</w:t>
      </w:r>
      <w:r w:rsidR="009D4FDD">
        <w:rPr>
          <w:rFonts w:eastAsia="Times New Roman"/>
        </w:rPr>
        <w:t xml:space="preserve"> However, </w:t>
      </w:r>
      <w:r w:rsidR="009B1BDE">
        <w:rPr>
          <w:rFonts w:eastAsia="Times New Roman"/>
        </w:rPr>
        <w:t>the Mishnah gives a sense of tradition</w:t>
      </w:r>
      <w:r w:rsidR="00E5026F">
        <w:rPr>
          <w:rFonts w:eastAsia="Times New Roman"/>
        </w:rPr>
        <w:t xml:space="preserve"> as through the tractates there are </w:t>
      </w:r>
      <w:r w:rsidR="00920E6E">
        <w:rPr>
          <w:rFonts w:eastAsia="Times New Roman"/>
        </w:rPr>
        <w:t xml:space="preserve">around 150 mentions of a variety of sages </w:t>
      </w:r>
      <w:r w:rsidR="00E8578B">
        <w:rPr>
          <w:rFonts w:eastAsia="Times New Roman"/>
        </w:rPr>
        <w:t xml:space="preserve">noted by name from Hillel and </w:t>
      </w:r>
      <w:proofErr w:type="spellStart"/>
      <w:r w:rsidR="00E8578B">
        <w:rPr>
          <w:rFonts w:eastAsia="Times New Roman"/>
        </w:rPr>
        <w:t>Shammai</w:t>
      </w:r>
      <w:proofErr w:type="spellEnd"/>
      <w:r w:rsidR="00E8578B">
        <w:rPr>
          <w:rFonts w:eastAsia="Times New Roman"/>
        </w:rPr>
        <w:t xml:space="preserve"> and also Judah Ha-Nasi </w:t>
      </w:r>
      <w:r w:rsidR="006656C0">
        <w:rPr>
          <w:rFonts w:eastAsia="Times New Roman"/>
        </w:rPr>
        <w:t xml:space="preserve">himself, which </w:t>
      </w:r>
      <w:r w:rsidR="00E615AF">
        <w:rPr>
          <w:rFonts w:eastAsia="Times New Roman"/>
        </w:rPr>
        <w:t>I</w:t>
      </w:r>
      <w:r w:rsidR="006656C0">
        <w:rPr>
          <w:rFonts w:eastAsia="Times New Roman"/>
        </w:rPr>
        <w:t xml:space="preserve"> find significantly important as it gives a sense of </w:t>
      </w:r>
      <w:r w:rsidR="00956E9E">
        <w:rPr>
          <w:rFonts w:eastAsia="Times New Roman"/>
        </w:rPr>
        <w:t>the roots of the Mishnah.</w:t>
      </w:r>
    </w:p>
    <w:p w14:paraId="6FA57699" w14:textId="39C3AE0A" w:rsidR="005B468D" w:rsidRDefault="005B468D" w:rsidP="002E798D">
      <w:pPr>
        <w:rPr>
          <w:rFonts w:eastAsia="Times New Roman"/>
        </w:rPr>
      </w:pPr>
    </w:p>
    <w:p w14:paraId="22F88330" w14:textId="32CD7BD7" w:rsidR="005B468D" w:rsidRDefault="005B468D" w:rsidP="002E798D">
      <w:pPr>
        <w:rPr>
          <w:rFonts w:eastAsia="Times New Roman"/>
        </w:rPr>
      </w:pPr>
    </w:p>
    <w:p w14:paraId="1014B1D0" w14:textId="6268430C" w:rsidR="005B468D" w:rsidRPr="009D1532" w:rsidRDefault="005B468D" w:rsidP="002E798D">
      <w:pPr>
        <w:rPr>
          <w:rFonts w:eastAsia="Times New Roman"/>
          <w:u w:val="single"/>
        </w:rPr>
      </w:pPr>
      <w:r w:rsidRPr="009D1532">
        <w:rPr>
          <w:rFonts w:eastAsia="Times New Roman"/>
          <w:u w:val="single"/>
        </w:rPr>
        <w:t>Bibliography</w:t>
      </w:r>
    </w:p>
    <w:p w14:paraId="2340DEED" w14:textId="77777777" w:rsidR="00FA75C4" w:rsidRPr="001D4B77" w:rsidRDefault="00FA75C4" w:rsidP="005B468D">
      <w:pPr>
        <w:pStyle w:val="FootnoteText"/>
        <w:numPr>
          <w:ilvl w:val="0"/>
          <w:numId w:val="1"/>
        </w:numPr>
      </w:pPr>
      <w:proofErr w:type="spellStart"/>
      <w:proofErr w:type="gramStart"/>
      <w:r>
        <w:t>Brawer,Naftali</w:t>
      </w:r>
      <w:proofErr w:type="spellEnd"/>
      <w:proofErr w:type="gramEnd"/>
      <w:r>
        <w:t xml:space="preserve">, </w:t>
      </w:r>
      <w:r w:rsidRPr="00D72FE9">
        <w:rPr>
          <w:i/>
          <w:iCs/>
        </w:rPr>
        <w:t xml:space="preserve">A </w:t>
      </w:r>
      <w:r w:rsidRPr="00D72FE9">
        <w:rPr>
          <w:i/>
          <w:iCs/>
          <w:lang w:val="en-US"/>
        </w:rPr>
        <w:t>Brief guide to Judaism Theology, History and Practice</w:t>
      </w:r>
      <w:r>
        <w:rPr>
          <w:lang w:val="en-US"/>
        </w:rPr>
        <w:t>, (Indiana, Running Press, 2008), page 250.</w:t>
      </w:r>
    </w:p>
    <w:p w14:paraId="0AB4E30C" w14:textId="77777777" w:rsidR="00FA75C4" w:rsidRDefault="00FA75C4" w:rsidP="00F753CD">
      <w:pPr>
        <w:pStyle w:val="FootnoteText"/>
        <w:numPr>
          <w:ilvl w:val="0"/>
          <w:numId w:val="1"/>
        </w:numPr>
        <w:rPr>
          <w:lang w:val="en-US"/>
        </w:rPr>
      </w:pPr>
      <w:r w:rsidRPr="00230CE6">
        <w:rPr>
          <w:lang w:val="en-US"/>
        </w:rPr>
        <w:t xml:space="preserve">Jewish Virtual Library, </w:t>
      </w:r>
      <w:r w:rsidRPr="00230CE6">
        <w:rPr>
          <w:i/>
          <w:iCs/>
          <w:lang w:val="en-US"/>
        </w:rPr>
        <w:t>Judaism: The Oral Law- Talmud and Mishnah</w:t>
      </w:r>
      <w:r w:rsidRPr="00230CE6">
        <w:rPr>
          <w:lang w:val="en-US"/>
        </w:rPr>
        <w:t>, (date unknown), &lt;https://www.jewishvirtuallibrary.org/the-oral-law-talmud-and-mishnah&gt; [accessed on 29</w:t>
      </w:r>
      <w:r w:rsidRPr="00230CE6">
        <w:rPr>
          <w:vertAlign w:val="superscript"/>
          <w:lang w:val="en-US"/>
        </w:rPr>
        <w:t>th</w:t>
      </w:r>
      <w:r w:rsidRPr="00230CE6">
        <w:rPr>
          <w:lang w:val="en-US"/>
        </w:rPr>
        <w:t xml:space="preserve"> May 2021].</w:t>
      </w:r>
    </w:p>
    <w:p w14:paraId="5876F8A2" w14:textId="77777777" w:rsidR="00FA75C4" w:rsidRDefault="00FA75C4" w:rsidP="00B47003">
      <w:pPr>
        <w:pStyle w:val="FootnoteText"/>
        <w:numPr>
          <w:ilvl w:val="0"/>
          <w:numId w:val="1"/>
        </w:numPr>
        <w:rPr>
          <w:lang w:val="en-US"/>
        </w:rPr>
      </w:pPr>
      <w:r>
        <w:t xml:space="preserve">Katz T. Steven, </w:t>
      </w:r>
      <w:r w:rsidRPr="00BB3EE2">
        <w:rPr>
          <w:i/>
          <w:iCs/>
          <w:lang w:val="en-US"/>
        </w:rPr>
        <w:t xml:space="preserve">Cambridge History Judaism, </w:t>
      </w:r>
      <w:r w:rsidRPr="00BB3EE2">
        <w:rPr>
          <w:lang w:val="en-US"/>
        </w:rPr>
        <w:t>Volume 4 the late Roman-Rabbinic period,</w:t>
      </w:r>
      <w:r>
        <w:t xml:space="preserve"> </w:t>
      </w:r>
      <w:r w:rsidRPr="00BB3EE2">
        <w:rPr>
          <w:lang w:val="en-US"/>
        </w:rPr>
        <w:t>(Cambridge, Cambridge University Press, 2006).</w:t>
      </w:r>
    </w:p>
    <w:p w14:paraId="672D3E4F" w14:textId="77777777" w:rsidR="00FA75C4" w:rsidRDefault="00FA75C4" w:rsidP="00BB3EE2">
      <w:pPr>
        <w:pStyle w:val="FootnoteText"/>
        <w:numPr>
          <w:ilvl w:val="0"/>
          <w:numId w:val="1"/>
        </w:numPr>
        <w:rPr>
          <w:lang w:val="en-US"/>
        </w:rPr>
      </w:pPr>
      <w:proofErr w:type="spellStart"/>
      <w:r>
        <w:rPr>
          <w:lang w:val="en-US"/>
        </w:rPr>
        <w:t>Neusner</w:t>
      </w:r>
      <w:proofErr w:type="spellEnd"/>
      <w:r>
        <w:rPr>
          <w:lang w:val="en-US"/>
        </w:rPr>
        <w:t xml:space="preserve">, Jacob and Peck-Avery J, Alan, </w:t>
      </w:r>
      <w:r>
        <w:rPr>
          <w:i/>
          <w:iCs/>
          <w:lang w:val="en-US"/>
        </w:rPr>
        <w:t>The Blackwell Companion to Judaism</w:t>
      </w:r>
      <w:r>
        <w:rPr>
          <w:lang w:val="en-US"/>
        </w:rPr>
        <w:t>, (John Wiley and Sons, 2008).</w:t>
      </w:r>
    </w:p>
    <w:p w14:paraId="4DBC4646" w14:textId="77777777" w:rsidR="00FA75C4" w:rsidRDefault="00FA75C4" w:rsidP="00230CE6">
      <w:pPr>
        <w:pStyle w:val="FootnoteText"/>
        <w:numPr>
          <w:ilvl w:val="0"/>
          <w:numId w:val="1"/>
        </w:numPr>
        <w:rPr>
          <w:lang w:val="en-US"/>
        </w:rPr>
      </w:pPr>
      <w:proofErr w:type="spellStart"/>
      <w:r w:rsidRPr="0081338D">
        <w:rPr>
          <w:rFonts w:eastAsia="Times New Roman"/>
          <w:color w:val="000000"/>
          <w:spacing w:val="-5"/>
          <w:shd w:val="clear" w:color="auto" w:fill="FFFFFF"/>
        </w:rPr>
        <w:t>Neusner</w:t>
      </w:r>
      <w:proofErr w:type="spellEnd"/>
      <w:r w:rsidRPr="0081338D">
        <w:rPr>
          <w:rFonts w:eastAsia="Times New Roman"/>
          <w:color w:val="000000"/>
          <w:spacing w:val="-5"/>
          <w:shd w:val="clear" w:color="auto" w:fill="FFFFFF"/>
        </w:rPr>
        <w:t xml:space="preserve">, Jacob, </w:t>
      </w:r>
      <w:r w:rsidRPr="0081338D">
        <w:rPr>
          <w:rFonts w:eastAsia="Times New Roman"/>
          <w:i/>
          <w:iCs/>
          <w:color w:val="000000"/>
          <w:spacing w:val="-5"/>
          <w:shd w:val="clear" w:color="auto" w:fill="FFFFFF"/>
        </w:rPr>
        <w:t>Form and Meaning in Mishnah, Journal of the American Academy of Religion</w:t>
      </w:r>
      <w:r w:rsidRPr="0081338D">
        <w:rPr>
          <w:rFonts w:eastAsia="Times New Roman"/>
          <w:color w:val="000000"/>
          <w:spacing w:val="-5"/>
          <w:shd w:val="clear" w:color="auto" w:fill="FFFFFF"/>
        </w:rPr>
        <w:t>, vol. 45, no. 1, (1977)</w:t>
      </w:r>
      <w:r>
        <w:rPr>
          <w:rFonts w:eastAsia="Times New Roman"/>
          <w:color w:val="000000"/>
          <w:spacing w:val="-5"/>
          <w:shd w:val="clear" w:color="auto" w:fill="FFFFFF"/>
        </w:rPr>
        <w:t>,</w:t>
      </w:r>
      <w:r w:rsidRPr="0081338D">
        <w:rPr>
          <w:rFonts w:eastAsia="Times New Roman"/>
          <w:color w:val="000000"/>
          <w:spacing w:val="-5"/>
          <w:shd w:val="clear" w:color="auto" w:fill="FFFFFF"/>
        </w:rPr>
        <w:t>&lt;</w:t>
      </w:r>
      <w:hyperlink r:id="rId7" w:history="1">
        <w:r w:rsidRPr="0044071B">
          <w:rPr>
            <w:rStyle w:val="Hyperlink"/>
            <w:rFonts w:eastAsia="Times New Roman"/>
            <w:spacing w:val="-5"/>
            <w:shd w:val="clear" w:color="auto" w:fill="FFFFFF"/>
          </w:rPr>
          <w:t>www.jstor.org/stable/1463387</w:t>
        </w:r>
      </w:hyperlink>
      <w:r w:rsidRPr="0081338D">
        <w:rPr>
          <w:rFonts w:eastAsia="Times New Roman"/>
          <w:color w:val="000000"/>
          <w:spacing w:val="-5"/>
          <w:shd w:val="clear" w:color="auto" w:fill="FFFFFF"/>
        </w:rPr>
        <w:t>&gt; [Accessed 29 May 2021].</w:t>
      </w:r>
    </w:p>
    <w:p w14:paraId="4AE0C2A5" w14:textId="77777777" w:rsidR="00FA75C4" w:rsidRPr="00F753CD" w:rsidRDefault="00FA75C4" w:rsidP="00F753CD">
      <w:pPr>
        <w:pStyle w:val="FootnoteText"/>
        <w:numPr>
          <w:ilvl w:val="0"/>
          <w:numId w:val="1"/>
        </w:numPr>
        <w:rPr>
          <w:lang w:val="en-US"/>
        </w:rPr>
      </w:pPr>
      <w:proofErr w:type="spellStart"/>
      <w:r w:rsidRPr="00F753CD">
        <w:rPr>
          <w:lang w:val="en-US"/>
        </w:rPr>
        <w:t>Neusner</w:t>
      </w:r>
      <w:proofErr w:type="spellEnd"/>
      <w:r w:rsidRPr="00F753CD">
        <w:rPr>
          <w:lang w:val="en-US"/>
        </w:rPr>
        <w:t xml:space="preserve">, Jacob, </w:t>
      </w:r>
      <w:r w:rsidRPr="00F753CD">
        <w:rPr>
          <w:i/>
          <w:iCs/>
          <w:lang w:val="en-US"/>
        </w:rPr>
        <w:t>The Four Stages of Rabbinic Judaism</w:t>
      </w:r>
      <w:r w:rsidRPr="00F753CD">
        <w:rPr>
          <w:lang w:val="en-US"/>
        </w:rPr>
        <w:t>,</w:t>
      </w:r>
      <w:r>
        <w:rPr>
          <w:lang w:val="en-US"/>
        </w:rPr>
        <w:t xml:space="preserve"> </w:t>
      </w:r>
      <w:r w:rsidRPr="00F753CD">
        <w:rPr>
          <w:lang w:val="en-US"/>
        </w:rPr>
        <w:t>(London, Routledge, 1999).</w:t>
      </w:r>
    </w:p>
    <w:p w14:paraId="2B981E44" w14:textId="77777777" w:rsidR="00FA75C4" w:rsidRPr="00FE2FA6" w:rsidRDefault="00FA75C4" w:rsidP="00FE2FA6">
      <w:pPr>
        <w:pStyle w:val="FootnoteText"/>
        <w:numPr>
          <w:ilvl w:val="0"/>
          <w:numId w:val="1"/>
        </w:numPr>
        <w:rPr>
          <w:lang w:val="en-US"/>
        </w:rPr>
      </w:pPr>
      <w:r w:rsidRPr="0090300A">
        <w:rPr>
          <w:lang w:val="en-US"/>
        </w:rPr>
        <w:t>Thomas, Rhodri,</w:t>
      </w:r>
      <w:r w:rsidRPr="00FE2FA6">
        <w:rPr>
          <w:i/>
          <w:iCs/>
          <w:lang w:val="en-US"/>
        </w:rPr>
        <w:t xml:space="preserve"> Early Jewish Literature: Codification of the Oral Torah,</w:t>
      </w:r>
      <w:r w:rsidRPr="00FE2FA6">
        <w:rPr>
          <w:lang w:val="en-US"/>
        </w:rPr>
        <w:t xml:space="preserve"> (</w:t>
      </w:r>
      <w:proofErr w:type="gramStart"/>
      <w:r w:rsidRPr="00FE2FA6">
        <w:rPr>
          <w:lang w:val="en-US"/>
        </w:rPr>
        <w:t>2021)&lt;</w:t>
      </w:r>
      <w:proofErr w:type="gramEnd"/>
      <w:r w:rsidRPr="00FE2FA6">
        <w:rPr>
          <w:lang w:val="en-US"/>
        </w:rPr>
        <w:t>https://moodle.uwtsd.ac.uk/pluginfile.php/497626/mod_resource/&gt; [accessed on 29</w:t>
      </w:r>
      <w:r w:rsidRPr="00FE2FA6">
        <w:rPr>
          <w:vertAlign w:val="superscript"/>
          <w:lang w:val="en-US"/>
        </w:rPr>
        <w:t>th</w:t>
      </w:r>
      <w:r w:rsidRPr="00FE2FA6">
        <w:rPr>
          <w:lang w:val="en-US"/>
        </w:rPr>
        <w:t xml:space="preserve"> May 2021].</w:t>
      </w:r>
    </w:p>
    <w:p w14:paraId="05CDE6E1" w14:textId="77777777" w:rsidR="00FA75C4" w:rsidRDefault="00FA75C4" w:rsidP="0090300A">
      <w:pPr>
        <w:pStyle w:val="FootnoteText"/>
        <w:numPr>
          <w:ilvl w:val="0"/>
          <w:numId w:val="1"/>
        </w:numPr>
        <w:rPr>
          <w:lang w:val="en-US"/>
        </w:rPr>
      </w:pPr>
      <w:r w:rsidRPr="00B47003">
        <w:rPr>
          <w:lang w:val="en-US"/>
        </w:rPr>
        <w:t xml:space="preserve">Wein, </w:t>
      </w:r>
      <w:proofErr w:type="spellStart"/>
      <w:r w:rsidRPr="00B47003">
        <w:rPr>
          <w:lang w:val="en-US"/>
        </w:rPr>
        <w:t>Berel</w:t>
      </w:r>
      <w:proofErr w:type="spellEnd"/>
      <w:r w:rsidRPr="00B47003">
        <w:rPr>
          <w:lang w:val="en-US"/>
        </w:rPr>
        <w:t xml:space="preserve">, </w:t>
      </w:r>
      <w:r w:rsidRPr="00B47003">
        <w:rPr>
          <w:i/>
          <w:iCs/>
          <w:lang w:val="en-US"/>
        </w:rPr>
        <w:t>Mishnah</w:t>
      </w:r>
      <w:r w:rsidRPr="00B47003">
        <w:rPr>
          <w:lang w:val="en-US"/>
        </w:rPr>
        <w:t>, (date unknown</w:t>
      </w:r>
      <w:proofErr w:type="gramStart"/>
      <w:r w:rsidRPr="00B47003">
        <w:rPr>
          <w:lang w:val="en-US"/>
        </w:rPr>
        <w:t>),&lt;</w:t>
      </w:r>
      <w:proofErr w:type="gramEnd"/>
      <w:r w:rsidRPr="00B47003">
        <w:rPr>
          <w:lang w:val="en-US"/>
        </w:rPr>
        <w:t xml:space="preserve"> https://www.jewishhistory.org/the-mishnah/&gt; [accessed on 29</w:t>
      </w:r>
      <w:r w:rsidRPr="00B47003">
        <w:rPr>
          <w:vertAlign w:val="superscript"/>
          <w:lang w:val="en-US"/>
        </w:rPr>
        <w:t>th</w:t>
      </w:r>
      <w:r w:rsidRPr="00B47003">
        <w:rPr>
          <w:lang w:val="en-US"/>
        </w:rPr>
        <w:t xml:space="preserve"> May 2021].</w:t>
      </w:r>
    </w:p>
    <w:p w14:paraId="376A72AE" w14:textId="661E5F64" w:rsidR="00230CE6" w:rsidRPr="0081338D" w:rsidRDefault="00230CE6" w:rsidP="00F753CD">
      <w:pPr>
        <w:pStyle w:val="FootnoteText"/>
        <w:ind w:left="720"/>
        <w:rPr>
          <w:lang w:val="en-US"/>
        </w:rPr>
      </w:pPr>
    </w:p>
    <w:p w14:paraId="6EEF66CC" w14:textId="77777777" w:rsidR="00B47003" w:rsidRPr="00BB3EE2" w:rsidRDefault="00B47003" w:rsidP="0081338D">
      <w:pPr>
        <w:pStyle w:val="FootnoteText"/>
        <w:ind w:left="360"/>
        <w:rPr>
          <w:lang w:val="en-US"/>
        </w:rPr>
      </w:pPr>
    </w:p>
    <w:p w14:paraId="20DA71DD" w14:textId="77777777" w:rsidR="001D4B77" w:rsidRPr="00071194" w:rsidRDefault="001D4B77" w:rsidP="00966D0F">
      <w:pPr>
        <w:pStyle w:val="FootnoteText"/>
        <w:ind w:left="360"/>
      </w:pPr>
    </w:p>
    <w:p w14:paraId="54E11D44" w14:textId="5B300A1F" w:rsidR="005B468D" w:rsidRPr="00CE7BF5" w:rsidRDefault="005B468D" w:rsidP="002E798D">
      <w:pPr>
        <w:rPr>
          <w:rFonts w:eastAsia="Times New Roman"/>
        </w:rPr>
      </w:pPr>
    </w:p>
    <w:p w14:paraId="4D4BDD89" w14:textId="77777777" w:rsidR="001E658E" w:rsidRPr="00CE7BF5" w:rsidRDefault="001E658E" w:rsidP="002E798D">
      <w:pPr>
        <w:rPr>
          <w:rFonts w:eastAsia="Times New Roman"/>
        </w:rPr>
      </w:pPr>
    </w:p>
    <w:p w14:paraId="7143944B" w14:textId="77777777" w:rsidR="00B62A9F" w:rsidRPr="008E64A8" w:rsidRDefault="00B62A9F" w:rsidP="008E64A8"/>
    <w:p w14:paraId="44303AB2" w14:textId="0E0D1CA8" w:rsidR="00360D2D" w:rsidRDefault="00360D2D" w:rsidP="00C93AC4">
      <w:r>
        <w:t xml:space="preserve">      </w:t>
      </w:r>
    </w:p>
    <w:p w14:paraId="28EA4BB1" w14:textId="77777777" w:rsidR="00B209A3" w:rsidRPr="00C61A07" w:rsidRDefault="00B209A3" w:rsidP="00C61A07"/>
    <w:sectPr w:rsidR="00B209A3" w:rsidRPr="00C61A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397EFA" w14:textId="77777777" w:rsidR="009B4727" w:rsidRDefault="009B4727" w:rsidP="00892E98">
      <w:pPr>
        <w:spacing w:after="0" w:line="240" w:lineRule="auto"/>
      </w:pPr>
      <w:r>
        <w:separator/>
      </w:r>
    </w:p>
  </w:endnote>
  <w:endnote w:type="continuationSeparator" w:id="0">
    <w:p w14:paraId="434495F7" w14:textId="77777777" w:rsidR="009B4727" w:rsidRDefault="009B4727" w:rsidP="00892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67E82" w14:textId="77777777" w:rsidR="009B4727" w:rsidRDefault="009B4727" w:rsidP="00892E98">
      <w:pPr>
        <w:spacing w:after="0" w:line="240" w:lineRule="auto"/>
      </w:pPr>
      <w:r>
        <w:separator/>
      </w:r>
    </w:p>
  </w:footnote>
  <w:footnote w:type="continuationSeparator" w:id="0">
    <w:p w14:paraId="7737F5F4" w14:textId="77777777" w:rsidR="009B4727" w:rsidRDefault="009B4727" w:rsidP="00892E98">
      <w:pPr>
        <w:spacing w:after="0" w:line="240" w:lineRule="auto"/>
      </w:pPr>
      <w:r>
        <w:continuationSeparator/>
      </w:r>
    </w:p>
  </w:footnote>
  <w:footnote w:id="1">
    <w:p w14:paraId="70A1493B" w14:textId="5765A633" w:rsidR="00892E98" w:rsidRPr="00071194" w:rsidRDefault="00892E98">
      <w:pPr>
        <w:pStyle w:val="FootnoteText"/>
      </w:pPr>
      <w:r>
        <w:rPr>
          <w:rStyle w:val="FootnoteReference"/>
        </w:rPr>
        <w:footnoteRef/>
      </w:r>
      <w:r>
        <w:t xml:space="preserve"> </w:t>
      </w:r>
      <w:proofErr w:type="spellStart"/>
      <w:r w:rsidR="00843C21">
        <w:t>Brawer,</w:t>
      </w:r>
      <w:r w:rsidR="00F91140">
        <w:t>Naftali</w:t>
      </w:r>
      <w:proofErr w:type="spellEnd"/>
      <w:r w:rsidR="00355A84">
        <w:t xml:space="preserve">, </w:t>
      </w:r>
      <w:r w:rsidR="00355A84" w:rsidRPr="00D72FE9">
        <w:rPr>
          <w:i/>
          <w:iCs/>
        </w:rPr>
        <w:t>A</w:t>
      </w:r>
      <w:r w:rsidR="00F91140" w:rsidRPr="00D72FE9">
        <w:rPr>
          <w:i/>
          <w:iCs/>
        </w:rPr>
        <w:t xml:space="preserve"> </w:t>
      </w:r>
      <w:r w:rsidR="00F91140" w:rsidRPr="00D72FE9">
        <w:rPr>
          <w:i/>
          <w:iCs/>
          <w:lang w:val="en-US"/>
        </w:rPr>
        <w:t>Brief guide to Judaism</w:t>
      </w:r>
      <w:r w:rsidR="00355A84" w:rsidRPr="00D72FE9">
        <w:rPr>
          <w:i/>
          <w:iCs/>
          <w:lang w:val="en-US"/>
        </w:rPr>
        <w:t xml:space="preserve"> Theology, History and Practice</w:t>
      </w:r>
      <w:r w:rsidR="0092693F">
        <w:rPr>
          <w:lang w:val="en-US"/>
        </w:rPr>
        <w:t>, (</w:t>
      </w:r>
      <w:r w:rsidR="00DD7195">
        <w:rPr>
          <w:lang w:val="en-US"/>
        </w:rPr>
        <w:t xml:space="preserve">Indiana, </w:t>
      </w:r>
      <w:r w:rsidR="00071194">
        <w:rPr>
          <w:lang w:val="en-US"/>
        </w:rPr>
        <w:t xml:space="preserve">Running Press, 2008), page </w:t>
      </w:r>
      <w:r w:rsidR="00F91140">
        <w:rPr>
          <w:lang w:val="en-US"/>
        </w:rPr>
        <w:t>250</w:t>
      </w:r>
      <w:r w:rsidR="00071194">
        <w:rPr>
          <w:lang w:val="en-US"/>
        </w:rPr>
        <w:t>.</w:t>
      </w:r>
    </w:p>
  </w:footnote>
  <w:footnote w:id="2">
    <w:p w14:paraId="25E29976" w14:textId="75A274A1" w:rsidR="005429E6" w:rsidRPr="005429E6" w:rsidRDefault="005429E6">
      <w:pPr>
        <w:pStyle w:val="FootnoteText"/>
        <w:rPr>
          <w:lang w:val="en-US"/>
        </w:rPr>
      </w:pPr>
      <w:r>
        <w:rPr>
          <w:rStyle w:val="FootnoteReference"/>
        </w:rPr>
        <w:footnoteRef/>
      </w:r>
      <w:r>
        <w:t xml:space="preserve"> </w:t>
      </w:r>
      <w:r w:rsidR="000B6006">
        <w:rPr>
          <w:lang w:val="en-US"/>
        </w:rPr>
        <w:t xml:space="preserve">Thomas, Rhodri, </w:t>
      </w:r>
      <w:r w:rsidR="00B95A5C">
        <w:rPr>
          <w:lang w:val="en-US"/>
        </w:rPr>
        <w:t xml:space="preserve">Early Jewish Literature: Codification </w:t>
      </w:r>
      <w:r w:rsidR="009B0997">
        <w:rPr>
          <w:lang w:val="en-US"/>
        </w:rPr>
        <w:t xml:space="preserve">of the Oral Torah, (2021)&lt; </w:t>
      </w:r>
      <w:r w:rsidR="00140AE2" w:rsidRPr="00140AE2">
        <w:rPr>
          <w:lang w:val="en-US"/>
        </w:rPr>
        <w:t>https://moodle.uwtsd.ac.uk/pluginfile.php/497626/mod_resource/</w:t>
      </w:r>
      <w:r w:rsidR="00140AE2">
        <w:rPr>
          <w:lang w:val="en-US"/>
        </w:rPr>
        <w:t>&gt; [accessed on 29</w:t>
      </w:r>
      <w:r w:rsidR="00140AE2" w:rsidRPr="00140AE2">
        <w:rPr>
          <w:vertAlign w:val="superscript"/>
          <w:lang w:val="en-US"/>
        </w:rPr>
        <w:t>th</w:t>
      </w:r>
      <w:r w:rsidR="00140AE2">
        <w:rPr>
          <w:lang w:val="en-US"/>
        </w:rPr>
        <w:t xml:space="preserve"> May 2021].</w:t>
      </w:r>
    </w:p>
  </w:footnote>
  <w:footnote w:id="3">
    <w:p w14:paraId="61C77D84" w14:textId="288F42FA" w:rsidR="000015DF" w:rsidRPr="007C3A9B" w:rsidRDefault="000015DF">
      <w:pPr>
        <w:pStyle w:val="FootnoteText"/>
        <w:rPr>
          <w:lang w:val="en-US"/>
        </w:rPr>
      </w:pPr>
      <w:r>
        <w:rPr>
          <w:rStyle w:val="FootnoteReference"/>
        </w:rPr>
        <w:footnoteRef/>
      </w:r>
      <w:r>
        <w:t xml:space="preserve"> </w:t>
      </w:r>
      <w:proofErr w:type="spellStart"/>
      <w:r w:rsidR="00F348DE">
        <w:rPr>
          <w:lang w:val="en-US"/>
        </w:rPr>
        <w:t>N</w:t>
      </w:r>
      <w:r w:rsidR="0069705C">
        <w:rPr>
          <w:lang w:val="en-US"/>
        </w:rPr>
        <w:t>eu</w:t>
      </w:r>
      <w:r w:rsidR="00F348DE">
        <w:rPr>
          <w:lang w:val="en-US"/>
        </w:rPr>
        <w:t>sner</w:t>
      </w:r>
      <w:proofErr w:type="spellEnd"/>
      <w:r w:rsidR="00F348DE">
        <w:rPr>
          <w:lang w:val="en-US"/>
        </w:rPr>
        <w:t xml:space="preserve">, Jacob and </w:t>
      </w:r>
      <w:r w:rsidR="0069705C">
        <w:rPr>
          <w:lang w:val="en-US"/>
        </w:rPr>
        <w:t xml:space="preserve">Peck-Avery </w:t>
      </w:r>
      <w:r w:rsidR="000F4FC7">
        <w:rPr>
          <w:lang w:val="en-US"/>
        </w:rPr>
        <w:t xml:space="preserve">J, Alan, </w:t>
      </w:r>
      <w:r w:rsidR="000F4FC7">
        <w:rPr>
          <w:i/>
          <w:iCs/>
          <w:lang w:val="en-US"/>
        </w:rPr>
        <w:t xml:space="preserve">The Blackwell Companion </w:t>
      </w:r>
      <w:r w:rsidR="007C3A9B">
        <w:rPr>
          <w:i/>
          <w:iCs/>
          <w:lang w:val="en-US"/>
        </w:rPr>
        <w:t>to Judaism</w:t>
      </w:r>
      <w:r w:rsidR="007C3A9B">
        <w:rPr>
          <w:lang w:val="en-US"/>
        </w:rPr>
        <w:t>,</w:t>
      </w:r>
      <w:r w:rsidR="00945D03">
        <w:rPr>
          <w:lang w:val="en-US"/>
        </w:rPr>
        <w:t xml:space="preserve"> (John</w:t>
      </w:r>
      <w:r w:rsidR="00FA0549">
        <w:rPr>
          <w:lang w:val="en-US"/>
        </w:rPr>
        <w:t xml:space="preserve"> Wiley and Sons, 2008).</w:t>
      </w:r>
    </w:p>
  </w:footnote>
  <w:footnote w:id="4">
    <w:p w14:paraId="5A8F31E8" w14:textId="696C3849" w:rsidR="00E35F32" w:rsidRPr="00BB3EE2" w:rsidRDefault="00E35F32">
      <w:pPr>
        <w:pStyle w:val="FootnoteText"/>
      </w:pPr>
      <w:r>
        <w:rPr>
          <w:rStyle w:val="FootnoteReference"/>
        </w:rPr>
        <w:footnoteRef/>
      </w:r>
      <w:r>
        <w:t xml:space="preserve"> </w:t>
      </w:r>
      <w:r w:rsidR="00464E12">
        <w:t>K</w:t>
      </w:r>
      <w:r w:rsidR="00486EF0">
        <w:t xml:space="preserve">atz T. Steven, </w:t>
      </w:r>
      <w:r w:rsidR="00937B3B" w:rsidRPr="00486EF0">
        <w:rPr>
          <w:i/>
          <w:iCs/>
          <w:lang w:val="en-US"/>
        </w:rPr>
        <w:t xml:space="preserve">Cambridge </w:t>
      </w:r>
      <w:r w:rsidR="00B7053A" w:rsidRPr="00486EF0">
        <w:rPr>
          <w:i/>
          <w:iCs/>
          <w:lang w:val="en-US"/>
        </w:rPr>
        <w:t>H</w:t>
      </w:r>
      <w:r w:rsidR="00937B3B" w:rsidRPr="00486EF0">
        <w:rPr>
          <w:i/>
          <w:iCs/>
          <w:lang w:val="en-US"/>
        </w:rPr>
        <w:t xml:space="preserve">istory </w:t>
      </w:r>
      <w:r w:rsidR="00B7053A" w:rsidRPr="00486EF0">
        <w:rPr>
          <w:i/>
          <w:iCs/>
          <w:lang w:val="en-US"/>
        </w:rPr>
        <w:t>J</w:t>
      </w:r>
      <w:r w:rsidR="00937B3B" w:rsidRPr="00486EF0">
        <w:rPr>
          <w:i/>
          <w:iCs/>
          <w:lang w:val="en-US"/>
        </w:rPr>
        <w:t>udaism</w:t>
      </w:r>
      <w:r w:rsidR="00B15845" w:rsidRPr="00486EF0">
        <w:rPr>
          <w:i/>
          <w:iCs/>
          <w:lang w:val="en-US"/>
        </w:rPr>
        <w:t xml:space="preserve">, </w:t>
      </w:r>
      <w:r w:rsidR="00B15845">
        <w:rPr>
          <w:lang w:val="en-US"/>
        </w:rPr>
        <w:t xml:space="preserve">Volume 4 the late </w:t>
      </w:r>
      <w:r w:rsidR="00225474">
        <w:rPr>
          <w:lang w:val="en-US"/>
        </w:rPr>
        <w:t>Roman-Rabbinic period,</w:t>
      </w:r>
      <w:r w:rsidR="00BB3EE2">
        <w:t xml:space="preserve"> </w:t>
      </w:r>
      <w:r w:rsidR="00225474">
        <w:rPr>
          <w:lang w:val="en-US"/>
        </w:rPr>
        <w:t>(Cambri</w:t>
      </w:r>
      <w:r w:rsidR="00CE418E">
        <w:rPr>
          <w:lang w:val="en-US"/>
        </w:rPr>
        <w:t>d</w:t>
      </w:r>
      <w:r w:rsidR="00225474">
        <w:rPr>
          <w:lang w:val="en-US"/>
        </w:rPr>
        <w:t>ge, Cambridge University Press,</w:t>
      </w:r>
      <w:r w:rsidR="00CE418E">
        <w:rPr>
          <w:lang w:val="en-US"/>
        </w:rPr>
        <w:t xml:space="preserve"> 2006)</w:t>
      </w:r>
      <w:r w:rsidR="00937B3B">
        <w:rPr>
          <w:lang w:val="en-US"/>
        </w:rPr>
        <w:t xml:space="preserve"> </w:t>
      </w:r>
      <w:r w:rsidR="00CE418E">
        <w:rPr>
          <w:lang w:val="en-US"/>
        </w:rPr>
        <w:t>Pa</w:t>
      </w:r>
      <w:r w:rsidR="00937B3B">
        <w:rPr>
          <w:lang w:val="en-US"/>
        </w:rPr>
        <w:t>g</w:t>
      </w:r>
      <w:r w:rsidR="00CE418E">
        <w:rPr>
          <w:lang w:val="en-US"/>
        </w:rPr>
        <w:t>es</w:t>
      </w:r>
      <w:r w:rsidR="00937B3B">
        <w:rPr>
          <w:lang w:val="en-US"/>
        </w:rPr>
        <w:t xml:space="preserve"> 299-315</w:t>
      </w:r>
      <w:r w:rsidR="00CE418E">
        <w:rPr>
          <w:lang w:val="en-US"/>
        </w:rPr>
        <w:t>.</w:t>
      </w:r>
    </w:p>
  </w:footnote>
  <w:footnote w:id="5">
    <w:p w14:paraId="78AA793C" w14:textId="77777777" w:rsidR="00745376" w:rsidRPr="00B47003" w:rsidRDefault="00DB204B" w:rsidP="00745376">
      <w:pPr>
        <w:pStyle w:val="FootnoteText"/>
        <w:rPr>
          <w:lang w:val="en-US"/>
        </w:rPr>
      </w:pPr>
      <w:r>
        <w:rPr>
          <w:rStyle w:val="FootnoteReference"/>
        </w:rPr>
        <w:footnoteRef/>
      </w:r>
      <w:r>
        <w:t xml:space="preserve"> </w:t>
      </w:r>
      <w:r w:rsidR="00745376" w:rsidRPr="00B47003">
        <w:rPr>
          <w:lang w:val="en-US"/>
        </w:rPr>
        <w:t xml:space="preserve">Wein, </w:t>
      </w:r>
      <w:proofErr w:type="spellStart"/>
      <w:r w:rsidR="00745376" w:rsidRPr="00B47003">
        <w:rPr>
          <w:lang w:val="en-US"/>
        </w:rPr>
        <w:t>Berel</w:t>
      </w:r>
      <w:proofErr w:type="spellEnd"/>
      <w:r w:rsidR="00745376" w:rsidRPr="00B47003">
        <w:rPr>
          <w:lang w:val="en-US"/>
        </w:rPr>
        <w:t xml:space="preserve">, </w:t>
      </w:r>
      <w:r w:rsidR="00745376" w:rsidRPr="00B47003">
        <w:rPr>
          <w:i/>
          <w:iCs/>
          <w:lang w:val="en-US"/>
        </w:rPr>
        <w:t>Mishnah</w:t>
      </w:r>
      <w:r w:rsidR="00745376" w:rsidRPr="00B47003">
        <w:rPr>
          <w:lang w:val="en-US"/>
        </w:rPr>
        <w:t>, (date unknown),&lt; https://www.jewishhistory.org/the-mishnah/&gt; [accessed on 29</w:t>
      </w:r>
      <w:r w:rsidR="00745376" w:rsidRPr="00B47003">
        <w:rPr>
          <w:vertAlign w:val="superscript"/>
          <w:lang w:val="en-US"/>
        </w:rPr>
        <w:t>th</w:t>
      </w:r>
      <w:r w:rsidR="00745376" w:rsidRPr="00B47003">
        <w:rPr>
          <w:lang w:val="en-US"/>
        </w:rPr>
        <w:t xml:space="preserve"> May 2021].</w:t>
      </w:r>
    </w:p>
    <w:p w14:paraId="6FD13667" w14:textId="3EF9F8EB" w:rsidR="00DB204B" w:rsidRPr="00DB204B" w:rsidRDefault="00DB204B">
      <w:pPr>
        <w:pStyle w:val="FootnoteText"/>
        <w:rPr>
          <w:lang w:val="en-US"/>
        </w:rPr>
      </w:pPr>
    </w:p>
  </w:footnote>
  <w:footnote w:id="6">
    <w:p w14:paraId="20BCB075" w14:textId="3E56510D" w:rsidR="002913B6" w:rsidRPr="002913B6" w:rsidRDefault="002913B6">
      <w:pPr>
        <w:pStyle w:val="FootnoteText"/>
        <w:rPr>
          <w:lang w:val="en-US"/>
        </w:rPr>
      </w:pPr>
      <w:r>
        <w:rPr>
          <w:rStyle w:val="FootnoteReference"/>
        </w:rPr>
        <w:footnoteRef/>
      </w:r>
      <w:r>
        <w:t xml:space="preserve"> </w:t>
      </w:r>
      <w:r w:rsidR="00B53AB9">
        <w:rPr>
          <w:lang w:val="en-US"/>
        </w:rPr>
        <w:t>Wein,</w:t>
      </w:r>
      <w:r w:rsidR="00F460A0">
        <w:rPr>
          <w:lang w:val="en-US"/>
        </w:rPr>
        <w:t xml:space="preserve"> </w:t>
      </w:r>
      <w:proofErr w:type="spellStart"/>
      <w:r w:rsidR="00B53AB9">
        <w:rPr>
          <w:lang w:val="en-US"/>
        </w:rPr>
        <w:t>Berel</w:t>
      </w:r>
      <w:proofErr w:type="spellEnd"/>
      <w:r w:rsidR="00F460A0">
        <w:rPr>
          <w:lang w:val="en-US"/>
        </w:rPr>
        <w:t xml:space="preserve">, </w:t>
      </w:r>
      <w:r w:rsidR="00F460A0" w:rsidRPr="00F460A0">
        <w:rPr>
          <w:i/>
          <w:iCs/>
          <w:lang w:val="en-US"/>
        </w:rPr>
        <w:t>Mishnah</w:t>
      </w:r>
      <w:r w:rsidR="00F460A0">
        <w:rPr>
          <w:lang w:val="en-US"/>
        </w:rPr>
        <w:t xml:space="preserve">, </w:t>
      </w:r>
      <w:r w:rsidR="00D6454A">
        <w:rPr>
          <w:lang w:val="en-US"/>
        </w:rPr>
        <w:t>(date unknown),&lt;</w:t>
      </w:r>
      <w:r w:rsidR="005B47D3" w:rsidRPr="005B47D3">
        <w:rPr>
          <w:lang w:val="en-US"/>
        </w:rPr>
        <w:t xml:space="preserve"> https://www.jewishhistory.org/the-mishnah/</w:t>
      </w:r>
      <w:r w:rsidR="005B47D3">
        <w:rPr>
          <w:lang w:val="en-US"/>
        </w:rPr>
        <w:t>&gt; [accessed on 29</w:t>
      </w:r>
      <w:r w:rsidR="005B47D3" w:rsidRPr="005B47D3">
        <w:rPr>
          <w:vertAlign w:val="superscript"/>
          <w:lang w:val="en-US"/>
        </w:rPr>
        <w:t>th</w:t>
      </w:r>
      <w:r w:rsidR="005B47D3">
        <w:rPr>
          <w:lang w:val="en-US"/>
        </w:rPr>
        <w:t xml:space="preserve"> May 2021].</w:t>
      </w:r>
    </w:p>
  </w:footnote>
  <w:footnote w:id="7">
    <w:p w14:paraId="33569624" w14:textId="77777777" w:rsidR="00745376" w:rsidRPr="00B47003" w:rsidRDefault="00AE1892" w:rsidP="00745376">
      <w:pPr>
        <w:pStyle w:val="FootnoteText"/>
        <w:rPr>
          <w:lang w:val="en-US"/>
        </w:rPr>
      </w:pPr>
      <w:r>
        <w:rPr>
          <w:rStyle w:val="FootnoteReference"/>
        </w:rPr>
        <w:footnoteRef/>
      </w:r>
      <w:r>
        <w:t xml:space="preserve"> </w:t>
      </w:r>
      <w:r w:rsidR="00745376" w:rsidRPr="00B47003">
        <w:rPr>
          <w:lang w:val="en-US"/>
        </w:rPr>
        <w:t xml:space="preserve">Wein, </w:t>
      </w:r>
      <w:proofErr w:type="spellStart"/>
      <w:r w:rsidR="00745376" w:rsidRPr="00B47003">
        <w:rPr>
          <w:lang w:val="en-US"/>
        </w:rPr>
        <w:t>Berel</w:t>
      </w:r>
      <w:proofErr w:type="spellEnd"/>
      <w:r w:rsidR="00745376" w:rsidRPr="00B47003">
        <w:rPr>
          <w:lang w:val="en-US"/>
        </w:rPr>
        <w:t xml:space="preserve">, </w:t>
      </w:r>
      <w:r w:rsidR="00745376" w:rsidRPr="00B47003">
        <w:rPr>
          <w:i/>
          <w:iCs/>
          <w:lang w:val="en-US"/>
        </w:rPr>
        <w:t>Mishnah</w:t>
      </w:r>
      <w:r w:rsidR="00745376" w:rsidRPr="00B47003">
        <w:rPr>
          <w:lang w:val="en-US"/>
        </w:rPr>
        <w:t>, (date unknown),&lt; https://www.jewishhistory.org/the-mishnah/&gt; [accessed on 29</w:t>
      </w:r>
      <w:r w:rsidR="00745376" w:rsidRPr="00B47003">
        <w:rPr>
          <w:vertAlign w:val="superscript"/>
          <w:lang w:val="en-US"/>
        </w:rPr>
        <w:t>th</w:t>
      </w:r>
      <w:r w:rsidR="00745376" w:rsidRPr="00B47003">
        <w:rPr>
          <w:lang w:val="en-US"/>
        </w:rPr>
        <w:t xml:space="preserve"> May 2021].</w:t>
      </w:r>
    </w:p>
    <w:p w14:paraId="3F3D1546" w14:textId="1BCAA0D2" w:rsidR="00AE1892" w:rsidRPr="00AE1892" w:rsidRDefault="00AE1892">
      <w:pPr>
        <w:pStyle w:val="FootnoteText"/>
        <w:rPr>
          <w:lang w:val="en-US"/>
        </w:rPr>
      </w:pPr>
    </w:p>
  </w:footnote>
  <w:footnote w:id="8">
    <w:p w14:paraId="0B154716" w14:textId="77777777" w:rsidR="00745376" w:rsidRPr="00B47003" w:rsidRDefault="00627A19" w:rsidP="00B01A6C">
      <w:pPr>
        <w:pStyle w:val="FootnoteText"/>
        <w:rPr>
          <w:lang w:val="en-US"/>
        </w:rPr>
      </w:pPr>
      <w:r>
        <w:rPr>
          <w:rStyle w:val="FootnoteReference"/>
        </w:rPr>
        <w:footnoteRef/>
      </w:r>
      <w:r>
        <w:t xml:space="preserve"> </w:t>
      </w:r>
      <w:r w:rsidR="00745376" w:rsidRPr="00B47003">
        <w:rPr>
          <w:lang w:val="en-US"/>
        </w:rPr>
        <w:t xml:space="preserve">Wein, </w:t>
      </w:r>
      <w:proofErr w:type="spellStart"/>
      <w:r w:rsidR="00745376" w:rsidRPr="00B47003">
        <w:rPr>
          <w:lang w:val="en-US"/>
        </w:rPr>
        <w:t>Berel</w:t>
      </w:r>
      <w:proofErr w:type="spellEnd"/>
      <w:r w:rsidR="00745376" w:rsidRPr="00B47003">
        <w:rPr>
          <w:lang w:val="en-US"/>
        </w:rPr>
        <w:t xml:space="preserve">, </w:t>
      </w:r>
      <w:r w:rsidR="00745376" w:rsidRPr="00B47003">
        <w:rPr>
          <w:i/>
          <w:iCs/>
          <w:lang w:val="en-US"/>
        </w:rPr>
        <w:t>Mishnah</w:t>
      </w:r>
      <w:r w:rsidR="00745376" w:rsidRPr="00B47003">
        <w:rPr>
          <w:lang w:val="en-US"/>
        </w:rPr>
        <w:t>, (date unknown),&lt; https://www.jewishhistory.org/the-mishnah/&gt; [accessed on 29</w:t>
      </w:r>
      <w:r w:rsidR="00745376" w:rsidRPr="00B47003">
        <w:rPr>
          <w:vertAlign w:val="superscript"/>
          <w:lang w:val="en-US"/>
        </w:rPr>
        <w:t>th</w:t>
      </w:r>
      <w:r w:rsidR="00745376" w:rsidRPr="00B47003">
        <w:rPr>
          <w:lang w:val="en-US"/>
        </w:rPr>
        <w:t xml:space="preserve"> May 2021].</w:t>
      </w:r>
    </w:p>
    <w:p w14:paraId="66FAD090" w14:textId="4A54C3E0" w:rsidR="00627A19" w:rsidRPr="00627A19" w:rsidRDefault="00627A19">
      <w:pPr>
        <w:pStyle w:val="FootnoteText"/>
        <w:rPr>
          <w:lang w:val="en-US"/>
        </w:rPr>
      </w:pPr>
    </w:p>
  </w:footnote>
  <w:footnote w:id="9">
    <w:p w14:paraId="282D9A22" w14:textId="77777777" w:rsidR="00CD1402" w:rsidRPr="00BB3EE2" w:rsidRDefault="00A56EA5" w:rsidP="00CD1402">
      <w:pPr>
        <w:pStyle w:val="FootnoteText"/>
        <w:rPr>
          <w:lang w:val="en-US"/>
        </w:rPr>
      </w:pPr>
      <w:r>
        <w:rPr>
          <w:rStyle w:val="FootnoteReference"/>
        </w:rPr>
        <w:footnoteRef/>
      </w:r>
      <w:r>
        <w:t xml:space="preserve"> </w:t>
      </w:r>
      <w:r w:rsidR="00CD1402">
        <w:t xml:space="preserve">Katz T. Steven, </w:t>
      </w:r>
      <w:r w:rsidR="00CD1402" w:rsidRPr="00BB3EE2">
        <w:rPr>
          <w:i/>
          <w:iCs/>
          <w:lang w:val="en-US"/>
        </w:rPr>
        <w:t xml:space="preserve">Cambridge History Judaism, </w:t>
      </w:r>
      <w:r w:rsidR="00CD1402" w:rsidRPr="00BB3EE2">
        <w:rPr>
          <w:lang w:val="en-US"/>
        </w:rPr>
        <w:t>Volume 4 the late Roman-Rabbinic period,</w:t>
      </w:r>
      <w:r w:rsidR="00CD1402">
        <w:t xml:space="preserve"> </w:t>
      </w:r>
      <w:r w:rsidR="00CD1402" w:rsidRPr="00BB3EE2">
        <w:rPr>
          <w:lang w:val="en-US"/>
        </w:rPr>
        <w:t>(Cambridge, Cambridge University Press, 2006).</w:t>
      </w:r>
    </w:p>
    <w:p w14:paraId="4B96019E" w14:textId="787ED341" w:rsidR="00A56EA5" w:rsidRPr="00A56EA5" w:rsidRDefault="00A56EA5">
      <w:pPr>
        <w:pStyle w:val="FootnoteText"/>
        <w:rPr>
          <w:lang w:val="en-US"/>
        </w:rPr>
      </w:pPr>
    </w:p>
  </w:footnote>
  <w:footnote w:id="10">
    <w:p w14:paraId="4F18FE00" w14:textId="3250280B" w:rsidR="00C81ABB" w:rsidRPr="00953903" w:rsidRDefault="00C81ABB">
      <w:pPr>
        <w:pStyle w:val="FootnoteText"/>
        <w:rPr>
          <w:lang w:val="en-US"/>
        </w:rPr>
      </w:pPr>
      <w:r w:rsidRPr="00953903">
        <w:rPr>
          <w:rStyle w:val="FootnoteReference"/>
        </w:rPr>
        <w:footnoteRef/>
      </w:r>
      <w:r w:rsidRPr="00953903">
        <w:t xml:space="preserve"> </w:t>
      </w:r>
      <w:proofErr w:type="spellStart"/>
      <w:r w:rsidR="00966F87" w:rsidRPr="00953903">
        <w:rPr>
          <w:rFonts w:eastAsia="Times New Roman"/>
          <w:color w:val="000000"/>
          <w:spacing w:val="-5"/>
          <w:shd w:val="clear" w:color="auto" w:fill="FFFFFF"/>
        </w:rPr>
        <w:t>Neusner</w:t>
      </w:r>
      <w:proofErr w:type="spellEnd"/>
      <w:r w:rsidR="00966F87" w:rsidRPr="00953903">
        <w:rPr>
          <w:rFonts w:eastAsia="Times New Roman"/>
          <w:color w:val="000000"/>
          <w:spacing w:val="-5"/>
          <w:shd w:val="clear" w:color="auto" w:fill="FFFFFF"/>
        </w:rPr>
        <w:t>, Jacob</w:t>
      </w:r>
      <w:r w:rsidR="004D4FCD">
        <w:rPr>
          <w:rFonts w:eastAsia="Times New Roman"/>
          <w:color w:val="000000"/>
          <w:spacing w:val="-5"/>
          <w:shd w:val="clear" w:color="auto" w:fill="FFFFFF"/>
        </w:rPr>
        <w:t xml:space="preserve">, </w:t>
      </w:r>
      <w:r w:rsidR="004D4FCD">
        <w:rPr>
          <w:rFonts w:eastAsia="Times New Roman"/>
          <w:i/>
          <w:iCs/>
          <w:color w:val="000000"/>
          <w:spacing w:val="-5"/>
          <w:shd w:val="clear" w:color="auto" w:fill="FFFFFF"/>
        </w:rPr>
        <w:t xml:space="preserve">Form and Meaning in Mishnah, </w:t>
      </w:r>
      <w:r w:rsidR="00966F87" w:rsidRPr="00953903">
        <w:rPr>
          <w:rFonts w:eastAsia="Times New Roman"/>
          <w:i/>
          <w:iCs/>
          <w:color w:val="000000"/>
          <w:spacing w:val="-5"/>
          <w:shd w:val="clear" w:color="auto" w:fill="FFFFFF"/>
        </w:rPr>
        <w:t>Journal of the American Academy of Religion</w:t>
      </w:r>
      <w:r w:rsidR="00966F87" w:rsidRPr="00953903">
        <w:rPr>
          <w:rFonts w:eastAsia="Times New Roman"/>
          <w:color w:val="000000"/>
          <w:spacing w:val="-5"/>
          <w:shd w:val="clear" w:color="auto" w:fill="FFFFFF"/>
        </w:rPr>
        <w:t xml:space="preserve">, vol. 45, no. 1, </w:t>
      </w:r>
      <w:r w:rsidR="00953903">
        <w:rPr>
          <w:rFonts w:eastAsia="Times New Roman"/>
          <w:color w:val="000000"/>
          <w:spacing w:val="-5"/>
          <w:shd w:val="clear" w:color="auto" w:fill="FFFFFF"/>
        </w:rPr>
        <w:t>(</w:t>
      </w:r>
      <w:r w:rsidR="00966F87" w:rsidRPr="00953903">
        <w:rPr>
          <w:rFonts w:eastAsia="Times New Roman"/>
          <w:color w:val="000000"/>
          <w:spacing w:val="-5"/>
          <w:shd w:val="clear" w:color="auto" w:fill="FFFFFF"/>
        </w:rPr>
        <w:t>1977</w:t>
      </w:r>
      <w:r w:rsidR="00953903">
        <w:rPr>
          <w:rFonts w:eastAsia="Times New Roman"/>
          <w:color w:val="000000"/>
          <w:spacing w:val="-5"/>
          <w:shd w:val="clear" w:color="auto" w:fill="FFFFFF"/>
        </w:rPr>
        <w:t>)</w:t>
      </w:r>
      <w:r w:rsidR="0030117F">
        <w:rPr>
          <w:rFonts w:eastAsia="Times New Roman"/>
          <w:color w:val="000000"/>
          <w:spacing w:val="-5"/>
          <w:shd w:val="clear" w:color="auto" w:fill="FFFFFF"/>
        </w:rPr>
        <w:t>&lt;</w:t>
      </w:r>
      <w:r w:rsidR="00966F87" w:rsidRPr="00953903">
        <w:rPr>
          <w:rFonts w:eastAsia="Times New Roman"/>
          <w:color w:val="000000"/>
          <w:spacing w:val="-5"/>
          <w:shd w:val="clear" w:color="auto" w:fill="FFFFFF"/>
        </w:rPr>
        <w:t> </w:t>
      </w:r>
      <w:r w:rsidR="00966F87" w:rsidRPr="00953903">
        <w:rPr>
          <w:rFonts w:eastAsia="Times New Roman"/>
          <w:i/>
          <w:iCs/>
          <w:color w:val="000000"/>
          <w:spacing w:val="-5"/>
          <w:shd w:val="clear" w:color="auto" w:fill="FFFFFF"/>
        </w:rPr>
        <w:t>JSTOR</w:t>
      </w:r>
      <w:r w:rsidR="00966F87" w:rsidRPr="00953903">
        <w:rPr>
          <w:rFonts w:eastAsia="Times New Roman"/>
          <w:color w:val="000000"/>
          <w:spacing w:val="-5"/>
          <w:shd w:val="clear" w:color="auto" w:fill="FFFFFF"/>
        </w:rPr>
        <w:t xml:space="preserve">, </w:t>
      </w:r>
      <w:hyperlink r:id="rId1" w:history="1">
        <w:r w:rsidR="0030117F" w:rsidRPr="0044071B">
          <w:rPr>
            <w:rStyle w:val="Hyperlink"/>
            <w:rFonts w:eastAsia="Times New Roman"/>
            <w:spacing w:val="-5"/>
            <w:shd w:val="clear" w:color="auto" w:fill="FFFFFF"/>
          </w:rPr>
          <w:t>www.jstor.org/stable/1463387</w:t>
        </w:r>
      </w:hyperlink>
      <w:r w:rsidR="0030117F">
        <w:rPr>
          <w:rFonts w:eastAsia="Times New Roman"/>
          <w:color w:val="000000"/>
          <w:spacing w:val="-5"/>
          <w:shd w:val="clear" w:color="auto" w:fill="FFFFFF"/>
        </w:rPr>
        <w:t>&gt; [</w:t>
      </w:r>
      <w:r w:rsidR="00966F87" w:rsidRPr="00953903">
        <w:rPr>
          <w:rFonts w:eastAsia="Times New Roman"/>
          <w:color w:val="000000"/>
          <w:spacing w:val="-5"/>
          <w:shd w:val="clear" w:color="auto" w:fill="FFFFFF"/>
        </w:rPr>
        <w:t>Accessed 29 May 2021</w:t>
      </w:r>
      <w:r w:rsidR="0030117F">
        <w:rPr>
          <w:rFonts w:eastAsia="Times New Roman"/>
          <w:color w:val="000000"/>
          <w:spacing w:val="-5"/>
          <w:shd w:val="clear" w:color="auto" w:fill="FFFFFF"/>
        </w:rPr>
        <w:t>]. Page 27.</w:t>
      </w:r>
    </w:p>
  </w:footnote>
  <w:footnote w:id="11">
    <w:p w14:paraId="1A3652DC" w14:textId="77777777" w:rsidR="00CD1402" w:rsidRPr="00BB3EE2" w:rsidRDefault="00E668EC" w:rsidP="009E0731">
      <w:pPr>
        <w:pStyle w:val="FootnoteText"/>
        <w:rPr>
          <w:lang w:val="en-US"/>
        </w:rPr>
      </w:pPr>
      <w:r>
        <w:rPr>
          <w:rStyle w:val="FootnoteReference"/>
        </w:rPr>
        <w:footnoteRef/>
      </w:r>
      <w:r>
        <w:t xml:space="preserve"> </w:t>
      </w:r>
      <w:r w:rsidR="00CD1402">
        <w:t xml:space="preserve">Katz T. Steven, </w:t>
      </w:r>
      <w:r w:rsidR="00CD1402" w:rsidRPr="00BB3EE2">
        <w:rPr>
          <w:i/>
          <w:iCs/>
          <w:lang w:val="en-US"/>
        </w:rPr>
        <w:t xml:space="preserve">Cambridge History Judaism, </w:t>
      </w:r>
      <w:r w:rsidR="00CD1402" w:rsidRPr="00BB3EE2">
        <w:rPr>
          <w:lang w:val="en-US"/>
        </w:rPr>
        <w:t>Volume 4 the late Roman-Rabbinic period,</w:t>
      </w:r>
      <w:r w:rsidR="00CD1402">
        <w:t xml:space="preserve"> </w:t>
      </w:r>
      <w:r w:rsidR="00CD1402" w:rsidRPr="00BB3EE2">
        <w:rPr>
          <w:lang w:val="en-US"/>
        </w:rPr>
        <w:t>(Cambridge, Cambridge University Press, 2006).</w:t>
      </w:r>
    </w:p>
    <w:p w14:paraId="6A2F6F02" w14:textId="31157194" w:rsidR="00E668EC" w:rsidRPr="00E668EC" w:rsidRDefault="00E668EC">
      <w:pPr>
        <w:pStyle w:val="FootnoteText"/>
        <w:rPr>
          <w:lang w:val="en-US"/>
        </w:rPr>
      </w:pPr>
    </w:p>
  </w:footnote>
  <w:footnote w:id="12">
    <w:p w14:paraId="57587917" w14:textId="58C22836" w:rsidR="002F5220" w:rsidRPr="005429E6" w:rsidRDefault="000374EA" w:rsidP="00711E0A">
      <w:pPr>
        <w:pStyle w:val="FootnoteText"/>
        <w:rPr>
          <w:lang w:val="en-US"/>
        </w:rPr>
      </w:pPr>
      <w:r>
        <w:rPr>
          <w:rStyle w:val="FootnoteReference"/>
        </w:rPr>
        <w:footnoteRef/>
      </w:r>
      <w:r>
        <w:t xml:space="preserve"> </w:t>
      </w:r>
      <w:r w:rsidR="002F5220">
        <w:rPr>
          <w:lang w:val="en-US"/>
        </w:rPr>
        <w:t xml:space="preserve">Thomas, Rhodri, Early Jewish Literature: Codification of the Oral Torah, (2021)&lt; </w:t>
      </w:r>
      <w:r w:rsidR="002F5220" w:rsidRPr="00140AE2">
        <w:rPr>
          <w:lang w:val="en-US"/>
        </w:rPr>
        <w:t>https://moodle.uwtsd.ac.uk/pluginfile.php/497626/mod_resource/</w:t>
      </w:r>
      <w:r w:rsidR="002F5220">
        <w:rPr>
          <w:lang w:val="en-US"/>
        </w:rPr>
        <w:t>&gt; [accessed on 29</w:t>
      </w:r>
      <w:r w:rsidR="002F5220" w:rsidRPr="00140AE2">
        <w:rPr>
          <w:vertAlign w:val="superscript"/>
          <w:lang w:val="en-US"/>
        </w:rPr>
        <w:t>th</w:t>
      </w:r>
      <w:r w:rsidR="002F5220">
        <w:rPr>
          <w:lang w:val="en-US"/>
        </w:rPr>
        <w:t xml:space="preserve"> May 2021].</w:t>
      </w:r>
    </w:p>
    <w:p w14:paraId="25238176" w14:textId="782A47DC" w:rsidR="000374EA" w:rsidRPr="000374EA" w:rsidRDefault="000374EA">
      <w:pPr>
        <w:pStyle w:val="FootnoteText"/>
        <w:rPr>
          <w:lang w:val="en-US"/>
        </w:rPr>
      </w:pPr>
    </w:p>
  </w:footnote>
  <w:footnote w:id="13">
    <w:p w14:paraId="36A0A56F" w14:textId="1595D0FF" w:rsidR="001C0D2F" w:rsidRPr="0097399F" w:rsidRDefault="001C0D2F">
      <w:pPr>
        <w:pStyle w:val="FootnoteText"/>
        <w:rPr>
          <w:lang w:val="en-US"/>
        </w:rPr>
      </w:pPr>
      <w:r>
        <w:rPr>
          <w:rStyle w:val="FootnoteReference"/>
        </w:rPr>
        <w:footnoteRef/>
      </w:r>
      <w:r>
        <w:t xml:space="preserve"> </w:t>
      </w:r>
      <w:r>
        <w:rPr>
          <w:lang w:val="en-US"/>
        </w:rPr>
        <w:t>Jewish</w:t>
      </w:r>
      <w:r w:rsidR="0071297A">
        <w:rPr>
          <w:lang w:val="en-US"/>
        </w:rPr>
        <w:t xml:space="preserve"> Virtual Library</w:t>
      </w:r>
      <w:r w:rsidR="0045652F">
        <w:rPr>
          <w:lang w:val="en-US"/>
        </w:rPr>
        <w:t xml:space="preserve">, </w:t>
      </w:r>
      <w:r w:rsidR="0045652F">
        <w:rPr>
          <w:i/>
          <w:iCs/>
          <w:lang w:val="en-US"/>
        </w:rPr>
        <w:t>Judaism: The Oral Law- Talmud and Mishnah</w:t>
      </w:r>
      <w:r w:rsidR="0097399F">
        <w:rPr>
          <w:lang w:val="en-US"/>
        </w:rPr>
        <w:t>, (date unknown), &lt;</w:t>
      </w:r>
      <w:r w:rsidR="0097399F" w:rsidRPr="0097399F">
        <w:rPr>
          <w:lang w:val="en-US"/>
        </w:rPr>
        <w:t>https://www.jewishvirtuallibrary.org/the-oral-law-talmud-and-mishna</w:t>
      </w:r>
      <w:r w:rsidR="00D8024C">
        <w:rPr>
          <w:lang w:val="en-US"/>
        </w:rPr>
        <w:t>h&gt; [accessed on 29</w:t>
      </w:r>
      <w:r w:rsidR="00D8024C" w:rsidRPr="00D8024C">
        <w:rPr>
          <w:vertAlign w:val="superscript"/>
          <w:lang w:val="en-US"/>
        </w:rPr>
        <w:t>th</w:t>
      </w:r>
      <w:r w:rsidR="00D8024C">
        <w:rPr>
          <w:lang w:val="en-US"/>
        </w:rPr>
        <w:t xml:space="preserve"> May 2021].</w:t>
      </w:r>
    </w:p>
  </w:footnote>
  <w:footnote w:id="14">
    <w:p w14:paraId="1F3F580C" w14:textId="377D532C" w:rsidR="005669DC" w:rsidRPr="005429E6" w:rsidRDefault="00457D35" w:rsidP="00711E0A">
      <w:pPr>
        <w:pStyle w:val="FootnoteText"/>
        <w:rPr>
          <w:lang w:val="en-US"/>
        </w:rPr>
      </w:pPr>
      <w:r>
        <w:rPr>
          <w:rStyle w:val="FootnoteReference"/>
        </w:rPr>
        <w:footnoteRef/>
      </w:r>
      <w:r>
        <w:t xml:space="preserve"> </w:t>
      </w:r>
      <w:r w:rsidR="005669DC">
        <w:rPr>
          <w:lang w:val="en-US"/>
        </w:rPr>
        <w:t xml:space="preserve">Thomas, Rhodri, Early Jewish Literature: Codification of the Oral Torah, (2021)&lt; </w:t>
      </w:r>
      <w:r w:rsidR="005669DC" w:rsidRPr="00140AE2">
        <w:rPr>
          <w:lang w:val="en-US"/>
        </w:rPr>
        <w:t>https://moodle.uwtsd.ac.uk/pluginfile.php/497626/mod_resource/</w:t>
      </w:r>
      <w:r w:rsidR="005669DC">
        <w:rPr>
          <w:lang w:val="en-US"/>
        </w:rPr>
        <w:t>&gt; [accessed on 29</w:t>
      </w:r>
      <w:r w:rsidR="005669DC" w:rsidRPr="00140AE2">
        <w:rPr>
          <w:vertAlign w:val="superscript"/>
          <w:lang w:val="en-US"/>
        </w:rPr>
        <w:t>th</w:t>
      </w:r>
      <w:r w:rsidR="005669DC">
        <w:rPr>
          <w:lang w:val="en-US"/>
        </w:rPr>
        <w:t xml:space="preserve"> May 2021].</w:t>
      </w:r>
    </w:p>
    <w:p w14:paraId="7797B10A" w14:textId="5C218373" w:rsidR="00457D35" w:rsidRPr="00457D35" w:rsidRDefault="00457D35">
      <w:pPr>
        <w:pStyle w:val="FootnoteText"/>
        <w:rPr>
          <w:lang w:val="en-US"/>
        </w:rPr>
      </w:pPr>
    </w:p>
  </w:footnote>
  <w:footnote w:id="15">
    <w:p w14:paraId="52A0371A" w14:textId="7D022108" w:rsidR="00D8024C" w:rsidRPr="0097399F" w:rsidRDefault="00444D65" w:rsidP="00711E0A">
      <w:pPr>
        <w:pStyle w:val="FootnoteText"/>
        <w:rPr>
          <w:lang w:val="en-US"/>
        </w:rPr>
      </w:pPr>
      <w:r>
        <w:rPr>
          <w:rStyle w:val="FootnoteReference"/>
        </w:rPr>
        <w:footnoteRef/>
      </w:r>
      <w:r>
        <w:t xml:space="preserve"> </w:t>
      </w:r>
      <w:r w:rsidR="00D8024C">
        <w:rPr>
          <w:lang w:val="en-US"/>
        </w:rPr>
        <w:t xml:space="preserve">Jewish Virtual Library, </w:t>
      </w:r>
      <w:r w:rsidR="00D8024C">
        <w:rPr>
          <w:i/>
          <w:iCs/>
          <w:lang w:val="en-US"/>
        </w:rPr>
        <w:t>Judaism: The Oral Law- Talmud and Mishnah</w:t>
      </w:r>
      <w:r w:rsidR="00D8024C">
        <w:rPr>
          <w:lang w:val="en-US"/>
        </w:rPr>
        <w:t>, (date unknown), &lt;</w:t>
      </w:r>
      <w:r w:rsidR="00D8024C" w:rsidRPr="0097399F">
        <w:rPr>
          <w:lang w:val="en-US"/>
        </w:rPr>
        <w:t>https://www.jewishvirtuallibrary.org/the-oral-law-talmud-and-mishna</w:t>
      </w:r>
      <w:r w:rsidR="00D8024C">
        <w:rPr>
          <w:lang w:val="en-US"/>
        </w:rPr>
        <w:t>h&gt; [accessed on 29</w:t>
      </w:r>
      <w:r w:rsidR="00D8024C" w:rsidRPr="00D8024C">
        <w:rPr>
          <w:vertAlign w:val="superscript"/>
          <w:lang w:val="en-US"/>
        </w:rPr>
        <w:t>th</w:t>
      </w:r>
      <w:r w:rsidR="00D8024C">
        <w:rPr>
          <w:lang w:val="en-US"/>
        </w:rPr>
        <w:t xml:space="preserve"> May 2021].</w:t>
      </w:r>
    </w:p>
    <w:p w14:paraId="2E823635" w14:textId="676EBA48" w:rsidR="00444D65" w:rsidRPr="00444D65" w:rsidRDefault="00444D65">
      <w:pPr>
        <w:pStyle w:val="FootnoteText"/>
        <w:rPr>
          <w:lang w:val="en-US"/>
        </w:rPr>
      </w:pPr>
    </w:p>
  </w:footnote>
  <w:footnote w:id="16">
    <w:p w14:paraId="7A0E8191" w14:textId="2626B3AF" w:rsidR="006C1AEF" w:rsidRPr="001E6886" w:rsidRDefault="006C1AEF">
      <w:pPr>
        <w:pStyle w:val="FootnoteText"/>
        <w:rPr>
          <w:lang w:val="en-US"/>
        </w:rPr>
      </w:pPr>
      <w:r>
        <w:rPr>
          <w:rStyle w:val="FootnoteReference"/>
        </w:rPr>
        <w:footnoteRef/>
      </w:r>
      <w:r>
        <w:t xml:space="preserve"> </w:t>
      </w:r>
      <w:proofErr w:type="spellStart"/>
      <w:r w:rsidR="00B11080">
        <w:rPr>
          <w:lang w:val="en-US"/>
        </w:rPr>
        <w:t>Neusner</w:t>
      </w:r>
      <w:proofErr w:type="spellEnd"/>
      <w:r w:rsidR="00B11080">
        <w:rPr>
          <w:lang w:val="en-US"/>
        </w:rPr>
        <w:t xml:space="preserve">, Jacob, </w:t>
      </w:r>
      <w:r w:rsidR="00B11080">
        <w:rPr>
          <w:i/>
          <w:iCs/>
          <w:lang w:val="en-US"/>
        </w:rPr>
        <w:t>The Four Stages of Rabbinic Judaism</w:t>
      </w:r>
      <w:r w:rsidR="001E6886">
        <w:rPr>
          <w:lang w:val="en-US"/>
        </w:rPr>
        <w:t>,</w:t>
      </w:r>
      <w:r w:rsidR="00B4726C">
        <w:rPr>
          <w:lang w:val="en-US"/>
        </w:rPr>
        <w:t>(</w:t>
      </w:r>
      <w:r w:rsidR="006F1B9B">
        <w:rPr>
          <w:lang w:val="en-US"/>
        </w:rPr>
        <w:t>London, Routledge, 1999)</w:t>
      </w:r>
      <w:r w:rsidR="00F753CD">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84C3A"/>
    <w:multiLevelType w:val="hybridMultilevel"/>
    <w:tmpl w:val="21E01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AC"/>
    <w:rsid w:val="000015DF"/>
    <w:rsid w:val="0000535A"/>
    <w:rsid w:val="00007E1B"/>
    <w:rsid w:val="0001139D"/>
    <w:rsid w:val="0001420B"/>
    <w:rsid w:val="00015385"/>
    <w:rsid w:val="000153D8"/>
    <w:rsid w:val="00017D89"/>
    <w:rsid w:val="00020232"/>
    <w:rsid w:val="00030801"/>
    <w:rsid w:val="00031994"/>
    <w:rsid w:val="00031CAB"/>
    <w:rsid w:val="00035060"/>
    <w:rsid w:val="000374EA"/>
    <w:rsid w:val="000375A2"/>
    <w:rsid w:val="000406E2"/>
    <w:rsid w:val="000418FD"/>
    <w:rsid w:val="00043AAE"/>
    <w:rsid w:val="00046F6E"/>
    <w:rsid w:val="00054E3C"/>
    <w:rsid w:val="00054E7C"/>
    <w:rsid w:val="0005649B"/>
    <w:rsid w:val="00060E47"/>
    <w:rsid w:val="000637D9"/>
    <w:rsid w:val="000658B8"/>
    <w:rsid w:val="00071194"/>
    <w:rsid w:val="0007139E"/>
    <w:rsid w:val="000714B9"/>
    <w:rsid w:val="000813D5"/>
    <w:rsid w:val="00091251"/>
    <w:rsid w:val="00095433"/>
    <w:rsid w:val="000A12A3"/>
    <w:rsid w:val="000A2E1B"/>
    <w:rsid w:val="000A4A22"/>
    <w:rsid w:val="000A6929"/>
    <w:rsid w:val="000B6006"/>
    <w:rsid w:val="000B60BD"/>
    <w:rsid w:val="000C6FCD"/>
    <w:rsid w:val="000D25C3"/>
    <w:rsid w:val="000E0BDF"/>
    <w:rsid w:val="000E21C7"/>
    <w:rsid w:val="000F2EE2"/>
    <w:rsid w:val="000F403F"/>
    <w:rsid w:val="000F4FC7"/>
    <w:rsid w:val="0010001D"/>
    <w:rsid w:val="00132515"/>
    <w:rsid w:val="00136C04"/>
    <w:rsid w:val="00140AE2"/>
    <w:rsid w:val="001565A5"/>
    <w:rsid w:val="001570F3"/>
    <w:rsid w:val="00160394"/>
    <w:rsid w:val="001657A7"/>
    <w:rsid w:val="00166A7D"/>
    <w:rsid w:val="00171F83"/>
    <w:rsid w:val="00172430"/>
    <w:rsid w:val="00174991"/>
    <w:rsid w:val="001A15D8"/>
    <w:rsid w:val="001A20E0"/>
    <w:rsid w:val="001A2A7E"/>
    <w:rsid w:val="001B02A7"/>
    <w:rsid w:val="001C0D2F"/>
    <w:rsid w:val="001C13EA"/>
    <w:rsid w:val="001D4B77"/>
    <w:rsid w:val="001D5734"/>
    <w:rsid w:val="001D7379"/>
    <w:rsid w:val="001D7746"/>
    <w:rsid w:val="001E0DD0"/>
    <w:rsid w:val="001E381F"/>
    <w:rsid w:val="001E658E"/>
    <w:rsid w:val="001E6886"/>
    <w:rsid w:val="001F3051"/>
    <w:rsid w:val="002035CB"/>
    <w:rsid w:val="002041EE"/>
    <w:rsid w:val="0020783B"/>
    <w:rsid w:val="0021481E"/>
    <w:rsid w:val="00215E04"/>
    <w:rsid w:val="002166D7"/>
    <w:rsid w:val="0022018A"/>
    <w:rsid w:val="002225DA"/>
    <w:rsid w:val="00222781"/>
    <w:rsid w:val="00225474"/>
    <w:rsid w:val="00225860"/>
    <w:rsid w:val="0022794F"/>
    <w:rsid w:val="00227DAA"/>
    <w:rsid w:val="00230CE6"/>
    <w:rsid w:val="00236B42"/>
    <w:rsid w:val="00236C03"/>
    <w:rsid w:val="00242B06"/>
    <w:rsid w:val="0024467B"/>
    <w:rsid w:val="00253781"/>
    <w:rsid w:val="00260E8F"/>
    <w:rsid w:val="002649AB"/>
    <w:rsid w:val="00275522"/>
    <w:rsid w:val="002826C5"/>
    <w:rsid w:val="00287843"/>
    <w:rsid w:val="002913B6"/>
    <w:rsid w:val="00291F64"/>
    <w:rsid w:val="002A389F"/>
    <w:rsid w:val="002A38C3"/>
    <w:rsid w:val="002B3662"/>
    <w:rsid w:val="002C35CD"/>
    <w:rsid w:val="002C48E0"/>
    <w:rsid w:val="002C4AA8"/>
    <w:rsid w:val="002D1774"/>
    <w:rsid w:val="002D6DBD"/>
    <w:rsid w:val="002F0D4E"/>
    <w:rsid w:val="002F5220"/>
    <w:rsid w:val="002F69A2"/>
    <w:rsid w:val="0030117F"/>
    <w:rsid w:val="00302ACF"/>
    <w:rsid w:val="00305448"/>
    <w:rsid w:val="00311BA9"/>
    <w:rsid w:val="00321BDA"/>
    <w:rsid w:val="003261C1"/>
    <w:rsid w:val="003308EE"/>
    <w:rsid w:val="00355A84"/>
    <w:rsid w:val="00357B51"/>
    <w:rsid w:val="00360D2D"/>
    <w:rsid w:val="003636F6"/>
    <w:rsid w:val="00365693"/>
    <w:rsid w:val="0037156F"/>
    <w:rsid w:val="0037498F"/>
    <w:rsid w:val="003872CC"/>
    <w:rsid w:val="0039076A"/>
    <w:rsid w:val="00392568"/>
    <w:rsid w:val="003A171F"/>
    <w:rsid w:val="003A30AF"/>
    <w:rsid w:val="003D00BE"/>
    <w:rsid w:val="003D6AEF"/>
    <w:rsid w:val="00402368"/>
    <w:rsid w:val="00411184"/>
    <w:rsid w:val="00444B45"/>
    <w:rsid w:val="00444D65"/>
    <w:rsid w:val="00447A01"/>
    <w:rsid w:val="0045652F"/>
    <w:rsid w:val="00457D35"/>
    <w:rsid w:val="004645E0"/>
    <w:rsid w:val="00464E12"/>
    <w:rsid w:val="0047229D"/>
    <w:rsid w:val="00480AF4"/>
    <w:rsid w:val="00480E03"/>
    <w:rsid w:val="00486EF0"/>
    <w:rsid w:val="00487C75"/>
    <w:rsid w:val="004B22B0"/>
    <w:rsid w:val="004B71FA"/>
    <w:rsid w:val="004C5C8D"/>
    <w:rsid w:val="004C6DE8"/>
    <w:rsid w:val="004D365B"/>
    <w:rsid w:val="004D382F"/>
    <w:rsid w:val="004D4FCD"/>
    <w:rsid w:val="004D609C"/>
    <w:rsid w:val="004E304D"/>
    <w:rsid w:val="004E3460"/>
    <w:rsid w:val="004F0024"/>
    <w:rsid w:val="004F4630"/>
    <w:rsid w:val="00503BA4"/>
    <w:rsid w:val="00504317"/>
    <w:rsid w:val="0050497E"/>
    <w:rsid w:val="00506989"/>
    <w:rsid w:val="00511D0C"/>
    <w:rsid w:val="00516640"/>
    <w:rsid w:val="00517CEA"/>
    <w:rsid w:val="005219E5"/>
    <w:rsid w:val="0052372A"/>
    <w:rsid w:val="005429E6"/>
    <w:rsid w:val="0054415B"/>
    <w:rsid w:val="005449FD"/>
    <w:rsid w:val="00552805"/>
    <w:rsid w:val="0055656B"/>
    <w:rsid w:val="0055663D"/>
    <w:rsid w:val="0055728B"/>
    <w:rsid w:val="0055756F"/>
    <w:rsid w:val="00557767"/>
    <w:rsid w:val="00562A2D"/>
    <w:rsid w:val="00563FF5"/>
    <w:rsid w:val="00565C8C"/>
    <w:rsid w:val="005669DC"/>
    <w:rsid w:val="00580253"/>
    <w:rsid w:val="005807B0"/>
    <w:rsid w:val="00580C5A"/>
    <w:rsid w:val="00581137"/>
    <w:rsid w:val="00584C8B"/>
    <w:rsid w:val="0058555E"/>
    <w:rsid w:val="005858CD"/>
    <w:rsid w:val="00586A21"/>
    <w:rsid w:val="00590970"/>
    <w:rsid w:val="00592A0C"/>
    <w:rsid w:val="00592FAF"/>
    <w:rsid w:val="0059338E"/>
    <w:rsid w:val="005A31AA"/>
    <w:rsid w:val="005A3B77"/>
    <w:rsid w:val="005B055B"/>
    <w:rsid w:val="005B468D"/>
    <w:rsid w:val="005B47D3"/>
    <w:rsid w:val="005C19DA"/>
    <w:rsid w:val="005C518E"/>
    <w:rsid w:val="005C6083"/>
    <w:rsid w:val="005D1154"/>
    <w:rsid w:val="005D5EB9"/>
    <w:rsid w:val="005D7B09"/>
    <w:rsid w:val="005E0D0E"/>
    <w:rsid w:val="005E5E5E"/>
    <w:rsid w:val="005E6F07"/>
    <w:rsid w:val="005F1462"/>
    <w:rsid w:val="0060173C"/>
    <w:rsid w:val="00602E8D"/>
    <w:rsid w:val="00603F6C"/>
    <w:rsid w:val="00604FCE"/>
    <w:rsid w:val="0060751B"/>
    <w:rsid w:val="00611D15"/>
    <w:rsid w:val="00622799"/>
    <w:rsid w:val="0062645F"/>
    <w:rsid w:val="00627A19"/>
    <w:rsid w:val="00647E0E"/>
    <w:rsid w:val="006619DB"/>
    <w:rsid w:val="00661CB6"/>
    <w:rsid w:val="006656C0"/>
    <w:rsid w:val="006753D8"/>
    <w:rsid w:val="006779A4"/>
    <w:rsid w:val="00677FCF"/>
    <w:rsid w:val="0068596D"/>
    <w:rsid w:val="00690147"/>
    <w:rsid w:val="006968FF"/>
    <w:rsid w:val="0069705C"/>
    <w:rsid w:val="006A1E19"/>
    <w:rsid w:val="006A2CF5"/>
    <w:rsid w:val="006B5CF3"/>
    <w:rsid w:val="006B7C91"/>
    <w:rsid w:val="006C171D"/>
    <w:rsid w:val="006C1AEF"/>
    <w:rsid w:val="006C4916"/>
    <w:rsid w:val="006C704B"/>
    <w:rsid w:val="006D20D9"/>
    <w:rsid w:val="006D5614"/>
    <w:rsid w:val="006E1B12"/>
    <w:rsid w:val="006E20E4"/>
    <w:rsid w:val="006E2C33"/>
    <w:rsid w:val="006E6713"/>
    <w:rsid w:val="006F0A3D"/>
    <w:rsid w:val="006F1B9B"/>
    <w:rsid w:val="006F5715"/>
    <w:rsid w:val="006F6062"/>
    <w:rsid w:val="006F63D9"/>
    <w:rsid w:val="00705351"/>
    <w:rsid w:val="007066E8"/>
    <w:rsid w:val="0071297A"/>
    <w:rsid w:val="00713157"/>
    <w:rsid w:val="00722DDC"/>
    <w:rsid w:val="00723752"/>
    <w:rsid w:val="0072410F"/>
    <w:rsid w:val="0072479F"/>
    <w:rsid w:val="00725ACC"/>
    <w:rsid w:val="00731724"/>
    <w:rsid w:val="007409A6"/>
    <w:rsid w:val="00745376"/>
    <w:rsid w:val="00750D89"/>
    <w:rsid w:val="007546A9"/>
    <w:rsid w:val="00755B04"/>
    <w:rsid w:val="00774443"/>
    <w:rsid w:val="007821C7"/>
    <w:rsid w:val="007855C3"/>
    <w:rsid w:val="00796AF4"/>
    <w:rsid w:val="00797476"/>
    <w:rsid w:val="00797E95"/>
    <w:rsid w:val="007A2B7F"/>
    <w:rsid w:val="007A468C"/>
    <w:rsid w:val="007B1428"/>
    <w:rsid w:val="007B5568"/>
    <w:rsid w:val="007B740C"/>
    <w:rsid w:val="007C3A9B"/>
    <w:rsid w:val="007D1022"/>
    <w:rsid w:val="007D1CD6"/>
    <w:rsid w:val="007E1D0E"/>
    <w:rsid w:val="007E7FA5"/>
    <w:rsid w:val="007F4364"/>
    <w:rsid w:val="007F778C"/>
    <w:rsid w:val="0080084C"/>
    <w:rsid w:val="008041E0"/>
    <w:rsid w:val="0080452D"/>
    <w:rsid w:val="00807050"/>
    <w:rsid w:val="0081338D"/>
    <w:rsid w:val="0082293F"/>
    <w:rsid w:val="008236CF"/>
    <w:rsid w:val="00823DC7"/>
    <w:rsid w:val="0082443A"/>
    <w:rsid w:val="0082554D"/>
    <w:rsid w:val="00827BD2"/>
    <w:rsid w:val="00843C21"/>
    <w:rsid w:val="00851998"/>
    <w:rsid w:val="00852B54"/>
    <w:rsid w:val="00853E16"/>
    <w:rsid w:val="00864CD1"/>
    <w:rsid w:val="008733D0"/>
    <w:rsid w:val="00884264"/>
    <w:rsid w:val="008872E0"/>
    <w:rsid w:val="00892E98"/>
    <w:rsid w:val="008931F6"/>
    <w:rsid w:val="0089600A"/>
    <w:rsid w:val="008B19EB"/>
    <w:rsid w:val="008C002D"/>
    <w:rsid w:val="008C1C38"/>
    <w:rsid w:val="008D7237"/>
    <w:rsid w:val="008E2FB4"/>
    <w:rsid w:val="008E64A8"/>
    <w:rsid w:val="008F1CA9"/>
    <w:rsid w:val="008F1CD5"/>
    <w:rsid w:val="009023AF"/>
    <w:rsid w:val="0090300A"/>
    <w:rsid w:val="009127D8"/>
    <w:rsid w:val="00920E6E"/>
    <w:rsid w:val="00923376"/>
    <w:rsid w:val="009238FF"/>
    <w:rsid w:val="0092693F"/>
    <w:rsid w:val="00933CD0"/>
    <w:rsid w:val="009379F3"/>
    <w:rsid w:val="00937B3B"/>
    <w:rsid w:val="00944E13"/>
    <w:rsid w:val="00945630"/>
    <w:rsid w:val="00945D03"/>
    <w:rsid w:val="00953903"/>
    <w:rsid w:val="00956349"/>
    <w:rsid w:val="00956E9E"/>
    <w:rsid w:val="00957A7D"/>
    <w:rsid w:val="00962043"/>
    <w:rsid w:val="00962B70"/>
    <w:rsid w:val="00966D0F"/>
    <w:rsid w:val="00966F87"/>
    <w:rsid w:val="009673B4"/>
    <w:rsid w:val="0097399F"/>
    <w:rsid w:val="009806D2"/>
    <w:rsid w:val="0098134A"/>
    <w:rsid w:val="009820D4"/>
    <w:rsid w:val="00987767"/>
    <w:rsid w:val="00994140"/>
    <w:rsid w:val="00995883"/>
    <w:rsid w:val="009A2576"/>
    <w:rsid w:val="009B0997"/>
    <w:rsid w:val="009B1BDE"/>
    <w:rsid w:val="009B3946"/>
    <w:rsid w:val="009B4727"/>
    <w:rsid w:val="009B6AF3"/>
    <w:rsid w:val="009C6EFE"/>
    <w:rsid w:val="009D1532"/>
    <w:rsid w:val="009D2083"/>
    <w:rsid w:val="009D213D"/>
    <w:rsid w:val="009D28FB"/>
    <w:rsid w:val="009D3752"/>
    <w:rsid w:val="009D4FDD"/>
    <w:rsid w:val="009E0731"/>
    <w:rsid w:val="009E2B86"/>
    <w:rsid w:val="009E30B1"/>
    <w:rsid w:val="009E5424"/>
    <w:rsid w:val="009E6DAA"/>
    <w:rsid w:val="009F0F84"/>
    <w:rsid w:val="00A004E0"/>
    <w:rsid w:val="00A0144B"/>
    <w:rsid w:val="00A10549"/>
    <w:rsid w:val="00A108C3"/>
    <w:rsid w:val="00A1283B"/>
    <w:rsid w:val="00A13CA4"/>
    <w:rsid w:val="00A2055E"/>
    <w:rsid w:val="00A23104"/>
    <w:rsid w:val="00A23CA2"/>
    <w:rsid w:val="00A24D90"/>
    <w:rsid w:val="00A32347"/>
    <w:rsid w:val="00A36EB3"/>
    <w:rsid w:val="00A452F7"/>
    <w:rsid w:val="00A47EE4"/>
    <w:rsid w:val="00A53783"/>
    <w:rsid w:val="00A55488"/>
    <w:rsid w:val="00A56EA5"/>
    <w:rsid w:val="00A615FB"/>
    <w:rsid w:val="00A66FFC"/>
    <w:rsid w:val="00A679BD"/>
    <w:rsid w:val="00A71A6B"/>
    <w:rsid w:val="00A81849"/>
    <w:rsid w:val="00A943AC"/>
    <w:rsid w:val="00AA1668"/>
    <w:rsid w:val="00AA476F"/>
    <w:rsid w:val="00AA5F6C"/>
    <w:rsid w:val="00AA6764"/>
    <w:rsid w:val="00AB28AE"/>
    <w:rsid w:val="00AB66C4"/>
    <w:rsid w:val="00AC0025"/>
    <w:rsid w:val="00AD07E9"/>
    <w:rsid w:val="00AD2507"/>
    <w:rsid w:val="00AD6D28"/>
    <w:rsid w:val="00AE1892"/>
    <w:rsid w:val="00AE2434"/>
    <w:rsid w:val="00AF7E09"/>
    <w:rsid w:val="00B00766"/>
    <w:rsid w:val="00B01A6C"/>
    <w:rsid w:val="00B11080"/>
    <w:rsid w:val="00B13539"/>
    <w:rsid w:val="00B14C6D"/>
    <w:rsid w:val="00B15845"/>
    <w:rsid w:val="00B209A3"/>
    <w:rsid w:val="00B21747"/>
    <w:rsid w:val="00B232E8"/>
    <w:rsid w:val="00B40DAB"/>
    <w:rsid w:val="00B41CB6"/>
    <w:rsid w:val="00B4472C"/>
    <w:rsid w:val="00B4584C"/>
    <w:rsid w:val="00B47003"/>
    <w:rsid w:val="00B4726C"/>
    <w:rsid w:val="00B53AB9"/>
    <w:rsid w:val="00B60435"/>
    <w:rsid w:val="00B62A9F"/>
    <w:rsid w:val="00B65209"/>
    <w:rsid w:val="00B7053A"/>
    <w:rsid w:val="00B70B70"/>
    <w:rsid w:val="00B71AD2"/>
    <w:rsid w:val="00B81B8D"/>
    <w:rsid w:val="00B83407"/>
    <w:rsid w:val="00B8371F"/>
    <w:rsid w:val="00B93121"/>
    <w:rsid w:val="00B95A5C"/>
    <w:rsid w:val="00BA070D"/>
    <w:rsid w:val="00BA4709"/>
    <w:rsid w:val="00BA65FE"/>
    <w:rsid w:val="00BB00EB"/>
    <w:rsid w:val="00BB1286"/>
    <w:rsid w:val="00BB26C1"/>
    <w:rsid w:val="00BB32B0"/>
    <w:rsid w:val="00BB3EE2"/>
    <w:rsid w:val="00BB77E7"/>
    <w:rsid w:val="00BC06F2"/>
    <w:rsid w:val="00BC3F25"/>
    <w:rsid w:val="00BC5806"/>
    <w:rsid w:val="00BE214F"/>
    <w:rsid w:val="00BF2812"/>
    <w:rsid w:val="00BF392E"/>
    <w:rsid w:val="00C065E9"/>
    <w:rsid w:val="00C076DC"/>
    <w:rsid w:val="00C130D0"/>
    <w:rsid w:val="00C15D38"/>
    <w:rsid w:val="00C15EDA"/>
    <w:rsid w:val="00C20032"/>
    <w:rsid w:val="00C31DA3"/>
    <w:rsid w:val="00C35E84"/>
    <w:rsid w:val="00C47839"/>
    <w:rsid w:val="00C55718"/>
    <w:rsid w:val="00C55E66"/>
    <w:rsid w:val="00C60673"/>
    <w:rsid w:val="00C60D70"/>
    <w:rsid w:val="00C61A07"/>
    <w:rsid w:val="00C71FA4"/>
    <w:rsid w:val="00C72626"/>
    <w:rsid w:val="00C739F9"/>
    <w:rsid w:val="00C80204"/>
    <w:rsid w:val="00C817FD"/>
    <w:rsid w:val="00C81ABB"/>
    <w:rsid w:val="00C879F7"/>
    <w:rsid w:val="00C93AC4"/>
    <w:rsid w:val="00CA18AC"/>
    <w:rsid w:val="00CA5783"/>
    <w:rsid w:val="00CA63DF"/>
    <w:rsid w:val="00CA7E61"/>
    <w:rsid w:val="00CB68CA"/>
    <w:rsid w:val="00CB6A29"/>
    <w:rsid w:val="00CC19C3"/>
    <w:rsid w:val="00CC1B2D"/>
    <w:rsid w:val="00CD1402"/>
    <w:rsid w:val="00CD4671"/>
    <w:rsid w:val="00CD4E91"/>
    <w:rsid w:val="00CE418E"/>
    <w:rsid w:val="00CE41AA"/>
    <w:rsid w:val="00CE4BA2"/>
    <w:rsid w:val="00CE7BF5"/>
    <w:rsid w:val="00CF7BC7"/>
    <w:rsid w:val="00CF7BF9"/>
    <w:rsid w:val="00D0004B"/>
    <w:rsid w:val="00D000AB"/>
    <w:rsid w:val="00D16BEF"/>
    <w:rsid w:val="00D2109F"/>
    <w:rsid w:val="00D22701"/>
    <w:rsid w:val="00D26D46"/>
    <w:rsid w:val="00D34DC8"/>
    <w:rsid w:val="00D360BA"/>
    <w:rsid w:val="00D51493"/>
    <w:rsid w:val="00D57965"/>
    <w:rsid w:val="00D633C7"/>
    <w:rsid w:val="00D63B66"/>
    <w:rsid w:val="00D6454A"/>
    <w:rsid w:val="00D6544C"/>
    <w:rsid w:val="00D72FE9"/>
    <w:rsid w:val="00D76416"/>
    <w:rsid w:val="00D8024C"/>
    <w:rsid w:val="00D80F50"/>
    <w:rsid w:val="00D84E69"/>
    <w:rsid w:val="00D95E70"/>
    <w:rsid w:val="00DA19D1"/>
    <w:rsid w:val="00DA68C1"/>
    <w:rsid w:val="00DB204B"/>
    <w:rsid w:val="00DC123E"/>
    <w:rsid w:val="00DC662F"/>
    <w:rsid w:val="00DC7557"/>
    <w:rsid w:val="00DD3CE9"/>
    <w:rsid w:val="00DD7195"/>
    <w:rsid w:val="00DE17EB"/>
    <w:rsid w:val="00DE29E1"/>
    <w:rsid w:val="00DE2ACF"/>
    <w:rsid w:val="00DF230D"/>
    <w:rsid w:val="00E00F5C"/>
    <w:rsid w:val="00E03410"/>
    <w:rsid w:val="00E103E2"/>
    <w:rsid w:val="00E109D5"/>
    <w:rsid w:val="00E10BB0"/>
    <w:rsid w:val="00E14C81"/>
    <w:rsid w:val="00E166F1"/>
    <w:rsid w:val="00E263B4"/>
    <w:rsid w:val="00E33C97"/>
    <w:rsid w:val="00E35F32"/>
    <w:rsid w:val="00E46A86"/>
    <w:rsid w:val="00E5026F"/>
    <w:rsid w:val="00E50D59"/>
    <w:rsid w:val="00E52A1C"/>
    <w:rsid w:val="00E537F6"/>
    <w:rsid w:val="00E615AF"/>
    <w:rsid w:val="00E632F4"/>
    <w:rsid w:val="00E668EC"/>
    <w:rsid w:val="00E6713A"/>
    <w:rsid w:val="00E71935"/>
    <w:rsid w:val="00E73647"/>
    <w:rsid w:val="00E74E55"/>
    <w:rsid w:val="00E776DA"/>
    <w:rsid w:val="00E8578B"/>
    <w:rsid w:val="00E86B1E"/>
    <w:rsid w:val="00E87429"/>
    <w:rsid w:val="00E938DB"/>
    <w:rsid w:val="00E9458E"/>
    <w:rsid w:val="00E957F9"/>
    <w:rsid w:val="00EA4ED2"/>
    <w:rsid w:val="00EB2F02"/>
    <w:rsid w:val="00EB53D7"/>
    <w:rsid w:val="00EB5650"/>
    <w:rsid w:val="00EB72B3"/>
    <w:rsid w:val="00EC1521"/>
    <w:rsid w:val="00EC2F05"/>
    <w:rsid w:val="00ED3DB1"/>
    <w:rsid w:val="00EE16DD"/>
    <w:rsid w:val="00EE477F"/>
    <w:rsid w:val="00EE62BA"/>
    <w:rsid w:val="00EE6DE5"/>
    <w:rsid w:val="00EF5DC5"/>
    <w:rsid w:val="00F073E6"/>
    <w:rsid w:val="00F15AAA"/>
    <w:rsid w:val="00F2218C"/>
    <w:rsid w:val="00F329A4"/>
    <w:rsid w:val="00F348DE"/>
    <w:rsid w:val="00F34FA8"/>
    <w:rsid w:val="00F446D5"/>
    <w:rsid w:val="00F4539C"/>
    <w:rsid w:val="00F460A0"/>
    <w:rsid w:val="00F50464"/>
    <w:rsid w:val="00F54285"/>
    <w:rsid w:val="00F546E7"/>
    <w:rsid w:val="00F54E0B"/>
    <w:rsid w:val="00F558A0"/>
    <w:rsid w:val="00F618EE"/>
    <w:rsid w:val="00F66310"/>
    <w:rsid w:val="00F705D1"/>
    <w:rsid w:val="00F73EF3"/>
    <w:rsid w:val="00F753CD"/>
    <w:rsid w:val="00F76CB5"/>
    <w:rsid w:val="00F77C10"/>
    <w:rsid w:val="00F835C3"/>
    <w:rsid w:val="00F851C3"/>
    <w:rsid w:val="00F91140"/>
    <w:rsid w:val="00F9352E"/>
    <w:rsid w:val="00FA03D4"/>
    <w:rsid w:val="00FA0549"/>
    <w:rsid w:val="00FA49F1"/>
    <w:rsid w:val="00FA6271"/>
    <w:rsid w:val="00FA6BE9"/>
    <w:rsid w:val="00FA75C4"/>
    <w:rsid w:val="00FB20AD"/>
    <w:rsid w:val="00FB67D9"/>
    <w:rsid w:val="00FD502A"/>
    <w:rsid w:val="00FD6ED1"/>
    <w:rsid w:val="00FE0AA8"/>
    <w:rsid w:val="00FE232A"/>
    <w:rsid w:val="00FE2D01"/>
    <w:rsid w:val="00FE2FA6"/>
    <w:rsid w:val="00FF19AD"/>
    <w:rsid w:val="00FF5247"/>
    <w:rsid w:val="00FF5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4CA34"/>
  <w15:chartTrackingRefBased/>
  <w15:docId w15:val="{ACC0C1B0-2890-F244-87EA-03404F1FD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F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92E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2E98"/>
    <w:rPr>
      <w:sz w:val="20"/>
      <w:szCs w:val="20"/>
    </w:rPr>
  </w:style>
  <w:style w:type="character" w:styleId="FootnoteReference">
    <w:name w:val="footnote reference"/>
    <w:basedOn w:val="DefaultParagraphFont"/>
    <w:uiPriority w:val="99"/>
    <w:semiHidden/>
    <w:unhideWhenUsed/>
    <w:rsid w:val="00892E98"/>
    <w:rPr>
      <w:vertAlign w:val="superscript"/>
    </w:rPr>
  </w:style>
  <w:style w:type="character" w:styleId="Emphasis">
    <w:name w:val="Emphasis"/>
    <w:basedOn w:val="DefaultParagraphFont"/>
    <w:uiPriority w:val="20"/>
    <w:qFormat/>
    <w:rsid w:val="00C20032"/>
    <w:rPr>
      <w:i/>
      <w:iCs/>
    </w:rPr>
  </w:style>
  <w:style w:type="character" w:customStyle="1" w:styleId="Heading1Char">
    <w:name w:val="Heading 1 Char"/>
    <w:basedOn w:val="DefaultParagraphFont"/>
    <w:link w:val="Heading1"/>
    <w:uiPriority w:val="9"/>
    <w:rsid w:val="00E00F5C"/>
    <w:rPr>
      <w:rFonts w:asciiTheme="majorHAnsi" w:eastAsiaTheme="majorEastAsia" w:hAnsiTheme="majorHAnsi" w:cstheme="majorBidi"/>
      <w:color w:val="2F5496" w:themeColor="accent1" w:themeShade="BF"/>
      <w:sz w:val="32"/>
      <w:szCs w:val="32"/>
    </w:rPr>
  </w:style>
  <w:style w:type="paragraph" w:customStyle="1" w:styleId="segmenttext">
    <w:name w:val="segmenttext"/>
    <w:basedOn w:val="Normal"/>
    <w:rsid w:val="00D16BEF"/>
    <w:pPr>
      <w:spacing w:before="100" w:beforeAutospacing="1" w:after="100" w:afterAutospacing="1" w:line="240" w:lineRule="auto"/>
    </w:pPr>
    <w:rPr>
      <w:rFonts w:ascii="Times New Roman" w:hAnsi="Times New Roman" w:cs="Times New Roman"/>
      <w:sz w:val="24"/>
      <w:szCs w:val="24"/>
    </w:rPr>
  </w:style>
  <w:style w:type="character" w:customStyle="1" w:styleId="en">
    <w:name w:val="en"/>
    <w:basedOn w:val="DefaultParagraphFont"/>
    <w:rsid w:val="00D16BEF"/>
  </w:style>
  <w:style w:type="character" w:customStyle="1" w:styleId="querytexthighlight">
    <w:name w:val="querytexthighlight"/>
    <w:basedOn w:val="DefaultParagraphFont"/>
    <w:rsid w:val="00132515"/>
  </w:style>
  <w:style w:type="character" w:styleId="Hyperlink">
    <w:name w:val="Hyperlink"/>
    <w:basedOn w:val="DefaultParagraphFont"/>
    <w:uiPriority w:val="99"/>
    <w:unhideWhenUsed/>
    <w:rsid w:val="005B47D3"/>
    <w:rPr>
      <w:color w:val="0563C1" w:themeColor="hyperlink"/>
      <w:u w:val="single"/>
    </w:rPr>
  </w:style>
  <w:style w:type="character" w:styleId="UnresolvedMention">
    <w:name w:val="Unresolved Mention"/>
    <w:basedOn w:val="DefaultParagraphFont"/>
    <w:uiPriority w:val="99"/>
    <w:semiHidden/>
    <w:unhideWhenUsed/>
    <w:rsid w:val="005B47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0489615">
      <w:bodyDiv w:val="1"/>
      <w:marLeft w:val="0"/>
      <w:marRight w:val="0"/>
      <w:marTop w:val="0"/>
      <w:marBottom w:val="0"/>
      <w:divBdr>
        <w:top w:val="none" w:sz="0" w:space="0" w:color="auto"/>
        <w:left w:val="none" w:sz="0" w:space="0" w:color="auto"/>
        <w:bottom w:val="none" w:sz="0" w:space="0" w:color="auto"/>
        <w:right w:val="none" w:sz="0" w:space="0" w:color="auto"/>
      </w:divBdr>
      <w:divsChild>
        <w:div w:id="611910037">
          <w:marLeft w:val="0"/>
          <w:marRight w:val="0"/>
          <w:marTop w:val="0"/>
          <w:marBottom w:val="0"/>
          <w:divBdr>
            <w:top w:val="none" w:sz="0" w:space="0" w:color="auto"/>
            <w:left w:val="none" w:sz="0" w:space="0" w:color="auto"/>
            <w:bottom w:val="none" w:sz="0" w:space="0" w:color="auto"/>
            <w:right w:val="none" w:sz="0" w:space="0" w:color="auto"/>
          </w:divBdr>
        </w:div>
      </w:divsChild>
    </w:div>
    <w:div w:id="1999651304">
      <w:bodyDiv w:val="1"/>
      <w:marLeft w:val="0"/>
      <w:marRight w:val="0"/>
      <w:marTop w:val="0"/>
      <w:marBottom w:val="0"/>
      <w:divBdr>
        <w:top w:val="none" w:sz="0" w:space="0" w:color="auto"/>
        <w:left w:val="none" w:sz="0" w:space="0" w:color="auto"/>
        <w:bottom w:val="none" w:sz="0" w:space="0" w:color="auto"/>
        <w:right w:val="none" w:sz="0" w:space="0" w:color="auto"/>
      </w:divBdr>
      <w:divsChild>
        <w:div w:id="1049451056">
          <w:marLeft w:val="0"/>
          <w:marRight w:val="0"/>
          <w:marTop w:val="0"/>
          <w:marBottom w:val="0"/>
          <w:divBdr>
            <w:top w:val="none" w:sz="0" w:space="0" w:color="auto"/>
            <w:left w:val="none" w:sz="0" w:space="0" w:color="auto"/>
            <w:bottom w:val="none" w:sz="0" w:space="0" w:color="auto"/>
            <w:right w:val="none" w:sz="0" w:space="0" w:color="auto"/>
          </w:divBdr>
          <w:divsChild>
            <w:div w:id="8685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stor.org/stable/14633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14633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1321</TotalTime>
  <Pages>5</Pages>
  <Words>2166</Words>
  <Characters>12347</Characters>
  <Application>Microsoft Office Word</Application>
  <DocSecurity>0</DocSecurity>
  <Lines>102</Lines>
  <Paragraphs>28</Paragraphs>
  <ScaleCrop>false</ScaleCrop>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Marie Richards (1900485)</dc:creator>
  <cp:keywords/>
  <dc:description/>
  <cp:lastModifiedBy>Alana Marie Richards (1900485)</cp:lastModifiedBy>
  <cp:revision>548</cp:revision>
  <dcterms:created xsi:type="dcterms:W3CDTF">2021-05-21T13:34:00Z</dcterms:created>
  <dcterms:modified xsi:type="dcterms:W3CDTF">2021-05-29T15:14:00Z</dcterms:modified>
</cp:coreProperties>
</file>