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D3CC1" w:rsidRPr="00570945" w:rsidRDefault="005D3CC1"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b/>
          <w:bCs/>
          <w:color w:val="1D2125"/>
          <w:lang w:eastAsia="en-GB"/>
        </w:rPr>
      </w:pPr>
    </w:p>
    <w:p w:rsidR="00706377" w:rsidRPr="00570945" w:rsidRDefault="00706377" w:rsidP="008A5FA1">
      <w:pPr>
        <w:ind w:firstLine="426"/>
        <w:jc w:val="right"/>
        <w:rPr>
          <w:rFonts w:asciiTheme="minorHAnsi" w:eastAsia="Times New Roman" w:hAnsiTheme="minorHAnsi" w:cstheme="minorHAnsi"/>
          <w:b/>
          <w:bCs/>
          <w:color w:val="1D2125"/>
          <w:lang w:eastAsia="en-GB"/>
        </w:rPr>
      </w:pPr>
    </w:p>
    <w:p w:rsidR="00706377" w:rsidRPr="00570945" w:rsidRDefault="00706377" w:rsidP="008A5FA1">
      <w:pPr>
        <w:ind w:firstLine="426"/>
        <w:jc w:val="right"/>
        <w:rPr>
          <w:rFonts w:asciiTheme="minorHAnsi" w:eastAsia="Times New Roman" w:hAnsiTheme="minorHAnsi" w:cstheme="minorHAnsi"/>
          <w:b/>
          <w:bCs/>
          <w:color w:val="1D2125"/>
          <w:lang w:eastAsia="en-GB"/>
        </w:rPr>
      </w:pPr>
    </w:p>
    <w:p w:rsidR="00706377" w:rsidRPr="00570945" w:rsidRDefault="00706377"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374A6E" w:rsidRPr="00570945" w:rsidRDefault="00706377" w:rsidP="00FF0956">
      <w:pPr>
        <w:pBdr>
          <w:top w:val="none" w:sz="0" w:space="0" w:color="auto"/>
          <w:left w:val="none" w:sz="0" w:space="0" w:color="auto"/>
          <w:bottom w:val="none" w:sz="0" w:space="0" w:color="auto"/>
          <w:right w:val="none" w:sz="0" w:space="0" w:color="auto"/>
          <w:between w:val="none" w:sz="0" w:space="0" w:color="auto"/>
          <w:bar w:val="none" w:sz="0" w:color="auto"/>
        </w:pBdr>
        <w:ind w:right="1365"/>
        <w:jc w:val="center"/>
        <w:rPr>
          <w:rFonts w:asciiTheme="minorHAnsi" w:eastAsia="Times New Roman" w:hAnsiTheme="minorHAnsi" w:cstheme="minorHAnsi"/>
          <w:color w:val="1D2125"/>
          <w:lang w:eastAsia="en-GB"/>
        </w:rPr>
      </w:pPr>
      <w:r w:rsidRPr="00570945">
        <w:rPr>
          <w:rFonts w:asciiTheme="minorHAnsi" w:eastAsia="Times New Roman" w:hAnsiTheme="minorHAnsi" w:cstheme="minorHAnsi"/>
          <w:color w:val="1D2125"/>
          <w:lang w:eastAsia="en-GB"/>
        </w:rPr>
        <w:t>How does the Church participate in the saving power of Christ’s body</w:t>
      </w:r>
    </w:p>
    <w:p w:rsidR="001D31C5" w:rsidRPr="00570945" w:rsidRDefault="00706377" w:rsidP="00FF0956">
      <w:pPr>
        <w:pBdr>
          <w:top w:val="none" w:sz="0" w:space="0" w:color="auto"/>
          <w:left w:val="none" w:sz="0" w:space="0" w:color="auto"/>
          <w:bottom w:val="none" w:sz="0" w:space="0" w:color="auto"/>
          <w:right w:val="none" w:sz="0" w:space="0" w:color="auto"/>
          <w:between w:val="none" w:sz="0" w:space="0" w:color="auto"/>
          <w:bar w:val="none" w:sz="0" w:color="auto"/>
        </w:pBdr>
        <w:ind w:right="1365"/>
        <w:jc w:val="center"/>
        <w:rPr>
          <w:rFonts w:asciiTheme="minorHAnsi" w:eastAsia="Times New Roman" w:hAnsiTheme="minorHAnsi" w:cstheme="minorHAnsi"/>
          <w:color w:val="1D2125"/>
          <w:lang w:eastAsia="en-GB"/>
        </w:rPr>
      </w:pPr>
      <w:r w:rsidRPr="00570945">
        <w:rPr>
          <w:rFonts w:asciiTheme="minorHAnsi" w:eastAsia="Times New Roman" w:hAnsiTheme="minorHAnsi" w:cstheme="minorHAnsi"/>
          <w:color w:val="1D2125"/>
          <w:lang w:eastAsia="en-GB"/>
        </w:rPr>
        <w:t>through the Eucharist?</w:t>
      </w:r>
    </w:p>
    <w:p w:rsidR="00E74270" w:rsidRPr="00570945" w:rsidRDefault="00CF51BE" w:rsidP="00FF0956">
      <w:pPr>
        <w:pBdr>
          <w:top w:val="none" w:sz="0" w:space="0" w:color="auto"/>
          <w:left w:val="none" w:sz="0" w:space="0" w:color="auto"/>
          <w:bottom w:val="none" w:sz="0" w:space="0" w:color="auto"/>
          <w:right w:val="none" w:sz="0" w:space="0" w:color="auto"/>
          <w:between w:val="none" w:sz="0" w:space="0" w:color="auto"/>
          <w:bar w:val="none" w:sz="0" w:color="auto"/>
        </w:pBdr>
        <w:ind w:right="1365"/>
        <w:jc w:val="center"/>
        <w:rPr>
          <w:rFonts w:asciiTheme="minorHAnsi" w:eastAsia="Times New Roman" w:hAnsiTheme="minorHAnsi" w:cstheme="minorHAnsi"/>
          <w:color w:val="1D2125"/>
          <w:lang w:eastAsia="en-GB"/>
        </w:rPr>
      </w:pPr>
      <w:r>
        <w:rPr>
          <w:rFonts w:asciiTheme="minorHAnsi" w:eastAsia="Times New Roman" w:hAnsiTheme="minorHAnsi" w:cstheme="minorHAnsi"/>
          <w:color w:val="1D2125"/>
          <w:lang w:eastAsia="en-GB"/>
        </w:rPr>
        <w:t>Luther, Calvin and Cranmer in the 16</w:t>
      </w:r>
      <w:r w:rsidRPr="00CF51BE">
        <w:rPr>
          <w:rFonts w:asciiTheme="minorHAnsi" w:eastAsia="Times New Roman" w:hAnsiTheme="minorHAnsi" w:cstheme="minorHAnsi"/>
          <w:color w:val="1D2125"/>
          <w:vertAlign w:val="superscript"/>
          <w:lang w:eastAsia="en-GB"/>
        </w:rPr>
        <w:t>th</w:t>
      </w:r>
      <w:r>
        <w:rPr>
          <w:rFonts w:asciiTheme="minorHAnsi" w:eastAsia="Times New Roman" w:hAnsiTheme="minorHAnsi" w:cstheme="minorHAnsi"/>
          <w:color w:val="1D2125"/>
          <w:lang w:eastAsia="en-GB"/>
        </w:rPr>
        <w:t xml:space="preserve"> century</w:t>
      </w:r>
    </w:p>
    <w:p w:rsidR="00E74270" w:rsidRPr="00570945" w:rsidRDefault="00E74270" w:rsidP="00FF0956">
      <w:pPr>
        <w:ind w:right="1365"/>
        <w:jc w:val="center"/>
        <w:rPr>
          <w:rFonts w:asciiTheme="minorHAnsi" w:eastAsia="Times New Roman" w:hAnsiTheme="minorHAnsi" w:cstheme="minorHAnsi"/>
          <w:color w:val="1D2125"/>
          <w:lang w:eastAsia="en-GB"/>
        </w:rPr>
      </w:pPr>
    </w:p>
    <w:p w:rsidR="00E74270" w:rsidRPr="00570945" w:rsidRDefault="00E74270"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jc w:val="right"/>
        <w:rPr>
          <w:rFonts w:asciiTheme="minorHAnsi" w:eastAsia="Times New Roman" w:hAnsiTheme="minorHAnsi" w:cstheme="minorHAnsi"/>
          <w:color w:val="1D2125"/>
          <w:lang w:eastAsia="en-GB"/>
        </w:rPr>
      </w:pPr>
    </w:p>
    <w:p w:rsidR="00887162" w:rsidRPr="00570945" w:rsidRDefault="00887162" w:rsidP="008A5FA1">
      <w:pPr>
        <w:ind w:firstLine="426"/>
        <w:rPr>
          <w:rFonts w:asciiTheme="minorHAnsi" w:eastAsia="Times New Roman" w:hAnsiTheme="minorHAnsi" w:cstheme="minorHAnsi"/>
          <w:color w:val="1D2125"/>
          <w:lang w:eastAsia="en-GB"/>
        </w:rPr>
      </w:pPr>
      <w:r w:rsidRPr="00570945">
        <w:rPr>
          <w:rFonts w:asciiTheme="minorHAnsi" w:eastAsia="Times New Roman" w:hAnsiTheme="minorHAnsi" w:cstheme="minorHAnsi"/>
          <w:color w:val="1D2125"/>
          <w:lang w:eastAsia="en-GB"/>
        </w:rPr>
        <w:t xml:space="preserve">Word Count: </w:t>
      </w:r>
      <w:r w:rsidR="006478B7">
        <w:rPr>
          <w:rFonts w:asciiTheme="minorHAnsi" w:eastAsia="Times New Roman" w:hAnsiTheme="minorHAnsi" w:cstheme="minorHAnsi"/>
          <w:color w:val="1D2125"/>
          <w:lang w:eastAsia="en-GB"/>
        </w:rPr>
        <w:t>4243</w:t>
      </w:r>
      <w:r w:rsidR="00A634DD" w:rsidRPr="00570945">
        <w:rPr>
          <w:rFonts w:asciiTheme="minorHAnsi" w:eastAsia="Times New Roman" w:hAnsiTheme="minorHAnsi" w:cstheme="minorHAnsi"/>
          <w:color w:val="1D2125"/>
          <w:lang w:eastAsia="en-GB"/>
        </w:rPr>
        <w:t xml:space="preserve"> </w:t>
      </w:r>
      <w:r w:rsidR="00BD7428">
        <w:rPr>
          <w:rFonts w:asciiTheme="minorHAnsi" w:eastAsia="Times New Roman" w:hAnsiTheme="minorHAnsi" w:cstheme="minorHAnsi"/>
          <w:color w:val="1D2125"/>
          <w:lang w:eastAsia="en-GB"/>
        </w:rPr>
        <w:t>ex</w:t>
      </w:r>
      <w:r w:rsidRPr="00570945">
        <w:rPr>
          <w:rFonts w:asciiTheme="minorHAnsi" w:eastAsia="Times New Roman" w:hAnsiTheme="minorHAnsi" w:cstheme="minorHAnsi"/>
          <w:color w:val="1D2125"/>
          <w:lang w:eastAsia="en-GB"/>
        </w:rPr>
        <w:t>cl. section headings</w:t>
      </w:r>
    </w:p>
    <w:p w:rsidR="00887162" w:rsidRPr="00570945" w:rsidRDefault="00887162" w:rsidP="008A5FA1">
      <w:pPr>
        <w:ind w:firstLine="426"/>
        <w:jc w:val="right"/>
        <w:rPr>
          <w:rFonts w:asciiTheme="minorHAnsi" w:eastAsia="Times New Roman" w:hAnsiTheme="minorHAnsi" w:cstheme="minorHAnsi"/>
          <w:color w:val="1D2125"/>
          <w:lang w:eastAsia="en-GB"/>
        </w:rPr>
      </w:pPr>
    </w:p>
    <w:p w:rsidR="00E74270" w:rsidRPr="00570945" w:rsidRDefault="00E74270"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imes New Roman" w:hAnsiTheme="minorHAnsi" w:cstheme="minorHAnsi"/>
          <w:b/>
          <w:bCs/>
          <w:color w:val="C00000"/>
          <w:bdr w:val="none" w:sz="0" w:space="0" w:color="auto"/>
          <w:lang w:eastAsia="en-GB"/>
        </w:rPr>
      </w:pPr>
      <w:r w:rsidRPr="00570945">
        <w:rPr>
          <w:rFonts w:asciiTheme="minorHAnsi" w:hAnsiTheme="minorHAnsi" w:cstheme="minorHAnsi"/>
          <w:b/>
          <w:bCs/>
          <w:color w:val="C00000"/>
        </w:rPr>
        <w:br w:type="page"/>
      </w:r>
    </w:p>
    <w:p w:rsidR="00A634DD" w:rsidRDefault="00A634DD"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heme="majorEastAsia" w:hAnsiTheme="minorHAnsi" w:cstheme="minorHAnsi"/>
          <w:b/>
          <w:bCs/>
          <w:bdr w:val="none" w:sz="0" w:space="0" w:color="auto"/>
          <w:lang w:val="en-US"/>
        </w:rPr>
      </w:pPr>
    </w:p>
    <w:sdt>
      <w:sdtPr>
        <w:rPr>
          <w:rFonts w:ascii="Times New Roman" w:eastAsia="Arial Unicode MS" w:hAnsi="Times New Roman" w:cs="Times New Roman"/>
          <w:b w:val="0"/>
          <w:bCs w:val="0"/>
          <w:color w:val="auto"/>
          <w:sz w:val="24"/>
          <w:szCs w:val="24"/>
          <w:bdr w:val="nil"/>
          <w:lang w:val="en-GB"/>
        </w:rPr>
        <w:id w:val="1525591144"/>
        <w:docPartObj>
          <w:docPartGallery w:val="Table of Contents"/>
          <w:docPartUnique/>
        </w:docPartObj>
      </w:sdtPr>
      <w:sdtEndPr>
        <w:rPr>
          <w:noProof/>
        </w:rPr>
      </w:sdtEndPr>
      <w:sdtContent>
        <w:p w:rsidR="00606FB9" w:rsidRPr="00606FB9" w:rsidRDefault="00606FB9" w:rsidP="00606FB9">
          <w:pPr>
            <w:pStyle w:val="TOCHeading"/>
            <w:jc w:val="center"/>
            <w:rPr>
              <w:rFonts w:asciiTheme="minorHAnsi" w:hAnsiTheme="minorHAnsi" w:cstheme="minorHAnsi"/>
              <w:color w:val="auto"/>
            </w:rPr>
          </w:pPr>
          <w:r w:rsidRPr="00606FB9">
            <w:rPr>
              <w:rFonts w:asciiTheme="minorHAnsi" w:hAnsiTheme="minorHAnsi" w:cstheme="minorHAnsi"/>
              <w:color w:val="auto"/>
            </w:rPr>
            <w:t>Table of Contents</w:t>
          </w:r>
        </w:p>
        <w:p w:rsidR="007103BD" w:rsidRDefault="00606FB9">
          <w:pPr>
            <w:pStyle w:val="TOC1"/>
            <w:rPr>
              <w:rFonts w:eastAsiaTheme="minorEastAsia" w:cstheme="minorBidi"/>
              <w:kern w:val="2"/>
              <w:bdr w:val="none" w:sz="0" w:space="0" w:color="auto"/>
              <w:lang w:eastAsia="en-GB"/>
              <w14:ligatures w14:val="standardContextual"/>
            </w:rPr>
          </w:pPr>
          <w:r w:rsidRPr="00606FB9">
            <w:rPr>
              <w:noProof w:val="0"/>
            </w:rPr>
            <w:fldChar w:fldCharType="begin"/>
          </w:r>
          <w:r w:rsidRPr="00606FB9">
            <w:instrText xml:space="preserve"> TOC \o "1-3" \h \z \u </w:instrText>
          </w:r>
          <w:r w:rsidRPr="00606FB9">
            <w:rPr>
              <w:noProof w:val="0"/>
            </w:rPr>
            <w:fldChar w:fldCharType="separate"/>
          </w:r>
          <w:hyperlink w:anchor="_Toc166761529" w:history="1">
            <w:r w:rsidR="007103BD" w:rsidRPr="004D6F8C">
              <w:rPr>
                <w:rStyle w:val="Hyperlink"/>
                <w:b/>
                <w:bCs/>
              </w:rPr>
              <w:t>Introduction</w:t>
            </w:r>
            <w:r w:rsidR="007103BD">
              <w:rPr>
                <w:webHidden/>
              </w:rPr>
              <w:tab/>
            </w:r>
            <w:r w:rsidR="007103BD">
              <w:rPr>
                <w:webHidden/>
              </w:rPr>
              <w:fldChar w:fldCharType="begin"/>
            </w:r>
            <w:r w:rsidR="007103BD">
              <w:rPr>
                <w:webHidden/>
              </w:rPr>
              <w:instrText xml:space="preserve"> PAGEREF _Toc166761529 \h </w:instrText>
            </w:r>
            <w:r w:rsidR="007103BD">
              <w:rPr>
                <w:webHidden/>
              </w:rPr>
            </w:r>
            <w:r w:rsidR="007103BD">
              <w:rPr>
                <w:webHidden/>
              </w:rPr>
              <w:fldChar w:fldCharType="separate"/>
            </w:r>
            <w:r w:rsidR="007103BD">
              <w:rPr>
                <w:webHidden/>
              </w:rPr>
              <w:t>3</w:t>
            </w:r>
            <w:r w:rsidR="007103BD">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0" w:history="1">
            <w:r w:rsidRPr="004D6F8C">
              <w:rPr>
                <w:rStyle w:val="Hyperlink"/>
                <w:b/>
                <w:bCs/>
              </w:rPr>
              <w:t>Contextual Background</w:t>
            </w:r>
            <w:r>
              <w:rPr>
                <w:webHidden/>
              </w:rPr>
              <w:tab/>
            </w:r>
            <w:r>
              <w:rPr>
                <w:webHidden/>
              </w:rPr>
              <w:fldChar w:fldCharType="begin"/>
            </w:r>
            <w:r>
              <w:rPr>
                <w:webHidden/>
              </w:rPr>
              <w:instrText xml:space="preserve"> PAGEREF _Toc166761530 \h </w:instrText>
            </w:r>
            <w:r>
              <w:rPr>
                <w:webHidden/>
              </w:rPr>
            </w:r>
            <w:r>
              <w:rPr>
                <w:webHidden/>
              </w:rPr>
              <w:fldChar w:fldCharType="separate"/>
            </w:r>
            <w:r>
              <w:rPr>
                <w:webHidden/>
              </w:rPr>
              <w:t>4</w:t>
            </w:r>
            <w:r>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1" w:history="1">
            <w:r w:rsidRPr="004D6F8C">
              <w:rPr>
                <w:rStyle w:val="Hyperlink"/>
                <w:b/>
                <w:bCs/>
              </w:rPr>
              <w:t>Luther’s theology</w:t>
            </w:r>
            <w:r>
              <w:rPr>
                <w:webHidden/>
              </w:rPr>
              <w:tab/>
            </w:r>
            <w:r>
              <w:rPr>
                <w:webHidden/>
              </w:rPr>
              <w:fldChar w:fldCharType="begin"/>
            </w:r>
            <w:r>
              <w:rPr>
                <w:webHidden/>
              </w:rPr>
              <w:instrText xml:space="preserve"> PAGEREF _Toc166761531 \h </w:instrText>
            </w:r>
            <w:r>
              <w:rPr>
                <w:webHidden/>
              </w:rPr>
            </w:r>
            <w:r>
              <w:rPr>
                <w:webHidden/>
              </w:rPr>
              <w:fldChar w:fldCharType="separate"/>
            </w:r>
            <w:r>
              <w:rPr>
                <w:webHidden/>
              </w:rPr>
              <w:t>5</w:t>
            </w:r>
            <w:r>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2" w:history="1">
            <w:r w:rsidRPr="004D6F8C">
              <w:rPr>
                <w:rStyle w:val="Hyperlink"/>
                <w:b/>
                <w:bCs/>
              </w:rPr>
              <w:t>Calvin</w:t>
            </w:r>
            <w:r>
              <w:rPr>
                <w:webHidden/>
              </w:rPr>
              <w:tab/>
            </w:r>
            <w:r>
              <w:rPr>
                <w:webHidden/>
              </w:rPr>
              <w:fldChar w:fldCharType="begin"/>
            </w:r>
            <w:r>
              <w:rPr>
                <w:webHidden/>
              </w:rPr>
              <w:instrText xml:space="preserve"> PAGEREF _Toc166761532 \h </w:instrText>
            </w:r>
            <w:r>
              <w:rPr>
                <w:webHidden/>
              </w:rPr>
            </w:r>
            <w:r>
              <w:rPr>
                <w:webHidden/>
              </w:rPr>
              <w:fldChar w:fldCharType="separate"/>
            </w:r>
            <w:r>
              <w:rPr>
                <w:webHidden/>
              </w:rPr>
              <w:t>10</w:t>
            </w:r>
            <w:r>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3" w:history="1">
            <w:r w:rsidRPr="004D6F8C">
              <w:rPr>
                <w:rStyle w:val="Hyperlink"/>
                <w:b/>
                <w:bCs/>
              </w:rPr>
              <w:t>Cranmer and Eucharistic Theology of the English Reformed Church</w:t>
            </w:r>
            <w:r>
              <w:rPr>
                <w:webHidden/>
              </w:rPr>
              <w:tab/>
            </w:r>
            <w:r>
              <w:rPr>
                <w:webHidden/>
              </w:rPr>
              <w:fldChar w:fldCharType="begin"/>
            </w:r>
            <w:r>
              <w:rPr>
                <w:webHidden/>
              </w:rPr>
              <w:instrText xml:space="preserve"> PAGEREF _Toc166761533 \h </w:instrText>
            </w:r>
            <w:r>
              <w:rPr>
                <w:webHidden/>
              </w:rPr>
            </w:r>
            <w:r>
              <w:rPr>
                <w:webHidden/>
              </w:rPr>
              <w:fldChar w:fldCharType="separate"/>
            </w:r>
            <w:r>
              <w:rPr>
                <w:webHidden/>
              </w:rPr>
              <w:t>13</w:t>
            </w:r>
            <w:r>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4" w:history="1">
            <w:r w:rsidRPr="004D6F8C">
              <w:rPr>
                <w:rStyle w:val="Hyperlink"/>
                <w:b/>
                <w:bCs/>
              </w:rPr>
              <w:t>Concluding Reflections</w:t>
            </w:r>
            <w:r>
              <w:rPr>
                <w:webHidden/>
              </w:rPr>
              <w:tab/>
            </w:r>
            <w:r>
              <w:rPr>
                <w:webHidden/>
              </w:rPr>
              <w:fldChar w:fldCharType="begin"/>
            </w:r>
            <w:r>
              <w:rPr>
                <w:webHidden/>
              </w:rPr>
              <w:instrText xml:space="preserve"> PAGEREF _Toc166761534 \h </w:instrText>
            </w:r>
            <w:r>
              <w:rPr>
                <w:webHidden/>
              </w:rPr>
            </w:r>
            <w:r>
              <w:rPr>
                <w:webHidden/>
              </w:rPr>
              <w:fldChar w:fldCharType="separate"/>
            </w:r>
            <w:r>
              <w:rPr>
                <w:webHidden/>
              </w:rPr>
              <w:t>19</w:t>
            </w:r>
            <w:r>
              <w:rPr>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35" w:history="1">
            <w:r w:rsidRPr="004D6F8C">
              <w:rPr>
                <w:rStyle w:val="Hyperlink"/>
                <w:b/>
                <w:bCs/>
              </w:rPr>
              <w:t>APPENDICES</w:t>
            </w:r>
            <w:r>
              <w:rPr>
                <w:webHidden/>
              </w:rPr>
              <w:tab/>
            </w:r>
            <w:r>
              <w:rPr>
                <w:webHidden/>
              </w:rPr>
              <w:fldChar w:fldCharType="begin"/>
            </w:r>
            <w:r>
              <w:rPr>
                <w:webHidden/>
              </w:rPr>
              <w:instrText xml:space="preserve"> PAGEREF _Toc166761535 \h </w:instrText>
            </w:r>
            <w:r>
              <w:rPr>
                <w:webHidden/>
              </w:rPr>
            </w:r>
            <w:r>
              <w:rPr>
                <w:webHidden/>
              </w:rPr>
              <w:fldChar w:fldCharType="separate"/>
            </w:r>
            <w:r>
              <w:rPr>
                <w:webHidden/>
              </w:rPr>
              <w:t>20</w:t>
            </w:r>
            <w:r>
              <w:rPr>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36" w:history="1">
            <w:r w:rsidRPr="004D6F8C">
              <w:rPr>
                <w:rStyle w:val="Hyperlink"/>
                <w:noProof/>
              </w:rPr>
              <w:t>1. Luther on literal understanding of Christ’s words of consecration</w:t>
            </w:r>
            <w:r>
              <w:rPr>
                <w:noProof/>
                <w:webHidden/>
              </w:rPr>
              <w:tab/>
            </w:r>
            <w:r>
              <w:rPr>
                <w:noProof/>
                <w:webHidden/>
              </w:rPr>
              <w:fldChar w:fldCharType="begin"/>
            </w:r>
            <w:r>
              <w:rPr>
                <w:noProof/>
                <w:webHidden/>
              </w:rPr>
              <w:instrText xml:space="preserve"> PAGEREF _Toc166761536 \h </w:instrText>
            </w:r>
            <w:r>
              <w:rPr>
                <w:noProof/>
                <w:webHidden/>
              </w:rPr>
            </w:r>
            <w:r>
              <w:rPr>
                <w:noProof/>
                <w:webHidden/>
              </w:rPr>
              <w:fldChar w:fldCharType="separate"/>
            </w:r>
            <w:r>
              <w:rPr>
                <w:noProof/>
                <w:webHidden/>
              </w:rPr>
              <w:t>20</w:t>
            </w:r>
            <w:r>
              <w:rPr>
                <w:noProof/>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37" w:history="1">
            <w:r w:rsidRPr="004D6F8C">
              <w:rPr>
                <w:rStyle w:val="Hyperlink"/>
                <w:noProof/>
              </w:rPr>
              <w:t>2. Calvin on Spiritual Presence</w:t>
            </w:r>
            <w:r>
              <w:rPr>
                <w:noProof/>
                <w:webHidden/>
              </w:rPr>
              <w:tab/>
            </w:r>
            <w:r>
              <w:rPr>
                <w:noProof/>
                <w:webHidden/>
              </w:rPr>
              <w:fldChar w:fldCharType="begin"/>
            </w:r>
            <w:r>
              <w:rPr>
                <w:noProof/>
                <w:webHidden/>
              </w:rPr>
              <w:instrText xml:space="preserve"> PAGEREF _Toc166761537 \h </w:instrText>
            </w:r>
            <w:r>
              <w:rPr>
                <w:noProof/>
                <w:webHidden/>
              </w:rPr>
            </w:r>
            <w:r>
              <w:rPr>
                <w:noProof/>
                <w:webHidden/>
              </w:rPr>
              <w:fldChar w:fldCharType="separate"/>
            </w:r>
            <w:r>
              <w:rPr>
                <w:noProof/>
                <w:webHidden/>
              </w:rPr>
              <w:t>21</w:t>
            </w:r>
            <w:r>
              <w:rPr>
                <w:noProof/>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38" w:history="1">
            <w:r w:rsidRPr="004D6F8C">
              <w:rPr>
                <w:rStyle w:val="Hyperlink"/>
                <w:noProof/>
              </w:rPr>
              <w:t>3a. Cranmer on the Words of Consecration</w:t>
            </w:r>
            <w:r>
              <w:rPr>
                <w:noProof/>
                <w:webHidden/>
              </w:rPr>
              <w:tab/>
            </w:r>
            <w:r>
              <w:rPr>
                <w:noProof/>
                <w:webHidden/>
              </w:rPr>
              <w:fldChar w:fldCharType="begin"/>
            </w:r>
            <w:r>
              <w:rPr>
                <w:noProof/>
                <w:webHidden/>
              </w:rPr>
              <w:instrText xml:space="preserve"> PAGEREF _Toc166761538 \h </w:instrText>
            </w:r>
            <w:r>
              <w:rPr>
                <w:noProof/>
                <w:webHidden/>
              </w:rPr>
            </w:r>
            <w:r>
              <w:rPr>
                <w:noProof/>
                <w:webHidden/>
              </w:rPr>
              <w:fldChar w:fldCharType="separate"/>
            </w:r>
            <w:r>
              <w:rPr>
                <w:noProof/>
                <w:webHidden/>
              </w:rPr>
              <w:t>21</w:t>
            </w:r>
            <w:r>
              <w:rPr>
                <w:noProof/>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39" w:history="1">
            <w:r w:rsidRPr="004D6F8C">
              <w:rPr>
                <w:rStyle w:val="Hyperlink"/>
                <w:noProof/>
              </w:rPr>
              <w:t>3b. Cranmer’s explanation of the real presence at consecration</w:t>
            </w:r>
            <w:r>
              <w:rPr>
                <w:noProof/>
                <w:webHidden/>
              </w:rPr>
              <w:tab/>
            </w:r>
            <w:r>
              <w:rPr>
                <w:noProof/>
                <w:webHidden/>
              </w:rPr>
              <w:fldChar w:fldCharType="begin"/>
            </w:r>
            <w:r>
              <w:rPr>
                <w:noProof/>
                <w:webHidden/>
              </w:rPr>
              <w:instrText xml:space="preserve"> PAGEREF _Toc166761539 \h </w:instrText>
            </w:r>
            <w:r>
              <w:rPr>
                <w:noProof/>
                <w:webHidden/>
              </w:rPr>
            </w:r>
            <w:r>
              <w:rPr>
                <w:noProof/>
                <w:webHidden/>
              </w:rPr>
              <w:fldChar w:fldCharType="separate"/>
            </w:r>
            <w:r>
              <w:rPr>
                <w:noProof/>
                <w:webHidden/>
              </w:rPr>
              <w:t>22</w:t>
            </w:r>
            <w:r>
              <w:rPr>
                <w:noProof/>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40" w:history="1">
            <w:r w:rsidRPr="004D6F8C">
              <w:rPr>
                <w:rStyle w:val="Hyperlink"/>
                <w:noProof/>
              </w:rPr>
              <w:t>3c. Cranmer and the symbolic nature of the bread and wine</w:t>
            </w:r>
            <w:r>
              <w:rPr>
                <w:noProof/>
                <w:webHidden/>
              </w:rPr>
              <w:tab/>
            </w:r>
            <w:r>
              <w:rPr>
                <w:noProof/>
                <w:webHidden/>
              </w:rPr>
              <w:fldChar w:fldCharType="begin"/>
            </w:r>
            <w:r>
              <w:rPr>
                <w:noProof/>
                <w:webHidden/>
              </w:rPr>
              <w:instrText xml:space="preserve"> PAGEREF _Toc166761540 \h </w:instrText>
            </w:r>
            <w:r>
              <w:rPr>
                <w:noProof/>
                <w:webHidden/>
              </w:rPr>
            </w:r>
            <w:r>
              <w:rPr>
                <w:noProof/>
                <w:webHidden/>
              </w:rPr>
              <w:fldChar w:fldCharType="separate"/>
            </w:r>
            <w:r>
              <w:rPr>
                <w:noProof/>
                <w:webHidden/>
              </w:rPr>
              <w:t>22</w:t>
            </w:r>
            <w:r>
              <w:rPr>
                <w:noProof/>
                <w:webHidden/>
              </w:rPr>
              <w:fldChar w:fldCharType="end"/>
            </w:r>
          </w:hyperlink>
        </w:p>
        <w:p w:rsidR="007103BD" w:rsidRDefault="007103BD">
          <w:pPr>
            <w:pStyle w:val="TOC1"/>
            <w:rPr>
              <w:rFonts w:eastAsiaTheme="minorEastAsia" w:cstheme="minorBidi"/>
              <w:kern w:val="2"/>
              <w:bdr w:val="none" w:sz="0" w:space="0" w:color="auto"/>
              <w:lang w:eastAsia="en-GB"/>
              <w14:ligatures w14:val="standardContextual"/>
            </w:rPr>
          </w:pPr>
          <w:hyperlink w:anchor="_Toc166761541" w:history="1">
            <w:r w:rsidRPr="004D6F8C">
              <w:rPr>
                <w:rStyle w:val="Hyperlink"/>
                <w:b/>
                <w:bCs/>
              </w:rPr>
              <w:t>BIBLIOGRAPHY</w:t>
            </w:r>
            <w:r>
              <w:rPr>
                <w:webHidden/>
              </w:rPr>
              <w:tab/>
            </w:r>
            <w:r>
              <w:rPr>
                <w:webHidden/>
              </w:rPr>
              <w:fldChar w:fldCharType="begin"/>
            </w:r>
            <w:r>
              <w:rPr>
                <w:webHidden/>
              </w:rPr>
              <w:instrText xml:space="preserve"> PAGEREF _Toc166761541 \h </w:instrText>
            </w:r>
            <w:r>
              <w:rPr>
                <w:webHidden/>
              </w:rPr>
            </w:r>
            <w:r>
              <w:rPr>
                <w:webHidden/>
              </w:rPr>
              <w:fldChar w:fldCharType="separate"/>
            </w:r>
            <w:r>
              <w:rPr>
                <w:webHidden/>
              </w:rPr>
              <w:t>23</w:t>
            </w:r>
            <w:r>
              <w:rPr>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42" w:history="1">
            <w:r w:rsidRPr="004D6F8C">
              <w:rPr>
                <w:rStyle w:val="Hyperlink"/>
                <w:noProof/>
              </w:rPr>
              <w:t>Works Cited</w:t>
            </w:r>
            <w:r>
              <w:rPr>
                <w:noProof/>
                <w:webHidden/>
              </w:rPr>
              <w:tab/>
            </w:r>
            <w:r>
              <w:rPr>
                <w:noProof/>
                <w:webHidden/>
              </w:rPr>
              <w:fldChar w:fldCharType="begin"/>
            </w:r>
            <w:r>
              <w:rPr>
                <w:noProof/>
                <w:webHidden/>
              </w:rPr>
              <w:instrText xml:space="preserve"> PAGEREF _Toc166761542 \h </w:instrText>
            </w:r>
            <w:r>
              <w:rPr>
                <w:noProof/>
                <w:webHidden/>
              </w:rPr>
            </w:r>
            <w:r>
              <w:rPr>
                <w:noProof/>
                <w:webHidden/>
              </w:rPr>
              <w:fldChar w:fldCharType="separate"/>
            </w:r>
            <w:r>
              <w:rPr>
                <w:noProof/>
                <w:webHidden/>
              </w:rPr>
              <w:t>23</w:t>
            </w:r>
            <w:r>
              <w:rPr>
                <w:noProof/>
                <w:webHidden/>
              </w:rPr>
              <w:fldChar w:fldCharType="end"/>
            </w:r>
          </w:hyperlink>
        </w:p>
        <w:p w:rsidR="007103BD" w:rsidRDefault="007103BD">
          <w:pPr>
            <w:pStyle w:val="TOC2"/>
            <w:tabs>
              <w:tab w:val="right" w:leader="dot" w:pos="9010"/>
            </w:tabs>
            <w:rPr>
              <w:rFonts w:eastAsiaTheme="minorEastAsia" w:cstheme="minorBidi"/>
              <w:b w:val="0"/>
              <w:bCs w:val="0"/>
              <w:noProof/>
              <w:kern w:val="2"/>
              <w:sz w:val="24"/>
              <w:szCs w:val="24"/>
              <w:bdr w:val="none" w:sz="0" w:space="0" w:color="auto"/>
              <w:lang w:eastAsia="en-GB"/>
              <w14:ligatures w14:val="standardContextual"/>
            </w:rPr>
          </w:pPr>
          <w:hyperlink w:anchor="_Toc166761543" w:history="1">
            <w:r w:rsidRPr="004D6F8C">
              <w:rPr>
                <w:rStyle w:val="Hyperlink"/>
                <w:rFonts w:eastAsiaTheme="minorHAnsi"/>
                <w:noProof/>
              </w:rPr>
              <w:t>Additional resources consulted</w:t>
            </w:r>
            <w:r>
              <w:rPr>
                <w:noProof/>
                <w:webHidden/>
              </w:rPr>
              <w:tab/>
            </w:r>
            <w:r>
              <w:rPr>
                <w:noProof/>
                <w:webHidden/>
              </w:rPr>
              <w:fldChar w:fldCharType="begin"/>
            </w:r>
            <w:r>
              <w:rPr>
                <w:noProof/>
                <w:webHidden/>
              </w:rPr>
              <w:instrText xml:space="preserve"> PAGEREF _Toc166761543 \h </w:instrText>
            </w:r>
            <w:r>
              <w:rPr>
                <w:noProof/>
                <w:webHidden/>
              </w:rPr>
            </w:r>
            <w:r>
              <w:rPr>
                <w:noProof/>
                <w:webHidden/>
              </w:rPr>
              <w:fldChar w:fldCharType="separate"/>
            </w:r>
            <w:r>
              <w:rPr>
                <w:noProof/>
                <w:webHidden/>
              </w:rPr>
              <w:t>25</w:t>
            </w:r>
            <w:r>
              <w:rPr>
                <w:noProof/>
                <w:webHidden/>
              </w:rPr>
              <w:fldChar w:fldCharType="end"/>
            </w:r>
          </w:hyperlink>
        </w:p>
        <w:p w:rsidR="00606FB9" w:rsidRDefault="00606FB9">
          <w:r w:rsidRPr="00606FB9">
            <w:rPr>
              <w:noProof/>
            </w:rPr>
            <w:fldChar w:fldCharType="end"/>
          </w:r>
        </w:p>
      </w:sdtContent>
    </w:sdt>
    <w:p w:rsidR="005D1C9E" w:rsidRPr="00570945" w:rsidRDefault="005D1C9E"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heme="majorEastAsia" w:hAnsiTheme="minorHAnsi" w:cstheme="minorHAnsi"/>
          <w:b/>
          <w:bCs/>
          <w:bdr w:val="none" w:sz="0" w:space="0" w:color="auto"/>
          <w:lang w:val="en-US"/>
        </w:rPr>
      </w:pPr>
    </w:p>
    <w:p w:rsidR="00A634DD" w:rsidRPr="00570945" w:rsidRDefault="00A634DD"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heme="majorEastAsia" w:hAnsiTheme="minorHAnsi" w:cstheme="minorHAnsi"/>
          <w:b/>
          <w:bCs/>
          <w:bdr w:val="none" w:sz="0" w:space="0" w:color="auto"/>
          <w:lang w:val="en-US"/>
        </w:rPr>
      </w:pPr>
    </w:p>
    <w:p w:rsidR="00A634DD" w:rsidRPr="00570945" w:rsidRDefault="00332462"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jc w:val="center"/>
        <w:rPr>
          <w:rFonts w:asciiTheme="minorHAnsi" w:eastAsiaTheme="majorEastAsia" w:hAnsiTheme="minorHAnsi" w:cstheme="minorHAnsi"/>
          <w:b/>
          <w:bCs/>
          <w:bdr w:val="none" w:sz="0" w:space="0" w:color="auto"/>
          <w:lang w:val="en-US"/>
        </w:rPr>
      </w:pPr>
      <w:r w:rsidRPr="00570945">
        <w:rPr>
          <w:rFonts w:asciiTheme="minorHAnsi" w:eastAsiaTheme="majorEastAsia" w:hAnsiTheme="minorHAnsi" w:cstheme="minorHAnsi"/>
          <w:b/>
          <w:bCs/>
          <w:bdr w:val="none" w:sz="0" w:space="0" w:color="auto"/>
          <w:lang w:val="en-US"/>
        </w:rPr>
        <w:t>Abbreviations</w:t>
      </w:r>
    </w:p>
    <w:p w:rsidR="00332462" w:rsidRPr="00570945" w:rsidRDefault="00332462"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jc w:val="center"/>
        <w:rPr>
          <w:rFonts w:asciiTheme="minorHAnsi" w:eastAsiaTheme="majorEastAsia" w:hAnsiTheme="minorHAnsi" w:cstheme="minorHAnsi"/>
          <w:b/>
          <w:bCs/>
          <w:bdr w:val="none" w:sz="0" w:space="0" w:color="auto"/>
          <w:lang w:val="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5528"/>
      </w:tblGrid>
      <w:tr w:rsidR="00332462" w:rsidRPr="005D1C9E" w:rsidTr="005B6B57">
        <w:trPr>
          <w:jc w:val="center"/>
        </w:trPr>
        <w:tc>
          <w:tcPr>
            <w:tcW w:w="1838" w:type="dxa"/>
          </w:tcPr>
          <w:p w:rsidR="00332462" w:rsidRPr="005D1C9E" w:rsidRDefault="006612F0"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r w:rsidRPr="005D1C9E">
              <w:rPr>
                <w:rFonts w:asciiTheme="minorHAnsi" w:eastAsiaTheme="majorEastAsia" w:hAnsiTheme="minorHAnsi" w:cstheme="minorHAnsi"/>
                <w:bdr w:val="none" w:sz="0" w:space="0" w:color="auto"/>
                <w:lang w:val="en-US"/>
              </w:rPr>
              <w:t>BCC</w:t>
            </w:r>
          </w:p>
        </w:tc>
        <w:tc>
          <w:tcPr>
            <w:tcW w:w="5528" w:type="dxa"/>
          </w:tcPr>
          <w:p w:rsidR="00332462" w:rsidRPr="005D1C9E" w:rsidRDefault="006612F0"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rPr>
                <w:rFonts w:asciiTheme="minorHAnsi" w:eastAsiaTheme="majorEastAsia" w:hAnsiTheme="minorHAnsi" w:cstheme="minorHAnsi"/>
                <w:bdr w:val="none" w:sz="0" w:space="0" w:color="auto"/>
                <w:lang w:val="en-US"/>
              </w:rPr>
            </w:pPr>
            <w:r w:rsidRPr="005D1C9E">
              <w:rPr>
                <w:rFonts w:asciiTheme="minorHAnsi" w:eastAsiaTheme="majorEastAsia" w:hAnsiTheme="minorHAnsi" w:cstheme="minorHAnsi"/>
                <w:bdr w:val="none" w:sz="0" w:space="0" w:color="auto"/>
                <w:lang w:val="en-US"/>
              </w:rPr>
              <w:t xml:space="preserve">Luther’s </w:t>
            </w:r>
            <w:r w:rsidRPr="005D1C9E">
              <w:rPr>
                <w:rFonts w:asciiTheme="minorHAnsi" w:hAnsiTheme="minorHAnsi" w:cstheme="minorHAnsi"/>
                <w:i/>
                <w:iCs/>
              </w:rPr>
              <w:t>The Babylonian Captivity of the Church</w:t>
            </w:r>
            <w:r w:rsidRPr="005D1C9E">
              <w:rPr>
                <w:rFonts w:asciiTheme="minorHAnsi" w:hAnsiTheme="minorHAnsi" w:cstheme="minorHAnsi"/>
              </w:rPr>
              <w:t xml:space="preserve"> (1520)</w:t>
            </w:r>
          </w:p>
        </w:tc>
      </w:tr>
      <w:tr w:rsidR="00332462" w:rsidRPr="005D1C9E" w:rsidTr="005B6B57">
        <w:trPr>
          <w:jc w:val="center"/>
        </w:trPr>
        <w:tc>
          <w:tcPr>
            <w:tcW w:w="1838" w:type="dxa"/>
          </w:tcPr>
          <w:p w:rsidR="00332462" w:rsidRPr="005D1C9E" w:rsidRDefault="005D1C9E"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r w:rsidRPr="005D1C9E">
              <w:rPr>
                <w:rFonts w:asciiTheme="minorHAnsi" w:eastAsiaTheme="majorEastAsia" w:hAnsiTheme="minorHAnsi" w:cstheme="minorHAnsi"/>
                <w:bdr w:val="none" w:sz="0" w:space="0" w:color="auto"/>
                <w:lang w:val="en-US"/>
              </w:rPr>
              <w:t>GAFCON</w:t>
            </w:r>
          </w:p>
        </w:tc>
        <w:tc>
          <w:tcPr>
            <w:tcW w:w="5528" w:type="dxa"/>
          </w:tcPr>
          <w:p w:rsidR="00332462" w:rsidRPr="005D1C9E" w:rsidRDefault="005D1C9E"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rPr>
                <w:rFonts w:asciiTheme="minorHAnsi" w:eastAsiaTheme="majorEastAsia" w:hAnsiTheme="minorHAnsi" w:cstheme="minorHAnsi"/>
                <w:bdr w:val="none" w:sz="0" w:space="0" w:color="auto"/>
                <w:lang w:val="en-US"/>
              </w:rPr>
            </w:pPr>
            <w:r w:rsidRPr="005D1C9E">
              <w:rPr>
                <w:rFonts w:asciiTheme="minorHAnsi" w:hAnsiTheme="minorHAnsi" w:cstheme="minorHAnsi"/>
              </w:rPr>
              <w:t>The</w:t>
            </w:r>
            <w:r w:rsidRPr="005D1C9E">
              <w:rPr>
                <w:rStyle w:val="apple-converted-space"/>
                <w:rFonts w:asciiTheme="minorHAnsi" w:hAnsiTheme="minorHAnsi" w:cstheme="minorHAnsi"/>
                <w:shd w:val="clear" w:color="auto" w:fill="FFFFFF"/>
              </w:rPr>
              <w:t> </w:t>
            </w:r>
            <w:r w:rsidRPr="005D1C9E">
              <w:rPr>
                <w:rFonts w:asciiTheme="minorHAnsi" w:hAnsiTheme="minorHAnsi" w:cstheme="minorHAnsi"/>
                <w:shd w:val="clear" w:color="auto" w:fill="FFFFFF"/>
              </w:rPr>
              <w:t>Global Anglican Future Conference</w:t>
            </w:r>
          </w:p>
        </w:tc>
      </w:tr>
      <w:tr w:rsidR="005D1C9E" w:rsidRPr="005D1C9E" w:rsidTr="005B6B57">
        <w:trPr>
          <w:jc w:val="center"/>
        </w:trPr>
        <w:tc>
          <w:tcPr>
            <w:tcW w:w="1838" w:type="dxa"/>
          </w:tcPr>
          <w:p w:rsidR="005D1C9E" w:rsidRPr="005D1C9E" w:rsidRDefault="005D1C9E"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r w:rsidRPr="005D1C9E">
              <w:rPr>
                <w:rFonts w:asciiTheme="minorHAnsi" w:eastAsiaTheme="majorEastAsia" w:hAnsiTheme="minorHAnsi" w:cstheme="minorHAnsi"/>
                <w:bdr w:val="none" w:sz="0" w:space="0" w:color="auto"/>
                <w:lang w:val="en-US"/>
              </w:rPr>
              <w:t>WA</w:t>
            </w:r>
          </w:p>
        </w:tc>
        <w:tc>
          <w:tcPr>
            <w:tcW w:w="5528" w:type="dxa"/>
          </w:tcPr>
          <w:p w:rsidR="005D1C9E" w:rsidRPr="005D1C9E" w:rsidRDefault="005D1C9E"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rPr>
                <w:rFonts w:asciiTheme="minorHAnsi" w:eastAsiaTheme="majorEastAsia" w:hAnsiTheme="minorHAnsi" w:cstheme="minorHAnsi"/>
                <w:bdr w:val="none" w:sz="0" w:space="0" w:color="auto"/>
                <w:lang w:val="en-US"/>
              </w:rPr>
            </w:pPr>
            <w:r w:rsidRPr="005D1C9E">
              <w:rPr>
                <w:rStyle w:val="Emphasis"/>
                <w:rFonts w:asciiTheme="minorHAnsi" w:hAnsiTheme="minorHAnsi" w:cstheme="minorHAnsi"/>
                <w:color w:val="2A2A2A"/>
                <w:bdr w:val="none" w:sz="0" w:space="0" w:color="auto" w:frame="1"/>
              </w:rPr>
              <w:t xml:space="preserve">D. Martin </w:t>
            </w:r>
            <w:proofErr w:type="spellStart"/>
            <w:r w:rsidRPr="005D1C9E">
              <w:rPr>
                <w:rStyle w:val="Emphasis"/>
                <w:rFonts w:asciiTheme="minorHAnsi" w:hAnsiTheme="minorHAnsi" w:cstheme="minorHAnsi"/>
                <w:color w:val="2A2A2A"/>
                <w:bdr w:val="none" w:sz="0" w:space="0" w:color="auto" w:frame="1"/>
              </w:rPr>
              <w:t>Luthers</w:t>
            </w:r>
            <w:proofErr w:type="spellEnd"/>
            <w:r w:rsidRPr="005D1C9E">
              <w:rPr>
                <w:rStyle w:val="Emphasis"/>
                <w:rFonts w:asciiTheme="minorHAnsi" w:hAnsiTheme="minorHAnsi" w:cstheme="minorHAnsi"/>
                <w:color w:val="2A2A2A"/>
                <w:bdr w:val="none" w:sz="0" w:space="0" w:color="auto" w:frame="1"/>
              </w:rPr>
              <w:t xml:space="preserve"> Werke</w:t>
            </w:r>
            <w:r w:rsidRPr="005D1C9E">
              <w:rPr>
                <w:rFonts w:asciiTheme="minorHAnsi" w:hAnsiTheme="minorHAnsi" w:cstheme="minorHAnsi"/>
                <w:color w:val="2A2A2A"/>
                <w:shd w:val="clear" w:color="auto" w:fill="FFFFFF"/>
              </w:rPr>
              <w:t xml:space="preserve">. Weimar: </w:t>
            </w:r>
            <w:proofErr w:type="spellStart"/>
            <w:r w:rsidRPr="005D1C9E">
              <w:rPr>
                <w:rFonts w:asciiTheme="minorHAnsi" w:hAnsiTheme="minorHAnsi" w:cstheme="minorHAnsi"/>
                <w:color w:val="2A2A2A"/>
                <w:shd w:val="clear" w:color="auto" w:fill="FFFFFF"/>
              </w:rPr>
              <w:t>Böhlau</w:t>
            </w:r>
            <w:proofErr w:type="spellEnd"/>
            <w:r w:rsidRPr="005D1C9E">
              <w:rPr>
                <w:rFonts w:asciiTheme="minorHAnsi" w:hAnsiTheme="minorHAnsi" w:cstheme="minorHAnsi"/>
                <w:color w:val="2A2A2A"/>
                <w:shd w:val="clear" w:color="auto" w:fill="FFFFFF"/>
              </w:rPr>
              <w:t>, 1883–1993</w:t>
            </w: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r w:rsidR="00332462" w:rsidRPr="005D1C9E" w:rsidTr="005B6B57">
        <w:trPr>
          <w:jc w:val="center"/>
        </w:trPr>
        <w:tc>
          <w:tcPr>
            <w:tcW w:w="183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c>
          <w:tcPr>
            <w:tcW w:w="5528" w:type="dxa"/>
          </w:tcPr>
          <w:p w:rsidR="00332462" w:rsidRPr="005D1C9E" w:rsidRDefault="00332462" w:rsidP="005D1C9E">
            <w:pPr>
              <w:pBdr>
                <w:top w:val="none" w:sz="0" w:space="0" w:color="auto"/>
                <w:left w:val="none" w:sz="0" w:space="0" w:color="auto"/>
                <w:bottom w:val="none" w:sz="0" w:space="0" w:color="auto"/>
                <w:right w:val="none" w:sz="0" w:space="0" w:color="auto"/>
                <w:between w:val="none" w:sz="0" w:space="0" w:color="auto"/>
                <w:bar w:val="none" w:sz="0" w:color="auto"/>
              </w:pBdr>
              <w:spacing w:before="60" w:after="60"/>
              <w:ind w:firstLine="426"/>
              <w:rPr>
                <w:rFonts w:asciiTheme="minorHAnsi" w:eastAsiaTheme="majorEastAsia" w:hAnsiTheme="minorHAnsi" w:cstheme="minorHAnsi"/>
                <w:bdr w:val="none" w:sz="0" w:space="0" w:color="auto"/>
                <w:lang w:val="en-US"/>
              </w:rPr>
            </w:pPr>
          </w:p>
        </w:tc>
      </w:tr>
    </w:tbl>
    <w:p w:rsidR="00332462" w:rsidRPr="00570945" w:rsidRDefault="00332462"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heme="majorEastAsia" w:hAnsiTheme="minorHAnsi" w:cstheme="minorHAnsi"/>
          <w:bdr w:val="none" w:sz="0" w:space="0" w:color="auto"/>
          <w:lang w:val="en-US"/>
        </w:rPr>
      </w:pPr>
    </w:p>
    <w:p w:rsidR="00377531" w:rsidRPr="00570945" w:rsidRDefault="00377531" w:rsidP="008A5FA1">
      <w:pPr>
        <w:pBdr>
          <w:top w:val="none" w:sz="0" w:space="0" w:color="auto"/>
          <w:left w:val="none" w:sz="0" w:space="0" w:color="auto"/>
          <w:bottom w:val="none" w:sz="0" w:space="0" w:color="auto"/>
          <w:right w:val="none" w:sz="0" w:space="0" w:color="auto"/>
          <w:between w:val="none" w:sz="0" w:space="0" w:color="auto"/>
          <w:bar w:val="none" w:sz="0" w:color="auto"/>
        </w:pBdr>
        <w:ind w:firstLine="426"/>
        <w:rPr>
          <w:rFonts w:asciiTheme="minorHAnsi" w:eastAsia="Times New Roman" w:hAnsiTheme="minorHAnsi" w:cstheme="minorHAnsi"/>
          <w:color w:val="000000"/>
          <w:bdr w:val="none" w:sz="0" w:space="0" w:color="auto"/>
          <w:lang w:eastAsia="en-GB"/>
        </w:rPr>
      </w:pPr>
      <w:r w:rsidRPr="00570945">
        <w:rPr>
          <w:rFonts w:asciiTheme="minorHAnsi" w:hAnsiTheme="minorHAnsi" w:cstheme="minorHAnsi"/>
          <w:color w:val="000000"/>
        </w:rPr>
        <w:br w:type="page"/>
      </w:r>
    </w:p>
    <w:p w:rsidR="00911991" w:rsidRDefault="00911991" w:rsidP="005D1C9E">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dr w:val="none" w:sz="0" w:space="0" w:color="auto"/>
          <w14:ligatures w14:val="standardContextual"/>
        </w:rPr>
      </w:pPr>
    </w:p>
    <w:p w:rsidR="005D1C9E" w:rsidRPr="005D1C9E" w:rsidRDefault="005D1C9E" w:rsidP="005D1C9E">
      <w:pPr>
        <w:pBdr>
          <w:top w:val="none" w:sz="0" w:space="0" w:color="auto"/>
          <w:left w:val="none" w:sz="0" w:space="0" w:color="auto"/>
          <w:bottom w:val="none" w:sz="0" w:space="0" w:color="auto"/>
          <w:right w:val="none" w:sz="0" w:space="0" w:color="auto"/>
          <w:between w:val="none" w:sz="0" w:space="0" w:color="auto"/>
          <w:bar w:val="none" w:sz="0" w:color="auto"/>
        </w:pBdr>
        <w:rPr>
          <w:rStyle w:val="text"/>
          <w:rFonts w:asciiTheme="minorHAnsi" w:hAnsiTheme="minorHAnsi" w:cstheme="minorHAnsi"/>
          <w:color w:val="000000"/>
        </w:rPr>
      </w:pPr>
    </w:p>
    <w:p w:rsidR="00E04631" w:rsidRPr="005D1C9E" w:rsidRDefault="00E04631" w:rsidP="005D1C9E">
      <w:pPr>
        <w:pBdr>
          <w:top w:val="none" w:sz="0" w:space="0" w:color="auto"/>
          <w:left w:val="none" w:sz="0" w:space="0" w:color="auto"/>
          <w:bottom w:val="none" w:sz="0" w:space="0" w:color="auto"/>
          <w:right w:val="none" w:sz="0" w:space="0" w:color="auto"/>
          <w:between w:val="none" w:sz="0" w:space="0" w:color="auto"/>
          <w:bar w:val="none" w:sz="0" w:color="auto"/>
        </w:pBdr>
        <w:ind w:left="1701" w:right="1365"/>
        <w:jc w:val="center"/>
        <w:rPr>
          <w:rStyle w:val="text"/>
          <w:rFonts w:asciiTheme="minorHAnsi" w:hAnsiTheme="minorHAnsi" w:cstheme="minorHAnsi"/>
          <w:color w:val="000000"/>
        </w:rPr>
      </w:pPr>
      <w:r w:rsidRPr="005D1C9E">
        <w:rPr>
          <w:rStyle w:val="text"/>
          <w:rFonts w:asciiTheme="minorHAnsi" w:hAnsiTheme="minorHAnsi" w:cstheme="minorHAnsi"/>
          <w:color w:val="000000"/>
        </w:rPr>
        <w:t>‘‘This is my body that is broken for</w:t>
      </w:r>
      <w:r w:rsidRPr="005D1C9E">
        <w:rPr>
          <w:rStyle w:val="text"/>
          <w:rFonts w:asciiTheme="minorHAnsi" w:hAnsiTheme="minorHAnsi" w:cstheme="minorHAnsi"/>
          <w:color w:val="000000"/>
          <w:sz w:val="15"/>
          <w:szCs w:val="15"/>
          <w:vertAlign w:val="superscript"/>
        </w:rPr>
        <w:t xml:space="preserve"> </w:t>
      </w:r>
      <w:r w:rsidRPr="005D1C9E">
        <w:rPr>
          <w:rStyle w:val="text"/>
          <w:rFonts w:asciiTheme="minorHAnsi" w:hAnsiTheme="minorHAnsi" w:cstheme="minorHAnsi"/>
          <w:color w:val="000000"/>
        </w:rPr>
        <w:t>you’ … ‘This cup is the new covenant in my blood.’ … For as often as you eat this bread and drink the cup, you proclaim the Lord’s death until he comes.</w:t>
      </w:r>
    </w:p>
    <w:p w:rsidR="00E04631" w:rsidRPr="005D1C9E" w:rsidRDefault="00E04631" w:rsidP="005D1C9E">
      <w:pPr>
        <w:pBdr>
          <w:top w:val="none" w:sz="0" w:space="0" w:color="auto"/>
          <w:left w:val="none" w:sz="0" w:space="0" w:color="auto"/>
          <w:bottom w:val="none" w:sz="0" w:space="0" w:color="auto"/>
          <w:right w:val="none" w:sz="0" w:space="0" w:color="auto"/>
          <w:between w:val="none" w:sz="0" w:space="0" w:color="auto"/>
          <w:bar w:val="none" w:sz="0" w:color="auto"/>
        </w:pBdr>
        <w:ind w:left="1701" w:right="1365"/>
        <w:jc w:val="center"/>
        <w:rPr>
          <w:rStyle w:val="text"/>
          <w:rFonts w:asciiTheme="minorHAnsi" w:hAnsiTheme="minorHAnsi" w:cstheme="minorHAnsi"/>
          <w:color w:val="000000"/>
        </w:rPr>
      </w:pPr>
      <w:r w:rsidRPr="005D1C9E">
        <w:rPr>
          <w:rStyle w:val="text"/>
          <w:rFonts w:asciiTheme="minorHAnsi" w:hAnsiTheme="minorHAnsi" w:cstheme="minorHAnsi"/>
          <w:color w:val="000000"/>
        </w:rPr>
        <w:t>(1 Corinthians 11:24-26)</w:t>
      </w:r>
    </w:p>
    <w:p w:rsidR="00911991" w:rsidRPr="00606FB9" w:rsidRDefault="008D12BD" w:rsidP="00885569">
      <w:pPr>
        <w:pStyle w:val="Heading1"/>
        <w:spacing w:line="480" w:lineRule="auto"/>
        <w:rPr>
          <w:rFonts w:asciiTheme="minorHAnsi" w:hAnsiTheme="minorHAnsi" w:cstheme="minorHAnsi"/>
          <w:b/>
          <w:bCs/>
          <w:color w:val="auto"/>
          <w:sz w:val="24"/>
          <w:szCs w:val="24"/>
        </w:rPr>
      </w:pPr>
      <w:bookmarkStart w:id="0" w:name="_Toc166761529"/>
      <w:r w:rsidRPr="00606FB9">
        <w:rPr>
          <w:rFonts w:asciiTheme="minorHAnsi" w:hAnsiTheme="minorHAnsi" w:cstheme="minorHAnsi"/>
          <w:b/>
          <w:bCs/>
          <w:color w:val="auto"/>
          <w:sz w:val="24"/>
          <w:szCs w:val="24"/>
        </w:rPr>
        <w:t>Introduction</w:t>
      </w:r>
      <w:bookmarkEnd w:id="0"/>
    </w:p>
    <w:p w:rsidR="00007C01" w:rsidRDefault="00007C01" w:rsidP="00885569">
      <w:pPr>
        <w:spacing w:line="480" w:lineRule="auto"/>
        <w:ind w:firstLine="426"/>
        <w:rPr>
          <w:rFonts w:asciiTheme="minorHAnsi" w:hAnsiTheme="minorHAnsi" w:cstheme="minorHAnsi"/>
        </w:rPr>
      </w:pPr>
      <w:r w:rsidRPr="00007C01">
        <w:rPr>
          <w:rFonts w:asciiTheme="minorHAnsi" w:hAnsiTheme="minorHAnsi" w:cstheme="minorHAnsi"/>
          <w:i/>
          <w:iCs/>
        </w:rPr>
        <w:t>Sola scriptura, sola fide, sola gratia</w:t>
      </w:r>
      <w:r w:rsidRPr="00007C01">
        <w:rPr>
          <w:rFonts w:asciiTheme="minorHAnsi" w:hAnsiTheme="minorHAnsi" w:cstheme="minorHAnsi"/>
        </w:rPr>
        <w:t xml:space="preserve"> summarise </w:t>
      </w:r>
      <w:r w:rsidR="00CD2168">
        <w:rPr>
          <w:rFonts w:asciiTheme="minorHAnsi" w:hAnsiTheme="minorHAnsi" w:cstheme="minorHAnsi"/>
        </w:rPr>
        <w:t>and distinguish the re-</w:t>
      </w:r>
      <w:r w:rsidRPr="00007C01">
        <w:rPr>
          <w:rFonts w:asciiTheme="minorHAnsi" w:hAnsiTheme="minorHAnsi" w:cstheme="minorHAnsi"/>
        </w:rPr>
        <w:t>form</w:t>
      </w:r>
      <w:r w:rsidR="00CD2168">
        <w:rPr>
          <w:rFonts w:asciiTheme="minorHAnsi" w:hAnsiTheme="minorHAnsi" w:cstheme="minorHAnsi"/>
        </w:rPr>
        <w:t>ing</w:t>
      </w:r>
      <w:r w:rsidRPr="00007C01">
        <w:rPr>
          <w:rFonts w:asciiTheme="minorHAnsi" w:hAnsiTheme="minorHAnsi" w:cstheme="minorHAnsi"/>
        </w:rPr>
        <w:t xml:space="preserve"> theology from sixteenth-century Roman Catholic</w:t>
      </w:r>
      <w:r w:rsidR="008D0FD2" w:rsidRPr="00AB1AE4">
        <w:rPr>
          <w:rStyle w:val="FootnoteReference"/>
        </w:rPr>
        <w:footnoteReference w:id="1"/>
      </w:r>
      <w:r w:rsidRPr="00007C01">
        <w:rPr>
          <w:rFonts w:asciiTheme="minorHAnsi" w:hAnsiTheme="minorHAnsi" w:cstheme="minorHAnsi"/>
        </w:rPr>
        <w:t xml:space="preserve"> theology</w:t>
      </w:r>
      <w:r w:rsidR="001F3CCD">
        <w:rPr>
          <w:rFonts w:asciiTheme="minorHAnsi" w:hAnsiTheme="minorHAnsi" w:cstheme="minorHAnsi"/>
        </w:rPr>
        <w:t>. These</w:t>
      </w:r>
      <w:r w:rsidR="00B34246">
        <w:rPr>
          <w:rFonts w:asciiTheme="minorHAnsi" w:hAnsiTheme="minorHAnsi" w:cstheme="minorHAnsi"/>
        </w:rPr>
        <w:t xml:space="preserve"> </w:t>
      </w:r>
      <w:r w:rsidRPr="00007C01">
        <w:rPr>
          <w:rFonts w:asciiTheme="minorHAnsi" w:hAnsiTheme="minorHAnsi" w:cstheme="minorHAnsi"/>
        </w:rPr>
        <w:t xml:space="preserve">three principles </w:t>
      </w:r>
      <w:r w:rsidR="005D3483">
        <w:rPr>
          <w:rFonts w:asciiTheme="minorHAnsi" w:hAnsiTheme="minorHAnsi" w:cstheme="minorHAnsi"/>
        </w:rPr>
        <w:t>serve as</w:t>
      </w:r>
      <w:r w:rsidRPr="00007C01">
        <w:rPr>
          <w:rFonts w:asciiTheme="minorHAnsi" w:hAnsiTheme="minorHAnsi" w:cstheme="minorHAnsi"/>
        </w:rPr>
        <w:t xml:space="preserve"> the benchmark </w:t>
      </w:r>
      <w:r w:rsidR="005D3483">
        <w:rPr>
          <w:rFonts w:asciiTheme="minorHAnsi" w:hAnsiTheme="minorHAnsi" w:cstheme="minorHAnsi"/>
        </w:rPr>
        <w:t>upon</w:t>
      </w:r>
      <w:r w:rsidRPr="00007C01">
        <w:rPr>
          <w:rFonts w:asciiTheme="minorHAnsi" w:hAnsiTheme="minorHAnsi" w:cstheme="minorHAnsi"/>
        </w:rPr>
        <w:t xml:space="preserve"> which Martin Luther, John Calvin and other reformers levelled their prime accusations </w:t>
      </w:r>
      <w:r w:rsidR="005D3483">
        <w:rPr>
          <w:rFonts w:asciiTheme="minorHAnsi" w:hAnsiTheme="minorHAnsi" w:cstheme="minorHAnsi"/>
        </w:rPr>
        <w:t>against</w:t>
      </w:r>
      <w:r w:rsidRPr="00007C01">
        <w:rPr>
          <w:rFonts w:asciiTheme="minorHAnsi" w:hAnsiTheme="minorHAnsi" w:cstheme="minorHAnsi"/>
        </w:rPr>
        <w:t xml:space="preserve"> the abuses of power and errant practices of the  Church</w:t>
      </w:r>
      <w:r w:rsidR="001F3CCD">
        <w:rPr>
          <w:rFonts w:asciiTheme="minorHAnsi" w:hAnsiTheme="minorHAnsi" w:cstheme="minorHAnsi"/>
        </w:rPr>
        <w:t>. I</w:t>
      </w:r>
      <w:r w:rsidRPr="00007C01">
        <w:rPr>
          <w:rFonts w:asciiTheme="minorHAnsi" w:eastAsiaTheme="minorHAnsi" w:hAnsiTheme="minorHAnsi" w:cstheme="minorHAnsi"/>
          <w:bdr w:val="none" w:sz="0" w:space="0" w:color="auto"/>
          <w14:ligatures w14:val="standardContextual"/>
        </w:rPr>
        <w:t>n their different ways</w:t>
      </w:r>
      <w:r w:rsidR="001F3CCD">
        <w:rPr>
          <w:rFonts w:asciiTheme="minorHAnsi" w:eastAsiaTheme="minorHAnsi" w:hAnsiTheme="minorHAnsi" w:cstheme="minorHAnsi"/>
          <w:bdr w:val="none" w:sz="0" w:space="0" w:color="auto"/>
          <w14:ligatures w14:val="standardContextual"/>
        </w:rPr>
        <w:t xml:space="preserve"> they</w:t>
      </w:r>
      <w:r w:rsidRPr="00007C01">
        <w:rPr>
          <w:rFonts w:asciiTheme="minorHAnsi" w:eastAsiaTheme="minorHAnsi" w:hAnsiTheme="minorHAnsi" w:cstheme="minorHAnsi"/>
          <w:bdr w:val="none" w:sz="0" w:space="0" w:color="auto"/>
          <w14:ligatures w14:val="standardContextual"/>
        </w:rPr>
        <w:t xml:space="preserve"> developed their specific Protestant </w:t>
      </w:r>
      <w:r w:rsidR="005853F6">
        <w:rPr>
          <w:rFonts w:asciiTheme="minorHAnsi" w:eastAsiaTheme="minorHAnsi" w:hAnsiTheme="minorHAnsi" w:cstheme="minorHAnsi"/>
          <w:bdr w:val="none" w:sz="0" w:space="0" w:color="auto"/>
          <w14:ligatures w14:val="standardContextual"/>
        </w:rPr>
        <w:t xml:space="preserve">and </w:t>
      </w:r>
      <w:r w:rsidRPr="00007C01">
        <w:rPr>
          <w:rFonts w:asciiTheme="minorHAnsi" w:eastAsiaTheme="minorHAnsi" w:hAnsiTheme="minorHAnsi" w:cstheme="minorHAnsi"/>
          <w:bdr w:val="none" w:sz="0" w:space="0" w:color="auto"/>
          <w14:ligatures w14:val="standardContextual"/>
        </w:rPr>
        <w:t>Eucharistic theologies</w:t>
      </w:r>
      <w:r w:rsidR="001F3CCD">
        <w:rPr>
          <w:rFonts w:asciiTheme="minorHAnsi" w:hAnsiTheme="minorHAnsi" w:cstheme="minorHAnsi"/>
        </w:rPr>
        <w:t xml:space="preserve"> </w:t>
      </w:r>
      <w:r w:rsidR="005853F6">
        <w:rPr>
          <w:rFonts w:asciiTheme="minorHAnsi" w:hAnsiTheme="minorHAnsi" w:cstheme="minorHAnsi"/>
        </w:rPr>
        <w:t>and</w:t>
      </w:r>
      <w:r w:rsidRPr="00007C01">
        <w:rPr>
          <w:rFonts w:asciiTheme="minorHAnsi" w:hAnsiTheme="minorHAnsi" w:cstheme="minorHAnsi"/>
        </w:rPr>
        <w:t xml:space="preserve"> core principles through which Thomas Cranmer crafted </w:t>
      </w:r>
      <w:r w:rsidR="005853F6">
        <w:rPr>
          <w:rFonts w:asciiTheme="minorHAnsi" w:hAnsiTheme="minorHAnsi" w:cstheme="minorHAnsi"/>
        </w:rPr>
        <w:t>his core principles as the foundation of t</w:t>
      </w:r>
      <w:r w:rsidRPr="00007C01">
        <w:rPr>
          <w:rFonts w:asciiTheme="minorHAnsi" w:hAnsiTheme="minorHAnsi" w:cstheme="minorHAnsi"/>
        </w:rPr>
        <w:t>he Protestant national Church of England</w:t>
      </w:r>
      <w:r w:rsidR="005853F6" w:rsidRPr="00AB1AE4">
        <w:rPr>
          <w:rStyle w:val="FootnoteReference"/>
        </w:rPr>
        <w:footnoteReference w:id="2"/>
      </w:r>
      <w:r w:rsidR="005853F6">
        <w:rPr>
          <w:rFonts w:asciiTheme="minorHAnsi" w:hAnsiTheme="minorHAnsi" w:cstheme="minorHAnsi"/>
        </w:rPr>
        <w:t xml:space="preserve">, together with his most significant work, </w:t>
      </w:r>
      <w:r w:rsidR="005853F6">
        <w:rPr>
          <w:rFonts w:asciiTheme="minorHAnsi" w:hAnsiTheme="minorHAnsi" w:cstheme="minorHAnsi"/>
          <w:i/>
          <w:iCs/>
        </w:rPr>
        <w:t>The Book of Common Prayer</w:t>
      </w:r>
      <w:r w:rsidR="005853F6" w:rsidRPr="00AB1AE4">
        <w:rPr>
          <w:rStyle w:val="FootnoteReference"/>
        </w:rPr>
        <w:footnoteReference w:id="3"/>
      </w:r>
      <w:r w:rsidR="005853F6">
        <w:rPr>
          <w:rFonts w:asciiTheme="minorHAnsi" w:hAnsiTheme="minorHAnsi" w:cstheme="minorHAnsi"/>
          <w:i/>
          <w:iCs/>
        </w:rPr>
        <w:t>.</w:t>
      </w:r>
      <w:r w:rsidRPr="00007C01">
        <w:rPr>
          <w:rFonts w:asciiTheme="minorHAnsi" w:hAnsiTheme="minorHAnsi" w:cstheme="minorHAnsi"/>
        </w:rPr>
        <w:t xml:space="preserve"> T</w:t>
      </w:r>
      <w:r w:rsidR="001F3CCD">
        <w:rPr>
          <w:rFonts w:asciiTheme="minorHAnsi" w:hAnsiTheme="minorHAnsi" w:cstheme="minorHAnsi"/>
        </w:rPr>
        <w:t>his essay focuses on t</w:t>
      </w:r>
      <w:r w:rsidRPr="00007C01">
        <w:rPr>
          <w:rFonts w:asciiTheme="minorHAnsi" w:hAnsiTheme="minorHAnsi" w:cstheme="minorHAnsi"/>
        </w:rPr>
        <w:t>he shaping of the sacraments and the place of the Eucharist in a refreshed and reformed Church, based on primary scriptural evidence</w:t>
      </w:r>
      <w:r w:rsidR="001F3CCD">
        <w:rPr>
          <w:rFonts w:asciiTheme="minorHAnsi" w:hAnsiTheme="minorHAnsi" w:cstheme="minorHAnsi"/>
        </w:rPr>
        <w:t xml:space="preserve"> and</w:t>
      </w:r>
      <w:r w:rsidRPr="00007C01">
        <w:rPr>
          <w:rFonts w:asciiTheme="minorHAnsi" w:hAnsiTheme="minorHAnsi" w:cstheme="minorHAnsi"/>
        </w:rPr>
        <w:t xml:space="preserve"> seen through the</w:t>
      </w:r>
      <w:r w:rsidR="005853F6">
        <w:rPr>
          <w:rFonts w:asciiTheme="minorHAnsi" w:hAnsiTheme="minorHAnsi" w:cstheme="minorHAnsi"/>
        </w:rPr>
        <w:t xml:space="preserve"> reformists’</w:t>
      </w:r>
      <w:r w:rsidRPr="00007C01">
        <w:rPr>
          <w:rFonts w:asciiTheme="minorHAnsi" w:hAnsiTheme="minorHAnsi" w:cstheme="minorHAnsi"/>
        </w:rPr>
        <w:t xml:space="preserve"> eyes. How does this fresh thinking reject and dismiss the Medieval practice and teaching? </w:t>
      </w:r>
      <w:r w:rsidRPr="00007C01">
        <w:rPr>
          <w:rFonts w:asciiTheme="minorHAnsi" w:eastAsiaTheme="minorHAnsi" w:hAnsiTheme="minorHAnsi" w:cstheme="minorHAnsi"/>
          <w:bdr w:val="none" w:sz="0" w:space="0" w:color="auto"/>
          <w14:ligatures w14:val="standardContextual"/>
        </w:rPr>
        <w:t>How</w:t>
      </w:r>
      <w:r w:rsidRPr="00007C01">
        <w:rPr>
          <w:rFonts w:asciiTheme="minorHAnsi" w:hAnsiTheme="minorHAnsi" w:cstheme="minorHAnsi"/>
        </w:rPr>
        <w:t xml:space="preserve"> </w:t>
      </w:r>
      <w:r w:rsidRPr="00007C01">
        <w:rPr>
          <w:rFonts w:asciiTheme="minorHAnsi" w:eastAsiaTheme="minorHAnsi" w:hAnsiTheme="minorHAnsi" w:cstheme="minorHAnsi"/>
          <w:bdr w:val="none" w:sz="0" w:space="0" w:color="auto"/>
          <w14:ligatures w14:val="standardContextual"/>
        </w:rPr>
        <w:t xml:space="preserve">does the church understand and engage with Christ’s death on the cross? </w:t>
      </w:r>
      <w:r w:rsidRPr="00007C01">
        <w:rPr>
          <w:rFonts w:asciiTheme="minorHAnsi" w:hAnsiTheme="minorHAnsi" w:cstheme="minorHAnsi"/>
        </w:rPr>
        <w:t>What are the nature and purpose of sacrament and Eucharist? What is understood by the real presence of Christ in the bread and wine of communion? In essence, how do individual believers and the Church as a whole participate fully in the saving power of Christ’s body and blood in the bread and wine of the Eucharist?</w:t>
      </w:r>
      <w:r w:rsidR="00716E62" w:rsidRPr="00AB1AE4">
        <w:rPr>
          <w:rStyle w:val="FootnoteReference"/>
        </w:rPr>
        <w:footnoteReference w:id="4"/>
      </w:r>
    </w:p>
    <w:p w:rsidR="008D12BD" w:rsidRPr="00606FB9" w:rsidRDefault="008D12BD" w:rsidP="00885569">
      <w:pPr>
        <w:pStyle w:val="Heading1"/>
        <w:spacing w:line="480" w:lineRule="auto"/>
        <w:rPr>
          <w:rFonts w:asciiTheme="minorHAnsi" w:hAnsiTheme="minorHAnsi" w:cstheme="minorHAnsi"/>
          <w:b/>
          <w:bCs/>
          <w:color w:val="auto"/>
          <w:sz w:val="24"/>
          <w:szCs w:val="24"/>
        </w:rPr>
      </w:pPr>
      <w:bookmarkStart w:id="1" w:name="_Toc166761530"/>
      <w:r w:rsidRPr="00606FB9">
        <w:rPr>
          <w:rFonts w:asciiTheme="minorHAnsi" w:hAnsiTheme="minorHAnsi" w:cstheme="minorHAnsi"/>
          <w:b/>
          <w:bCs/>
          <w:color w:val="auto"/>
          <w:sz w:val="24"/>
          <w:szCs w:val="24"/>
        </w:rPr>
        <w:lastRenderedPageBreak/>
        <w:t>Contextual Background</w:t>
      </w:r>
      <w:bookmarkEnd w:id="1"/>
    </w:p>
    <w:p w:rsidR="000D20C3" w:rsidRPr="0088619F" w:rsidRDefault="00E4758F" w:rsidP="00885569">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ind w:firstLine="426"/>
        <w:rPr>
          <w:rFonts w:asciiTheme="minorHAnsi" w:hAnsiTheme="minorHAnsi" w:cstheme="minorHAnsi"/>
        </w:rPr>
      </w:pPr>
      <w:r>
        <w:rPr>
          <w:rFonts w:asciiTheme="minorHAnsi" w:hAnsiTheme="minorHAnsi" w:cstheme="minorHAnsi"/>
        </w:rPr>
        <w:t>It is difficult to separate the Church’s participation in the central purpose of the Eucharist from the range of issues which had appeared to diver</w:t>
      </w:r>
      <w:r w:rsidR="00C71B3B">
        <w:rPr>
          <w:rFonts w:asciiTheme="minorHAnsi" w:hAnsiTheme="minorHAnsi" w:cstheme="minorHAnsi"/>
        </w:rPr>
        <w:t>t</w:t>
      </w:r>
      <w:r>
        <w:rPr>
          <w:rFonts w:asciiTheme="minorHAnsi" w:hAnsiTheme="minorHAnsi" w:cstheme="minorHAnsi"/>
        </w:rPr>
        <w:t xml:space="preserve"> the Medieval Church from the Church </w:t>
      </w:r>
      <w:r w:rsidR="00447C23">
        <w:rPr>
          <w:rFonts w:asciiTheme="minorHAnsi" w:hAnsiTheme="minorHAnsi" w:cstheme="minorHAnsi"/>
        </w:rPr>
        <w:t>of the</w:t>
      </w:r>
      <w:r>
        <w:rPr>
          <w:rFonts w:asciiTheme="minorHAnsi" w:hAnsiTheme="minorHAnsi" w:cstheme="minorHAnsi"/>
        </w:rPr>
        <w:t xml:space="preserve"> Scripture</w:t>
      </w:r>
      <w:r w:rsidR="00447C23">
        <w:rPr>
          <w:rFonts w:asciiTheme="minorHAnsi" w:hAnsiTheme="minorHAnsi" w:cstheme="minorHAnsi"/>
        </w:rPr>
        <w:t>s</w:t>
      </w:r>
      <w:r w:rsidR="0088619F">
        <w:rPr>
          <w:rFonts w:asciiTheme="minorHAnsi" w:hAnsiTheme="minorHAnsi" w:cstheme="minorHAnsi"/>
        </w:rPr>
        <w:t>.</w:t>
      </w:r>
      <w:r w:rsidR="0088619F" w:rsidRPr="0088619F">
        <w:rPr>
          <w:rFonts w:asciiTheme="minorHAnsi" w:hAnsiTheme="minorHAnsi" w:cstheme="minorHAnsi"/>
        </w:rPr>
        <w:t xml:space="preserve"> </w:t>
      </w:r>
      <w:r w:rsidR="00C71B3B">
        <w:rPr>
          <w:rFonts w:asciiTheme="minorHAnsi" w:hAnsiTheme="minorHAnsi" w:cstheme="minorHAnsi"/>
        </w:rPr>
        <w:t>The presenting issue</w:t>
      </w:r>
      <w:r w:rsidR="0088619F">
        <w:rPr>
          <w:rFonts w:asciiTheme="minorHAnsi" w:hAnsiTheme="minorHAnsi" w:cstheme="minorHAnsi"/>
        </w:rPr>
        <w:t xml:space="preserve"> of </w:t>
      </w:r>
      <w:r w:rsidR="00C71B3B">
        <w:rPr>
          <w:rFonts w:asciiTheme="minorHAnsi" w:hAnsiTheme="minorHAnsi" w:cstheme="minorHAnsi"/>
        </w:rPr>
        <w:t xml:space="preserve">Luther’s </w:t>
      </w:r>
      <w:r w:rsidR="0088619F">
        <w:rPr>
          <w:rFonts w:asciiTheme="minorHAnsi" w:hAnsiTheme="minorHAnsi" w:cstheme="minorHAnsi"/>
        </w:rPr>
        <w:t xml:space="preserve">posting of his </w:t>
      </w:r>
      <w:r w:rsidR="00C71B3B">
        <w:rPr>
          <w:rFonts w:asciiTheme="minorHAnsi" w:hAnsiTheme="minorHAnsi" w:cstheme="minorHAnsi"/>
        </w:rPr>
        <w:t xml:space="preserve">ninety-five theses </w:t>
      </w:r>
      <w:r w:rsidR="0088619F">
        <w:rPr>
          <w:rFonts w:asciiTheme="minorHAnsi" w:hAnsiTheme="minorHAnsi" w:cstheme="minorHAnsi"/>
        </w:rPr>
        <w:t xml:space="preserve">focused not on the nature of the eucharist or other ecclesial and liturgical matters, but on </w:t>
      </w:r>
      <w:r w:rsidR="0088619F" w:rsidRPr="00C30C2A">
        <w:rPr>
          <w:rFonts w:asciiTheme="minorHAnsi" w:hAnsiTheme="minorHAnsi" w:cstheme="minorHAnsi"/>
        </w:rPr>
        <w:t xml:space="preserve">questioning the scriptural validity </w:t>
      </w:r>
      <w:r w:rsidR="0088619F">
        <w:rPr>
          <w:rFonts w:asciiTheme="minorHAnsi" w:hAnsiTheme="minorHAnsi" w:cstheme="minorHAnsi"/>
        </w:rPr>
        <w:t xml:space="preserve">of papal abuse of the sacraments in promoting the sale of indulgences as </w:t>
      </w:r>
      <w:r w:rsidR="00C71B3B">
        <w:rPr>
          <w:rFonts w:asciiTheme="minorHAnsi" w:hAnsiTheme="minorHAnsi" w:cstheme="minorHAnsi"/>
        </w:rPr>
        <w:t xml:space="preserve">a vehicle to ‘buy’ forgiveness, </w:t>
      </w:r>
      <w:r w:rsidR="00447C23">
        <w:rPr>
          <w:rFonts w:asciiTheme="minorHAnsi" w:hAnsiTheme="minorHAnsi" w:cstheme="minorHAnsi"/>
        </w:rPr>
        <w:t xml:space="preserve">thus </w:t>
      </w:r>
      <w:r w:rsidR="00C71B3B">
        <w:rPr>
          <w:rFonts w:asciiTheme="minorHAnsi" w:hAnsiTheme="minorHAnsi" w:cstheme="minorHAnsi"/>
        </w:rPr>
        <w:t>lessening time spent by dead people or the living donor in purgatory. What followed challenged the very nature of sacraments, the purpose and nature of the Eucharist and, most particularly, how the bread and wine ‘becomes’ the body and blood of Christ.</w:t>
      </w:r>
      <w:r w:rsidR="00A3015D">
        <w:rPr>
          <w:rFonts w:asciiTheme="minorHAnsi" w:hAnsiTheme="minorHAnsi" w:cstheme="minorHAnsi"/>
        </w:rPr>
        <w:t xml:space="preserve"> </w:t>
      </w:r>
      <w:r w:rsidR="00A3015D" w:rsidRPr="00C30C2A">
        <w:rPr>
          <w:rFonts w:asciiTheme="minorHAnsi" w:eastAsiaTheme="minorHAnsi" w:hAnsiTheme="minorHAnsi" w:cstheme="minorHAnsi"/>
          <w:bdr w:val="none" w:sz="0" w:space="0" w:color="auto"/>
          <w14:ligatures w14:val="standardContextual"/>
        </w:rPr>
        <w:t>Receipt of forgiveness is not at the behest of the pope, but through grace by faith alone</w:t>
      </w:r>
      <w:r w:rsidR="00447C23">
        <w:rPr>
          <w:rFonts w:asciiTheme="minorHAnsi" w:eastAsiaTheme="minorHAnsi" w:hAnsiTheme="minorHAnsi" w:cstheme="minorHAnsi"/>
          <w:bdr w:val="none" w:sz="0" w:space="0" w:color="auto"/>
          <w14:ligatures w14:val="standardContextual"/>
        </w:rPr>
        <w:t>,</w:t>
      </w:r>
      <w:r w:rsidR="00A3015D" w:rsidRPr="00C30C2A">
        <w:rPr>
          <w:rFonts w:asciiTheme="minorHAnsi" w:eastAsiaTheme="minorHAnsi" w:hAnsiTheme="minorHAnsi" w:cstheme="minorHAnsi"/>
          <w:bdr w:val="none" w:sz="0" w:space="0" w:color="auto"/>
          <w14:ligatures w14:val="standardContextual"/>
        </w:rPr>
        <w:t xml:space="preserve"> as evidenced by scripture</w:t>
      </w:r>
      <w:r w:rsidR="00447C23">
        <w:rPr>
          <w:rFonts w:asciiTheme="minorHAnsi" w:eastAsiaTheme="minorHAnsi" w:hAnsiTheme="minorHAnsi" w:cstheme="minorHAnsi"/>
          <w:bdr w:val="none" w:sz="0" w:space="0" w:color="auto"/>
          <w14:ligatures w14:val="standardContextual"/>
        </w:rPr>
        <w:t>, which</w:t>
      </w:r>
      <w:r w:rsidR="00A3015D" w:rsidRPr="00C30C2A">
        <w:rPr>
          <w:rFonts w:asciiTheme="minorHAnsi" w:eastAsiaTheme="minorHAnsi" w:hAnsiTheme="minorHAnsi" w:cstheme="minorHAnsi"/>
          <w:bdr w:val="none" w:sz="0" w:space="0" w:color="auto"/>
          <w14:ligatures w14:val="standardContextual"/>
        </w:rPr>
        <w:t xml:space="preserve"> became the reformist mantra. </w:t>
      </w:r>
      <w:r w:rsidR="00A3015D">
        <w:rPr>
          <w:rFonts w:asciiTheme="minorHAnsi" w:hAnsiTheme="minorHAnsi" w:cstheme="minorHAnsi"/>
        </w:rPr>
        <w:t xml:space="preserve">It was </w:t>
      </w:r>
      <w:r w:rsidR="00447C23">
        <w:rPr>
          <w:rFonts w:asciiTheme="minorHAnsi" w:hAnsiTheme="minorHAnsi" w:cstheme="minorHAnsi"/>
        </w:rPr>
        <w:t xml:space="preserve">through </w:t>
      </w:r>
      <w:r w:rsidR="00A3015D">
        <w:rPr>
          <w:rFonts w:asciiTheme="minorHAnsi" w:hAnsiTheme="minorHAnsi" w:cstheme="minorHAnsi"/>
        </w:rPr>
        <w:t>Luther’s</w:t>
      </w:r>
      <w:r w:rsidR="00D63AAF">
        <w:rPr>
          <w:rFonts w:asciiTheme="minorHAnsi" w:eastAsiaTheme="minorHAnsi" w:hAnsiTheme="minorHAnsi" w:cstheme="minorHAnsi"/>
          <w:bdr w:val="none" w:sz="0" w:space="0" w:color="auto"/>
          <w14:ligatures w14:val="standardContextual"/>
        </w:rPr>
        <w:t xml:space="preserve"> dogged, loud, outspoken views which defied all criticism, even anathematising</w:t>
      </w:r>
      <w:r w:rsidR="00A3015D">
        <w:rPr>
          <w:rFonts w:asciiTheme="minorHAnsi" w:eastAsiaTheme="minorHAnsi" w:hAnsiTheme="minorHAnsi" w:cstheme="minorHAnsi"/>
          <w:bdr w:val="none" w:sz="0" w:space="0" w:color="auto"/>
          <w14:ligatures w14:val="standardContextual"/>
        </w:rPr>
        <w:t xml:space="preserve">, </w:t>
      </w:r>
      <w:r w:rsidR="00447C23">
        <w:rPr>
          <w:rFonts w:asciiTheme="minorHAnsi" w:eastAsiaTheme="minorHAnsi" w:hAnsiTheme="minorHAnsi" w:cstheme="minorHAnsi"/>
          <w:bdr w:val="none" w:sz="0" w:space="0" w:color="auto"/>
          <w14:ligatures w14:val="standardContextual"/>
        </w:rPr>
        <w:t>established reformist thinking firmly in mainstream theology and</w:t>
      </w:r>
      <w:r w:rsidR="00DA12E3">
        <w:rPr>
          <w:rFonts w:asciiTheme="minorHAnsi" w:eastAsiaTheme="minorHAnsi" w:hAnsiTheme="minorHAnsi" w:cstheme="minorHAnsi"/>
          <w:bdr w:val="none" w:sz="0" w:space="0" w:color="auto"/>
          <w14:ligatures w14:val="standardContextual"/>
        </w:rPr>
        <w:t xml:space="preserve"> </w:t>
      </w:r>
      <w:r w:rsidR="00A3015D">
        <w:rPr>
          <w:rFonts w:asciiTheme="minorHAnsi" w:eastAsiaTheme="minorHAnsi" w:hAnsiTheme="minorHAnsi" w:cstheme="minorHAnsi"/>
          <w:bdr w:val="none" w:sz="0" w:space="0" w:color="auto"/>
          <w14:ligatures w14:val="standardContextual"/>
        </w:rPr>
        <w:t xml:space="preserve">ensured </w:t>
      </w:r>
      <w:r w:rsidR="00447C23">
        <w:rPr>
          <w:rFonts w:asciiTheme="minorHAnsi" w:eastAsiaTheme="minorHAnsi" w:hAnsiTheme="minorHAnsi" w:cstheme="minorHAnsi"/>
          <w:bdr w:val="none" w:sz="0" w:space="0" w:color="auto"/>
          <w14:ligatures w14:val="standardContextual"/>
        </w:rPr>
        <w:t>his place in Church history</w:t>
      </w:r>
      <w:r w:rsidR="00D63AAF">
        <w:rPr>
          <w:rFonts w:asciiTheme="minorHAnsi" w:eastAsiaTheme="minorHAnsi" w:hAnsiTheme="minorHAnsi" w:cstheme="minorHAnsi"/>
          <w:bdr w:val="none" w:sz="0" w:space="0" w:color="auto"/>
          <w14:ligatures w14:val="standardContextual"/>
        </w:rPr>
        <w:t>.</w:t>
      </w:r>
      <w:r w:rsidR="00D63AAF" w:rsidRPr="00AB1AE4">
        <w:rPr>
          <w:rStyle w:val="FootnoteReference"/>
        </w:rPr>
        <w:footnoteReference w:id="5"/>
      </w:r>
      <w:r w:rsidR="00D63AAF">
        <w:rPr>
          <w:rFonts w:asciiTheme="minorHAnsi" w:eastAsiaTheme="minorHAnsi" w:hAnsiTheme="minorHAnsi" w:cstheme="minorHAnsi"/>
          <w:bdr w:val="none" w:sz="0" w:space="0" w:color="auto"/>
          <w14:ligatures w14:val="standardContextual"/>
        </w:rPr>
        <w:t xml:space="preserve"> </w:t>
      </w:r>
    </w:p>
    <w:p w:rsidR="00EC4453" w:rsidRDefault="00B751D5" w:rsidP="00885569">
      <w:pPr>
        <w:spacing w:line="480" w:lineRule="auto"/>
        <w:ind w:firstLine="426"/>
        <w:rPr>
          <w:rFonts w:asciiTheme="minorHAnsi" w:hAnsiTheme="minorHAnsi" w:cstheme="minorHAnsi"/>
        </w:rPr>
      </w:pPr>
      <w:r>
        <w:rPr>
          <w:rFonts w:asciiTheme="minorHAnsi" w:hAnsiTheme="minorHAnsi" w:cstheme="minorHAnsi"/>
        </w:rPr>
        <w:t>Initially Luther did not wish to move away from the established Church, but to realign it with the Gospel and rid the Church of anything which could not find it</w:t>
      </w:r>
      <w:r w:rsidR="0088619F">
        <w:rPr>
          <w:rFonts w:asciiTheme="minorHAnsi" w:hAnsiTheme="minorHAnsi" w:cstheme="minorHAnsi"/>
        </w:rPr>
        <w:t>s</w:t>
      </w:r>
      <w:r>
        <w:rPr>
          <w:rFonts w:asciiTheme="minorHAnsi" w:hAnsiTheme="minorHAnsi" w:cstheme="minorHAnsi"/>
        </w:rPr>
        <w:t xml:space="preserve"> roots in the Gospels or Paul’s writings. No area of the Church was left unchallenged. </w:t>
      </w:r>
    </w:p>
    <w:p w:rsidR="001D7756" w:rsidRPr="000B69D9" w:rsidRDefault="000B69D9" w:rsidP="00885569">
      <w:pPr>
        <w:spacing w:line="480" w:lineRule="auto"/>
        <w:ind w:firstLine="426"/>
        <w:rPr>
          <w:rFonts w:asciiTheme="minorHAnsi" w:hAnsiTheme="minorHAnsi" w:cstheme="minorHAnsi"/>
        </w:rPr>
      </w:pPr>
      <w:r>
        <w:rPr>
          <w:rFonts w:asciiTheme="minorHAnsi" w:hAnsiTheme="minorHAnsi" w:cstheme="minorHAnsi"/>
        </w:rPr>
        <w:t xml:space="preserve">Close scrutiny of what occurred at the </w:t>
      </w:r>
      <w:r w:rsidR="00447C23">
        <w:rPr>
          <w:rFonts w:asciiTheme="minorHAnsi" w:hAnsiTheme="minorHAnsi" w:cstheme="minorHAnsi"/>
        </w:rPr>
        <w:t>Mass</w:t>
      </w:r>
      <w:r>
        <w:rPr>
          <w:rFonts w:asciiTheme="minorHAnsi" w:hAnsiTheme="minorHAnsi" w:cstheme="minorHAnsi"/>
        </w:rPr>
        <w:t xml:space="preserve"> challenged the </w:t>
      </w:r>
      <w:r w:rsidR="00447C23">
        <w:rPr>
          <w:rFonts w:asciiTheme="minorHAnsi" w:hAnsiTheme="minorHAnsi" w:cstheme="minorHAnsi"/>
        </w:rPr>
        <w:t>Catholic</w:t>
      </w:r>
      <w:r>
        <w:rPr>
          <w:rFonts w:asciiTheme="minorHAnsi" w:hAnsiTheme="minorHAnsi" w:cstheme="minorHAnsi"/>
        </w:rPr>
        <w:t xml:space="preserve"> </w:t>
      </w:r>
      <w:r w:rsidR="00447C23">
        <w:rPr>
          <w:rFonts w:asciiTheme="minorHAnsi" w:hAnsiTheme="minorHAnsi" w:cstheme="minorHAnsi"/>
        </w:rPr>
        <w:t>dogma</w:t>
      </w:r>
      <w:r>
        <w:rPr>
          <w:rFonts w:asciiTheme="minorHAnsi" w:hAnsiTheme="minorHAnsi" w:cstheme="minorHAnsi"/>
        </w:rPr>
        <w:t xml:space="preserve"> of transubstantiation. </w:t>
      </w:r>
      <w:r w:rsidR="00DD4A44">
        <w:rPr>
          <w:rFonts w:asciiTheme="minorHAnsi" w:hAnsiTheme="minorHAnsi" w:cstheme="minorHAnsi"/>
        </w:rPr>
        <w:t>RC</w:t>
      </w:r>
      <w:r>
        <w:rPr>
          <w:rFonts w:asciiTheme="minorHAnsi" w:hAnsiTheme="minorHAnsi" w:cstheme="minorHAnsi"/>
        </w:rPr>
        <w:t xml:space="preserve"> eucharistic theology </w:t>
      </w:r>
      <w:r w:rsidR="0088619F">
        <w:rPr>
          <w:rFonts w:asciiTheme="minorHAnsi" w:hAnsiTheme="minorHAnsi" w:cstheme="minorHAnsi"/>
        </w:rPr>
        <w:t>was rooted in Cyrillian-developed theology, supported by Aquinas, where the body of Christ is united with the Word (Jn 1:14).</w:t>
      </w:r>
      <w:r w:rsidR="00733A91">
        <w:rPr>
          <w:rStyle w:val="FootnoteReference"/>
          <w:rFonts w:asciiTheme="minorHAnsi" w:hAnsiTheme="minorHAnsi" w:cstheme="minorHAnsi"/>
        </w:rPr>
        <w:footnoteReference w:id="6"/>
      </w:r>
      <w:r w:rsidR="0015451E">
        <w:rPr>
          <w:rFonts w:asciiTheme="minorHAnsi" w:hAnsiTheme="minorHAnsi" w:cstheme="minorHAnsi"/>
        </w:rPr>
        <w:t xml:space="preserve"> </w:t>
      </w:r>
      <w:r>
        <w:rPr>
          <w:rFonts w:asciiTheme="minorHAnsi" w:hAnsiTheme="minorHAnsi" w:cstheme="minorHAnsi"/>
        </w:rPr>
        <w:t xml:space="preserve">It later </w:t>
      </w:r>
      <w:r>
        <w:rPr>
          <w:rFonts w:asciiTheme="minorHAnsi" w:hAnsiTheme="minorHAnsi" w:cstheme="minorHAnsi"/>
        </w:rPr>
        <w:lastRenderedPageBreak/>
        <w:t xml:space="preserve">introduced </w:t>
      </w:r>
      <w:r w:rsidRPr="00570945">
        <w:rPr>
          <w:rFonts w:asciiTheme="minorHAnsi" w:hAnsiTheme="minorHAnsi" w:cstheme="minorHAnsi"/>
        </w:rPr>
        <w:t xml:space="preserve">Aristotelian concepts of </w:t>
      </w:r>
      <w:r w:rsidRPr="00570945">
        <w:rPr>
          <w:rFonts w:asciiTheme="minorHAnsi" w:hAnsiTheme="minorHAnsi" w:cstheme="minorHAnsi"/>
          <w:i/>
          <w:iCs/>
        </w:rPr>
        <w:t>substance</w:t>
      </w:r>
      <w:r w:rsidRPr="00570945">
        <w:rPr>
          <w:rFonts w:asciiTheme="minorHAnsi" w:hAnsiTheme="minorHAnsi" w:cstheme="minorHAnsi"/>
        </w:rPr>
        <w:t xml:space="preserve"> and </w:t>
      </w:r>
      <w:r w:rsidRPr="00570945">
        <w:rPr>
          <w:rFonts w:asciiTheme="minorHAnsi" w:hAnsiTheme="minorHAnsi" w:cstheme="minorHAnsi"/>
          <w:i/>
          <w:iCs/>
        </w:rPr>
        <w:t>accidence</w:t>
      </w:r>
      <w:r w:rsidRPr="00570945">
        <w:rPr>
          <w:rFonts w:asciiTheme="minorHAnsi" w:hAnsiTheme="minorHAnsi" w:cstheme="minorHAnsi"/>
        </w:rPr>
        <w:t xml:space="preserve"> to interpret Christ’s real presence within the bread and wine of the Eucharist.</w:t>
      </w:r>
      <w:r w:rsidRPr="00AB1AE4">
        <w:rPr>
          <w:rStyle w:val="FootnoteReference"/>
        </w:rPr>
        <w:footnoteReference w:id="7"/>
      </w:r>
      <w:r w:rsidRPr="000D32D4">
        <w:rPr>
          <w:rFonts w:asciiTheme="minorHAnsi" w:hAnsiTheme="minorHAnsi" w:cstheme="minorHAnsi"/>
        </w:rPr>
        <w:t xml:space="preserve"> </w:t>
      </w:r>
      <w:r>
        <w:rPr>
          <w:rFonts w:asciiTheme="minorHAnsi" w:hAnsiTheme="minorHAnsi" w:cstheme="minorHAnsi"/>
        </w:rPr>
        <w:t>T</w:t>
      </w:r>
      <w:r w:rsidRPr="00570945">
        <w:rPr>
          <w:rFonts w:asciiTheme="minorHAnsi" w:hAnsiTheme="minorHAnsi" w:cstheme="minorHAnsi"/>
        </w:rPr>
        <w:t xml:space="preserve">he real presence of the glorified Christ understands the </w:t>
      </w:r>
      <w:r w:rsidRPr="00570945">
        <w:rPr>
          <w:rFonts w:asciiTheme="minorHAnsi" w:hAnsiTheme="minorHAnsi" w:cstheme="minorHAnsi"/>
          <w:i/>
          <w:iCs/>
        </w:rPr>
        <w:t>accidence</w:t>
      </w:r>
      <w:r w:rsidRPr="00570945">
        <w:rPr>
          <w:rFonts w:asciiTheme="minorHAnsi" w:hAnsiTheme="minorHAnsi" w:cstheme="minorHAnsi"/>
        </w:rPr>
        <w:t xml:space="preserve"> or physical appearance of the bread and wine of the Eucharist remain; at consecration, the </w:t>
      </w:r>
      <w:r w:rsidRPr="00570945">
        <w:rPr>
          <w:rFonts w:asciiTheme="minorHAnsi" w:hAnsiTheme="minorHAnsi" w:cstheme="minorHAnsi"/>
          <w:i/>
          <w:iCs/>
        </w:rPr>
        <w:t>substance</w:t>
      </w:r>
      <w:r w:rsidRPr="00570945">
        <w:rPr>
          <w:rFonts w:asciiTheme="minorHAnsi" w:hAnsiTheme="minorHAnsi" w:cstheme="minorHAnsi"/>
        </w:rPr>
        <w:t xml:space="preserve"> and reality of the bread and wine, in a unique, mysterious manner, change into the </w:t>
      </w:r>
      <w:r w:rsidRPr="00570945">
        <w:rPr>
          <w:rFonts w:asciiTheme="minorHAnsi" w:hAnsiTheme="minorHAnsi" w:cstheme="minorHAnsi"/>
          <w:i/>
          <w:iCs/>
        </w:rPr>
        <w:t>substance</w:t>
      </w:r>
      <w:r w:rsidRPr="00570945">
        <w:rPr>
          <w:rFonts w:asciiTheme="minorHAnsi" w:hAnsiTheme="minorHAnsi" w:cstheme="minorHAnsi"/>
        </w:rPr>
        <w:t xml:space="preserve"> and ‘deepest reality’ of the body and blood of the resurrected Christ</w:t>
      </w:r>
      <w:r>
        <w:rPr>
          <w:rFonts w:asciiTheme="minorHAnsi" w:hAnsiTheme="minorHAnsi" w:cstheme="minorHAnsi"/>
        </w:rPr>
        <w:t>.</w:t>
      </w:r>
      <w:r w:rsidRPr="00AB1AE4">
        <w:rPr>
          <w:rStyle w:val="FootnoteReference"/>
        </w:rPr>
        <w:footnoteReference w:id="8"/>
      </w:r>
      <w:r>
        <w:rPr>
          <w:rFonts w:asciiTheme="minorHAnsi" w:hAnsiTheme="minorHAnsi" w:cstheme="minorHAnsi"/>
        </w:rPr>
        <w:t xml:space="preserve"> T</w:t>
      </w:r>
      <w:r w:rsidR="00E068E3">
        <w:rPr>
          <w:rFonts w:asciiTheme="minorHAnsi" w:hAnsiTheme="minorHAnsi" w:cstheme="minorHAnsi"/>
        </w:rPr>
        <w:t xml:space="preserve">he real presence of Christ in the </w:t>
      </w:r>
      <w:r w:rsidR="00E068E3" w:rsidRPr="00446034">
        <w:rPr>
          <w:rFonts w:asciiTheme="minorHAnsi" w:hAnsiTheme="minorHAnsi" w:cstheme="minorHAnsi"/>
          <w:i/>
          <w:iCs/>
        </w:rPr>
        <w:t>participation</w:t>
      </w:r>
      <w:r w:rsidR="00E068E3">
        <w:rPr>
          <w:rFonts w:asciiTheme="minorHAnsi" w:hAnsiTheme="minorHAnsi" w:cstheme="minorHAnsi"/>
        </w:rPr>
        <w:t xml:space="preserve"> in the body and blood of the Eucharist</w:t>
      </w:r>
      <w:r w:rsidR="001F3CCD">
        <w:rPr>
          <w:rFonts w:asciiTheme="minorHAnsi" w:hAnsiTheme="minorHAnsi" w:cstheme="minorHAnsi"/>
        </w:rPr>
        <w:t xml:space="preserve"> is</w:t>
      </w:r>
      <w:r w:rsidR="007F2CE9">
        <w:rPr>
          <w:rFonts w:asciiTheme="minorHAnsi" w:hAnsiTheme="minorHAnsi" w:cstheme="minorHAnsi"/>
        </w:rPr>
        <w:t xml:space="preserve"> a redemptive sacrifice of thanksgiving and praise, a ‘re-presentation of the sacrifice of Christ on the cross’. It united Christians with the ‘self-offering of Christ’.</w:t>
      </w:r>
      <w:r w:rsidR="007F2CE9" w:rsidRPr="00AB1AE4">
        <w:rPr>
          <w:rStyle w:val="FootnoteReference"/>
        </w:rPr>
        <w:footnoteReference w:id="9"/>
      </w:r>
      <w:r w:rsidR="007F2CE9">
        <w:rPr>
          <w:rFonts w:asciiTheme="minorHAnsi" w:hAnsiTheme="minorHAnsi" w:cstheme="minorHAnsi"/>
        </w:rPr>
        <w:t xml:space="preserve"> </w:t>
      </w:r>
      <w:r>
        <w:rPr>
          <w:rFonts w:asciiTheme="minorHAnsi" w:hAnsiTheme="minorHAnsi" w:cstheme="minorHAnsi"/>
        </w:rPr>
        <w:t>(Adhering to their three principles, m</w:t>
      </w:r>
      <w:r w:rsidR="007F2CE9">
        <w:rPr>
          <w:rFonts w:asciiTheme="minorHAnsi" w:hAnsiTheme="minorHAnsi" w:cstheme="minorHAnsi"/>
        </w:rPr>
        <w:t xml:space="preserve">ost Protestants see the Lord’s Supper as the self-giving of a meal, remembering, celebrating and proclaiming Christ until he returns in </w:t>
      </w:r>
      <w:r w:rsidR="00520D4E">
        <w:rPr>
          <w:rFonts w:asciiTheme="minorHAnsi" w:hAnsiTheme="minorHAnsi" w:cstheme="minorHAnsi"/>
        </w:rPr>
        <w:t>glory. Most specifically, it celebrates the ‘once-for-all sacrificial love of God in Jesus Christ’</w:t>
      </w:r>
      <w:r w:rsidR="001F3CCD">
        <w:rPr>
          <w:rFonts w:asciiTheme="minorHAnsi" w:hAnsiTheme="minorHAnsi" w:cstheme="minorHAnsi"/>
        </w:rPr>
        <w:t>)</w:t>
      </w:r>
      <w:r w:rsidR="00520D4E">
        <w:rPr>
          <w:rFonts w:asciiTheme="minorHAnsi" w:hAnsiTheme="minorHAnsi" w:cstheme="minorHAnsi"/>
        </w:rPr>
        <w:t>.</w:t>
      </w:r>
      <w:r w:rsidR="00520D4E" w:rsidRPr="00AB1AE4">
        <w:rPr>
          <w:rStyle w:val="FootnoteReference"/>
        </w:rPr>
        <w:footnoteReference w:id="10"/>
      </w:r>
      <w:r w:rsidR="004D35A1">
        <w:rPr>
          <w:rFonts w:asciiTheme="minorHAnsi" w:hAnsiTheme="minorHAnsi" w:cstheme="minorHAnsi"/>
        </w:rPr>
        <w:t xml:space="preserve"> </w:t>
      </w:r>
    </w:p>
    <w:p w:rsidR="00520D4E" w:rsidRPr="00606FB9" w:rsidRDefault="009B76BC" w:rsidP="00885569">
      <w:pPr>
        <w:pStyle w:val="Heading1"/>
        <w:spacing w:line="480" w:lineRule="auto"/>
        <w:rPr>
          <w:rFonts w:asciiTheme="minorHAnsi" w:hAnsiTheme="minorHAnsi" w:cstheme="minorHAnsi"/>
          <w:b/>
          <w:bCs/>
          <w:color w:val="auto"/>
          <w:sz w:val="24"/>
          <w:szCs w:val="24"/>
        </w:rPr>
      </w:pPr>
      <w:bookmarkStart w:id="2" w:name="_Toc166761531"/>
      <w:r w:rsidRPr="00606FB9">
        <w:rPr>
          <w:rFonts w:asciiTheme="minorHAnsi" w:hAnsiTheme="minorHAnsi" w:cstheme="minorHAnsi"/>
          <w:b/>
          <w:bCs/>
          <w:color w:val="auto"/>
          <w:sz w:val="24"/>
          <w:szCs w:val="24"/>
        </w:rPr>
        <w:t>Luther’s theology</w:t>
      </w:r>
      <w:bookmarkEnd w:id="2"/>
    </w:p>
    <w:p w:rsidR="00BA1D44" w:rsidRPr="00A038B7" w:rsidRDefault="00556B21" w:rsidP="00885569">
      <w:pPr>
        <w:spacing w:line="480" w:lineRule="auto"/>
        <w:ind w:firstLine="426"/>
        <w:rPr>
          <w:rFonts w:asciiTheme="minorHAnsi" w:hAnsiTheme="minorHAnsi" w:cstheme="minorHAnsi"/>
        </w:rPr>
      </w:pPr>
      <w:r>
        <w:rPr>
          <w:rFonts w:asciiTheme="minorHAnsi" w:hAnsiTheme="minorHAnsi" w:cstheme="minorHAnsi"/>
        </w:rPr>
        <w:t>M</w:t>
      </w:r>
      <w:r w:rsidR="00A83061" w:rsidRPr="00570945">
        <w:rPr>
          <w:rFonts w:asciiTheme="minorHAnsi" w:hAnsiTheme="minorHAnsi" w:cstheme="minorHAnsi"/>
        </w:rPr>
        <w:t xml:space="preserve">uch has been written about Luther’s troubled spiritual development and his </w:t>
      </w:r>
      <w:r w:rsidR="00D84B88">
        <w:rPr>
          <w:rFonts w:asciiTheme="minorHAnsi" w:hAnsiTheme="minorHAnsi" w:cstheme="minorHAnsi"/>
        </w:rPr>
        <w:t>evolved</w:t>
      </w:r>
      <w:r w:rsidR="00A83061" w:rsidRPr="00570945">
        <w:rPr>
          <w:rFonts w:asciiTheme="minorHAnsi" w:hAnsiTheme="minorHAnsi" w:cstheme="minorHAnsi"/>
        </w:rPr>
        <w:t xml:space="preserve"> theological outlook</w:t>
      </w:r>
      <w:r w:rsidR="00F1784A">
        <w:rPr>
          <w:rFonts w:asciiTheme="minorHAnsi" w:hAnsiTheme="minorHAnsi" w:cstheme="minorHAnsi"/>
        </w:rPr>
        <w:t>.</w:t>
      </w:r>
      <w:r w:rsidR="00A83061" w:rsidRPr="00AB1AE4">
        <w:rPr>
          <w:rStyle w:val="FootnoteReference"/>
        </w:rPr>
        <w:footnoteReference w:id="11"/>
      </w:r>
      <w:r w:rsidR="00A83061" w:rsidRPr="00570945">
        <w:rPr>
          <w:rFonts w:asciiTheme="minorHAnsi" w:hAnsiTheme="minorHAnsi" w:cstheme="minorHAnsi"/>
        </w:rPr>
        <w:t xml:space="preserve"> </w:t>
      </w:r>
      <w:r w:rsidR="00F1784A">
        <w:rPr>
          <w:rFonts w:asciiTheme="minorHAnsi" w:hAnsiTheme="minorHAnsi" w:cstheme="minorHAnsi"/>
        </w:rPr>
        <w:t>I</w:t>
      </w:r>
      <w:r w:rsidR="00A83061" w:rsidRPr="00570945">
        <w:rPr>
          <w:rFonts w:asciiTheme="minorHAnsi" w:hAnsiTheme="minorHAnsi" w:cstheme="minorHAnsi"/>
        </w:rPr>
        <w:t>t suffices</w:t>
      </w:r>
      <w:r w:rsidR="00E609DB" w:rsidRPr="00570945">
        <w:rPr>
          <w:rFonts w:asciiTheme="minorHAnsi" w:hAnsiTheme="minorHAnsi" w:cstheme="minorHAnsi"/>
        </w:rPr>
        <w:t xml:space="preserve"> </w:t>
      </w:r>
      <w:r w:rsidR="001F3CCD">
        <w:rPr>
          <w:rFonts w:asciiTheme="minorHAnsi" w:hAnsiTheme="minorHAnsi" w:cstheme="minorHAnsi"/>
        </w:rPr>
        <w:t xml:space="preserve">to note </w:t>
      </w:r>
      <w:r w:rsidR="002B702F" w:rsidRPr="00570945">
        <w:rPr>
          <w:rFonts w:asciiTheme="minorHAnsi" w:hAnsiTheme="minorHAnsi" w:cstheme="minorHAnsi"/>
        </w:rPr>
        <w:t xml:space="preserve">that Luther </w:t>
      </w:r>
      <w:r w:rsidR="00025BDB">
        <w:rPr>
          <w:rFonts w:asciiTheme="minorHAnsi" w:hAnsiTheme="minorHAnsi" w:cstheme="minorHAnsi"/>
        </w:rPr>
        <w:t xml:space="preserve">resolved his issues </w:t>
      </w:r>
      <w:r w:rsidR="000D20C3">
        <w:rPr>
          <w:rFonts w:asciiTheme="minorHAnsi" w:hAnsiTheme="minorHAnsi" w:cstheme="minorHAnsi"/>
        </w:rPr>
        <w:t xml:space="preserve">around forgiveness </w:t>
      </w:r>
      <w:r w:rsidR="000D20C3">
        <w:rPr>
          <w:rFonts w:asciiTheme="minorHAnsi" w:hAnsiTheme="minorHAnsi" w:cstheme="minorHAnsi"/>
        </w:rPr>
        <w:lastRenderedPageBreak/>
        <w:t xml:space="preserve">and </w:t>
      </w:r>
      <w:r w:rsidR="00025BDB">
        <w:rPr>
          <w:rFonts w:asciiTheme="minorHAnsi" w:hAnsiTheme="minorHAnsi" w:cstheme="minorHAnsi"/>
        </w:rPr>
        <w:t xml:space="preserve">Paul’s </w:t>
      </w:r>
      <w:r w:rsidR="00025BDB" w:rsidRPr="00F1784A">
        <w:rPr>
          <w:rFonts w:asciiTheme="minorHAnsi" w:hAnsiTheme="minorHAnsi" w:cstheme="minorHAnsi"/>
          <w:i/>
          <w:iCs/>
        </w:rPr>
        <w:t>‘</w:t>
      </w:r>
      <w:proofErr w:type="spellStart"/>
      <w:r w:rsidR="00025BDB" w:rsidRPr="00F1784A">
        <w:rPr>
          <w:rFonts w:asciiTheme="minorHAnsi" w:hAnsiTheme="minorHAnsi" w:cstheme="minorHAnsi"/>
          <w:i/>
          <w:iCs/>
        </w:rPr>
        <w:t>iustitia</w:t>
      </w:r>
      <w:proofErr w:type="spellEnd"/>
      <w:r w:rsidR="00025BDB" w:rsidRPr="00F1784A">
        <w:rPr>
          <w:rFonts w:asciiTheme="minorHAnsi" w:hAnsiTheme="minorHAnsi" w:cstheme="minorHAnsi"/>
          <w:i/>
          <w:iCs/>
        </w:rPr>
        <w:t xml:space="preserve"> Dei</w:t>
      </w:r>
      <w:r w:rsidR="00025BDB">
        <w:rPr>
          <w:rFonts w:asciiTheme="minorHAnsi" w:hAnsiTheme="minorHAnsi" w:cstheme="minorHAnsi"/>
          <w:i/>
          <w:iCs/>
        </w:rPr>
        <w:t>’</w:t>
      </w:r>
      <w:r w:rsidR="00025BDB" w:rsidRPr="00AB1AE4">
        <w:rPr>
          <w:rStyle w:val="FootnoteReference"/>
        </w:rPr>
        <w:footnoteReference w:id="12"/>
      </w:r>
      <w:r w:rsidR="00025BDB">
        <w:rPr>
          <w:rFonts w:asciiTheme="minorHAnsi" w:hAnsiTheme="minorHAnsi" w:cstheme="minorHAnsi"/>
          <w:i/>
          <w:iCs/>
        </w:rPr>
        <w:t xml:space="preserve"> </w:t>
      </w:r>
      <w:r w:rsidR="00025BDB" w:rsidRPr="00025BDB">
        <w:rPr>
          <w:rFonts w:asciiTheme="minorHAnsi" w:hAnsiTheme="minorHAnsi" w:cstheme="minorHAnsi"/>
        </w:rPr>
        <w:t>w</w:t>
      </w:r>
      <w:r w:rsidR="00025BDB">
        <w:rPr>
          <w:rFonts w:asciiTheme="minorHAnsi" w:hAnsiTheme="minorHAnsi" w:cstheme="minorHAnsi"/>
        </w:rPr>
        <w:t xml:space="preserve">hen he realised it referred to </w:t>
      </w:r>
      <w:r w:rsidR="00F1784A">
        <w:rPr>
          <w:rFonts w:asciiTheme="minorHAnsi" w:hAnsiTheme="minorHAnsi" w:cstheme="minorHAnsi"/>
          <w:i/>
          <w:iCs/>
        </w:rPr>
        <w:t>‘</w:t>
      </w:r>
      <w:proofErr w:type="spellStart"/>
      <w:r w:rsidR="00F1784A">
        <w:rPr>
          <w:rFonts w:asciiTheme="minorHAnsi" w:hAnsiTheme="minorHAnsi" w:cstheme="minorHAnsi"/>
          <w:i/>
          <w:iCs/>
        </w:rPr>
        <w:t>iustitia</w:t>
      </w:r>
      <w:proofErr w:type="spellEnd"/>
      <w:r w:rsidR="00F1784A">
        <w:rPr>
          <w:rFonts w:asciiTheme="minorHAnsi" w:hAnsiTheme="minorHAnsi" w:cstheme="minorHAnsi"/>
          <w:i/>
          <w:iCs/>
        </w:rPr>
        <w:t xml:space="preserve"> </w:t>
      </w:r>
      <w:proofErr w:type="spellStart"/>
      <w:r w:rsidR="00F1784A" w:rsidRPr="000D20C3">
        <w:rPr>
          <w:rFonts w:asciiTheme="minorHAnsi" w:hAnsiTheme="minorHAnsi" w:cstheme="minorHAnsi"/>
          <w:i/>
          <w:iCs/>
          <w:u w:val="single"/>
        </w:rPr>
        <w:t>passiva</w:t>
      </w:r>
      <w:proofErr w:type="spellEnd"/>
      <w:r w:rsidR="00F1784A">
        <w:rPr>
          <w:rFonts w:asciiTheme="minorHAnsi" w:hAnsiTheme="minorHAnsi" w:cstheme="minorHAnsi"/>
        </w:rPr>
        <w:t xml:space="preserve">’, </w:t>
      </w:r>
      <w:r w:rsidR="00025BDB">
        <w:rPr>
          <w:rFonts w:asciiTheme="minorHAnsi" w:hAnsiTheme="minorHAnsi" w:cstheme="minorHAnsi"/>
        </w:rPr>
        <w:t>mean</w:t>
      </w:r>
      <w:r w:rsidR="000D20C3">
        <w:rPr>
          <w:rFonts w:asciiTheme="minorHAnsi" w:hAnsiTheme="minorHAnsi" w:cstheme="minorHAnsi"/>
        </w:rPr>
        <w:t>ing</w:t>
      </w:r>
      <w:r w:rsidR="00025BDB">
        <w:rPr>
          <w:rFonts w:asciiTheme="minorHAnsi" w:hAnsiTheme="minorHAnsi" w:cstheme="minorHAnsi"/>
        </w:rPr>
        <w:t xml:space="preserve"> </w:t>
      </w:r>
      <w:r w:rsidR="00F1784A">
        <w:rPr>
          <w:rFonts w:asciiTheme="minorHAnsi" w:hAnsiTheme="minorHAnsi" w:cstheme="minorHAnsi"/>
        </w:rPr>
        <w:t>not what G</w:t>
      </w:r>
      <w:r w:rsidR="001A0C16">
        <w:rPr>
          <w:rFonts w:asciiTheme="minorHAnsi" w:hAnsiTheme="minorHAnsi" w:cstheme="minorHAnsi"/>
        </w:rPr>
        <w:t>o</w:t>
      </w:r>
      <w:r w:rsidR="00F1784A">
        <w:rPr>
          <w:rFonts w:asciiTheme="minorHAnsi" w:hAnsiTheme="minorHAnsi" w:cstheme="minorHAnsi"/>
        </w:rPr>
        <w:t xml:space="preserve">d </w:t>
      </w:r>
      <w:r w:rsidR="00F1784A" w:rsidRPr="001A0C16">
        <w:rPr>
          <w:rFonts w:asciiTheme="minorHAnsi" w:hAnsiTheme="minorHAnsi" w:cstheme="minorHAnsi"/>
          <w:i/>
          <w:iCs/>
        </w:rPr>
        <w:t>is</w:t>
      </w:r>
      <w:r w:rsidR="00F1784A">
        <w:rPr>
          <w:rFonts w:asciiTheme="minorHAnsi" w:hAnsiTheme="minorHAnsi" w:cstheme="minorHAnsi"/>
        </w:rPr>
        <w:t xml:space="preserve">, but </w:t>
      </w:r>
      <w:r w:rsidR="001A0C16">
        <w:rPr>
          <w:rFonts w:asciiTheme="minorHAnsi" w:hAnsiTheme="minorHAnsi" w:cstheme="minorHAnsi"/>
        </w:rPr>
        <w:t xml:space="preserve">what God </w:t>
      </w:r>
      <w:r w:rsidR="001A0C16">
        <w:rPr>
          <w:rFonts w:asciiTheme="minorHAnsi" w:hAnsiTheme="minorHAnsi" w:cstheme="minorHAnsi"/>
          <w:i/>
          <w:iCs/>
        </w:rPr>
        <w:t xml:space="preserve">gives </w:t>
      </w:r>
      <w:r w:rsidR="001A0C16">
        <w:rPr>
          <w:rFonts w:asciiTheme="minorHAnsi" w:hAnsiTheme="minorHAnsi" w:cstheme="minorHAnsi"/>
        </w:rPr>
        <w:t>to sinners</w:t>
      </w:r>
      <w:r w:rsidR="001A0C16" w:rsidRPr="00AB1AE4">
        <w:rPr>
          <w:rStyle w:val="FootnoteReference"/>
        </w:rPr>
        <w:footnoteReference w:id="13"/>
      </w:r>
      <w:r w:rsidR="001A0C16">
        <w:rPr>
          <w:rFonts w:asciiTheme="minorHAnsi" w:hAnsiTheme="minorHAnsi" w:cstheme="minorHAnsi"/>
        </w:rPr>
        <w:t xml:space="preserve">, for </w:t>
      </w:r>
      <w:r w:rsidR="003020D0" w:rsidRPr="00570945">
        <w:rPr>
          <w:rFonts w:asciiTheme="minorHAnsi" w:hAnsiTheme="minorHAnsi" w:cstheme="minorHAnsi"/>
        </w:rPr>
        <w:t>‘</w:t>
      </w:r>
      <w:r w:rsidR="004635E7" w:rsidRPr="00570945">
        <w:rPr>
          <w:rFonts w:asciiTheme="minorHAnsi" w:hAnsiTheme="minorHAnsi" w:cstheme="minorHAnsi"/>
        </w:rPr>
        <w:t xml:space="preserve">in it, the righteousness of God is revealed, as it is written, “He who through faith is righteous shall </w:t>
      </w:r>
      <w:r w:rsidR="004635E7" w:rsidRPr="00AB634B">
        <w:rPr>
          <w:rFonts w:asciiTheme="minorHAnsi" w:hAnsiTheme="minorHAnsi" w:cstheme="minorHAnsi"/>
        </w:rPr>
        <w:t>live”’</w:t>
      </w:r>
      <w:r w:rsidR="001A0C16" w:rsidRPr="00AB634B">
        <w:rPr>
          <w:rFonts w:asciiTheme="minorHAnsi" w:hAnsiTheme="minorHAnsi" w:cstheme="minorHAnsi"/>
        </w:rPr>
        <w:t>.</w:t>
      </w:r>
      <w:r w:rsidR="00BD647F" w:rsidRPr="00AB1AE4">
        <w:rPr>
          <w:rStyle w:val="FootnoteReference"/>
        </w:rPr>
        <w:footnoteReference w:id="14"/>
      </w:r>
      <w:r w:rsidR="002B702F" w:rsidRPr="00AB634B">
        <w:rPr>
          <w:rFonts w:asciiTheme="minorHAnsi" w:hAnsiTheme="minorHAnsi" w:cstheme="minorHAnsi"/>
        </w:rPr>
        <w:t xml:space="preserve"> </w:t>
      </w:r>
      <w:r w:rsidR="00025BDB" w:rsidRPr="00AB634B">
        <w:rPr>
          <w:rFonts w:asciiTheme="minorHAnsi" w:hAnsiTheme="minorHAnsi" w:cstheme="minorHAnsi"/>
        </w:rPr>
        <w:t xml:space="preserve">Luther </w:t>
      </w:r>
      <w:r w:rsidR="00C33200" w:rsidRPr="00AB634B">
        <w:rPr>
          <w:rFonts w:asciiTheme="minorHAnsi" w:hAnsiTheme="minorHAnsi" w:cstheme="minorHAnsi"/>
        </w:rPr>
        <w:t>defined</w:t>
      </w:r>
      <w:r w:rsidR="00025BDB" w:rsidRPr="00AB634B">
        <w:rPr>
          <w:rFonts w:asciiTheme="minorHAnsi" w:hAnsiTheme="minorHAnsi" w:cstheme="minorHAnsi"/>
        </w:rPr>
        <w:t xml:space="preserve"> </w:t>
      </w:r>
      <w:r w:rsidR="00C33200" w:rsidRPr="00AB634B">
        <w:rPr>
          <w:rFonts w:asciiTheme="minorHAnsi" w:hAnsiTheme="minorHAnsi" w:cstheme="minorHAnsi"/>
        </w:rPr>
        <w:t xml:space="preserve">what and where the church is, </w:t>
      </w:r>
      <w:r w:rsidR="001A0C16" w:rsidRPr="00AB634B">
        <w:rPr>
          <w:rFonts w:asciiTheme="minorHAnsi" w:hAnsiTheme="minorHAnsi" w:cstheme="minorHAnsi"/>
        </w:rPr>
        <w:t xml:space="preserve">built and maintained on the </w:t>
      </w:r>
      <w:r w:rsidR="001702CE" w:rsidRPr="00AB634B">
        <w:rPr>
          <w:rFonts w:asciiTheme="minorHAnsi" w:hAnsiTheme="minorHAnsi" w:cstheme="minorHAnsi"/>
        </w:rPr>
        <w:t>primacy of God’s Word</w:t>
      </w:r>
      <w:r w:rsidR="00C33200" w:rsidRPr="00AB634B">
        <w:rPr>
          <w:rFonts w:asciiTheme="minorHAnsi" w:hAnsiTheme="minorHAnsi" w:cstheme="minorHAnsi"/>
        </w:rPr>
        <w:t xml:space="preserve">, </w:t>
      </w:r>
      <w:r w:rsidR="0015451E" w:rsidRPr="00AB634B">
        <w:rPr>
          <w:rFonts w:asciiTheme="minorHAnsi" w:hAnsiTheme="minorHAnsi" w:cstheme="minorHAnsi"/>
        </w:rPr>
        <w:t>encouraging Christians ‘</w:t>
      </w:r>
      <w:r w:rsidR="0015451E" w:rsidRPr="00AB634B">
        <w:rPr>
          <w:rFonts w:asciiTheme="minorHAnsi" w:hAnsiTheme="minorHAnsi" w:cstheme="minorHAnsi"/>
          <w:color w:val="282828"/>
        </w:rPr>
        <w:t>individually and collectively, to live transformed by the gospel for one another as the body of Christ in this world’</w:t>
      </w:r>
      <w:r w:rsidR="0096647D" w:rsidRPr="00AB1AE4">
        <w:rPr>
          <w:rStyle w:val="FootnoteReference"/>
        </w:rPr>
        <w:footnoteReference w:id="15"/>
      </w:r>
      <w:r w:rsidR="0015451E" w:rsidRPr="00AB634B">
        <w:rPr>
          <w:rFonts w:asciiTheme="minorHAnsi" w:hAnsiTheme="minorHAnsi" w:cstheme="minorHAnsi"/>
          <w:color w:val="282828"/>
        </w:rPr>
        <w:t xml:space="preserve"> </w:t>
      </w:r>
      <w:r w:rsidR="00C33200" w:rsidRPr="00AB634B">
        <w:rPr>
          <w:rFonts w:asciiTheme="minorHAnsi" w:hAnsiTheme="minorHAnsi" w:cstheme="minorHAnsi"/>
        </w:rPr>
        <w:t>for</w:t>
      </w:r>
      <w:r w:rsidR="001A0C16" w:rsidRPr="00AB634B">
        <w:rPr>
          <w:rFonts w:asciiTheme="minorHAnsi" w:hAnsiTheme="minorHAnsi" w:cstheme="minorHAnsi"/>
        </w:rPr>
        <w:t xml:space="preserve"> ‘wherever men are open to the Word of God, there is church’.</w:t>
      </w:r>
      <w:r w:rsidR="001A0C16" w:rsidRPr="00AB1AE4">
        <w:rPr>
          <w:rStyle w:val="FootnoteReference"/>
        </w:rPr>
        <w:footnoteReference w:id="16"/>
      </w:r>
      <w:r w:rsidR="001A0C16" w:rsidRPr="00AB634B">
        <w:rPr>
          <w:rFonts w:asciiTheme="minorHAnsi" w:hAnsiTheme="minorHAnsi" w:cstheme="minorHAnsi"/>
        </w:rPr>
        <w:t xml:space="preserve"> </w:t>
      </w:r>
      <w:r w:rsidR="001702CE" w:rsidRPr="00AB634B">
        <w:rPr>
          <w:rFonts w:asciiTheme="minorHAnsi" w:hAnsiTheme="minorHAnsi" w:cstheme="minorHAnsi"/>
        </w:rPr>
        <w:t>Scripture was the unique authority for faith, life and salvation</w:t>
      </w:r>
      <w:r>
        <w:rPr>
          <w:rFonts w:asciiTheme="minorHAnsi" w:hAnsiTheme="minorHAnsi" w:cstheme="minorHAnsi"/>
        </w:rPr>
        <w:t>.</w:t>
      </w:r>
      <w:r w:rsidR="001702CE" w:rsidRPr="00AB634B">
        <w:rPr>
          <w:rFonts w:asciiTheme="minorHAnsi" w:hAnsiTheme="minorHAnsi" w:cstheme="minorHAnsi"/>
        </w:rPr>
        <w:t xml:space="preserve"> Christ’s salvific and redemptive</w:t>
      </w:r>
      <w:r w:rsidR="001702CE" w:rsidRPr="00AF13C9">
        <w:rPr>
          <w:rFonts w:asciiTheme="minorHAnsi" w:hAnsiTheme="minorHAnsi" w:cstheme="minorHAnsi"/>
        </w:rPr>
        <w:t xml:space="preserve"> death and resurrection </w:t>
      </w:r>
      <w:r w:rsidR="00914D49" w:rsidRPr="00AF13C9">
        <w:rPr>
          <w:rFonts w:asciiTheme="minorHAnsi" w:hAnsiTheme="minorHAnsi" w:cstheme="minorHAnsi"/>
        </w:rPr>
        <w:t>was a pure gift received by faith.</w:t>
      </w:r>
      <w:r w:rsidR="00914D49" w:rsidRPr="00AB1AE4">
        <w:rPr>
          <w:rStyle w:val="FootnoteReference"/>
        </w:rPr>
        <w:footnoteReference w:id="17"/>
      </w:r>
      <w:r w:rsidR="00E807D1">
        <w:rPr>
          <w:rFonts w:asciiTheme="minorHAnsi" w:hAnsiTheme="minorHAnsi" w:cstheme="minorHAnsi"/>
        </w:rPr>
        <w:t xml:space="preserve"> </w:t>
      </w:r>
      <w:r w:rsidR="004634D6">
        <w:rPr>
          <w:rFonts w:asciiTheme="minorHAnsi" w:hAnsiTheme="minorHAnsi" w:cstheme="minorHAnsi"/>
        </w:rPr>
        <w:t xml:space="preserve">God is </w:t>
      </w:r>
      <w:r w:rsidR="004634D6">
        <w:rPr>
          <w:rFonts w:asciiTheme="minorHAnsi" w:hAnsiTheme="minorHAnsi" w:cstheme="minorHAnsi"/>
          <w:i/>
          <w:iCs/>
        </w:rPr>
        <w:t>our</w:t>
      </w:r>
      <w:r w:rsidR="004634D6">
        <w:rPr>
          <w:rFonts w:asciiTheme="minorHAnsi" w:hAnsiTheme="minorHAnsi" w:cstheme="minorHAnsi"/>
        </w:rPr>
        <w:t xml:space="preserve"> God</w:t>
      </w:r>
      <w:r w:rsidR="0023793C">
        <w:rPr>
          <w:rFonts w:asciiTheme="minorHAnsi" w:hAnsiTheme="minorHAnsi" w:cstheme="minorHAnsi"/>
        </w:rPr>
        <w:t xml:space="preserve"> with whom mankind lives in fellowship; all else is idolatry and unbelief. ‘Christ died and rose for </w:t>
      </w:r>
      <w:r w:rsidR="0023793C">
        <w:rPr>
          <w:rFonts w:asciiTheme="minorHAnsi" w:hAnsiTheme="minorHAnsi" w:cstheme="minorHAnsi"/>
          <w:i/>
          <w:iCs/>
        </w:rPr>
        <w:t xml:space="preserve">us. </w:t>
      </w:r>
      <w:r w:rsidR="0023793C">
        <w:rPr>
          <w:rFonts w:asciiTheme="minorHAnsi" w:hAnsiTheme="minorHAnsi" w:cstheme="minorHAnsi"/>
        </w:rPr>
        <w:t xml:space="preserve">He is </w:t>
      </w:r>
      <w:r w:rsidR="0023793C">
        <w:rPr>
          <w:rFonts w:asciiTheme="minorHAnsi" w:hAnsiTheme="minorHAnsi" w:cstheme="minorHAnsi"/>
          <w:i/>
          <w:iCs/>
        </w:rPr>
        <w:t>our</w:t>
      </w:r>
      <w:r w:rsidR="0023793C">
        <w:rPr>
          <w:rFonts w:asciiTheme="minorHAnsi" w:hAnsiTheme="minorHAnsi" w:cstheme="minorHAnsi"/>
        </w:rPr>
        <w:t xml:space="preserve"> God’, still acting ‘for </w:t>
      </w:r>
      <w:r w:rsidR="0023793C">
        <w:rPr>
          <w:rFonts w:asciiTheme="minorHAnsi" w:hAnsiTheme="minorHAnsi" w:cstheme="minorHAnsi"/>
          <w:i/>
          <w:iCs/>
        </w:rPr>
        <w:t>us</w:t>
      </w:r>
      <w:r w:rsidR="0023793C">
        <w:rPr>
          <w:rFonts w:asciiTheme="minorHAnsi" w:hAnsiTheme="minorHAnsi" w:cstheme="minorHAnsi"/>
        </w:rPr>
        <w:t xml:space="preserve"> in Word, Baptism, and the Lord’s Supper’</w:t>
      </w:r>
      <w:r w:rsidR="00E807D1" w:rsidRPr="00AB1AE4">
        <w:rPr>
          <w:rStyle w:val="FootnoteReference"/>
        </w:rPr>
        <w:footnoteReference w:id="18"/>
      </w:r>
      <w:r w:rsidR="00E807D1">
        <w:rPr>
          <w:rFonts w:asciiTheme="minorHAnsi" w:hAnsiTheme="minorHAnsi" w:cstheme="minorHAnsi"/>
        </w:rPr>
        <w:t xml:space="preserve">, that is, in praise, preaching, prayer and sacrament. </w:t>
      </w:r>
      <w:r w:rsidR="00D94973">
        <w:rPr>
          <w:rFonts w:asciiTheme="minorHAnsi" w:hAnsiTheme="minorHAnsi" w:cstheme="minorHAnsi"/>
        </w:rPr>
        <w:t xml:space="preserve">Believers have received salvation of God through faith, but also and uniquely by </w:t>
      </w:r>
      <w:r w:rsidR="00474D7D">
        <w:rPr>
          <w:rFonts w:asciiTheme="minorHAnsi" w:hAnsiTheme="minorHAnsi" w:cstheme="minorHAnsi"/>
        </w:rPr>
        <w:t>‘</w:t>
      </w:r>
      <w:r w:rsidR="00D94973">
        <w:rPr>
          <w:rFonts w:asciiTheme="minorHAnsi" w:hAnsiTheme="minorHAnsi" w:cstheme="minorHAnsi"/>
        </w:rPr>
        <w:t>adhering to the church’, sharing in its life and believing the word in church.</w:t>
      </w:r>
      <w:r w:rsidR="00D94973" w:rsidRPr="00AB1AE4">
        <w:rPr>
          <w:rStyle w:val="FootnoteReference"/>
        </w:rPr>
        <w:footnoteReference w:id="19"/>
      </w:r>
      <w:r w:rsidR="00C33200">
        <w:rPr>
          <w:rFonts w:asciiTheme="minorHAnsi" w:hAnsiTheme="minorHAnsi" w:cstheme="minorHAnsi"/>
        </w:rPr>
        <w:t xml:space="preserve"> </w:t>
      </w:r>
      <w:r w:rsidR="00A038B7">
        <w:rPr>
          <w:rFonts w:asciiTheme="minorHAnsi" w:hAnsiTheme="minorHAnsi" w:cstheme="minorHAnsi"/>
        </w:rPr>
        <w:t xml:space="preserve">Hence the three core principles: </w:t>
      </w:r>
      <w:r w:rsidR="00A038B7" w:rsidRPr="00A038B7">
        <w:rPr>
          <w:rFonts w:asciiTheme="minorHAnsi" w:hAnsiTheme="minorHAnsi" w:cstheme="minorHAnsi"/>
          <w:i/>
          <w:iCs/>
        </w:rPr>
        <w:t>Sola scriptura, sola fide, sola gratia</w:t>
      </w:r>
      <w:r w:rsidR="00A038B7">
        <w:rPr>
          <w:rFonts w:asciiTheme="minorHAnsi" w:hAnsiTheme="minorHAnsi" w:cstheme="minorHAnsi"/>
          <w:i/>
          <w:iCs/>
        </w:rPr>
        <w:t>.</w:t>
      </w:r>
    </w:p>
    <w:p w:rsidR="00556B21" w:rsidRDefault="00AB634B" w:rsidP="00885569">
      <w:pPr>
        <w:spacing w:line="480" w:lineRule="auto"/>
        <w:ind w:firstLine="426"/>
        <w:rPr>
          <w:rFonts w:asciiTheme="minorHAnsi" w:hAnsiTheme="minorHAnsi" w:cstheme="minorHAnsi"/>
        </w:rPr>
      </w:pPr>
      <w:r>
        <w:rPr>
          <w:rFonts w:asciiTheme="minorHAnsi" w:hAnsiTheme="minorHAnsi" w:cstheme="minorHAnsi"/>
          <w:i/>
          <w:iCs/>
        </w:rPr>
        <w:t xml:space="preserve">The Babylonian Captivity of the Church </w:t>
      </w:r>
      <w:r>
        <w:rPr>
          <w:rFonts w:asciiTheme="minorHAnsi" w:hAnsiTheme="minorHAnsi" w:cstheme="minorHAnsi"/>
        </w:rPr>
        <w:t>(1520)</w:t>
      </w:r>
      <w:r w:rsidRPr="00AB1AE4">
        <w:rPr>
          <w:rStyle w:val="FootnoteReference"/>
        </w:rPr>
        <w:footnoteReference w:id="20"/>
      </w:r>
      <w:r w:rsidRPr="00AF13C9">
        <w:rPr>
          <w:rFonts w:asciiTheme="minorHAnsi" w:hAnsiTheme="minorHAnsi" w:cstheme="minorHAnsi"/>
        </w:rPr>
        <w:t xml:space="preserve"> </w:t>
      </w:r>
      <w:r>
        <w:rPr>
          <w:rFonts w:asciiTheme="minorHAnsi" w:hAnsiTheme="minorHAnsi" w:cstheme="minorHAnsi"/>
        </w:rPr>
        <w:t xml:space="preserve">proved significantly influential in highlighting changes required in the </w:t>
      </w:r>
      <w:r w:rsidR="00DD4A44">
        <w:rPr>
          <w:rFonts w:asciiTheme="minorHAnsi" w:hAnsiTheme="minorHAnsi" w:cstheme="minorHAnsi"/>
        </w:rPr>
        <w:t>RC</w:t>
      </w:r>
      <w:r>
        <w:rPr>
          <w:rFonts w:asciiTheme="minorHAnsi" w:hAnsiTheme="minorHAnsi" w:cstheme="minorHAnsi"/>
        </w:rPr>
        <w:t xml:space="preserve"> Church.</w:t>
      </w:r>
      <w:r w:rsidRPr="00AB1AE4">
        <w:rPr>
          <w:rStyle w:val="FootnoteReference"/>
        </w:rPr>
        <w:footnoteReference w:id="21"/>
      </w:r>
      <w:r>
        <w:rPr>
          <w:rFonts w:asciiTheme="minorHAnsi" w:hAnsiTheme="minorHAnsi" w:cstheme="minorHAnsi"/>
        </w:rPr>
        <w:t xml:space="preserve"> Luther unleashes his</w:t>
      </w:r>
      <w:r w:rsidRPr="00AF13C9">
        <w:rPr>
          <w:rFonts w:asciiTheme="minorHAnsi" w:hAnsiTheme="minorHAnsi" w:cstheme="minorHAnsi"/>
        </w:rPr>
        <w:t xml:space="preserve"> invective against the </w:t>
      </w:r>
      <w:r w:rsidR="00DD4A44">
        <w:rPr>
          <w:rFonts w:asciiTheme="minorHAnsi" w:hAnsiTheme="minorHAnsi" w:cstheme="minorHAnsi"/>
        </w:rPr>
        <w:t>RC</w:t>
      </w:r>
      <w:r w:rsidRPr="00AF13C9">
        <w:rPr>
          <w:rFonts w:asciiTheme="minorHAnsi" w:hAnsiTheme="minorHAnsi" w:cstheme="minorHAnsi"/>
        </w:rPr>
        <w:t xml:space="preserve"> abuse of the sacraments</w:t>
      </w:r>
      <w:r>
        <w:rPr>
          <w:rFonts w:asciiTheme="minorHAnsi" w:hAnsiTheme="minorHAnsi" w:cstheme="minorHAnsi"/>
        </w:rPr>
        <w:t xml:space="preserve"> which distracts people from recognising the salvific power of </w:t>
      </w:r>
      <w:r>
        <w:rPr>
          <w:rFonts w:asciiTheme="minorHAnsi" w:hAnsiTheme="minorHAnsi" w:cstheme="minorHAnsi"/>
        </w:rPr>
        <w:lastRenderedPageBreak/>
        <w:t xml:space="preserve">Christ’s body that is accessible </w:t>
      </w:r>
      <w:r w:rsidRPr="00556B21">
        <w:rPr>
          <w:rFonts w:asciiTheme="minorHAnsi" w:hAnsiTheme="minorHAnsi" w:cstheme="minorHAnsi"/>
          <w:i/>
          <w:iCs/>
        </w:rPr>
        <w:t>by faith</w:t>
      </w:r>
      <w:r w:rsidR="00556B21">
        <w:rPr>
          <w:rFonts w:asciiTheme="minorHAnsi" w:hAnsiTheme="minorHAnsi" w:cstheme="minorHAnsi"/>
          <w:i/>
          <w:iCs/>
        </w:rPr>
        <w:t xml:space="preserve"> alone</w:t>
      </w:r>
      <w:r>
        <w:rPr>
          <w:rFonts w:asciiTheme="minorHAnsi" w:hAnsiTheme="minorHAnsi" w:cstheme="minorHAnsi"/>
        </w:rPr>
        <w:t xml:space="preserve"> through the Eucharist</w:t>
      </w:r>
      <w:r w:rsidRPr="00AF13C9">
        <w:rPr>
          <w:rFonts w:asciiTheme="minorHAnsi" w:hAnsiTheme="minorHAnsi" w:cstheme="minorHAnsi"/>
        </w:rPr>
        <w:t>.</w:t>
      </w:r>
      <w:r>
        <w:rPr>
          <w:rFonts w:asciiTheme="minorHAnsi" w:hAnsiTheme="minorHAnsi" w:cstheme="minorHAnsi"/>
        </w:rPr>
        <w:t xml:space="preserve"> Included in the </w:t>
      </w:r>
      <w:r w:rsidR="00DD4A44">
        <w:rPr>
          <w:rFonts w:asciiTheme="minorHAnsi" w:hAnsiTheme="minorHAnsi" w:cstheme="minorHAnsi"/>
        </w:rPr>
        <w:t>RC</w:t>
      </w:r>
      <w:r>
        <w:rPr>
          <w:rFonts w:asciiTheme="minorHAnsi" w:hAnsiTheme="minorHAnsi" w:cstheme="minorHAnsi"/>
        </w:rPr>
        <w:t xml:space="preserve"> ‘captivities’</w:t>
      </w:r>
      <w:r w:rsidRPr="00AB1AE4">
        <w:rPr>
          <w:rStyle w:val="FootnoteReference"/>
        </w:rPr>
        <w:footnoteReference w:id="22"/>
      </w:r>
      <w:r>
        <w:rPr>
          <w:rFonts w:asciiTheme="minorHAnsi" w:hAnsiTheme="minorHAnsi" w:cstheme="minorHAnsi"/>
        </w:rPr>
        <w:t xml:space="preserve">, Luther numbers </w:t>
      </w:r>
      <w:r>
        <w:rPr>
          <w:rFonts w:asciiTheme="minorHAnsi" w:eastAsiaTheme="minorHAnsi" w:hAnsiTheme="minorHAnsi" w:cstheme="minorHAnsi"/>
          <w:color w:val="000000"/>
          <w:bdr w:val="none" w:sz="0" w:space="0" w:color="auto"/>
          <w14:ligatures w14:val="standardContextual"/>
        </w:rPr>
        <w:t>restrictions placed on people by priests from receiving communion in both kinds (for Christ left that choice to individual wishes (1 Cor 11:25))</w:t>
      </w:r>
      <w:r w:rsidRPr="00AB1AE4">
        <w:rPr>
          <w:rStyle w:val="FootnoteReference"/>
        </w:rPr>
        <w:footnoteReference w:id="23"/>
      </w:r>
      <w:r>
        <w:rPr>
          <w:rFonts w:asciiTheme="minorHAnsi" w:eastAsiaTheme="minorHAnsi" w:hAnsiTheme="minorHAnsi" w:cstheme="minorHAnsi"/>
          <w:color w:val="000000"/>
          <w:bdr w:val="none" w:sz="0" w:space="0" w:color="auto"/>
          <w14:ligatures w14:val="standardContextual"/>
        </w:rPr>
        <w:t>, transubstantiation</w:t>
      </w:r>
      <w:r w:rsidRPr="00AB1AE4">
        <w:rPr>
          <w:rStyle w:val="FootnoteReference"/>
        </w:rPr>
        <w:footnoteReference w:id="24"/>
      </w:r>
      <w:r>
        <w:rPr>
          <w:rFonts w:asciiTheme="minorHAnsi" w:eastAsiaTheme="minorHAnsi" w:hAnsiTheme="minorHAnsi" w:cstheme="minorHAnsi"/>
          <w:color w:val="000000"/>
          <w:bdr w:val="none" w:sz="0" w:space="0" w:color="auto"/>
          <w14:ligatures w14:val="standardContextual"/>
        </w:rPr>
        <w:t xml:space="preserve"> and the purpose of the Mass, wickedly perceived as ‘a good work and sacrifice’</w:t>
      </w:r>
      <w:r w:rsidRPr="00AB1AE4">
        <w:rPr>
          <w:rStyle w:val="FootnoteReference"/>
        </w:rPr>
        <w:footnoteReference w:id="25"/>
      </w:r>
      <w:r>
        <w:rPr>
          <w:rFonts w:asciiTheme="minorHAnsi" w:eastAsiaTheme="minorHAnsi" w:hAnsiTheme="minorHAnsi" w:cstheme="minorHAnsi"/>
          <w:color w:val="000000"/>
          <w:bdr w:val="none" w:sz="0" w:space="0" w:color="auto"/>
          <w14:ligatures w14:val="standardContextual"/>
        </w:rPr>
        <w:t xml:space="preserve">. </w:t>
      </w:r>
      <w:r w:rsidR="00A038B7">
        <w:rPr>
          <w:rFonts w:asciiTheme="minorHAnsi" w:hAnsiTheme="minorHAnsi" w:cstheme="minorHAnsi"/>
        </w:rPr>
        <w:t>Luther</w:t>
      </w:r>
      <w:r w:rsidR="00A038B7" w:rsidRPr="00AF13C9">
        <w:rPr>
          <w:rFonts w:asciiTheme="minorHAnsi" w:hAnsiTheme="minorHAnsi" w:cstheme="minorHAnsi"/>
        </w:rPr>
        <w:t xml:space="preserve"> rejected wholeheartedly the Roman assertion of the uniqueness of papal authority, </w:t>
      </w:r>
      <w:r w:rsidR="00556B21">
        <w:rPr>
          <w:rFonts w:asciiTheme="minorHAnsi" w:hAnsiTheme="minorHAnsi" w:cstheme="minorHAnsi"/>
        </w:rPr>
        <w:t>for believers</w:t>
      </w:r>
      <w:r w:rsidR="00A038B7" w:rsidRPr="00AF13C9">
        <w:rPr>
          <w:rFonts w:asciiTheme="minorHAnsi" w:hAnsiTheme="minorHAnsi" w:cstheme="minorHAnsi"/>
        </w:rPr>
        <w:t xml:space="preserve"> alone were the church, they alone ‘owned’ the sacraments</w:t>
      </w:r>
      <w:r w:rsidR="00A038B7">
        <w:rPr>
          <w:rFonts w:asciiTheme="minorHAnsi" w:hAnsiTheme="minorHAnsi" w:cstheme="minorHAnsi"/>
        </w:rPr>
        <w:t xml:space="preserve">. </w:t>
      </w:r>
    </w:p>
    <w:p w:rsidR="00A114C1" w:rsidRDefault="00A038B7" w:rsidP="00885569">
      <w:pPr>
        <w:spacing w:line="480" w:lineRule="auto"/>
        <w:ind w:firstLine="426"/>
        <w:rPr>
          <w:rFonts w:asciiTheme="minorHAnsi" w:hAnsiTheme="minorHAnsi" w:cstheme="minorHAnsi"/>
        </w:rPr>
      </w:pPr>
      <w:r>
        <w:rPr>
          <w:rFonts w:asciiTheme="minorHAnsi" w:hAnsiTheme="minorHAnsi" w:cstheme="minorHAnsi"/>
        </w:rPr>
        <w:t>The sacramental nature of Church came under close scrutiny</w:t>
      </w:r>
      <w:r w:rsidR="00556B21">
        <w:rPr>
          <w:rFonts w:asciiTheme="minorHAnsi" w:hAnsiTheme="minorHAnsi" w:cstheme="minorHAnsi"/>
        </w:rPr>
        <w:t>.</w:t>
      </w:r>
      <w:r>
        <w:rPr>
          <w:rFonts w:asciiTheme="minorHAnsi" w:hAnsiTheme="minorHAnsi" w:cstheme="minorHAnsi"/>
        </w:rPr>
        <w:t xml:space="preserve"> </w:t>
      </w:r>
      <w:r w:rsidR="00556B21">
        <w:rPr>
          <w:rFonts w:asciiTheme="minorHAnsi" w:hAnsiTheme="minorHAnsi" w:cstheme="minorHAnsi"/>
        </w:rPr>
        <w:t>Only two of the RC seven found validation in Scripture: baptis</w:t>
      </w:r>
      <w:r>
        <w:rPr>
          <w:rFonts w:asciiTheme="minorHAnsi" w:hAnsiTheme="minorHAnsi" w:cstheme="minorHAnsi"/>
        </w:rPr>
        <w:t>m and Eucharist, where the saving power of Jesus was the essential purpose of the worship.</w:t>
      </w:r>
      <w:r w:rsidRPr="00AB1AE4">
        <w:rPr>
          <w:rStyle w:val="FootnoteReference"/>
        </w:rPr>
        <w:footnoteReference w:id="26"/>
      </w:r>
      <w:r w:rsidRPr="00AF13C9">
        <w:rPr>
          <w:rFonts w:asciiTheme="minorHAnsi" w:hAnsiTheme="minorHAnsi" w:cstheme="minorHAnsi"/>
        </w:rPr>
        <w:t xml:space="preserve"> </w:t>
      </w:r>
      <w:r w:rsidR="00556B21">
        <w:rPr>
          <w:rFonts w:asciiTheme="minorHAnsi" w:hAnsiTheme="minorHAnsi" w:cstheme="minorHAnsi"/>
        </w:rPr>
        <w:t>Only these two display t</w:t>
      </w:r>
      <w:r w:rsidR="00556B21" w:rsidRPr="00AF13C9">
        <w:rPr>
          <w:rFonts w:asciiTheme="minorHAnsi" w:hAnsiTheme="minorHAnsi" w:cstheme="minorHAnsi"/>
        </w:rPr>
        <w:t>he two essential characteristics of a sacrament</w:t>
      </w:r>
      <w:r w:rsidR="00556B21">
        <w:rPr>
          <w:rFonts w:asciiTheme="minorHAnsi" w:hAnsiTheme="minorHAnsi" w:cstheme="minorHAnsi"/>
        </w:rPr>
        <w:t>,</w:t>
      </w:r>
      <w:r w:rsidR="00556B21" w:rsidRPr="00AF13C9">
        <w:rPr>
          <w:rFonts w:asciiTheme="minorHAnsi" w:hAnsiTheme="minorHAnsi" w:cstheme="minorHAnsi"/>
        </w:rPr>
        <w:t xml:space="preserve"> the Word of God and an outward sacramental sign</w:t>
      </w:r>
      <w:r w:rsidR="00556B21">
        <w:rPr>
          <w:rFonts w:asciiTheme="minorHAnsi" w:hAnsiTheme="minorHAnsi" w:cstheme="minorHAnsi"/>
        </w:rPr>
        <w:t>.</w:t>
      </w:r>
      <w:r w:rsidR="009A0CA7" w:rsidRPr="00AB1AE4">
        <w:rPr>
          <w:rStyle w:val="FootnoteReference"/>
        </w:rPr>
        <w:footnoteReference w:id="27"/>
      </w:r>
      <w:r w:rsidR="009A0CA7">
        <w:rPr>
          <w:rFonts w:asciiTheme="minorHAnsi" w:hAnsiTheme="minorHAnsi" w:cstheme="minorHAnsi"/>
        </w:rPr>
        <w:t xml:space="preserve"> </w:t>
      </w:r>
      <w:r>
        <w:rPr>
          <w:rFonts w:asciiTheme="minorHAnsi" w:hAnsiTheme="minorHAnsi" w:cstheme="minorHAnsi"/>
        </w:rPr>
        <w:t>T</w:t>
      </w:r>
      <w:r>
        <w:rPr>
          <w:rFonts w:asciiTheme="minorHAnsi" w:hAnsiTheme="minorHAnsi" w:cstheme="minorHAnsi"/>
          <w:color w:val="2A2A2A"/>
          <w:shd w:val="clear" w:color="auto" w:fill="FFFFFF"/>
        </w:rPr>
        <w:t xml:space="preserve">he Church had no authority to introduce </w:t>
      </w:r>
      <w:r w:rsidR="00556B21">
        <w:rPr>
          <w:rFonts w:asciiTheme="minorHAnsi" w:hAnsiTheme="minorHAnsi" w:cstheme="minorHAnsi"/>
          <w:color w:val="2A2A2A"/>
          <w:shd w:val="clear" w:color="auto" w:fill="FFFFFF"/>
        </w:rPr>
        <w:t>further</w:t>
      </w:r>
      <w:r>
        <w:rPr>
          <w:rFonts w:asciiTheme="minorHAnsi" w:hAnsiTheme="minorHAnsi" w:cstheme="minorHAnsi"/>
          <w:color w:val="2A2A2A"/>
          <w:shd w:val="clear" w:color="auto" w:fill="FFFFFF"/>
        </w:rPr>
        <w:t xml:space="preserve"> sacraments where no explicit </w:t>
      </w:r>
      <w:r w:rsidR="00556B21">
        <w:rPr>
          <w:rFonts w:asciiTheme="minorHAnsi" w:hAnsiTheme="minorHAnsi" w:cstheme="minorHAnsi"/>
          <w:color w:val="2A2A2A"/>
          <w:shd w:val="clear" w:color="auto" w:fill="FFFFFF"/>
        </w:rPr>
        <w:t xml:space="preserve">scriptural </w:t>
      </w:r>
      <w:r>
        <w:rPr>
          <w:rFonts w:asciiTheme="minorHAnsi" w:hAnsiTheme="minorHAnsi" w:cstheme="minorHAnsi"/>
          <w:color w:val="2A2A2A"/>
          <w:shd w:val="clear" w:color="auto" w:fill="FFFFFF"/>
        </w:rPr>
        <w:t>command or promise exists.</w:t>
      </w:r>
      <w:r w:rsidRPr="00AB1AE4">
        <w:rPr>
          <w:rStyle w:val="FootnoteReference"/>
        </w:rPr>
        <w:footnoteReference w:id="28"/>
      </w:r>
      <w:r w:rsidR="009A0CA7">
        <w:rPr>
          <w:rFonts w:asciiTheme="minorHAnsi" w:hAnsiTheme="minorHAnsi" w:cstheme="minorHAnsi"/>
        </w:rPr>
        <w:t xml:space="preserve">. </w:t>
      </w:r>
      <w:r w:rsidR="00894847">
        <w:rPr>
          <w:rFonts w:asciiTheme="minorHAnsi" w:hAnsiTheme="minorHAnsi" w:cstheme="minorHAnsi"/>
        </w:rPr>
        <w:t>T</w:t>
      </w:r>
      <w:r w:rsidR="00894847" w:rsidRPr="00AF13C9">
        <w:rPr>
          <w:rFonts w:asciiTheme="minorHAnsi" w:hAnsiTheme="minorHAnsi" w:cstheme="minorHAnsi"/>
        </w:rPr>
        <w:t>he</w:t>
      </w:r>
      <w:r w:rsidR="001F3CCD">
        <w:rPr>
          <w:rFonts w:asciiTheme="minorHAnsi" w:hAnsiTheme="minorHAnsi" w:cstheme="minorHAnsi"/>
        </w:rPr>
        <w:t>se</w:t>
      </w:r>
      <w:r w:rsidR="00894847" w:rsidRPr="00AF13C9">
        <w:rPr>
          <w:rFonts w:asciiTheme="minorHAnsi" w:hAnsiTheme="minorHAnsi" w:cstheme="minorHAnsi"/>
        </w:rPr>
        <w:t xml:space="preserve"> two sacraments are sufficient to frame the whole of man’s earthly existence</w:t>
      </w:r>
      <w:r w:rsidR="001F3CCD">
        <w:rPr>
          <w:rFonts w:asciiTheme="minorHAnsi" w:hAnsiTheme="minorHAnsi" w:cstheme="minorHAnsi"/>
        </w:rPr>
        <w:t>. B</w:t>
      </w:r>
      <w:r w:rsidR="006F0939">
        <w:rPr>
          <w:rFonts w:asciiTheme="minorHAnsi" w:hAnsiTheme="minorHAnsi" w:cstheme="minorHAnsi"/>
        </w:rPr>
        <w:t xml:space="preserve">aptism </w:t>
      </w:r>
      <w:r w:rsidR="00746461">
        <w:rPr>
          <w:rFonts w:asciiTheme="minorHAnsi" w:hAnsiTheme="minorHAnsi" w:cstheme="minorHAnsi"/>
        </w:rPr>
        <w:t>welcome</w:t>
      </w:r>
      <w:r w:rsidR="009A0CA7">
        <w:rPr>
          <w:rFonts w:asciiTheme="minorHAnsi" w:hAnsiTheme="minorHAnsi" w:cstheme="minorHAnsi"/>
        </w:rPr>
        <w:t>s new believers</w:t>
      </w:r>
      <w:r w:rsidR="00746461">
        <w:rPr>
          <w:rFonts w:asciiTheme="minorHAnsi" w:hAnsiTheme="minorHAnsi" w:cstheme="minorHAnsi"/>
        </w:rPr>
        <w:t xml:space="preserve"> into Christ’s body, the Church and a life of Christian living</w:t>
      </w:r>
      <w:r w:rsidR="001F3CCD">
        <w:rPr>
          <w:rFonts w:asciiTheme="minorHAnsi" w:hAnsiTheme="minorHAnsi" w:cstheme="minorHAnsi"/>
        </w:rPr>
        <w:t>.</w:t>
      </w:r>
      <w:r w:rsidR="00746461">
        <w:rPr>
          <w:rFonts w:asciiTheme="minorHAnsi" w:hAnsiTheme="minorHAnsi" w:cstheme="minorHAnsi"/>
        </w:rPr>
        <w:t xml:space="preserve"> Eucharist is a sacrament of growth, nourishment, sustaining and sharing of Christian life.</w:t>
      </w:r>
      <w:r w:rsidR="00733A91">
        <w:rPr>
          <w:rStyle w:val="FootnoteReference"/>
          <w:rFonts w:asciiTheme="minorHAnsi" w:hAnsiTheme="minorHAnsi" w:cstheme="minorHAnsi"/>
        </w:rPr>
        <w:footnoteReference w:id="29"/>
      </w:r>
      <w:r w:rsidR="00746461">
        <w:rPr>
          <w:rFonts w:asciiTheme="minorHAnsi" w:hAnsiTheme="minorHAnsi" w:cstheme="minorHAnsi"/>
        </w:rPr>
        <w:t xml:space="preserve"> </w:t>
      </w:r>
      <w:r w:rsidR="00894847" w:rsidRPr="00AF13C9">
        <w:rPr>
          <w:rFonts w:asciiTheme="minorHAnsi" w:eastAsiaTheme="minorHAnsi" w:hAnsiTheme="minorHAnsi" w:cstheme="minorHAnsi"/>
          <w:color w:val="000000"/>
          <w:bdr w:val="none" w:sz="0" w:space="0" w:color="auto"/>
          <w14:ligatures w14:val="standardContextual"/>
        </w:rPr>
        <w:t xml:space="preserve">Christ instituted these two sacraments in preparation for man’s </w:t>
      </w:r>
      <w:r w:rsidR="00185296">
        <w:rPr>
          <w:rFonts w:asciiTheme="minorHAnsi" w:eastAsiaTheme="minorHAnsi" w:hAnsiTheme="minorHAnsi" w:cstheme="minorHAnsi"/>
          <w:color w:val="000000"/>
          <w:bdr w:val="none" w:sz="0" w:space="0" w:color="auto"/>
          <w14:ligatures w14:val="standardContextual"/>
        </w:rPr>
        <w:t>rebirth</w:t>
      </w:r>
      <w:r w:rsidR="00894847" w:rsidRPr="00AF13C9">
        <w:rPr>
          <w:rFonts w:asciiTheme="minorHAnsi" w:eastAsiaTheme="minorHAnsi" w:hAnsiTheme="minorHAnsi" w:cstheme="minorHAnsi"/>
          <w:color w:val="000000"/>
          <w:bdr w:val="none" w:sz="0" w:space="0" w:color="auto"/>
          <w14:ligatures w14:val="standardContextual"/>
        </w:rPr>
        <w:t xml:space="preserve"> in the new eternal life of his Father’s kingdom, when ‘</w:t>
      </w:r>
      <w:bookmarkStart w:id="5" w:name="OLE_LINK6"/>
      <w:r w:rsidR="00894847" w:rsidRPr="00AF13C9">
        <w:rPr>
          <w:rFonts w:asciiTheme="minorHAnsi" w:eastAsiaTheme="minorHAnsi" w:hAnsiTheme="minorHAnsi" w:cstheme="minorHAnsi"/>
          <w:color w:val="000000"/>
          <w:bdr w:val="none" w:sz="0" w:space="0" w:color="auto"/>
          <w14:ligatures w14:val="standardContextual"/>
        </w:rPr>
        <w:t>the purpose of both sacraments is fulfilled, baptism and bread will cease’</w:t>
      </w:r>
      <w:bookmarkEnd w:id="5"/>
      <w:r w:rsidR="00894847" w:rsidRPr="00AF13C9">
        <w:rPr>
          <w:rFonts w:asciiTheme="minorHAnsi" w:eastAsiaTheme="minorHAnsi" w:hAnsiTheme="minorHAnsi" w:cstheme="minorHAnsi"/>
          <w:color w:val="000000"/>
          <w:bdr w:val="none" w:sz="0" w:space="0" w:color="auto"/>
          <w14:ligatures w14:val="standardContextual"/>
        </w:rPr>
        <w:t>.</w:t>
      </w:r>
      <w:r w:rsidR="00894847" w:rsidRPr="00AB1AE4">
        <w:rPr>
          <w:rStyle w:val="FootnoteReference"/>
        </w:rPr>
        <w:footnoteReference w:id="30"/>
      </w:r>
      <w:r w:rsidR="007100AA">
        <w:rPr>
          <w:rFonts w:asciiTheme="minorHAnsi" w:eastAsiaTheme="minorHAnsi" w:hAnsiTheme="minorHAnsi" w:cstheme="minorHAnsi"/>
          <w:color w:val="000000"/>
          <w:bdr w:val="none" w:sz="0" w:space="0" w:color="auto"/>
          <w14:ligatures w14:val="standardContextual"/>
        </w:rPr>
        <w:t xml:space="preserve"> Yet</w:t>
      </w:r>
      <w:r w:rsidR="007100AA" w:rsidRPr="007100AA">
        <w:rPr>
          <w:rFonts w:asciiTheme="minorHAnsi" w:eastAsiaTheme="minorHAnsi" w:hAnsiTheme="minorHAnsi" w:cstheme="minorHAnsi"/>
          <w:color w:val="000000"/>
          <w:bdr w:val="none" w:sz="0" w:space="0" w:color="auto"/>
          <w14:ligatures w14:val="standardContextual"/>
        </w:rPr>
        <w:t xml:space="preserve">, within the </w:t>
      </w:r>
      <w:r w:rsidR="00474D7D">
        <w:rPr>
          <w:rFonts w:asciiTheme="minorHAnsi" w:eastAsiaTheme="minorHAnsi" w:hAnsiTheme="minorHAnsi" w:cstheme="minorHAnsi"/>
          <w:color w:val="000000"/>
          <w:bdr w:val="none" w:sz="0" w:space="0" w:color="auto"/>
          <w14:ligatures w14:val="standardContextual"/>
        </w:rPr>
        <w:t>Eucharist</w:t>
      </w:r>
      <w:r w:rsidR="007100AA" w:rsidRPr="007100AA">
        <w:rPr>
          <w:rFonts w:asciiTheme="minorHAnsi" w:eastAsiaTheme="minorHAnsi" w:hAnsiTheme="minorHAnsi" w:cstheme="minorHAnsi"/>
          <w:color w:val="000000"/>
          <w:bdr w:val="none" w:sz="0" w:space="0" w:color="auto"/>
          <w14:ligatures w14:val="standardContextual"/>
        </w:rPr>
        <w:t xml:space="preserve">, the act of </w:t>
      </w:r>
      <w:r w:rsidR="007100AA" w:rsidRPr="007100AA">
        <w:rPr>
          <w:rFonts w:asciiTheme="minorHAnsi" w:eastAsiaTheme="minorHAnsi" w:hAnsiTheme="minorHAnsi" w:cstheme="minorHAnsi"/>
          <w:color w:val="000000"/>
          <w:bdr w:val="none" w:sz="0" w:space="0" w:color="auto"/>
          <w14:ligatures w14:val="standardContextual"/>
        </w:rPr>
        <w:lastRenderedPageBreak/>
        <w:t>confession and repentance takes on a sacramental, salvific nature. Without repentance</w:t>
      </w:r>
      <w:r w:rsidR="00EC4453">
        <w:rPr>
          <w:rFonts w:asciiTheme="minorHAnsi" w:eastAsiaTheme="minorHAnsi" w:hAnsiTheme="minorHAnsi" w:cstheme="minorHAnsi"/>
          <w:color w:val="000000"/>
          <w:bdr w:val="none" w:sz="0" w:space="0" w:color="auto"/>
          <w14:ligatures w14:val="standardContextual"/>
        </w:rPr>
        <w:t>,</w:t>
      </w:r>
      <w:r w:rsidR="007100AA" w:rsidRPr="007100AA">
        <w:rPr>
          <w:rFonts w:asciiTheme="minorHAnsi" w:eastAsiaTheme="minorHAnsi" w:hAnsiTheme="minorHAnsi" w:cstheme="minorHAnsi"/>
          <w:color w:val="000000"/>
          <w:bdr w:val="none" w:sz="0" w:space="0" w:color="auto"/>
          <w14:ligatures w14:val="standardContextual"/>
        </w:rPr>
        <w:t xml:space="preserve"> the </w:t>
      </w:r>
      <w:r w:rsidR="00474D7D">
        <w:rPr>
          <w:rFonts w:asciiTheme="minorHAnsi" w:eastAsiaTheme="minorHAnsi" w:hAnsiTheme="minorHAnsi" w:cstheme="minorHAnsi"/>
          <w:color w:val="000000"/>
          <w:bdr w:val="none" w:sz="0" w:space="0" w:color="auto"/>
          <w14:ligatures w14:val="standardContextual"/>
        </w:rPr>
        <w:t>Eucharist</w:t>
      </w:r>
      <w:r w:rsidR="007100AA" w:rsidRPr="007100AA">
        <w:rPr>
          <w:rFonts w:asciiTheme="minorHAnsi" w:eastAsiaTheme="minorHAnsi" w:hAnsiTheme="minorHAnsi" w:cstheme="minorHAnsi"/>
          <w:color w:val="000000"/>
          <w:bdr w:val="none" w:sz="0" w:space="0" w:color="auto"/>
          <w14:ligatures w14:val="standardContextual"/>
        </w:rPr>
        <w:t xml:space="preserve"> loses its sacramental import. Jesus’ teaching on repentance did not see </w:t>
      </w:r>
      <w:r w:rsidR="007100AA" w:rsidRPr="007100AA">
        <w:rPr>
          <w:rFonts w:asciiTheme="minorHAnsi" w:eastAsiaTheme="minorHAnsi" w:hAnsiTheme="minorHAnsi" w:cstheme="minorHAnsi"/>
          <w:i/>
          <w:iCs/>
          <w:color w:val="000000"/>
          <w:bdr w:val="none" w:sz="0" w:space="0" w:color="auto"/>
          <w14:ligatures w14:val="standardContextual"/>
        </w:rPr>
        <w:t>doing</w:t>
      </w:r>
      <w:r w:rsidR="007100AA" w:rsidRPr="007100AA">
        <w:rPr>
          <w:rFonts w:asciiTheme="minorHAnsi" w:eastAsiaTheme="minorHAnsi" w:hAnsiTheme="minorHAnsi" w:cstheme="minorHAnsi"/>
          <w:color w:val="000000"/>
          <w:bdr w:val="none" w:sz="0" w:space="0" w:color="auto"/>
          <w14:ligatures w14:val="standardContextual"/>
        </w:rPr>
        <w:t xml:space="preserve"> penance as steps of contrition, confession and satisfaction (including indulgences), but ‘when our Lord and Master Jesus Christ said ‘Repent,’ he </w:t>
      </w:r>
      <w:r w:rsidR="007100AA" w:rsidRPr="009A0CA7">
        <w:rPr>
          <w:rFonts w:asciiTheme="minorHAnsi" w:eastAsiaTheme="minorHAnsi" w:hAnsiTheme="minorHAnsi" w:cstheme="minorHAnsi"/>
          <w:i/>
          <w:iCs/>
          <w:color w:val="000000"/>
          <w:bdr w:val="none" w:sz="0" w:space="0" w:color="auto"/>
          <w14:ligatures w14:val="standardContextual"/>
        </w:rPr>
        <w:t>willed the entire life of believers</w:t>
      </w:r>
      <w:r w:rsidR="007100AA" w:rsidRPr="007100AA">
        <w:rPr>
          <w:rFonts w:asciiTheme="minorHAnsi" w:eastAsiaTheme="minorHAnsi" w:hAnsiTheme="minorHAnsi" w:cstheme="minorHAnsi"/>
          <w:color w:val="000000"/>
          <w:bdr w:val="none" w:sz="0" w:space="0" w:color="auto"/>
          <w14:ligatures w14:val="standardContextual"/>
        </w:rPr>
        <w:t xml:space="preserve"> to be one of repentance’.</w:t>
      </w:r>
      <w:r w:rsidR="003E7C85">
        <w:rPr>
          <w:rStyle w:val="FootnoteReference"/>
          <w:rFonts w:asciiTheme="minorHAnsi" w:eastAsiaTheme="minorHAnsi" w:hAnsiTheme="minorHAnsi" w:cstheme="minorHAnsi"/>
          <w:color w:val="000000"/>
          <w:bdr w:val="none" w:sz="0" w:space="0" w:color="auto"/>
          <w14:ligatures w14:val="standardContextual"/>
        </w:rPr>
        <w:footnoteReference w:id="31"/>
      </w:r>
    </w:p>
    <w:p w:rsidR="00EE74FD" w:rsidRPr="00BA1D44" w:rsidRDefault="00185296" w:rsidP="00885569">
      <w:pPr>
        <w:spacing w:line="480" w:lineRule="auto"/>
        <w:ind w:firstLine="426"/>
        <w:rPr>
          <w:rFonts w:asciiTheme="minorHAnsi" w:hAnsiTheme="minorHAnsi" w:cstheme="minorHAnsi"/>
        </w:rPr>
      </w:pPr>
      <w:r>
        <w:rPr>
          <w:rFonts w:asciiTheme="minorHAnsi" w:hAnsiTheme="minorHAnsi" w:cstheme="minorHAnsi"/>
        </w:rPr>
        <w:t>How does Luther perceive the real presence of Christ</w:t>
      </w:r>
      <w:r w:rsidR="00115974">
        <w:rPr>
          <w:rFonts w:asciiTheme="minorHAnsi" w:hAnsiTheme="minorHAnsi" w:cstheme="minorHAnsi"/>
        </w:rPr>
        <w:t xml:space="preserve"> and </w:t>
      </w:r>
      <w:r w:rsidR="009A0CA7">
        <w:rPr>
          <w:rFonts w:asciiTheme="minorHAnsi" w:hAnsiTheme="minorHAnsi" w:cstheme="minorHAnsi"/>
        </w:rPr>
        <w:t xml:space="preserve">his </w:t>
      </w:r>
      <w:r w:rsidR="00115974">
        <w:rPr>
          <w:rFonts w:asciiTheme="minorHAnsi" w:hAnsiTheme="minorHAnsi" w:cstheme="minorHAnsi"/>
        </w:rPr>
        <w:t>saving power</w:t>
      </w:r>
      <w:r>
        <w:rPr>
          <w:rFonts w:asciiTheme="minorHAnsi" w:hAnsiTheme="minorHAnsi" w:cstheme="minorHAnsi"/>
        </w:rPr>
        <w:t xml:space="preserve"> in the bread and wine? </w:t>
      </w:r>
      <w:r w:rsidR="005B029E">
        <w:rPr>
          <w:rFonts w:asciiTheme="minorHAnsi" w:hAnsiTheme="minorHAnsi" w:cstheme="minorHAnsi"/>
        </w:rPr>
        <w:t xml:space="preserve">Once stripped of the ‘captivities’ which distract from entering </w:t>
      </w:r>
      <w:r w:rsidR="00474D7D">
        <w:rPr>
          <w:rFonts w:asciiTheme="minorHAnsi" w:hAnsiTheme="minorHAnsi" w:cstheme="minorHAnsi"/>
        </w:rPr>
        <w:t>Eucharist</w:t>
      </w:r>
      <w:r w:rsidR="00115974">
        <w:rPr>
          <w:rFonts w:asciiTheme="minorHAnsi" w:hAnsiTheme="minorHAnsi" w:cstheme="minorHAnsi"/>
        </w:rPr>
        <w:t xml:space="preserve">ic worship appropriately prepared, </w:t>
      </w:r>
      <w:r w:rsidR="004971A8">
        <w:rPr>
          <w:rFonts w:asciiTheme="minorHAnsi" w:hAnsiTheme="minorHAnsi" w:cstheme="minorHAnsi"/>
        </w:rPr>
        <w:t xml:space="preserve">its sacramental purpose and </w:t>
      </w:r>
      <w:r w:rsidR="009A0CA7">
        <w:rPr>
          <w:rFonts w:asciiTheme="minorHAnsi" w:hAnsiTheme="minorHAnsi" w:cstheme="minorHAnsi"/>
        </w:rPr>
        <w:t xml:space="preserve">the </w:t>
      </w:r>
      <w:r w:rsidR="004971A8">
        <w:rPr>
          <w:rFonts w:asciiTheme="minorHAnsi" w:hAnsiTheme="minorHAnsi" w:cstheme="minorHAnsi"/>
        </w:rPr>
        <w:t xml:space="preserve">efficacy of the </w:t>
      </w:r>
      <w:r w:rsidR="00474D7D">
        <w:rPr>
          <w:rFonts w:asciiTheme="minorHAnsi" w:hAnsiTheme="minorHAnsi" w:cstheme="minorHAnsi"/>
        </w:rPr>
        <w:t>Eucharist</w:t>
      </w:r>
      <w:r w:rsidR="004971A8">
        <w:rPr>
          <w:rFonts w:asciiTheme="minorHAnsi" w:hAnsiTheme="minorHAnsi" w:cstheme="minorHAnsi"/>
        </w:rPr>
        <w:t xml:space="preserve"> are evident. </w:t>
      </w:r>
      <w:r w:rsidR="00186DDC">
        <w:rPr>
          <w:rFonts w:asciiTheme="minorHAnsi" w:hAnsiTheme="minorHAnsi" w:cstheme="minorHAnsi"/>
        </w:rPr>
        <w:t xml:space="preserve">As he addressed criticisms of his views from other quarters, Luther insisted that only a literal scriptural interpretation of Christ’s words of institution at </w:t>
      </w:r>
      <w:r w:rsidR="00186DDC" w:rsidRPr="00706F43">
        <w:rPr>
          <w:rFonts w:asciiTheme="minorHAnsi" w:hAnsiTheme="minorHAnsi" w:cstheme="minorHAnsi"/>
        </w:rPr>
        <w:t>the Supper was possible</w:t>
      </w:r>
      <w:r w:rsidR="00EE74FD">
        <w:rPr>
          <w:rFonts w:asciiTheme="minorHAnsi" w:hAnsiTheme="minorHAnsi" w:cstheme="minorHAnsi"/>
        </w:rPr>
        <w:t>.</w:t>
      </w:r>
      <w:r w:rsidR="00EE74FD">
        <w:rPr>
          <w:rStyle w:val="FootnoteReference"/>
          <w:rFonts w:asciiTheme="minorHAnsi" w:hAnsiTheme="minorHAnsi" w:cstheme="minorHAnsi"/>
        </w:rPr>
        <w:footnoteReference w:id="32"/>
      </w:r>
      <w:r w:rsidR="00186DDC">
        <w:rPr>
          <w:rFonts w:asciiTheme="minorHAnsi" w:hAnsiTheme="minorHAnsi" w:cstheme="minorHAnsi"/>
        </w:rPr>
        <w:t xml:space="preserve"> </w:t>
      </w:r>
    </w:p>
    <w:p w:rsidR="00796D44" w:rsidRDefault="00796D44" w:rsidP="00885569">
      <w:pPr>
        <w:spacing w:line="480" w:lineRule="auto"/>
        <w:ind w:firstLine="426"/>
        <w:rPr>
          <w:rFonts w:asciiTheme="minorHAnsi" w:hAnsiTheme="minorHAnsi" w:cstheme="minorHAnsi"/>
        </w:rPr>
      </w:pPr>
      <w:r w:rsidRPr="00570945">
        <w:rPr>
          <w:rFonts w:asciiTheme="minorHAnsi" w:hAnsiTheme="minorHAnsi" w:cstheme="minorHAnsi"/>
          <w:i/>
          <w:iCs/>
        </w:rPr>
        <w:t>Small Catechism</w:t>
      </w:r>
      <w:r>
        <w:rPr>
          <w:rFonts w:asciiTheme="minorHAnsi" w:hAnsiTheme="minorHAnsi" w:cstheme="minorHAnsi"/>
          <w:i/>
          <w:iCs/>
        </w:rPr>
        <w:t xml:space="preserve"> </w:t>
      </w:r>
      <w:r w:rsidR="009A0CA7" w:rsidRPr="009A0CA7">
        <w:rPr>
          <w:rFonts w:asciiTheme="minorHAnsi" w:hAnsiTheme="minorHAnsi" w:cstheme="minorHAnsi"/>
        </w:rPr>
        <w:t xml:space="preserve">succinctly </w:t>
      </w:r>
      <w:r w:rsidR="002C3154">
        <w:rPr>
          <w:rFonts w:asciiTheme="minorHAnsi" w:hAnsiTheme="minorHAnsi" w:cstheme="minorHAnsi"/>
        </w:rPr>
        <w:t>summarises Luther’s sacramental theology and includes involvement of the head of the household</w:t>
      </w:r>
      <w:r w:rsidR="00B42AD0">
        <w:rPr>
          <w:rFonts w:asciiTheme="minorHAnsi" w:hAnsiTheme="minorHAnsi" w:cstheme="minorHAnsi"/>
        </w:rPr>
        <w:t xml:space="preserve"> in interpreting and teaching scripture to the family, read</w:t>
      </w:r>
      <w:r w:rsidR="00B42AD0" w:rsidRPr="00570945">
        <w:rPr>
          <w:rFonts w:asciiTheme="minorHAnsi" w:hAnsiTheme="minorHAnsi" w:cstheme="minorHAnsi"/>
        </w:rPr>
        <w:t xml:space="preserve"> in </w:t>
      </w:r>
      <w:r w:rsidR="00B42AD0">
        <w:rPr>
          <w:rFonts w:asciiTheme="minorHAnsi" w:hAnsiTheme="minorHAnsi" w:cstheme="minorHAnsi"/>
        </w:rPr>
        <w:t>the mother tongue</w:t>
      </w:r>
      <w:r w:rsidR="00B42AD0" w:rsidRPr="00570945">
        <w:rPr>
          <w:rFonts w:asciiTheme="minorHAnsi" w:hAnsiTheme="minorHAnsi" w:cstheme="minorHAnsi"/>
        </w:rPr>
        <w:t xml:space="preserve">, not the </w:t>
      </w:r>
      <w:r w:rsidR="00B42AD0">
        <w:rPr>
          <w:rFonts w:asciiTheme="minorHAnsi" w:hAnsiTheme="minorHAnsi" w:cstheme="minorHAnsi"/>
        </w:rPr>
        <w:t xml:space="preserve">Church </w:t>
      </w:r>
      <w:r w:rsidR="00B42AD0" w:rsidRPr="00570945">
        <w:rPr>
          <w:rFonts w:asciiTheme="minorHAnsi" w:hAnsiTheme="minorHAnsi" w:cstheme="minorHAnsi"/>
        </w:rPr>
        <w:t xml:space="preserve">Latin </w:t>
      </w:r>
      <w:r w:rsidR="00B42AD0">
        <w:rPr>
          <w:rFonts w:asciiTheme="minorHAnsi" w:hAnsiTheme="minorHAnsi" w:cstheme="minorHAnsi"/>
        </w:rPr>
        <w:t>dictated</w:t>
      </w:r>
      <w:r w:rsidR="00B42AD0" w:rsidRPr="00570945">
        <w:rPr>
          <w:rFonts w:asciiTheme="minorHAnsi" w:hAnsiTheme="minorHAnsi" w:cstheme="minorHAnsi"/>
        </w:rPr>
        <w:t xml:space="preserve"> by the priest. Effectively, this puts Luther’s deep belief into practice, that</w:t>
      </w:r>
      <w:r w:rsidR="009A0CA7">
        <w:rPr>
          <w:rFonts w:asciiTheme="minorHAnsi" w:hAnsiTheme="minorHAnsi" w:cstheme="minorHAnsi"/>
        </w:rPr>
        <w:t>,</w:t>
      </w:r>
      <w:r w:rsidR="00B42AD0" w:rsidRPr="00570945">
        <w:rPr>
          <w:rFonts w:asciiTheme="minorHAnsi" w:hAnsiTheme="minorHAnsi" w:cstheme="minorHAnsi"/>
        </w:rPr>
        <w:t xml:space="preserve"> </w:t>
      </w:r>
      <w:r w:rsidR="009A0CA7" w:rsidRPr="00570945">
        <w:rPr>
          <w:rFonts w:asciiTheme="minorHAnsi" w:hAnsiTheme="minorHAnsi" w:cstheme="minorHAnsi"/>
        </w:rPr>
        <w:t>through their confession</w:t>
      </w:r>
      <w:r w:rsidR="009A0CA7">
        <w:rPr>
          <w:rFonts w:asciiTheme="minorHAnsi" w:hAnsiTheme="minorHAnsi" w:cstheme="minorHAnsi"/>
        </w:rPr>
        <w:t>,</w:t>
      </w:r>
      <w:r w:rsidR="009A0CA7" w:rsidRPr="00570945">
        <w:rPr>
          <w:rFonts w:asciiTheme="minorHAnsi" w:hAnsiTheme="minorHAnsi" w:cstheme="minorHAnsi"/>
        </w:rPr>
        <w:t xml:space="preserve"> </w:t>
      </w:r>
      <w:r w:rsidR="00B42AD0" w:rsidRPr="00570945">
        <w:rPr>
          <w:rFonts w:asciiTheme="minorHAnsi" w:hAnsiTheme="minorHAnsi" w:cstheme="minorHAnsi"/>
        </w:rPr>
        <w:t xml:space="preserve">all believers become a ‘royal priesthood, a holy nation’, whose calling and function through salvation is ‘to proclaim the mighty acts’ of God (1Pet 2:9). </w:t>
      </w:r>
    </w:p>
    <w:p w:rsidR="00025BDB" w:rsidRPr="00186DDC" w:rsidRDefault="00796D44" w:rsidP="0088556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480" w:lineRule="auto"/>
        <w:ind w:firstLine="426"/>
        <w:rPr>
          <w:rFonts w:eastAsia="Times New Roman"/>
          <w:bdr w:val="none" w:sz="0" w:space="0" w:color="auto"/>
          <w:lang w:eastAsia="en-GB"/>
        </w:rPr>
      </w:pPr>
      <w:r w:rsidRPr="00570945">
        <w:rPr>
          <w:rFonts w:asciiTheme="minorHAnsi" w:hAnsiTheme="minorHAnsi" w:cstheme="minorHAnsi"/>
        </w:rPr>
        <w:t xml:space="preserve">Luther’s key interpretation of the Eucharist </w:t>
      </w:r>
      <w:r w:rsidR="00B42AD0">
        <w:rPr>
          <w:rFonts w:asciiTheme="minorHAnsi" w:hAnsiTheme="minorHAnsi" w:cstheme="minorHAnsi"/>
        </w:rPr>
        <w:t xml:space="preserve">conflicts with </w:t>
      </w:r>
      <w:r w:rsidR="009A0CA7">
        <w:rPr>
          <w:rFonts w:asciiTheme="minorHAnsi" w:hAnsiTheme="minorHAnsi" w:cstheme="minorHAnsi"/>
        </w:rPr>
        <w:t xml:space="preserve">that of </w:t>
      </w:r>
      <w:r w:rsidR="00B42AD0">
        <w:rPr>
          <w:rFonts w:asciiTheme="minorHAnsi" w:hAnsiTheme="minorHAnsi" w:cstheme="minorHAnsi"/>
        </w:rPr>
        <w:t>t</w:t>
      </w:r>
      <w:r w:rsidRPr="00570945">
        <w:rPr>
          <w:rFonts w:asciiTheme="minorHAnsi" w:hAnsiTheme="minorHAnsi" w:cstheme="minorHAnsi"/>
        </w:rPr>
        <w:t xml:space="preserve">he </w:t>
      </w:r>
      <w:r w:rsidR="00DD4A44">
        <w:rPr>
          <w:rFonts w:asciiTheme="minorHAnsi" w:hAnsiTheme="minorHAnsi" w:cstheme="minorHAnsi"/>
        </w:rPr>
        <w:t>RC</w:t>
      </w:r>
      <w:r w:rsidRPr="00570945">
        <w:rPr>
          <w:rFonts w:asciiTheme="minorHAnsi" w:hAnsiTheme="minorHAnsi" w:cstheme="minorHAnsi"/>
        </w:rPr>
        <w:t xml:space="preserve"> Church</w:t>
      </w:r>
      <w:r w:rsidR="001F3CCD">
        <w:rPr>
          <w:rFonts w:asciiTheme="minorHAnsi" w:hAnsiTheme="minorHAnsi" w:cstheme="minorHAnsi"/>
        </w:rPr>
        <w:t xml:space="preserve">. </w:t>
      </w:r>
      <w:r w:rsidRPr="00570945">
        <w:rPr>
          <w:rFonts w:asciiTheme="minorHAnsi" w:hAnsiTheme="minorHAnsi" w:cstheme="minorHAnsi"/>
        </w:rPr>
        <w:t>‘</w:t>
      </w:r>
      <w:r w:rsidR="001F3CCD">
        <w:rPr>
          <w:rFonts w:asciiTheme="minorHAnsi" w:hAnsiTheme="minorHAnsi" w:cstheme="minorHAnsi"/>
          <w:color w:val="333333"/>
        </w:rPr>
        <w:t>[F]</w:t>
      </w:r>
      <w:proofErr w:type="spellStart"/>
      <w:r w:rsidRPr="00570945">
        <w:rPr>
          <w:rFonts w:asciiTheme="minorHAnsi" w:hAnsiTheme="minorHAnsi" w:cstheme="minorHAnsi"/>
          <w:color w:val="333333"/>
        </w:rPr>
        <w:t>orgiveness</w:t>
      </w:r>
      <w:proofErr w:type="spellEnd"/>
      <w:r w:rsidRPr="00570945">
        <w:rPr>
          <w:rFonts w:asciiTheme="minorHAnsi" w:hAnsiTheme="minorHAnsi" w:cstheme="minorHAnsi"/>
          <w:color w:val="333333"/>
        </w:rPr>
        <w:t xml:space="preserve"> of sins, life, and salvation are </w:t>
      </w:r>
      <w:r w:rsidRPr="00570945">
        <w:rPr>
          <w:rFonts w:asciiTheme="minorHAnsi" w:hAnsiTheme="minorHAnsi" w:cstheme="minorHAnsi"/>
          <w:i/>
          <w:iCs/>
          <w:color w:val="333333"/>
        </w:rPr>
        <w:t>given</w:t>
      </w:r>
      <w:r w:rsidRPr="00570945">
        <w:rPr>
          <w:rFonts w:asciiTheme="minorHAnsi" w:hAnsiTheme="minorHAnsi" w:cstheme="minorHAnsi"/>
          <w:color w:val="333333"/>
        </w:rPr>
        <w:t xml:space="preserve"> us through these words. For where there is forgiveness of sins, there is also life and salvation’</w:t>
      </w:r>
      <w:r w:rsidR="001F3CCD">
        <w:rPr>
          <w:rFonts w:asciiTheme="minorHAnsi" w:hAnsiTheme="minorHAnsi" w:cstheme="minorHAnsi"/>
          <w:color w:val="333333"/>
        </w:rPr>
        <w:t>. Secondly, the</w:t>
      </w:r>
      <w:r w:rsidR="001F3CCD" w:rsidRPr="001F3CCD">
        <w:rPr>
          <w:rFonts w:asciiTheme="minorHAnsi" w:hAnsiTheme="minorHAnsi" w:cstheme="minorHAnsi"/>
          <w:color w:val="333333"/>
        </w:rPr>
        <w:t xml:space="preserve"> </w:t>
      </w:r>
      <w:r w:rsidR="001F3CCD" w:rsidRPr="00570945">
        <w:rPr>
          <w:rFonts w:asciiTheme="minorHAnsi" w:hAnsiTheme="minorHAnsi" w:cstheme="minorHAnsi"/>
          <w:color w:val="333333"/>
        </w:rPr>
        <w:t>forgiveness is given</w:t>
      </w:r>
      <w:r w:rsidR="001F3CCD">
        <w:rPr>
          <w:rFonts w:asciiTheme="minorHAnsi" w:hAnsiTheme="minorHAnsi" w:cstheme="minorHAnsi"/>
          <w:color w:val="333333"/>
        </w:rPr>
        <w:t xml:space="preserve"> through</w:t>
      </w:r>
      <w:r w:rsidRPr="00570945">
        <w:rPr>
          <w:rFonts w:asciiTheme="minorHAnsi" w:hAnsiTheme="minorHAnsi" w:cstheme="minorHAnsi"/>
          <w:i/>
          <w:iCs/>
          <w:color w:val="333333"/>
        </w:rPr>
        <w:t xml:space="preserve"> belief</w:t>
      </w:r>
      <w:r w:rsidRPr="00570945">
        <w:rPr>
          <w:rFonts w:asciiTheme="minorHAnsi" w:hAnsiTheme="minorHAnsi" w:cstheme="minorHAnsi"/>
          <w:color w:val="333333"/>
        </w:rPr>
        <w:t xml:space="preserve"> in Christ’s words of forgiveness </w:t>
      </w:r>
      <w:r w:rsidR="001F3CCD">
        <w:rPr>
          <w:rFonts w:asciiTheme="minorHAnsi" w:hAnsiTheme="minorHAnsi" w:cstheme="minorHAnsi"/>
          <w:i/>
          <w:iCs/>
          <w:color w:val="333333"/>
        </w:rPr>
        <w:t>in conjunction</w:t>
      </w:r>
      <w:r w:rsidRPr="00570945">
        <w:rPr>
          <w:rFonts w:asciiTheme="minorHAnsi" w:hAnsiTheme="minorHAnsi" w:cstheme="minorHAnsi"/>
          <w:i/>
          <w:iCs/>
          <w:color w:val="333333"/>
        </w:rPr>
        <w:t xml:space="preserve"> with </w:t>
      </w:r>
      <w:r w:rsidRPr="00570945">
        <w:rPr>
          <w:rFonts w:asciiTheme="minorHAnsi" w:hAnsiTheme="minorHAnsi" w:cstheme="minorHAnsi"/>
          <w:color w:val="333333"/>
        </w:rPr>
        <w:t xml:space="preserve">consumption of the bread </w:t>
      </w:r>
      <w:r w:rsidRPr="00570945">
        <w:rPr>
          <w:rFonts w:asciiTheme="minorHAnsi" w:hAnsiTheme="minorHAnsi" w:cstheme="minorHAnsi"/>
          <w:color w:val="333333"/>
        </w:rPr>
        <w:lastRenderedPageBreak/>
        <w:t>and wine</w:t>
      </w:r>
      <w:r w:rsidR="001F3CCD">
        <w:rPr>
          <w:rFonts w:asciiTheme="minorHAnsi" w:hAnsiTheme="minorHAnsi" w:cstheme="minorHAnsi"/>
          <w:color w:val="333333"/>
        </w:rPr>
        <w:t xml:space="preserve">. Thirdly, </w:t>
      </w:r>
      <w:r w:rsidRPr="00570945">
        <w:rPr>
          <w:rFonts w:asciiTheme="minorHAnsi" w:hAnsiTheme="minorHAnsi" w:cstheme="minorHAnsi"/>
          <w:color w:val="333333"/>
        </w:rPr>
        <w:t xml:space="preserve">although other actions, such as fasting, provide effective preparation for receiving the elements, it is the </w:t>
      </w:r>
      <w:r w:rsidRPr="00102969">
        <w:rPr>
          <w:rFonts w:asciiTheme="minorHAnsi" w:hAnsiTheme="minorHAnsi" w:cstheme="minorHAnsi"/>
          <w:i/>
          <w:iCs/>
          <w:color w:val="333333"/>
        </w:rPr>
        <w:t>faith which emerges from proper preparation</w:t>
      </w:r>
      <w:r w:rsidRPr="00570945">
        <w:rPr>
          <w:rFonts w:asciiTheme="minorHAnsi" w:hAnsiTheme="minorHAnsi" w:cstheme="minorHAnsi"/>
          <w:color w:val="333333"/>
        </w:rPr>
        <w:t xml:space="preserve"> that makes one worthy to receive the benefit of forgiveness at Communion. It is self-selective, for anyone who does not truly believe in or doubts the truth of Jesus’ words is not worthy</w:t>
      </w:r>
      <w:r>
        <w:rPr>
          <w:rFonts w:asciiTheme="minorHAnsi" w:hAnsiTheme="minorHAnsi" w:cstheme="minorHAnsi"/>
          <w:color w:val="333333"/>
        </w:rPr>
        <w:t>,</w:t>
      </w:r>
      <w:r w:rsidRPr="00570945">
        <w:rPr>
          <w:rFonts w:asciiTheme="minorHAnsi" w:hAnsiTheme="minorHAnsi" w:cstheme="minorHAnsi"/>
          <w:color w:val="333333"/>
        </w:rPr>
        <w:t xml:space="preserve"> ‘for the words “for you” require all hearts to believe.’</w:t>
      </w:r>
      <w:r w:rsidRPr="00AB1AE4">
        <w:rPr>
          <w:rStyle w:val="FootnoteReference"/>
        </w:rPr>
        <w:footnoteReference w:id="33"/>
      </w:r>
      <w:r w:rsidR="00186DDC" w:rsidRPr="00186DDC">
        <w:rPr>
          <w:rFonts w:asciiTheme="minorHAnsi" w:hAnsiTheme="minorHAnsi" w:cstheme="minorHAnsi"/>
        </w:rPr>
        <w:t xml:space="preserve"> </w:t>
      </w:r>
      <w:r w:rsidR="00186DDC">
        <w:rPr>
          <w:rFonts w:asciiTheme="minorHAnsi" w:hAnsiTheme="minorHAnsi" w:cstheme="minorHAnsi"/>
        </w:rPr>
        <w:t>It is ‘”not the eating and drinking [that] in themselves produce [the effects of the Sacrament], but the words “for you” and “for the forgiveness of sins”’ whereby ‘the gospel is communicated but also [through] the “mutual conversation and consolation of brethren”’.</w:t>
      </w:r>
      <w:r w:rsidR="00186DDC" w:rsidRPr="00AB1AE4">
        <w:rPr>
          <w:rStyle w:val="FootnoteReference"/>
        </w:rPr>
        <w:footnoteReference w:id="34"/>
      </w:r>
      <w:r w:rsidR="00186DDC">
        <w:rPr>
          <w:rFonts w:asciiTheme="minorHAnsi" w:hAnsiTheme="minorHAnsi" w:cstheme="minorHAnsi"/>
        </w:rPr>
        <w:t xml:space="preserve"> Herein lies the saving power of Christ’s body at the Eucharist.</w:t>
      </w:r>
      <w:r w:rsidR="00186DDC" w:rsidRPr="00186DDC">
        <w:rPr>
          <w:rFonts w:asciiTheme="minorHAnsi" w:eastAsia="Times New Roman" w:hAnsiTheme="minorHAnsi" w:cstheme="minorHAnsi"/>
          <w:color w:val="282828"/>
          <w:bdr w:val="none" w:sz="0" w:space="0" w:color="auto"/>
          <w:lang w:eastAsia="en-GB"/>
        </w:rPr>
        <w:t xml:space="preserve"> </w:t>
      </w:r>
      <w:r w:rsidR="00186DDC" w:rsidRPr="00B42AD0">
        <w:rPr>
          <w:rFonts w:asciiTheme="minorHAnsi" w:eastAsia="Times New Roman" w:hAnsiTheme="minorHAnsi" w:cstheme="minorHAnsi"/>
          <w:color w:val="282828"/>
          <w:bdr w:val="none" w:sz="0" w:space="0" w:color="auto"/>
          <w:lang w:eastAsia="en-GB"/>
        </w:rPr>
        <w:t>With the distribution of the elements Christ gives himself ‘for us’, forgiveness is gifted ‘to us’ and life and salvation are realised, all based on ‘God’s Word of promise alone’, ‘proclaimed from outside of us’ and not on the faith of the recipient.</w:t>
      </w:r>
      <w:r w:rsidR="00186DDC" w:rsidRPr="00AB1AE4">
        <w:rPr>
          <w:rStyle w:val="FootnoteReference"/>
        </w:rPr>
        <w:footnoteReference w:id="35"/>
      </w:r>
      <w:r w:rsidR="00186DDC">
        <w:rPr>
          <w:rFonts w:eastAsia="Times New Roman"/>
          <w:bdr w:val="none" w:sz="0" w:space="0" w:color="auto"/>
          <w:lang w:eastAsia="en-GB"/>
        </w:rPr>
        <w:t xml:space="preserve"> I</w:t>
      </w:r>
      <w:r w:rsidR="00270F18" w:rsidRPr="00B42AD0">
        <w:rPr>
          <w:rFonts w:asciiTheme="minorHAnsi" w:hAnsiTheme="minorHAnsi" w:cstheme="minorHAnsi"/>
          <w:color w:val="333333"/>
        </w:rPr>
        <w:t>n Luther’s own words:</w:t>
      </w:r>
    </w:p>
    <w:p w:rsidR="00270F18" w:rsidRPr="00B42AD0" w:rsidRDefault="00270F18" w:rsidP="0088556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480" w:lineRule="auto"/>
        <w:ind w:left="1440" w:right="940"/>
        <w:rPr>
          <w:rFonts w:asciiTheme="minorHAnsi" w:eastAsia="Times New Roman" w:hAnsiTheme="minorHAnsi" w:cstheme="minorHAnsi"/>
          <w:color w:val="282828"/>
          <w:bdr w:val="none" w:sz="0" w:space="0" w:color="auto"/>
          <w:lang w:eastAsia="en-GB"/>
        </w:rPr>
      </w:pPr>
      <w:r w:rsidRPr="00B42AD0">
        <w:rPr>
          <w:rFonts w:asciiTheme="minorHAnsi" w:eastAsia="Times New Roman" w:hAnsiTheme="minorHAnsi" w:cstheme="minorHAnsi"/>
          <w:color w:val="282828"/>
          <w:bdr w:val="none" w:sz="0" w:space="0" w:color="auto"/>
          <w:lang w:eastAsia="en-GB"/>
        </w:rPr>
        <w:t xml:space="preserve">‘Our opinion is that the body is in such a way with or in the bread that it is truly received with the bread. Whatever the bread suffers or does is also true of the body. Thus, it is rightly said of the body of Christ that it is distributed, given, received, eaten’ </w:t>
      </w:r>
      <w:r w:rsidR="0067153D" w:rsidRPr="00B42AD0">
        <w:rPr>
          <w:rFonts w:asciiTheme="minorHAnsi" w:eastAsia="Times New Roman" w:hAnsiTheme="minorHAnsi" w:cstheme="minorHAnsi"/>
          <w:color w:val="282828"/>
          <w:bdr w:val="none" w:sz="0" w:space="0" w:color="auto"/>
          <w:lang w:eastAsia="en-GB"/>
        </w:rPr>
        <w:t>(WABr12.</w:t>
      </w:r>
      <w:r w:rsidRPr="00B42AD0">
        <w:rPr>
          <w:rFonts w:asciiTheme="minorHAnsi" w:eastAsia="Times New Roman" w:hAnsiTheme="minorHAnsi" w:cstheme="minorHAnsi"/>
          <w:color w:val="282828"/>
          <w:bdr w:val="none" w:sz="0" w:space="0" w:color="auto"/>
          <w:lang w:eastAsia="en-GB"/>
        </w:rPr>
        <w:t>160,64– 67).</w:t>
      </w:r>
      <w:r w:rsidR="00D01C1F" w:rsidRPr="00AB1AE4">
        <w:rPr>
          <w:rStyle w:val="FootnoteReference"/>
        </w:rPr>
        <w:footnoteReference w:id="36"/>
      </w:r>
      <w:r w:rsidRPr="00B42AD0">
        <w:rPr>
          <w:rFonts w:asciiTheme="minorHAnsi" w:eastAsia="Times New Roman" w:hAnsiTheme="minorHAnsi" w:cstheme="minorHAnsi"/>
          <w:color w:val="282828"/>
          <w:bdr w:val="none" w:sz="0" w:space="0" w:color="auto"/>
          <w:lang w:eastAsia="en-GB"/>
        </w:rPr>
        <w:t xml:space="preserve"> </w:t>
      </w:r>
    </w:p>
    <w:p w:rsidR="005B029E" w:rsidRPr="00606FB9" w:rsidRDefault="002A5F73" w:rsidP="00885569">
      <w:pPr>
        <w:pStyle w:val="Heading1"/>
        <w:spacing w:line="480" w:lineRule="auto"/>
        <w:rPr>
          <w:rFonts w:asciiTheme="minorHAnsi" w:hAnsiTheme="minorHAnsi" w:cstheme="minorHAnsi"/>
          <w:b/>
          <w:bCs/>
          <w:color w:val="auto"/>
          <w:sz w:val="24"/>
          <w:szCs w:val="24"/>
        </w:rPr>
      </w:pPr>
      <w:bookmarkStart w:id="6" w:name="_Toc166761532"/>
      <w:r w:rsidRPr="00606FB9">
        <w:rPr>
          <w:rFonts w:asciiTheme="minorHAnsi" w:hAnsiTheme="minorHAnsi" w:cstheme="minorHAnsi"/>
          <w:b/>
          <w:bCs/>
          <w:color w:val="auto"/>
          <w:sz w:val="24"/>
          <w:szCs w:val="24"/>
        </w:rPr>
        <w:lastRenderedPageBreak/>
        <w:t>Calvin</w:t>
      </w:r>
      <w:bookmarkEnd w:id="6"/>
      <w:r w:rsidR="00B42AD0" w:rsidRPr="00606FB9">
        <w:rPr>
          <w:rFonts w:asciiTheme="minorHAnsi" w:hAnsiTheme="minorHAnsi" w:cstheme="minorHAnsi"/>
          <w:b/>
          <w:bCs/>
          <w:color w:val="auto"/>
          <w:sz w:val="24"/>
          <w:szCs w:val="24"/>
        </w:rPr>
        <w:t xml:space="preserve"> </w:t>
      </w:r>
    </w:p>
    <w:p w:rsidR="002A5F73" w:rsidRDefault="00982D8D" w:rsidP="00885569">
      <w:pPr>
        <w:pStyle w:val="NormalWeb"/>
        <w:shd w:val="clear" w:color="auto" w:fill="FFFFFF"/>
        <w:spacing w:before="0" w:beforeAutospacing="0" w:after="0" w:afterAutospacing="0" w:line="480" w:lineRule="auto"/>
        <w:rPr>
          <w:rFonts w:asciiTheme="minorHAnsi" w:hAnsiTheme="minorHAnsi" w:cstheme="minorHAnsi"/>
        </w:rPr>
      </w:pPr>
      <w:r>
        <w:rPr>
          <w:rFonts w:asciiTheme="minorHAnsi" w:hAnsiTheme="minorHAnsi" w:cstheme="minorHAnsi"/>
        </w:rPr>
        <w:t>Calvin</w:t>
      </w:r>
      <w:r w:rsidR="00186DDC">
        <w:rPr>
          <w:rFonts w:asciiTheme="minorHAnsi" w:hAnsiTheme="minorHAnsi" w:cstheme="minorHAnsi"/>
        </w:rPr>
        <w:t xml:space="preserve"> </w:t>
      </w:r>
      <w:r>
        <w:rPr>
          <w:rFonts w:asciiTheme="minorHAnsi" w:hAnsiTheme="minorHAnsi" w:cstheme="minorHAnsi"/>
        </w:rPr>
        <w:t xml:space="preserve">absorbs much of the groundwork laid </w:t>
      </w:r>
      <w:r w:rsidR="002A5F73">
        <w:rPr>
          <w:rFonts w:asciiTheme="minorHAnsi" w:hAnsiTheme="minorHAnsi" w:cstheme="minorHAnsi"/>
        </w:rPr>
        <w:t xml:space="preserve">by Luther and other Protestants, </w:t>
      </w:r>
      <w:r>
        <w:rPr>
          <w:rFonts w:asciiTheme="minorHAnsi" w:hAnsiTheme="minorHAnsi" w:cstheme="minorHAnsi"/>
        </w:rPr>
        <w:t xml:space="preserve">then </w:t>
      </w:r>
      <w:r w:rsidR="002A5F73">
        <w:rPr>
          <w:rFonts w:asciiTheme="minorHAnsi" w:hAnsiTheme="minorHAnsi" w:cstheme="minorHAnsi"/>
        </w:rPr>
        <w:t xml:space="preserve">brings new </w:t>
      </w:r>
      <w:r>
        <w:rPr>
          <w:rFonts w:asciiTheme="minorHAnsi" w:hAnsiTheme="minorHAnsi" w:cstheme="minorHAnsi"/>
        </w:rPr>
        <w:t>insights</w:t>
      </w:r>
      <w:r w:rsidR="002A5F73">
        <w:rPr>
          <w:rFonts w:asciiTheme="minorHAnsi" w:hAnsiTheme="minorHAnsi" w:cstheme="minorHAnsi"/>
        </w:rPr>
        <w:t xml:space="preserve"> concerning the nature of sacrament, </w:t>
      </w:r>
      <w:r w:rsidR="004B1944">
        <w:rPr>
          <w:rFonts w:asciiTheme="minorHAnsi" w:hAnsiTheme="minorHAnsi" w:cstheme="minorHAnsi"/>
        </w:rPr>
        <w:t>Eucharist</w:t>
      </w:r>
      <w:r w:rsidR="002A5F73">
        <w:rPr>
          <w:rFonts w:asciiTheme="minorHAnsi" w:hAnsiTheme="minorHAnsi" w:cstheme="minorHAnsi"/>
        </w:rPr>
        <w:t xml:space="preserve"> and salvation.</w:t>
      </w:r>
      <w:r w:rsidR="00283589" w:rsidRPr="00AB1AE4">
        <w:rPr>
          <w:rStyle w:val="FootnoteReference"/>
        </w:rPr>
        <w:footnoteReference w:id="37"/>
      </w:r>
      <w:r w:rsidR="002A5F73">
        <w:rPr>
          <w:rFonts w:asciiTheme="minorHAnsi" w:hAnsiTheme="minorHAnsi" w:cstheme="minorHAnsi"/>
        </w:rPr>
        <w:t xml:space="preserve"> </w:t>
      </w:r>
      <w:r w:rsidR="007C5F73">
        <w:rPr>
          <w:rFonts w:asciiTheme="minorHAnsi" w:hAnsiTheme="minorHAnsi" w:cstheme="minorHAnsi"/>
        </w:rPr>
        <w:t xml:space="preserve">Following debate and criticism </w:t>
      </w:r>
      <w:r w:rsidR="00283589">
        <w:rPr>
          <w:rFonts w:asciiTheme="minorHAnsi" w:hAnsiTheme="minorHAnsi" w:cstheme="minorHAnsi"/>
        </w:rPr>
        <w:t xml:space="preserve">Calvin’s theology underwent several adjustments but broadly aligns with Luther, especially BCC, </w:t>
      </w:r>
      <w:r w:rsidR="00D51422">
        <w:rPr>
          <w:rFonts w:asciiTheme="minorHAnsi" w:hAnsiTheme="minorHAnsi" w:cstheme="minorHAnsi"/>
        </w:rPr>
        <w:t xml:space="preserve">Augustine and </w:t>
      </w:r>
      <w:proofErr w:type="spellStart"/>
      <w:r w:rsidR="00D51422">
        <w:rPr>
          <w:rFonts w:asciiTheme="minorHAnsi" w:hAnsiTheme="minorHAnsi" w:cstheme="minorHAnsi"/>
        </w:rPr>
        <w:t>Bucer</w:t>
      </w:r>
      <w:proofErr w:type="spellEnd"/>
      <w:r w:rsidR="00D51422">
        <w:rPr>
          <w:rFonts w:asciiTheme="minorHAnsi" w:hAnsiTheme="minorHAnsi" w:cstheme="minorHAnsi"/>
        </w:rPr>
        <w:t>.</w:t>
      </w:r>
      <w:r w:rsidR="00D51422" w:rsidRPr="00AB1AE4">
        <w:rPr>
          <w:rStyle w:val="FootnoteReference"/>
        </w:rPr>
        <w:footnoteReference w:id="38"/>
      </w:r>
      <w:r w:rsidR="00D51422">
        <w:rPr>
          <w:rFonts w:asciiTheme="minorHAnsi" w:hAnsiTheme="minorHAnsi" w:cstheme="minorHAnsi"/>
        </w:rPr>
        <w:t xml:space="preserve"> </w:t>
      </w:r>
      <w:r w:rsidR="007C5F73">
        <w:rPr>
          <w:rFonts w:asciiTheme="minorHAnsi" w:hAnsiTheme="minorHAnsi" w:cstheme="minorHAnsi"/>
        </w:rPr>
        <w:t>T</w:t>
      </w:r>
      <w:r w:rsidR="00E37143">
        <w:rPr>
          <w:rFonts w:asciiTheme="minorHAnsi" w:hAnsiTheme="minorHAnsi" w:cstheme="minorHAnsi"/>
        </w:rPr>
        <w:t xml:space="preserve">he </w:t>
      </w:r>
      <w:r w:rsidR="003E5630">
        <w:rPr>
          <w:rFonts w:asciiTheme="minorHAnsi" w:hAnsiTheme="minorHAnsi" w:cstheme="minorHAnsi"/>
        </w:rPr>
        <w:t xml:space="preserve">salvific power of Christ’s body and blood </w:t>
      </w:r>
      <w:r w:rsidR="00E37143">
        <w:rPr>
          <w:rFonts w:asciiTheme="minorHAnsi" w:hAnsiTheme="minorHAnsi" w:cstheme="minorHAnsi"/>
        </w:rPr>
        <w:t>at the Lord’s Table link</w:t>
      </w:r>
      <w:r w:rsidR="007C5F73">
        <w:rPr>
          <w:rFonts w:asciiTheme="minorHAnsi" w:hAnsiTheme="minorHAnsi" w:cstheme="minorHAnsi"/>
        </w:rPr>
        <w:t>s</w:t>
      </w:r>
      <w:r w:rsidR="00E37143">
        <w:rPr>
          <w:rFonts w:asciiTheme="minorHAnsi" w:hAnsiTheme="minorHAnsi" w:cstheme="minorHAnsi"/>
        </w:rPr>
        <w:t xml:space="preserve"> </w:t>
      </w:r>
      <w:r w:rsidR="003E5630">
        <w:rPr>
          <w:rFonts w:asciiTheme="minorHAnsi" w:hAnsiTheme="minorHAnsi" w:cstheme="minorHAnsi"/>
        </w:rPr>
        <w:t>in</w:t>
      </w:r>
      <w:r w:rsidR="00E37143">
        <w:rPr>
          <w:rFonts w:asciiTheme="minorHAnsi" w:hAnsiTheme="minorHAnsi" w:cstheme="minorHAnsi"/>
        </w:rPr>
        <w:t>extricabl</w:t>
      </w:r>
      <w:r w:rsidR="003E5630">
        <w:rPr>
          <w:rFonts w:asciiTheme="minorHAnsi" w:hAnsiTheme="minorHAnsi" w:cstheme="minorHAnsi"/>
        </w:rPr>
        <w:t>y</w:t>
      </w:r>
      <w:r w:rsidR="00E37143">
        <w:rPr>
          <w:rFonts w:asciiTheme="minorHAnsi" w:hAnsiTheme="minorHAnsi" w:cstheme="minorHAnsi"/>
        </w:rPr>
        <w:t xml:space="preserve"> with </w:t>
      </w:r>
      <w:r w:rsidR="003E5630">
        <w:rPr>
          <w:rFonts w:asciiTheme="minorHAnsi" w:hAnsiTheme="minorHAnsi" w:cstheme="minorHAnsi"/>
        </w:rPr>
        <w:t>the Garden of Eden</w:t>
      </w:r>
      <w:r w:rsidR="00FE165C">
        <w:rPr>
          <w:rFonts w:asciiTheme="minorHAnsi" w:hAnsiTheme="minorHAnsi" w:cstheme="minorHAnsi"/>
        </w:rPr>
        <w:t xml:space="preserve"> and the Fall</w:t>
      </w:r>
      <w:r w:rsidR="003E5630">
        <w:rPr>
          <w:rFonts w:asciiTheme="minorHAnsi" w:hAnsiTheme="minorHAnsi" w:cstheme="minorHAnsi"/>
        </w:rPr>
        <w:t>.</w:t>
      </w:r>
      <w:r w:rsidR="003E5630" w:rsidRPr="00AB1AE4">
        <w:rPr>
          <w:rStyle w:val="FootnoteReference"/>
        </w:rPr>
        <w:footnoteReference w:id="39"/>
      </w:r>
      <w:r w:rsidR="003E5630">
        <w:rPr>
          <w:rFonts w:asciiTheme="minorHAnsi" w:hAnsiTheme="minorHAnsi" w:cstheme="minorHAnsi"/>
        </w:rPr>
        <w:t xml:space="preserve"> </w:t>
      </w:r>
      <w:r w:rsidR="00D10460" w:rsidRPr="00A354DC">
        <w:rPr>
          <w:rFonts w:asciiTheme="minorHAnsi" w:hAnsiTheme="minorHAnsi" w:cstheme="minorHAnsi"/>
          <w:i/>
          <w:iCs/>
          <w:u w:val="single"/>
        </w:rPr>
        <w:t>Com</w:t>
      </w:r>
      <w:r w:rsidR="00D10460">
        <w:rPr>
          <w:rFonts w:asciiTheme="minorHAnsi" w:hAnsiTheme="minorHAnsi" w:cstheme="minorHAnsi"/>
        </w:rPr>
        <w:t xml:space="preserve">munion, as a sacrament, is </w:t>
      </w:r>
      <w:r w:rsidR="00D10460" w:rsidRPr="007C5F73">
        <w:rPr>
          <w:rFonts w:asciiTheme="minorHAnsi" w:hAnsiTheme="minorHAnsi" w:cstheme="minorHAnsi"/>
          <w:i/>
          <w:iCs/>
        </w:rPr>
        <w:t>subsequent to</w:t>
      </w:r>
      <w:r w:rsidR="00D10460">
        <w:rPr>
          <w:rFonts w:asciiTheme="minorHAnsi" w:hAnsiTheme="minorHAnsi" w:cstheme="minorHAnsi"/>
        </w:rPr>
        <w:t xml:space="preserve"> </w:t>
      </w:r>
      <w:r w:rsidR="00D10460" w:rsidRPr="007A337F">
        <w:rPr>
          <w:rFonts w:asciiTheme="minorHAnsi" w:hAnsiTheme="minorHAnsi" w:cstheme="minorHAnsi"/>
          <w:i/>
          <w:iCs/>
          <w:u w:val="single"/>
        </w:rPr>
        <w:t>union</w:t>
      </w:r>
      <w:r w:rsidR="00D10460">
        <w:rPr>
          <w:rFonts w:asciiTheme="minorHAnsi" w:hAnsiTheme="minorHAnsi" w:cstheme="minorHAnsi"/>
        </w:rPr>
        <w:t xml:space="preserve"> with Christ, a ‘sacred unity by which the Son of God engrafts us into his body, so as to communicate to us all that is his’</w:t>
      </w:r>
      <w:r w:rsidR="00D10460" w:rsidRPr="00AB1AE4">
        <w:rPr>
          <w:rStyle w:val="FootnoteReference"/>
        </w:rPr>
        <w:footnoteReference w:id="40"/>
      </w:r>
      <w:r w:rsidR="00A354DC">
        <w:rPr>
          <w:rFonts w:asciiTheme="minorHAnsi" w:hAnsiTheme="minorHAnsi" w:cstheme="minorHAnsi"/>
        </w:rPr>
        <w:t xml:space="preserve">, </w:t>
      </w:r>
      <w:r w:rsidR="007C5F73">
        <w:rPr>
          <w:rFonts w:asciiTheme="minorHAnsi" w:hAnsiTheme="minorHAnsi" w:cstheme="minorHAnsi"/>
        </w:rPr>
        <w:t xml:space="preserve">which </w:t>
      </w:r>
      <w:r w:rsidR="00A354DC">
        <w:rPr>
          <w:rFonts w:asciiTheme="minorHAnsi" w:hAnsiTheme="minorHAnsi" w:cstheme="minorHAnsi"/>
        </w:rPr>
        <w:t>closely align</w:t>
      </w:r>
      <w:r w:rsidR="007C5F73">
        <w:rPr>
          <w:rFonts w:asciiTheme="minorHAnsi" w:hAnsiTheme="minorHAnsi" w:cstheme="minorHAnsi"/>
        </w:rPr>
        <w:t>s</w:t>
      </w:r>
      <w:r w:rsidR="00A354DC">
        <w:rPr>
          <w:rFonts w:asciiTheme="minorHAnsi" w:hAnsiTheme="minorHAnsi" w:cstheme="minorHAnsi"/>
        </w:rPr>
        <w:t xml:space="preserve"> with</w:t>
      </w:r>
      <w:r w:rsidR="00D10460">
        <w:rPr>
          <w:rFonts w:asciiTheme="minorHAnsi" w:hAnsiTheme="minorHAnsi" w:cstheme="minorHAnsi"/>
        </w:rPr>
        <w:t xml:space="preserve"> Christ’s teaching and prayer in John </w:t>
      </w:r>
      <w:r w:rsidR="0049248F">
        <w:rPr>
          <w:rFonts w:asciiTheme="minorHAnsi" w:hAnsiTheme="minorHAnsi" w:cstheme="minorHAnsi"/>
        </w:rPr>
        <w:t xml:space="preserve">14-17. </w:t>
      </w:r>
      <w:r w:rsidR="003E5630" w:rsidRPr="000D6EB0">
        <w:rPr>
          <w:rFonts w:asciiTheme="minorHAnsi" w:hAnsiTheme="minorHAnsi" w:cstheme="minorHAnsi"/>
        </w:rPr>
        <w:t xml:space="preserve">Moreover, </w:t>
      </w:r>
      <w:r w:rsidR="00E37143" w:rsidRPr="000D6EB0">
        <w:rPr>
          <w:rFonts w:asciiTheme="minorHAnsi" w:hAnsiTheme="minorHAnsi" w:cstheme="minorHAnsi"/>
        </w:rPr>
        <w:t>Alistair McGrath notes that</w:t>
      </w:r>
      <w:r w:rsidR="002349D5" w:rsidRPr="000D6EB0">
        <w:rPr>
          <w:rFonts w:asciiTheme="minorHAnsi" w:hAnsiTheme="minorHAnsi" w:cstheme="minorHAnsi"/>
        </w:rPr>
        <w:t xml:space="preserve">, for the Catholics, </w:t>
      </w:r>
      <w:r w:rsidR="000D6EB0" w:rsidRPr="000D6EB0">
        <w:rPr>
          <w:rFonts w:asciiTheme="minorHAnsi" w:hAnsiTheme="minorHAnsi" w:cstheme="minorHAnsi"/>
        </w:rPr>
        <w:t>‘</w:t>
      </w:r>
      <w:r w:rsidR="000D6EB0" w:rsidRPr="000D6EB0">
        <w:rPr>
          <w:rFonts w:asciiTheme="minorHAnsi" w:hAnsiTheme="minorHAnsi" w:cstheme="minorHAnsi"/>
          <w:color w:val="1E2328"/>
        </w:rPr>
        <w:t xml:space="preserve">the sacraments represented the publicly visible face of the church’, </w:t>
      </w:r>
      <w:r w:rsidR="000D6EB0" w:rsidRPr="000D6EB0">
        <w:rPr>
          <w:rFonts w:asciiTheme="minorHAnsi" w:hAnsiTheme="minorHAnsi" w:cstheme="minorHAnsi"/>
        </w:rPr>
        <w:t>whereby ordinary people encounter C</w:t>
      </w:r>
      <w:r w:rsidR="000D6EB0">
        <w:rPr>
          <w:rFonts w:asciiTheme="minorHAnsi" w:hAnsiTheme="minorHAnsi" w:cstheme="minorHAnsi"/>
        </w:rPr>
        <w:t xml:space="preserve">hrist’s presence in worship, notably </w:t>
      </w:r>
      <w:r w:rsidR="002A5F73">
        <w:rPr>
          <w:rFonts w:asciiTheme="minorHAnsi" w:hAnsiTheme="minorHAnsi" w:cstheme="minorHAnsi"/>
        </w:rPr>
        <w:t xml:space="preserve">the </w:t>
      </w:r>
      <w:r w:rsidR="004B1944">
        <w:rPr>
          <w:rFonts w:asciiTheme="minorHAnsi" w:hAnsiTheme="minorHAnsi" w:cstheme="minorHAnsi"/>
        </w:rPr>
        <w:t>Eucharist</w:t>
      </w:r>
      <w:r w:rsidR="002A5F73">
        <w:rPr>
          <w:rFonts w:asciiTheme="minorHAnsi" w:hAnsiTheme="minorHAnsi" w:cstheme="minorHAnsi"/>
        </w:rPr>
        <w:t>.</w:t>
      </w:r>
      <w:r w:rsidR="00E37143" w:rsidRPr="00AB1AE4">
        <w:rPr>
          <w:rStyle w:val="FootnoteReference"/>
        </w:rPr>
        <w:footnoteReference w:id="41"/>
      </w:r>
      <w:r w:rsidR="00E37143">
        <w:rPr>
          <w:rFonts w:asciiTheme="minorHAnsi" w:hAnsiTheme="minorHAnsi" w:cstheme="minorHAnsi"/>
        </w:rPr>
        <w:t xml:space="preserve"> It is right, therefore, that </w:t>
      </w:r>
      <w:r w:rsidR="003E5630">
        <w:rPr>
          <w:rFonts w:asciiTheme="minorHAnsi" w:hAnsiTheme="minorHAnsi" w:cstheme="minorHAnsi"/>
        </w:rPr>
        <w:t>Calvin question</w:t>
      </w:r>
      <w:r w:rsidR="0019415A">
        <w:rPr>
          <w:rFonts w:asciiTheme="minorHAnsi" w:hAnsiTheme="minorHAnsi" w:cstheme="minorHAnsi"/>
        </w:rPr>
        <w:t>s</w:t>
      </w:r>
      <w:r w:rsidR="003E5630">
        <w:rPr>
          <w:rFonts w:asciiTheme="minorHAnsi" w:hAnsiTheme="minorHAnsi" w:cstheme="minorHAnsi"/>
        </w:rPr>
        <w:t xml:space="preserve"> how God’s</w:t>
      </w:r>
      <w:r w:rsidR="007A337F">
        <w:rPr>
          <w:rFonts w:asciiTheme="minorHAnsi" w:hAnsiTheme="minorHAnsi" w:cstheme="minorHAnsi"/>
        </w:rPr>
        <w:t xml:space="preserve"> </w:t>
      </w:r>
      <w:r w:rsidR="003E5630">
        <w:rPr>
          <w:rFonts w:asciiTheme="minorHAnsi" w:hAnsiTheme="minorHAnsi" w:cstheme="minorHAnsi"/>
        </w:rPr>
        <w:t>Word-Made-</w:t>
      </w:r>
      <w:r w:rsidR="003E5630" w:rsidRPr="00C264AA">
        <w:rPr>
          <w:rFonts w:asciiTheme="minorHAnsi" w:hAnsiTheme="minorHAnsi" w:cstheme="minorHAnsi"/>
        </w:rPr>
        <w:t xml:space="preserve">Flesh who redeemed mankind at the Cross aligns with </w:t>
      </w:r>
      <w:r w:rsidR="007A337F">
        <w:rPr>
          <w:rFonts w:asciiTheme="minorHAnsi" w:hAnsiTheme="minorHAnsi" w:cstheme="minorHAnsi"/>
        </w:rPr>
        <w:t>the</w:t>
      </w:r>
      <w:r w:rsidR="003E5630" w:rsidRPr="00C264AA">
        <w:rPr>
          <w:rFonts w:asciiTheme="minorHAnsi" w:hAnsiTheme="minorHAnsi" w:cstheme="minorHAnsi"/>
        </w:rPr>
        <w:t xml:space="preserve"> new</w:t>
      </w:r>
      <w:r w:rsidR="007A337F">
        <w:rPr>
          <w:rFonts w:asciiTheme="minorHAnsi" w:hAnsiTheme="minorHAnsi" w:cstheme="minorHAnsi"/>
        </w:rPr>
        <w:t xml:space="preserve"> act of</w:t>
      </w:r>
      <w:r w:rsidR="003E5630" w:rsidRPr="00C264AA">
        <w:rPr>
          <w:rFonts w:asciiTheme="minorHAnsi" w:hAnsiTheme="minorHAnsi" w:cstheme="minorHAnsi"/>
        </w:rPr>
        <w:t xml:space="preserve"> redemption </w:t>
      </w:r>
      <w:r w:rsidR="007C5F73">
        <w:rPr>
          <w:rFonts w:asciiTheme="minorHAnsi" w:hAnsiTheme="minorHAnsi" w:cstheme="minorHAnsi"/>
        </w:rPr>
        <w:t xml:space="preserve">repeated </w:t>
      </w:r>
      <w:r w:rsidR="0019415A">
        <w:rPr>
          <w:rFonts w:asciiTheme="minorHAnsi" w:hAnsiTheme="minorHAnsi" w:cstheme="minorHAnsi"/>
        </w:rPr>
        <w:t xml:space="preserve">at each </w:t>
      </w:r>
      <w:r w:rsidR="003E5630" w:rsidRPr="00C264AA">
        <w:rPr>
          <w:rFonts w:asciiTheme="minorHAnsi" w:hAnsiTheme="minorHAnsi" w:cstheme="minorHAnsi"/>
        </w:rPr>
        <w:t>Mass</w:t>
      </w:r>
      <w:r w:rsidR="00746461">
        <w:rPr>
          <w:rFonts w:asciiTheme="minorHAnsi" w:hAnsiTheme="minorHAnsi" w:cstheme="minorHAnsi"/>
        </w:rPr>
        <w:t xml:space="preserve"> </w:t>
      </w:r>
      <w:r w:rsidR="0019415A">
        <w:rPr>
          <w:rFonts w:asciiTheme="minorHAnsi" w:hAnsiTheme="minorHAnsi" w:cstheme="minorHAnsi"/>
        </w:rPr>
        <w:t>celebration</w:t>
      </w:r>
      <w:r w:rsidR="007C5F73">
        <w:rPr>
          <w:rFonts w:asciiTheme="minorHAnsi" w:hAnsiTheme="minorHAnsi" w:cstheme="minorHAnsi"/>
        </w:rPr>
        <w:t>, and</w:t>
      </w:r>
      <w:r w:rsidR="0019415A">
        <w:rPr>
          <w:rFonts w:asciiTheme="minorHAnsi" w:hAnsiTheme="minorHAnsi" w:cstheme="minorHAnsi"/>
        </w:rPr>
        <w:t xml:space="preserve"> </w:t>
      </w:r>
      <w:r w:rsidR="0019415A" w:rsidRPr="00A354DC">
        <w:rPr>
          <w:rFonts w:asciiTheme="minorHAnsi" w:hAnsiTheme="minorHAnsi" w:cstheme="minorHAnsi"/>
          <w:i/>
          <w:iCs/>
        </w:rPr>
        <w:t>by a priest</w:t>
      </w:r>
      <w:r w:rsidR="0019415A">
        <w:rPr>
          <w:rFonts w:asciiTheme="minorHAnsi" w:hAnsiTheme="minorHAnsi" w:cstheme="minorHAnsi"/>
        </w:rPr>
        <w:t>:</w:t>
      </w:r>
      <w:r w:rsidR="003E5630" w:rsidRPr="00C264AA">
        <w:rPr>
          <w:rFonts w:asciiTheme="minorHAnsi" w:hAnsiTheme="minorHAnsi" w:cstheme="minorHAnsi"/>
        </w:rPr>
        <w:t xml:space="preserve"> </w:t>
      </w:r>
      <w:r w:rsidR="00E14645" w:rsidRPr="00C264AA">
        <w:rPr>
          <w:rFonts w:asciiTheme="minorHAnsi" w:hAnsiTheme="minorHAnsi" w:cstheme="minorHAnsi"/>
        </w:rPr>
        <w:t>‘</w:t>
      </w:r>
      <w:r w:rsidR="00C264AA">
        <w:rPr>
          <w:rFonts w:asciiTheme="minorHAnsi" w:hAnsiTheme="minorHAnsi" w:cstheme="minorHAnsi"/>
          <w:color w:val="222222"/>
          <w:shd w:val="clear" w:color="auto" w:fill="FFFFFF"/>
        </w:rPr>
        <w:t>w</w:t>
      </w:r>
      <w:r w:rsidR="00C264AA" w:rsidRPr="00C264AA">
        <w:rPr>
          <w:rFonts w:asciiTheme="minorHAnsi" w:hAnsiTheme="minorHAnsi" w:cstheme="minorHAnsi"/>
          <w:color w:val="222222"/>
          <w:shd w:val="clear" w:color="auto" w:fill="FFFFFF"/>
        </w:rPr>
        <w:t>ho can feel confident that his sins have been remitted when he sees a new remission?</w:t>
      </w:r>
      <w:r w:rsidR="00984A1F" w:rsidRPr="00C264AA">
        <w:rPr>
          <w:rFonts w:asciiTheme="minorHAnsi" w:hAnsiTheme="minorHAnsi" w:cstheme="minorHAnsi"/>
        </w:rPr>
        <w:t xml:space="preserve">’ </w:t>
      </w:r>
      <w:r w:rsidR="007C5F73">
        <w:rPr>
          <w:rFonts w:asciiTheme="minorHAnsi" w:hAnsiTheme="minorHAnsi" w:cstheme="minorHAnsi"/>
        </w:rPr>
        <w:t>Are we</w:t>
      </w:r>
      <w:r w:rsidR="00C264AA" w:rsidRPr="00C264AA">
        <w:rPr>
          <w:rFonts w:asciiTheme="minorHAnsi" w:hAnsiTheme="minorHAnsi" w:cstheme="minorHAnsi"/>
          <w:color w:val="222222"/>
          <w:shd w:val="clear" w:color="auto" w:fill="FFFFFF"/>
        </w:rPr>
        <w:t xml:space="preserve"> </w:t>
      </w:r>
      <w:r w:rsidR="007C5F73">
        <w:rPr>
          <w:rFonts w:asciiTheme="minorHAnsi" w:hAnsiTheme="minorHAnsi" w:cstheme="minorHAnsi"/>
          <w:color w:val="222222"/>
          <w:shd w:val="clear" w:color="auto" w:fill="FFFFFF"/>
        </w:rPr>
        <w:t>‘</w:t>
      </w:r>
      <w:r w:rsidR="00C264AA" w:rsidRPr="00C264AA">
        <w:rPr>
          <w:rFonts w:asciiTheme="minorHAnsi" w:hAnsiTheme="minorHAnsi" w:cstheme="minorHAnsi"/>
          <w:color w:val="222222"/>
          <w:shd w:val="clear" w:color="auto" w:fill="FFFFFF"/>
        </w:rPr>
        <w:t>redeemed by Christ on the condition that we redeem ourselves</w:t>
      </w:r>
      <w:r w:rsidR="00984A1F" w:rsidRPr="00C264AA">
        <w:rPr>
          <w:rFonts w:asciiTheme="minorHAnsi" w:hAnsiTheme="minorHAnsi" w:cstheme="minorHAnsi"/>
        </w:rPr>
        <w:t>’, which metamorphoses Christ’s passion into ‘an example</w:t>
      </w:r>
      <w:r w:rsidR="00C264AA" w:rsidRPr="00C264AA">
        <w:rPr>
          <w:rFonts w:asciiTheme="minorHAnsi" w:hAnsiTheme="minorHAnsi" w:cstheme="minorHAnsi"/>
        </w:rPr>
        <w:t xml:space="preserve"> of redemption, </w:t>
      </w:r>
      <w:r w:rsidR="00C264AA" w:rsidRPr="00C264AA">
        <w:rPr>
          <w:rFonts w:asciiTheme="minorHAnsi" w:hAnsiTheme="minorHAnsi" w:cstheme="minorHAnsi"/>
          <w:color w:val="222222"/>
          <w:shd w:val="clear" w:color="auto" w:fill="FFFFFF"/>
        </w:rPr>
        <w:t>that we may thereby learn to be our own redeemers</w:t>
      </w:r>
      <w:r w:rsidR="00C264AA">
        <w:rPr>
          <w:rFonts w:asciiTheme="minorHAnsi" w:hAnsiTheme="minorHAnsi" w:cstheme="minorHAnsi"/>
          <w:color w:val="222222"/>
          <w:shd w:val="clear" w:color="auto" w:fill="FFFFFF"/>
        </w:rPr>
        <w:t>’</w:t>
      </w:r>
      <w:r w:rsidR="007C5F73">
        <w:rPr>
          <w:rFonts w:asciiTheme="minorHAnsi" w:hAnsiTheme="minorHAnsi" w:cstheme="minorHAnsi"/>
          <w:color w:val="222222"/>
          <w:shd w:val="clear" w:color="auto" w:fill="FFFFFF"/>
        </w:rPr>
        <w:t>?</w:t>
      </w:r>
      <w:r w:rsidR="00C264AA" w:rsidRPr="00AB1AE4">
        <w:rPr>
          <w:rStyle w:val="FootnoteReference"/>
        </w:rPr>
        <w:footnoteReference w:id="42"/>
      </w:r>
    </w:p>
    <w:p w:rsidR="0019415A" w:rsidRDefault="00435381" w:rsidP="00885569">
      <w:pPr>
        <w:pStyle w:val="NormalWeb"/>
        <w:shd w:val="clear" w:color="auto" w:fill="FFFFFF"/>
        <w:spacing w:before="0" w:beforeAutospacing="0" w:after="0" w:afterAutospacing="0" w:line="480" w:lineRule="auto"/>
        <w:ind w:firstLine="426"/>
        <w:rPr>
          <w:rFonts w:asciiTheme="minorHAnsi" w:hAnsiTheme="minorHAnsi" w:cstheme="minorHAnsi"/>
          <w:color w:val="212121"/>
        </w:rPr>
      </w:pPr>
      <w:r>
        <w:rPr>
          <w:rFonts w:asciiTheme="minorHAnsi" w:hAnsiTheme="minorHAnsi" w:cstheme="minorHAnsi"/>
        </w:rPr>
        <w:lastRenderedPageBreak/>
        <w:t xml:space="preserve">For </w:t>
      </w:r>
      <w:r w:rsidR="004E2E83">
        <w:rPr>
          <w:rFonts w:asciiTheme="minorHAnsi" w:hAnsiTheme="minorHAnsi" w:cstheme="minorHAnsi"/>
        </w:rPr>
        <w:t xml:space="preserve">Calvin, </w:t>
      </w:r>
      <w:r>
        <w:rPr>
          <w:rFonts w:asciiTheme="minorHAnsi" w:hAnsiTheme="minorHAnsi" w:cstheme="minorHAnsi"/>
        </w:rPr>
        <w:t xml:space="preserve">two sacraments suffice, </w:t>
      </w:r>
      <w:r w:rsidR="004E2E83">
        <w:rPr>
          <w:rFonts w:asciiTheme="minorHAnsi" w:hAnsiTheme="minorHAnsi" w:cstheme="minorHAnsi"/>
        </w:rPr>
        <w:t>Baptism</w:t>
      </w:r>
      <w:r>
        <w:rPr>
          <w:rFonts w:asciiTheme="minorHAnsi" w:hAnsiTheme="minorHAnsi" w:cstheme="minorHAnsi"/>
        </w:rPr>
        <w:t xml:space="preserve"> (</w:t>
      </w:r>
      <w:r w:rsidRPr="000651D9">
        <w:rPr>
          <w:rFonts w:asciiTheme="minorHAnsi" w:hAnsiTheme="minorHAnsi" w:cstheme="minorHAnsi"/>
        </w:rPr>
        <w:t>‘</w:t>
      </w:r>
      <w:r w:rsidRPr="000651D9">
        <w:rPr>
          <w:rFonts w:asciiTheme="minorHAnsi" w:hAnsiTheme="minorHAnsi" w:cstheme="minorHAnsi"/>
          <w:color w:val="212121"/>
        </w:rPr>
        <w:t>a kind of entrance into the Church, an initiation into the faith</w:t>
      </w:r>
      <w:r>
        <w:rPr>
          <w:rFonts w:asciiTheme="minorHAnsi" w:hAnsiTheme="minorHAnsi" w:cstheme="minorHAnsi"/>
          <w:color w:val="212121"/>
        </w:rPr>
        <w:t>’) and</w:t>
      </w:r>
      <w:r w:rsidR="004E2E83">
        <w:rPr>
          <w:rFonts w:asciiTheme="minorHAnsi" w:hAnsiTheme="minorHAnsi" w:cstheme="minorHAnsi"/>
        </w:rPr>
        <w:t xml:space="preserve"> the Supper</w:t>
      </w:r>
      <w:r>
        <w:rPr>
          <w:rFonts w:asciiTheme="minorHAnsi" w:hAnsiTheme="minorHAnsi" w:cstheme="minorHAnsi"/>
        </w:rPr>
        <w:t xml:space="preserve"> (‘</w:t>
      </w:r>
      <w:r w:rsidR="00FE165C" w:rsidRPr="000651D9">
        <w:rPr>
          <w:rFonts w:asciiTheme="minorHAnsi" w:hAnsiTheme="minorHAnsi" w:cstheme="minorHAnsi"/>
          <w:color w:val="212121"/>
        </w:rPr>
        <w:t>the constant aliment by which Christ spiritually feeds his family of believers’</w:t>
      </w:r>
      <w:r>
        <w:rPr>
          <w:rFonts w:asciiTheme="minorHAnsi" w:hAnsiTheme="minorHAnsi" w:cstheme="minorHAnsi"/>
          <w:color w:val="212121"/>
        </w:rPr>
        <w:t>)</w:t>
      </w:r>
      <w:r w:rsidR="00FE165C" w:rsidRPr="000651D9">
        <w:rPr>
          <w:rFonts w:asciiTheme="minorHAnsi" w:hAnsiTheme="minorHAnsi" w:cstheme="minorHAnsi"/>
          <w:color w:val="212121"/>
        </w:rPr>
        <w:t>.</w:t>
      </w:r>
      <w:r w:rsidR="000651D9">
        <w:rPr>
          <w:rFonts w:asciiTheme="minorHAnsi" w:hAnsiTheme="minorHAnsi" w:cstheme="minorHAnsi"/>
          <w:color w:val="212121"/>
        </w:rPr>
        <w:t xml:space="preserve"> </w:t>
      </w:r>
      <w:r>
        <w:rPr>
          <w:rFonts w:asciiTheme="minorHAnsi" w:hAnsiTheme="minorHAnsi" w:cstheme="minorHAnsi"/>
          <w:color w:val="212121"/>
        </w:rPr>
        <w:t>T</w:t>
      </w:r>
      <w:r w:rsidR="000651D9">
        <w:rPr>
          <w:rFonts w:asciiTheme="minorHAnsi" w:hAnsiTheme="minorHAnsi" w:cstheme="minorHAnsi"/>
          <w:color w:val="212121"/>
        </w:rPr>
        <w:t xml:space="preserve">he Supper </w:t>
      </w:r>
      <w:r w:rsidR="0050227E">
        <w:rPr>
          <w:rFonts w:asciiTheme="minorHAnsi" w:hAnsiTheme="minorHAnsi" w:cstheme="minorHAnsi"/>
          <w:color w:val="212121"/>
        </w:rPr>
        <w:t>is a sacrament to be enjoyed at all times, ‘a sign and pledge of union with Christ</w:t>
      </w:r>
      <w:r w:rsidR="004B37E2">
        <w:rPr>
          <w:rFonts w:asciiTheme="minorHAnsi" w:hAnsiTheme="minorHAnsi" w:cstheme="minorHAnsi"/>
          <w:color w:val="212121"/>
        </w:rPr>
        <w:t>’</w:t>
      </w:r>
      <w:r w:rsidR="0050227E">
        <w:rPr>
          <w:rFonts w:asciiTheme="minorHAnsi" w:hAnsiTheme="minorHAnsi" w:cstheme="minorHAnsi"/>
          <w:color w:val="212121"/>
        </w:rPr>
        <w:t>,</w:t>
      </w:r>
      <w:r w:rsidR="0050227E" w:rsidRPr="00AB1AE4">
        <w:rPr>
          <w:rStyle w:val="FootnoteReference"/>
        </w:rPr>
        <w:footnoteReference w:id="43"/>
      </w:r>
      <w:r w:rsidR="0050227E">
        <w:rPr>
          <w:rFonts w:asciiTheme="minorHAnsi" w:hAnsiTheme="minorHAnsi" w:cstheme="minorHAnsi"/>
          <w:color w:val="212121"/>
        </w:rPr>
        <w:t xml:space="preserve"> </w:t>
      </w:r>
      <w:r w:rsidR="000651D9">
        <w:rPr>
          <w:rFonts w:asciiTheme="minorHAnsi" w:hAnsiTheme="minorHAnsi" w:cstheme="minorHAnsi"/>
          <w:color w:val="212121"/>
        </w:rPr>
        <w:t>constantly repeated and fed by Christ at the Table.</w:t>
      </w:r>
      <w:r w:rsidR="000651D9" w:rsidRPr="00AB1AE4">
        <w:rPr>
          <w:rStyle w:val="FootnoteReference"/>
        </w:rPr>
        <w:footnoteReference w:id="44"/>
      </w:r>
      <w:r w:rsidR="000A2A7D">
        <w:rPr>
          <w:rFonts w:asciiTheme="minorHAnsi" w:hAnsiTheme="minorHAnsi" w:cstheme="minorHAnsi"/>
          <w:color w:val="212121"/>
        </w:rPr>
        <w:t xml:space="preserve"> It comprises a twofold self-offering: Christ gives his crucified body to his people, whence they return their bodies as a ‘living sacrifice’ to God, their </w:t>
      </w:r>
      <w:r w:rsidR="000A2A7D">
        <w:rPr>
          <w:rFonts w:asciiTheme="minorHAnsi" w:hAnsiTheme="minorHAnsi" w:cstheme="minorHAnsi"/>
          <w:i/>
          <w:iCs/>
          <w:color w:val="212121"/>
        </w:rPr>
        <w:t>spiritual</w:t>
      </w:r>
      <w:r w:rsidR="000A2A7D">
        <w:rPr>
          <w:rFonts w:asciiTheme="minorHAnsi" w:hAnsiTheme="minorHAnsi" w:cstheme="minorHAnsi"/>
          <w:color w:val="212121"/>
        </w:rPr>
        <w:t xml:space="preserve"> worship, both pledge and public confession of faith.</w:t>
      </w:r>
      <w:r w:rsidR="000A2A7D" w:rsidRPr="00AB1AE4">
        <w:rPr>
          <w:rStyle w:val="FootnoteReference"/>
        </w:rPr>
        <w:footnoteReference w:id="45"/>
      </w:r>
      <w:r w:rsidR="008A61B7">
        <w:rPr>
          <w:rFonts w:asciiTheme="minorHAnsi" w:hAnsiTheme="minorHAnsi" w:cstheme="minorHAnsi"/>
          <w:color w:val="212121"/>
        </w:rPr>
        <w:t xml:space="preserve"> </w:t>
      </w:r>
    </w:p>
    <w:p w:rsidR="00CC100A" w:rsidRDefault="005C221E" w:rsidP="00885569">
      <w:pPr>
        <w:pStyle w:val="NormalWeb"/>
        <w:shd w:val="clear" w:color="auto" w:fill="FFFFFF"/>
        <w:spacing w:before="0" w:beforeAutospacing="0" w:after="0" w:afterAutospacing="0" w:line="480" w:lineRule="auto"/>
        <w:ind w:firstLine="426"/>
        <w:rPr>
          <w:rFonts w:asciiTheme="minorHAnsi" w:hAnsiTheme="minorHAnsi" w:cstheme="minorHAnsi"/>
          <w:color w:val="212121"/>
        </w:rPr>
      </w:pPr>
      <w:r>
        <w:rPr>
          <w:rFonts w:asciiTheme="minorHAnsi" w:hAnsiTheme="minorHAnsi" w:cstheme="minorHAnsi"/>
          <w:color w:val="212121"/>
        </w:rPr>
        <w:t xml:space="preserve">Calvin insists, rightly, that sacramentally there must always be a promise of salvation. </w:t>
      </w:r>
      <w:r w:rsidR="001624EC">
        <w:rPr>
          <w:rFonts w:asciiTheme="minorHAnsi" w:hAnsiTheme="minorHAnsi" w:cstheme="minorHAnsi"/>
          <w:color w:val="212121"/>
        </w:rPr>
        <w:t xml:space="preserve">The bread and wine of the Mass are </w:t>
      </w:r>
      <w:r w:rsidR="001624EC" w:rsidRPr="001624EC">
        <w:rPr>
          <w:rFonts w:asciiTheme="minorHAnsi" w:hAnsiTheme="minorHAnsi" w:cstheme="minorHAnsi"/>
          <w:i/>
          <w:iCs/>
          <w:color w:val="212121"/>
        </w:rPr>
        <w:t>representative</w:t>
      </w:r>
      <w:r w:rsidR="001624EC">
        <w:rPr>
          <w:rFonts w:asciiTheme="minorHAnsi" w:hAnsiTheme="minorHAnsi" w:cstheme="minorHAnsi"/>
          <w:color w:val="212121"/>
        </w:rPr>
        <w:t xml:space="preserve"> signs alone of the invisible food and sustenance ‘which we receive of the flesh and blood of Christ’. </w:t>
      </w:r>
      <w:r>
        <w:rPr>
          <w:rFonts w:asciiTheme="minorHAnsi" w:hAnsiTheme="minorHAnsi" w:cstheme="minorHAnsi"/>
          <w:color w:val="212121"/>
        </w:rPr>
        <w:t>It is in the visible bread and wine consecrated at the Table that the saving power of Christ’s body is experienced.</w:t>
      </w:r>
      <w:r w:rsidR="001624EC" w:rsidRPr="00AB1AE4">
        <w:rPr>
          <w:rStyle w:val="FootnoteReference"/>
        </w:rPr>
        <w:footnoteReference w:id="46"/>
      </w:r>
      <w:r w:rsidR="00D10460">
        <w:rPr>
          <w:rFonts w:asciiTheme="minorHAnsi" w:hAnsiTheme="minorHAnsi" w:cstheme="minorHAnsi"/>
          <w:color w:val="212121"/>
        </w:rPr>
        <w:t xml:space="preserve"> </w:t>
      </w:r>
      <w:r w:rsidR="00B45D99">
        <w:rPr>
          <w:rFonts w:asciiTheme="minorHAnsi" w:hAnsiTheme="minorHAnsi" w:cstheme="minorHAnsi"/>
          <w:color w:val="212121"/>
        </w:rPr>
        <w:t>Christ’s flesh is life-giving because ‘everything requisite for salvation was accomplished’, but salvation is effected only if believers draw life from it.</w:t>
      </w:r>
      <w:r w:rsidR="00B45D99" w:rsidRPr="00AB1AE4">
        <w:rPr>
          <w:rStyle w:val="FootnoteReference"/>
        </w:rPr>
        <w:footnoteReference w:id="47"/>
      </w:r>
      <w:r w:rsidR="00B45D99">
        <w:rPr>
          <w:rFonts w:asciiTheme="minorHAnsi" w:hAnsiTheme="minorHAnsi" w:cstheme="minorHAnsi"/>
          <w:color w:val="212121"/>
        </w:rPr>
        <w:t xml:space="preserve"> </w:t>
      </w:r>
      <w:r w:rsidR="007359D4">
        <w:rPr>
          <w:rFonts w:asciiTheme="minorHAnsi" w:hAnsiTheme="minorHAnsi" w:cstheme="minorHAnsi"/>
          <w:color w:val="212121"/>
        </w:rPr>
        <w:t>It is ‘a spiritual banquet, wherein Christ attests himself to be the life-giving bread, upon which our souls feed unto true and blessed immortality’</w:t>
      </w:r>
      <w:r w:rsidR="007359D4" w:rsidRPr="00AB1AE4">
        <w:rPr>
          <w:rStyle w:val="FootnoteReference"/>
        </w:rPr>
        <w:footnoteReference w:id="48"/>
      </w:r>
      <w:r w:rsidR="002634D0">
        <w:rPr>
          <w:rFonts w:asciiTheme="minorHAnsi" w:hAnsiTheme="minorHAnsi" w:cstheme="minorHAnsi"/>
          <w:color w:val="212121"/>
        </w:rPr>
        <w:t>, visible signs and spiritual truth.</w:t>
      </w:r>
      <w:r w:rsidR="002634D0" w:rsidRPr="00AB1AE4">
        <w:rPr>
          <w:rStyle w:val="FootnoteReference"/>
        </w:rPr>
        <w:footnoteReference w:id="49"/>
      </w:r>
      <w:r w:rsidR="005506B6">
        <w:rPr>
          <w:rFonts w:asciiTheme="minorHAnsi" w:hAnsiTheme="minorHAnsi" w:cstheme="minorHAnsi"/>
          <w:color w:val="212121"/>
        </w:rPr>
        <w:t xml:space="preserve"> The sacraments were symmetrically dependent on the Word of God, thus ‘believers have, outside the Lord’s Supper, what they receive in the Supper itself’.</w:t>
      </w:r>
      <w:r w:rsidR="005506B6" w:rsidRPr="00AB1AE4">
        <w:rPr>
          <w:rStyle w:val="FootnoteReference"/>
        </w:rPr>
        <w:footnoteReference w:id="50"/>
      </w:r>
      <w:r w:rsidR="005506B6">
        <w:rPr>
          <w:rFonts w:asciiTheme="minorHAnsi" w:hAnsiTheme="minorHAnsi" w:cstheme="minorHAnsi"/>
          <w:color w:val="212121"/>
        </w:rPr>
        <w:t xml:space="preserve"> </w:t>
      </w:r>
    </w:p>
    <w:p w:rsidR="002634D0" w:rsidRDefault="00CC100A" w:rsidP="00885569">
      <w:pPr>
        <w:pStyle w:val="NormalWeb"/>
        <w:shd w:val="clear" w:color="auto" w:fill="FFFFFF"/>
        <w:spacing w:before="0" w:beforeAutospacing="0" w:after="0" w:afterAutospacing="0" w:line="480" w:lineRule="auto"/>
        <w:ind w:firstLine="426"/>
        <w:rPr>
          <w:rFonts w:asciiTheme="minorHAnsi" w:hAnsiTheme="minorHAnsi" w:cstheme="minorHAnsi"/>
          <w:color w:val="212121"/>
        </w:rPr>
      </w:pPr>
      <w:r>
        <w:rPr>
          <w:rFonts w:asciiTheme="minorHAnsi" w:hAnsiTheme="minorHAnsi" w:cstheme="minorHAnsi"/>
          <w:color w:val="212121"/>
        </w:rPr>
        <w:lastRenderedPageBreak/>
        <w:t xml:space="preserve">Like Luther, so much of </w:t>
      </w:r>
      <w:r w:rsidR="00DD4A44">
        <w:rPr>
          <w:rFonts w:asciiTheme="minorHAnsi" w:hAnsiTheme="minorHAnsi" w:cstheme="minorHAnsi"/>
          <w:color w:val="212121"/>
        </w:rPr>
        <w:t>RC</w:t>
      </w:r>
      <w:r>
        <w:rPr>
          <w:rFonts w:asciiTheme="minorHAnsi" w:hAnsiTheme="minorHAnsi" w:cstheme="minorHAnsi"/>
          <w:color w:val="212121"/>
        </w:rPr>
        <w:t xml:space="preserve"> worship d</w:t>
      </w:r>
      <w:r w:rsidR="00A354DC">
        <w:rPr>
          <w:rFonts w:asciiTheme="minorHAnsi" w:hAnsiTheme="minorHAnsi" w:cstheme="minorHAnsi"/>
          <w:color w:val="212121"/>
        </w:rPr>
        <w:t>e</w:t>
      </w:r>
      <w:r>
        <w:rPr>
          <w:rFonts w:asciiTheme="minorHAnsi" w:hAnsiTheme="minorHAnsi" w:cstheme="minorHAnsi"/>
          <w:color w:val="212121"/>
        </w:rPr>
        <w:t>tracts from the centrality of the bread and wine</w:t>
      </w:r>
      <w:r w:rsidR="00197FE4">
        <w:rPr>
          <w:rFonts w:asciiTheme="minorHAnsi" w:hAnsiTheme="minorHAnsi" w:cstheme="minorHAnsi"/>
          <w:color w:val="212121"/>
        </w:rPr>
        <w:t xml:space="preserve">. Calvin dissects at length each aspect of </w:t>
      </w:r>
      <w:r w:rsidR="00DD4A44">
        <w:rPr>
          <w:rFonts w:asciiTheme="minorHAnsi" w:hAnsiTheme="minorHAnsi" w:cstheme="minorHAnsi"/>
          <w:color w:val="212121"/>
        </w:rPr>
        <w:t>RC</w:t>
      </w:r>
      <w:r w:rsidR="00197FE4">
        <w:rPr>
          <w:rFonts w:asciiTheme="minorHAnsi" w:hAnsiTheme="minorHAnsi" w:cstheme="minorHAnsi"/>
          <w:color w:val="212121"/>
        </w:rPr>
        <w:t xml:space="preserve"> </w:t>
      </w:r>
      <w:r w:rsidR="004B1944">
        <w:rPr>
          <w:rFonts w:asciiTheme="minorHAnsi" w:hAnsiTheme="minorHAnsi" w:cstheme="minorHAnsi"/>
          <w:color w:val="212121"/>
        </w:rPr>
        <w:t>Eucharist</w:t>
      </w:r>
      <w:r w:rsidR="00197FE4">
        <w:rPr>
          <w:rFonts w:asciiTheme="minorHAnsi" w:hAnsiTheme="minorHAnsi" w:cstheme="minorHAnsi"/>
          <w:color w:val="212121"/>
        </w:rPr>
        <w:t xml:space="preserve"> from the very name, purpose and meaning of the Mass to its distribution.</w:t>
      </w:r>
      <w:r w:rsidR="00197FE4" w:rsidRPr="00AB1AE4">
        <w:rPr>
          <w:rStyle w:val="FootnoteReference"/>
        </w:rPr>
        <w:footnoteReference w:id="51"/>
      </w:r>
      <w:r w:rsidR="00197FE4">
        <w:rPr>
          <w:rFonts w:asciiTheme="minorHAnsi" w:hAnsiTheme="minorHAnsi" w:cstheme="minorHAnsi"/>
          <w:color w:val="212121"/>
        </w:rPr>
        <w:t xml:space="preserve"> </w:t>
      </w:r>
      <w:r w:rsidR="0050227E">
        <w:rPr>
          <w:rFonts w:asciiTheme="minorHAnsi" w:hAnsiTheme="minorHAnsi" w:cstheme="minorHAnsi"/>
          <w:color w:val="212121"/>
        </w:rPr>
        <w:t>B.A. Gerrish evokes the reverence with which Calvin expounds his understanding of the Lord’s Supper, the presence of Christ being a ‘mystery to be adored, not captur</w:t>
      </w:r>
      <w:r w:rsidR="00175616">
        <w:rPr>
          <w:rFonts w:asciiTheme="minorHAnsi" w:hAnsiTheme="minorHAnsi" w:cstheme="minorHAnsi"/>
          <w:color w:val="212121"/>
        </w:rPr>
        <w:t>e</w:t>
      </w:r>
      <w:r w:rsidR="0050227E">
        <w:rPr>
          <w:rFonts w:asciiTheme="minorHAnsi" w:hAnsiTheme="minorHAnsi" w:cstheme="minorHAnsi"/>
          <w:color w:val="212121"/>
        </w:rPr>
        <w:t>d in theological explanations’</w:t>
      </w:r>
      <w:r w:rsidR="00175616">
        <w:rPr>
          <w:rFonts w:asciiTheme="minorHAnsi" w:hAnsiTheme="minorHAnsi" w:cstheme="minorHAnsi"/>
          <w:color w:val="212121"/>
        </w:rPr>
        <w:t>.</w:t>
      </w:r>
      <w:r w:rsidR="0050227E" w:rsidRPr="00AB1AE4">
        <w:rPr>
          <w:rStyle w:val="FootnoteReference"/>
        </w:rPr>
        <w:footnoteReference w:id="52"/>
      </w:r>
      <w:r w:rsidR="00175616">
        <w:rPr>
          <w:rFonts w:asciiTheme="minorHAnsi" w:hAnsiTheme="minorHAnsi" w:cstheme="minorHAnsi"/>
          <w:color w:val="212121"/>
        </w:rPr>
        <w:t xml:space="preserve"> Gerrish</w:t>
      </w:r>
      <w:r w:rsidR="00EB648F" w:rsidRPr="00AB1AE4">
        <w:rPr>
          <w:rStyle w:val="FootnoteReference"/>
        </w:rPr>
        <w:footnoteReference w:id="53"/>
      </w:r>
      <w:r w:rsidR="00175616">
        <w:rPr>
          <w:rFonts w:asciiTheme="minorHAnsi" w:hAnsiTheme="minorHAnsi" w:cstheme="minorHAnsi"/>
          <w:color w:val="212121"/>
        </w:rPr>
        <w:t xml:space="preserve"> </w:t>
      </w:r>
      <w:r w:rsidR="00EB648F">
        <w:rPr>
          <w:rFonts w:asciiTheme="minorHAnsi" w:hAnsiTheme="minorHAnsi" w:cstheme="minorHAnsi"/>
          <w:color w:val="212121"/>
        </w:rPr>
        <w:t xml:space="preserve">and </w:t>
      </w:r>
      <w:proofErr w:type="spellStart"/>
      <w:r w:rsidR="00EB648F">
        <w:rPr>
          <w:rFonts w:asciiTheme="minorHAnsi" w:hAnsiTheme="minorHAnsi" w:cstheme="minorHAnsi"/>
          <w:color w:val="212121"/>
        </w:rPr>
        <w:t>Migliore</w:t>
      </w:r>
      <w:proofErr w:type="spellEnd"/>
      <w:r w:rsidR="00EB648F" w:rsidRPr="00AB1AE4">
        <w:rPr>
          <w:rStyle w:val="FootnoteReference"/>
        </w:rPr>
        <w:footnoteReference w:id="54"/>
      </w:r>
      <w:r w:rsidR="00EB648F">
        <w:rPr>
          <w:rFonts w:asciiTheme="minorHAnsi" w:hAnsiTheme="minorHAnsi" w:cstheme="minorHAnsi"/>
          <w:color w:val="212121"/>
        </w:rPr>
        <w:t xml:space="preserve"> both </w:t>
      </w:r>
      <w:r w:rsidR="00175616">
        <w:rPr>
          <w:rFonts w:asciiTheme="minorHAnsi" w:hAnsiTheme="minorHAnsi" w:cstheme="minorHAnsi"/>
          <w:color w:val="212121"/>
        </w:rPr>
        <w:t xml:space="preserve">carefully summarise six Calvinistic propositions, which define Calvin’s standpoint viz-à-vis Zwinglian and Roman thinking: </w:t>
      </w:r>
      <w:r w:rsidR="003B7318">
        <w:rPr>
          <w:rFonts w:asciiTheme="minorHAnsi" w:hAnsiTheme="minorHAnsi" w:cstheme="minorHAnsi"/>
          <w:color w:val="212121"/>
        </w:rPr>
        <w:t>t</w:t>
      </w:r>
      <w:r w:rsidR="002634D0">
        <w:rPr>
          <w:rFonts w:asciiTheme="minorHAnsi" w:hAnsiTheme="minorHAnsi" w:cstheme="minorHAnsi"/>
          <w:color w:val="212121"/>
        </w:rPr>
        <w:t>he Lord’s Supper is a gift, in which Christ gives himself as a channel through which his divine life flows. It is given by the Holy Spirit, which binds a union between worshipper and the true life-giving flesh of Christ, a gift for everyone who comes to receive by faith. It intimately and personally connects with the Word of God, not some impersonal</w:t>
      </w:r>
      <w:r w:rsidR="007A337F">
        <w:rPr>
          <w:rFonts w:asciiTheme="minorHAnsi" w:hAnsiTheme="minorHAnsi" w:cstheme="minorHAnsi"/>
          <w:color w:val="212121"/>
        </w:rPr>
        <w:t>ly</w:t>
      </w:r>
      <w:r w:rsidR="002634D0">
        <w:rPr>
          <w:rFonts w:asciiTheme="minorHAnsi" w:hAnsiTheme="minorHAnsi" w:cstheme="minorHAnsi"/>
          <w:color w:val="212121"/>
        </w:rPr>
        <w:t xml:space="preserve"> scholastic impediment to salvation</w:t>
      </w:r>
      <w:r w:rsidR="007A337F">
        <w:rPr>
          <w:rFonts w:asciiTheme="minorHAnsi" w:hAnsiTheme="minorHAnsi" w:cstheme="minorHAnsi"/>
          <w:color w:val="212121"/>
        </w:rPr>
        <w:t>. It is</w:t>
      </w:r>
      <w:r w:rsidR="002634D0">
        <w:rPr>
          <w:rFonts w:asciiTheme="minorHAnsi" w:hAnsiTheme="minorHAnsi" w:cstheme="minorHAnsi"/>
          <w:color w:val="212121"/>
        </w:rPr>
        <w:t xml:space="preserve"> a promise benefitting all ‘who respond with the faith that the proclamation itself generates’.</w:t>
      </w:r>
      <w:r w:rsidR="002634D0" w:rsidRPr="00AB1AE4">
        <w:rPr>
          <w:rStyle w:val="FootnoteReference"/>
        </w:rPr>
        <w:footnoteReference w:id="55"/>
      </w:r>
    </w:p>
    <w:p w:rsidR="00CC100A" w:rsidRDefault="009F2AFC" w:rsidP="00885569">
      <w:pPr>
        <w:pStyle w:val="NormalWeb"/>
        <w:shd w:val="clear" w:color="auto" w:fill="FFFFFF"/>
        <w:spacing w:before="0" w:beforeAutospacing="0" w:after="0" w:afterAutospacing="0" w:line="480" w:lineRule="auto"/>
        <w:ind w:firstLine="426"/>
        <w:rPr>
          <w:rFonts w:asciiTheme="minorHAnsi" w:hAnsiTheme="minorHAnsi" w:cstheme="minorHAnsi"/>
          <w:color w:val="212121"/>
        </w:rPr>
      </w:pPr>
      <w:r>
        <w:rPr>
          <w:rFonts w:asciiTheme="minorHAnsi" w:hAnsiTheme="minorHAnsi" w:cstheme="minorHAnsi"/>
          <w:color w:val="212121"/>
        </w:rPr>
        <w:t>Neither Calvin nor Cranmer mention justification by faith in relation to the Eucharist;</w:t>
      </w:r>
      <w:r w:rsidRPr="00AB1AE4">
        <w:rPr>
          <w:rStyle w:val="FootnoteReference"/>
        </w:rPr>
        <w:footnoteReference w:id="56"/>
      </w:r>
      <w:r>
        <w:rPr>
          <w:rFonts w:asciiTheme="minorHAnsi" w:hAnsiTheme="minorHAnsi" w:cstheme="minorHAnsi"/>
          <w:color w:val="212121"/>
        </w:rPr>
        <w:t xml:space="preserve"> it cannot be used to </w:t>
      </w:r>
      <w:r>
        <w:rPr>
          <w:rFonts w:asciiTheme="minorHAnsi" w:hAnsiTheme="minorHAnsi" w:cstheme="minorHAnsi"/>
          <w:i/>
          <w:iCs/>
          <w:color w:val="212121"/>
        </w:rPr>
        <w:t>merit</w:t>
      </w:r>
      <w:r>
        <w:rPr>
          <w:rFonts w:asciiTheme="minorHAnsi" w:hAnsiTheme="minorHAnsi" w:cstheme="minorHAnsi"/>
          <w:color w:val="212121"/>
        </w:rPr>
        <w:t xml:space="preserve"> God’s goodwill, by either priest or those participating in this ‘offering to obtain forgiveness’.</w:t>
      </w:r>
      <w:r w:rsidR="000E2C15">
        <w:rPr>
          <w:rStyle w:val="FootnoteReference"/>
          <w:rFonts w:asciiTheme="minorHAnsi" w:hAnsiTheme="minorHAnsi" w:cstheme="minorHAnsi"/>
          <w:color w:val="212121"/>
        </w:rPr>
        <w:footnoteReference w:id="57"/>
      </w:r>
      <w:r w:rsidR="004B3DFF">
        <w:rPr>
          <w:rFonts w:asciiTheme="minorHAnsi" w:hAnsiTheme="minorHAnsi" w:cstheme="minorHAnsi"/>
          <w:color w:val="212121"/>
        </w:rPr>
        <w:t xml:space="preserve"> </w:t>
      </w:r>
      <w:r w:rsidR="007C5F73">
        <w:rPr>
          <w:rFonts w:asciiTheme="minorHAnsi" w:hAnsiTheme="minorHAnsi" w:cstheme="minorHAnsi"/>
          <w:color w:val="212121"/>
        </w:rPr>
        <w:t>T</w:t>
      </w:r>
      <w:r w:rsidR="004B3DFF">
        <w:rPr>
          <w:rFonts w:asciiTheme="minorHAnsi" w:hAnsiTheme="minorHAnsi" w:cstheme="minorHAnsi"/>
          <w:color w:val="212121"/>
        </w:rPr>
        <w:t>he sacrament is a gift, ‘not an oblation to appease God’, no</w:t>
      </w:r>
      <w:r>
        <w:rPr>
          <w:rFonts w:asciiTheme="minorHAnsi" w:hAnsiTheme="minorHAnsi" w:cstheme="minorHAnsi"/>
          <w:color w:val="212121"/>
        </w:rPr>
        <w:t>r</w:t>
      </w:r>
      <w:r w:rsidR="004B3DFF">
        <w:rPr>
          <w:rFonts w:asciiTheme="minorHAnsi" w:hAnsiTheme="minorHAnsi" w:cstheme="minorHAnsi"/>
          <w:color w:val="212121"/>
        </w:rPr>
        <w:t xml:space="preserve"> a ‘work’.</w:t>
      </w:r>
      <w:r w:rsidR="00D149E7">
        <w:rPr>
          <w:rFonts w:asciiTheme="minorHAnsi" w:hAnsiTheme="minorHAnsi" w:cstheme="minorHAnsi"/>
          <w:color w:val="212121"/>
        </w:rPr>
        <w:t xml:space="preserve"> Calvin moves beyond </w:t>
      </w:r>
      <w:r w:rsidR="00B83A18">
        <w:rPr>
          <w:rFonts w:asciiTheme="minorHAnsi" w:hAnsiTheme="minorHAnsi" w:cstheme="minorHAnsi"/>
          <w:color w:val="212121"/>
        </w:rPr>
        <w:t>Luther</w:t>
      </w:r>
      <w:r w:rsidR="00D149E7">
        <w:rPr>
          <w:rFonts w:asciiTheme="minorHAnsi" w:hAnsiTheme="minorHAnsi" w:cstheme="minorHAnsi"/>
          <w:color w:val="212121"/>
        </w:rPr>
        <w:t>’s sacramental ‘</w:t>
      </w:r>
      <w:r w:rsidR="00B83A18">
        <w:rPr>
          <w:rFonts w:asciiTheme="minorHAnsi" w:hAnsiTheme="minorHAnsi" w:cstheme="minorHAnsi"/>
          <w:color w:val="212121"/>
        </w:rPr>
        <w:t>last will and testament</w:t>
      </w:r>
      <w:r w:rsidR="00D149E7">
        <w:rPr>
          <w:rFonts w:asciiTheme="minorHAnsi" w:hAnsiTheme="minorHAnsi" w:cstheme="minorHAnsi"/>
          <w:color w:val="212121"/>
        </w:rPr>
        <w:t xml:space="preserve">’ </w:t>
      </w:r>
      <w:r w:rsidR="00B83A18">
        <w:rPr>
          <w:rFonts w:asciiTheme="minorHAnsi" w:hAnsiTheme="minorHAnsi" w:cstheme="minorHAnsi"/>
          <w:color w:val="212121"/>
        </w:rPr>
        <w:t>to</w:t>
      </w:r>
      <w:r w:rsidR="00CA4BA4">
        <w:rPr>
          <w:rFonts w:asciiTheme="minorHAnsi" w:hAnsiTheme="minorHAnsi" w:cstheme="minorHAnsi"/>
          <w:color w:val="212121"/>
        </w:rPr>
        <w:t>wards</w:t>
      </w:r>
      <w:r w:rsidR="00D149E7">
        <w:rPr>
          <w:rFonts w:asciiTheme="minorHAnsi" w:hAnsiTheme="minorHAnsi" w:cstheme="minorHAnsi"/>
          <w:color w:val="212121"/>
        </w:rPr>
        <w:t xml:space="preserve"> sacrament as</w:t>
      </w:r>
      <w:r w:rsidR="00B83A18">
        <w:rPr>
          <w:rFonts w:asciiTheme="minorHAnsi" w:hAnsiTheme="minorHAnsi" w:cstheme="minorHAnsi"/>
          <w:color w:val="212121"/>
        </w:rPr>
        <w:t xml:space="preserve"> </w:t>
      </w:r>
      <w:r w:rsidR="00B83A18" w:rsidRPr="00CA4BA4">
        <w:rPr>
          <w:rFonts w:asciiTheme="minorHAnsi" w:hAnsiTheme="minorHAnsi" w:cstheme="minorHAnsi"/>
          <w:i/>
          <w:iCs/>
          <w:color w:val="212121"/>
        </w:rPr>
        <w:t>participation in</w:t>
      </w:r>
      <w:r w:rsidR="00B83A18">
        <w:rPr>
          <w:rFonts w:asciiTheme="minorHAnsi" w:hAnsiTheme="minorHAnsi" w:cstheme="minorHAnsi"/>
          <w:color w:val="212121"/>
        </w:rPr>
        <w:t xml:space="preserve"> a feast, </w:t>
      </w:r>
      <w:r w:rsidR="007C5F73">
        <w:rPr>
          <w:rFonts w:asciiTheme="minorHAnsi" w:hAnsiTheme="minorHAnsi" w:cstheme="minorHAnsi"/>
          <w:color w:val="212121"/>
        </w:rPr>
        <w:t>like</w:t>
      </w:r>
      <w:r w:rsidR="00CA4BA4">
        <w:rPr>
          <w:rFonts w:asciiTheme="minorHAnsi" w:hAnsiTheme="minorHAnsi" w:cstheme="minorHAnsi"/>
          <w:color w:val="212121"/>
        </w:rPr>
        <w:t xml:space="preserve"> the disciples, </w:t>
      </w:r>
      <w:r w:rsidR="00B83A18">
        <w:rPr>
          <w:rFonts w:asciiTheme="minorHAnsi" w:hAnsiTheme="minorHAnsi" w:cstheme="minorHAnsi"/>
          <w:color w:val="212121"/>
        </w:rPr>
        <w:t>taking and sharing amongst each other.</w:t>
      </w:r>
      <w:r w:rsidR="00B83A18" w:rsidRPr="00AB1AE4">
        <w:rPr>
          <w:rStyle w:val="FootnoteReference"/>
        </w:rPr>
        <w:footnoteReference w:id="58"/>
      </w:r>
      <w:r w:rsidR="00B83A18">
        <w:rPr>
          <w:rFonts w:asciiTheme="minorHAnsi" w:hAnsiTheme="minorHAnsi" w:cstheme="minorHAnsi"/>
          <w:color w:val="212121"/>
        </w:rPr>
        <w:t xml:space="preserve"> The double self-giving of Christ giving himself to the church and the church giving </w:t>
      </w:r>
      <w:r w:rsidR="00B83A18">
        <w:rPr>
          <w:rFonts w:asciiTheme="minorHAnsi" w:hAnsiTheme="minorHAnsi" w:cstheme="minorHAnsi"/>
          <w:color w:val="212121"/>
        </w:rPr>
        <w:lastRenderedPageBreak/>
        <w:t xml:space="preserve">‘of itself’ to God is embodied in Supper, </w:t>
      </w:r>
      <w:r w:rsidR="00D149E7">
        <w:rPr>
          <w:rFonts w:asciiTheme="minorHAnsi" w:hAnsiTheme="minorHAnsi" w:cstheme="minorHAnsi"/>
          <w:color w:val="212121"/>
        </w:rPr>
        <w:t>a</w:t>
      </w:r>
      <w:r w:rsidR="00B83A18">
        <w:rPr>
          <w:rFonts w:asciiTheme="minorHAnsi" w:hAnsiTheme="minorHAnsi" w:cstheme="minorHAnsi"/>
          <w:color w:val="212121"/>
        </w:rPr>
        <w:t xml:space="preserve"> </w:t>
      </w:r>
      <w:r w:rsidR="00D149E7">
        <w:rPr>
          <w:rFonts w:asciiTheme="minorHAnsi" w:hAnsiTheme="minorHAnsi" w:cstheme="minorHAnsi"/>
          <w:color w:val="212121"/>
        </w:rPr>
        <w:t>‘</w:t>
      </w:r>
      <w:r w:rsidR="00B83A18">
        <w:rPr>
          <w:rFonts w:asciiTheme="minorHAnsi" w:hAnsiTheme="minorHAnsi" w:cstheme="minorHAnsi"/>
          <w:color w:val="212121"/>
        </w:rPr>
        <w:t>perpetual exchange of grace and gratitude’</w:t>
      </w:r>
      <w:r w:rsidR="005603C1">
        <w:rPr>
          <w:rFonts w:asciiTheme="minorHAnsi" w:hAnsiTheme="minorHAnsi" w:cstheme="minorHAnsi"/>
          <w:color w:val="212121"/>
        </w:rPr>
        <w:t xml:space="preserve"> that encapsulates Calvin’s theology.</w:t>
      </w:r>
      <w:r w:rsidR="005603C1" w:rsidRPr="00AB1AE4">
        <w:rPr>
          <w:rStyle w:val="FootnoteReference"/>
        </w:rPr>
        <w:footnoteReference w:id="59"/>
      </w:r>
      <w:r w:rsidR="005603C1" w:rsidRPr="005603C1">
        <w:rPr>
          <w:rFonts w:asciiTheme="minorHAnsi" w:hAnsiTheme="minorHAnsi" w:cstheme="minorHAnsi"/>
          <w:color w:val="212121"/>
        </w:rPr>
        <w:t xml:space="preserve"> </w:t>
      </w:r>
    </w:p>
    <w:p w:rsidR="006B134E" w:rsidRDefault="000E2C15" w:rsidP="00885569">
      <w:pPr>
        <w:pStyle w:val="NormalWeb"/>
        <w:shd w:val="clear" w:color="auto" w:fill="FFFFFF"/>
        <w:spacing w:before="0" w:beforeAutospacing="0" w:after="0" w:afterAutospacing="0" w:line="480" w:lineRule="auto"/>
        <w:ind w:firstLine="426"/>
        <w:rPr>
          <w:rFonts w:asciiTheme="minorHAnsi" w:hAnsiTheme="minorHAnsi" w:cstheme="minorHAnsi"/>
          <w:color w:val="212121"/>
        </w:rPr>
      </w:pPr>
      <w:r>
        <w:rPr>
          <w:rFonts w:asciiTheme="minorHAnsi" w:hAnsiTheme="minorHAnsi" w:cstheme="minorHAnsi"/>
          <w:color w:val="212121"/>
        </w:rPr>
        <w:t>Calvin</w:t>
      </w:r>
      <w:r w:rsidR="00B427DF">
        <w:rPr>
          <w:rFonts w:asciiTheme="minorHAnsi" w:hAnsiTheme="minorHAnsi" w:cstheme="minorHAnsi"/>
          <w:color w:val="212121"/>
        </w:rPr>
        <w:t xml:space="preserve"> </w:t>
      </w:r>
      <w:r>
        <w:rPr>
          <w:rFonts w:asciiTheme="minorHAnsi" w:hAnsiTheme="minorHAnsi" w:cstheme="minorHAnsi"/>
          <w:color w:val="212121"/>
        </w:rPr>
        <w:t>can do no other than dismiss</w:t>
      </w:r>
      <w:r w:rsidR="00B427DF">
        <w:rPr>
          <w:rFonts w:asciiTheme="minorHAnsi" w:hAnsiTheme="minorHAnsi" w:cstheme="minorHAnsi"/>
          <w:color w:val="212121"/>
        </w:rPr>
        <w:t xml:space="preserve"> </w:t>
      </w:r>
      <w:r w:rsidR="00DD4A44">
        <w:rPr>
          <w:rFonts w:asciiTheme="minorHAnsi" w:hAnsiTheme="minorHAnsi" w:cstheme="minorHAnsi"/>
          <w:color w:val="212121"/>
        </w:rPr>
        <w:t>RC</w:t>
      </w:r>
      <w:r>
        <w:rPr>
          <w:rFonts w:asciiTheme="minorHAnsi" w:hAnsiTheme="minorHAnsi" w:cstheme="minorHAnsi"/>
          <w:color w:val="212121"/>
        </w:rPr>
        <w:t>’s</w:t>
      </w:r>
      <w:r w:rsidR="00CA4BA4">
        <w:rPr>
          <w:rFonts w:asciiTheme="minorHAnsi" w:hAnsiTheme="minorHAnsi" w:cstheme="minorHAnsi"/>
          <w:color w:val="212121"/>
        </w:rPr>
        <w:t xml:space="preserve"> </w:t>
      </w:r>
      <w:r w:rsidR="00D149E7">
        <w:rPr>
          <w:rFonts w:asciiTheme="minorHAnsi" w:hAnsiTheme="minorHAnsi" w:cstheme="minorHAnsi"/>
          <w:color w:val="212121"/>
        </w:rPr>
        <w:t>‘</w:t>
      </w:r>
      <w:r w:rsidR="00CA4BA4">
        <w:rPr>
          <w:rFonts w:asciiTheme="minorHAnsi" w:hAnsiTheme="minorHAnsi" w:cstheme="minorHAnsi"/>
          <w:color w:val="212121"/>
        </w:rPr>
        <w:t xml:space="preserve">monstrous fiction not only against Scripture, </w:t>
      </w:r>
      <w:r w:rsidR="00CF33A6">
        <w:rPr>
          <w:rFonts w:asciiTheme="minorHAnsi" w:hAnsiTheme="minorHAnsi" w:cstheme="minorHAnsi"/>
          <w:color w:val="212121"/>
        </w:rPr>
        <w:t>but also against the consent of the ancient Church’</w:t>
      </w:r>
      <w:r w:rsidR="00D149E7">
        <w:rPr>
          <w:rFonts w:asciiTheme="minorHAnsi" w:hAnsiTheme="minorHAnsi" w:cstheme="minorHAnsi"/>
          <w:color w:val="212121"/>
        </w:rPr>
        <w:t xml:space="preserve"> of </w:t>
      </w:r>
      <w:r w:rsidR="00D149E7" w:rsidRPr="00D149E7">
        <w:rPr>
          <w:rFonts w:asciiTheme="minorHAnsi" w:hAnsiTheme="minorHAnsi" w:cstheme="minorHAnsi"/>
          <w:i/>
          <w:iCs/>
          <w:color w:val="212121"/>
        </w:rPr>
        <w:t>trans</w:t>
      </w:r>
      <w:r w:rsidR="00D149E7">
        <w:rPr>
          <w:rFonts w:asciiTheme="minorHAnsi" w:hAnsiTheme="minorHAnsi" w:cstheme="minorHAnsi"/>
          <w:color w:val="212121"/>
        </w:rPr>
        <w:t>ubstantiation</w:t>
      </w:r>
      <w:r w:rsidR="00CF33A6" w:rsidRPr="00AB1AE4">
        <w:rPr>
          <w:rStyle w:val="FootnoteReference"/>
        </w:rPr>
        <w:footnoteReference w:id="60"/>
      </w:r>
      <w:r w:rsidR="00D149E7">
        <w:rPr>
          <w:rFonts w:asciiTheme="minorHAnsi" w:hAnsiTheme="minorHAnsi" w:cstheme="minorHAnsi"/>
          <w:color w:val="212121"/>
        </w:rPr>
        <w:t>,</w:t>
      </w:r>
      <w:r w:rsidR="00B427DF">
        <w:rPr>
          <w:rFonts w:asciiTheme="minorHAnsi" w:hAnsiTheme="minorHAnsi" w:cstheme="minorHAnsi"/>
          <w:color w:val="212121"/>
        </w:rPr>
        <w:t xml:space="preserve"> Lutheran </w:t>
      </w:r>
      <w:r w:rsidR="00B427DF" w:rsidRPr="00D149E7">
        <w:rPr>
          <w:rFonts w:asciiTheme="minorHAnsi" w:hAnsiTheme="minorHAnsi" w:cstheme="minorHAnsi"/>
          <w:i/>
          <w:iCs/>
          <w:color w:val="212121"/>
        </w:rPr>
        <w:t>con</w:t>
      </w:r>
      <w:r w:rsidR="00B427DF" w:rsidRPr="00D149E7">
        <w:rPr>
          <w:rFonts w:asciiTheme="minorHAnsi" w:hAnsiTheme="minorHAnsi" w:cstheme="minorHAnsi"/>
          <w:color w:val="212121"/>
        </w:rPr>
        <w:t>substantiation</w:t>
      </w:r>
      <w:r w:rsidR="00B427DF">
        <w:rPr>
          <w:rFonts w:asciiTheme="minorHAnsi" w:hAnsiTheme="minorHAnsi" w:cstheme="minorHAnsi"/>
          <w:color w:val="212121"/>
        </w:rPr>
        <w:t xml:space="preserve"> and Zwinglian </w:t>
      </w:r>
      <w:r w:rsidR="00B427DF" w:rsidRPr="00D149E7">
        <w:rPr>
          <w:rFonts w:asciiTheme="minorHAnsi" w:hAnsiTheme="minorHAnsi" w:cstheme="minorHAnsi"/>
          <w:i/>
          <w:iCs/>
          <w:color w:val="212121"/>
        </w:rPr>
        <w:t>symbolisation</w:t>
      </w:r>
      <w:r w:rsidR="00B427DF">
        <w:rPr>
          <w:rFonts w:asciiTheme="minorHAnsi" w:hAnsiTheme="minorHAnsi" w:cstheme="minorHAnsi"/>
          <w:color w:val="212121"/>
        </w:rPr>
        <w:t xml:space="preserve">, aligning himself (at least up to 1535) closer to </w:t>
      </w:r>
      <w:proofErr w:type="spellStart"/>
      <w:r w:rsidR="00B427DF">
        <w:rPr>
          <w:rFonts w:asciiTheme="minorHAnsi" w:hAnsiTheme="minorHAnsi" w:cstheme="minorHAnsi"/>
          <w:color w:val="212121"/>
        </w:rPr>
        <w:t>Bucer</w:t>
      </w:r>
      <w:proofErr w:type="spellEnd"/>
      <w:r w:rsidR="00B427DF">
        <w:rPr>
          <w:rFonts w:asciiTheme="minorHAnsi" w:hAnsiTheme="minorHAnsi" w:cstheme="minorHAnsi"/>
          <w:color w:val="212121"/>
        </w:rPr>
        <w:t xml:space="preserve">. The spiritual reality of Christ’s body </w:t>
      </w:r>
      <w:r>
        <w:rPr>
          <w:rFonts w:asciiTheme="minorHAnsi" w:hAnsiTheme="minorHAnsi" w:cstheme="minorHAnsi"/>
          <w:color w:val="212121"/>
        </w:rPr>
        <w:t>is</w:t>
      </w:r>
      <w:r w:rsidR="00B427DF">
        <w:rPr>
          <w:rFonts w:asciiTheme="minorHAnsi" w:hAnsiTheme="minorHAnsi" w:cstheme="minorHAnsi"/>
          <w:color w:val="212121"/>
        </w:rPr>
        <w:t xml:space="preserve"> neither identified with nor included in the bread and wine, but </w:t>
      </w:r>
      <w:r w:rsidR="00B427DF" w:rsidRPr="00D149E7">
        <w:rPr>
          <w:rFonts w:asciiTheme="minorHAnsi" w:hAnsiTheme="minorHAnsi" w:cstheme="minorHAnsi"/>
          <w:i/>
          <w:iCs/>
          <w:color w:val="212121"/>
        </w:rPr>
        <w:t>given at the same time</w:t>
      </w:r>
      <w:r w:rsidR="00B427DF">
        <w:rPr>
          <w:rFonts w:asciiTheme="minorHAnsi" w:hAnsiTheme="minorHAnsi" w:cstheme="minorHAnsi"/>
          <w:color w:val="212121"/>
        </w:rPr>
        <w:t>, for ‘our contact with God can be made only by the intermediation of the incarnate Christ</w:t>
      </w:r>
      <w:r w:rsidR="0033713F">
        <w:rPr>
          <w:rFonts w:asciiTheme="minorHAnsi" w:hAnsiTheme="minorHAnsi" w:cstheme="minorHAnsi"/>
          <w:color w:val="212121"/>
        </w:rPr>
        <w:t>’, expressed in 1 Corinthians 11:24</w:t>
      </w:r>
      <w:r w:rsidR="00B427DF">
        <w:rPr>
          <w:rFonts w:asciiTheme="minorHAnsi" w:hAnsiTheme="minorHAnsi" w:cstheme="minorHAnsi"/>
          <w:color w:val="212121"/>
        </w:rPr>
        <w:t>.</w:t>
      </w:r>
      <w:r w:rsidR="00B427DF" w:rsidRPr="00AB1AE4">
        <w:rPr>
          <w:rStyle w:val="FootnoteReference"/>
        </w:rPr>
        <w:footnoteReference w:id="61"/>
      </w:r>
      <w:r w:rsidR="00B427DF">
        <w:rPr>
          <w:rFonts w:asciiTheme="minorHAnsi" w:hAnsiTheme="minorHAnsi" w:cstheme="minorHAnsi"/>
          <w:color w:val="212121"/>
        </w:rPr>
        <w:t xml:space="preserve"> </w:t>
      </w:r>
      <w:r w:rsidR="005506B6">
        <w:rPr>
          <w:rFonts w:asciiTheme="minorHAnsi" w:hAnsiTheme="minorHAnsi" w:cstheme="minorHAnsi"/>
          <w:color w:val="212121"/>
        </w:rPr>
        <w:t xml:space="preserve">For Calvin, the saving power of </w:t>
      </w:r>
      <w:r w:rsidR="00CA27EC">
        <w:rPr>
          <w:rFonts w:asciiTheme="minorHAnsi" w:hAnsiTheme="minorHAnsi" w:cstheme="minorHAnsi"/>
          <w:color w:val="212121"/>
        </w:rPr>
        <w:t xml:space="preserve">Christ in the sacraments </w:t>
      </w:r>
      <w:r w:rsidR="004D353F">
        <w:rPr>
          <w:rFonts w:asciiTheme="minorHAnsi" w:hAnsiTheme="minorHAnsi" w:cstheme="minorHAnsi"/>
          <w:color w:val="212121"/>
        </w:rPr>
        <w:t>i</w:t>
      </w:r>
      <w:r w:rsidR="00CA27EC">
        <w:rPr>
          <w:rFonts w:asciiTheme="minorHAnsi" w:hAnsiTheme="minorHAnsi" w:cstheme="minorHAnsi"/>
          <w:color w:val="212121"/>
        </w:rPr>
        <w:t xml:space="preserve">s ‘hidden grace’, not some mysterious </w:t>
      </w:r>
      <w:r w:rsidR="00CA27EC" w:rsidRPr="00CA27EC">
        <w:rPr>
          <w:rFonts w:asciiTheme="minorHAnsi" w:hAnsiTheme="minorHAnsi" w:cstheme="minorHAnsi"/>
          <w:i/>
          <w:iCs/>
          <w:color w:val="212121"/>
        </w:rPr>
        <w:t>substantial</w:t>
      </w:r>
      <w:r w:rsidR="00CA27EC">
        <w:rPr>
          <w:rFonts w:asciiTheme="minorHAnsi" w:hAnsiTheme="minorHAnsi" w:cstheme="minorHAnsi"/>
          <w:color w:val="212121"/>
        </w:rPr>
        <w:t xml:space="preserve"> change to the elements, whereby the body and blood of Christ change under the </w:t>
      </w:r>
      <w:r w:rsidR="00CA27EC" w:rsidRPr="00CA27EC">
        <w:rPr>
          <w:rFonts w:asciiTheme="minorHAnsi" w:hAnsiTheme="minorHAnsi" w:cstheme="minorHAnsi"/>
          <w:i/>
          <w:iCs/>
          <w:color w:val="212121"/>
        </w:rPr>
        <w:t xml:space="preserve">accidence </w:t>
      </w:r>
      <w:r w:rsidR="00CA27EC">
        <w:rPr>
          <w:rFonts w:asciiTheme="minorHAnsi" w:hAnsiTheme="minorHAnsi" w:cstheme="minorHAnsi"/>
          <w:color w:val="212121"/>
        </w:rPr>
        <w:t>of bread and wine.</w:t>
      </w:r>
      <w:r w:rsidR="00CA27EC" w:rsidRPr="00AB1AE4">
        <w:rPr>
          <w:rStyle w:val="FootnoteReference"/>
        </w:rPr>
        <w:footnoteReference w:id="62"/>
      </w:r>
      <w:r w:rsidR="0074383E">
        <w:rPr>
          <w:rFonts w:asciiTheme="minorHAnsi" w:hAnsiTheme="minorHAnsi" w:cstheme="minorHAnsi"/>
          <w:color w:val="212121"/>
        </w:rPr>
        <w:t xml:space="preserve"> </w:t>
      </w:r>
      <w:r w:rsidR="009F2AFC">
        <w:rPr>
          <w:rFonts w:asciiTheme="minorHAnsi" w:hAnsiTheme="minorHAnsi" w:cstheme="minorHAnsi"/>
          <w:color w:val="212121"/>
        </w:rPr>
        <w:t>‘Christ takes the initiative, we do not initiate the sacrament by our faith, we receive what is objectively given by Christ by faith’.</w:t>
      </w:r>
      <w:r w:rsidR="009F2AFC" w:rsidRPr="00AB1AE4">
        <w:rPr>
          <w:rStyle w:val="FootnoteReference"/>
        </w:rPr>
        <w:footnoteReference w:id="63"/>
      </w:r>
    </w:p>
    <w:p w:rsidR="00CC100A" w:rsidRPr="00606FB9" w:rsidRDefault="006F4E8F" w:rsidP="00885569">
      <w:pPr>
        <w:pStyle w:val="Heading1"/>
        <w:spacing w:line="480" w:lineRule="auto"/>
        <w:rPr>
          <w:rFonts w:asciiTheme="minorHAnsi" w:eastAsia="Arial Unicode MS" w:hAnsiTheme="minorHAnsi" w:cstheme="minorHAnsi"/>
          <w:color w:val="auto"/>
          <w:sz w:val="24"/>
          <w:szCs w:val="24"/>
        </w:rPr>
      </w:pPr>
      <w:bookmarkStart w:id="7" w:name="_Toc166761533"/>
      <w:r w:rsidRPr="00606FB9">
        <w:rPr>
          <w:rFonts w:asciiTheme="minorHAnsi" w:hAnsiTheme="minorHAnsi" w:cstheme="minorHAnsi"/>
          <w:b/>
          <w:bCs/>
          <w:color w:val="auto"/>
          <w:sz w:val="24"/>
          <w:szCs w:val="24"/>
        </w:rPr>
        <w:t xml:space="preserve">Cranmer and </w:t>
      </w:r>
      <w:r w:rsidR="000450E1" w:rsidRPr="00606FB9">
        <w:rPr>
          <w:rFonts w:asciiTheme="minorHAnsi" w:hAnsiTheme="minorHAnsi" w:cstheme="minorHAnsi"/>
          <w:b/>
          <w:bCs/>
          <w:color w:val="auto"/>
          <w:sz w:val="24"/>
          <w:szCs w:val="24"/>
        </w:rPr>
        <w:t xml:space="preserve">Eucharistic </w:t>
      </w:r>
      <w:r w:rsidR="003E7C85">
        <w:rPr>
          <w:rFonts w:asciiTheme="minorHAnsi" w:hAnsiTheme="minorHAnsi" w:cstheme="minorHAnsi"/>
          <w:b/>
          <w:bCs/>
          <w:color w:val="auto"/>
          <w:sz w:val="24"/>
          <w:szCs w:val="24"/>
        </w:rPr>
        <w:t>T</w:t>
      </w:r>
      <w:r w:rsidR="000450E1" w:rsidRPr="00606FB9">
        <w:rPr>
          <w:rFonts w:asciiTheme="minorHAnsi" w:hAnsiTheme="minorHAnsi" w:cstheme="minorHAnsi"/>
          <w:b/>
          <w:bCs/>
          <w:color w:val="auto"/>
          <w:sz w:val="24"/>
          <w:szCs w:val="24"/>
        </w:rPr>
        <w:t xml:space="preserve">heology of </w:t>
      </w:r>
      <w:r w:rsidRPr="00606FB9">
        <w:rPr>
          <w:rFonts w:asciiTheme="minorHAnsi" w:hAnsiTheme="minorHAnsi" w:cstheme="minorHAnsi"/>
          <w:b/>
          <w:bCs/>
          <w:color w:val="auto"/>
          <w:sz w:val="24"/>
          <w:szCs w:val="24"/>
        </w:rPr>
        <w:t>the English Reform</w:t>
      </w:r>
      <w:r w:rsidR="00124CD5" w:rsidRPr="00606FB9">
        <w:rPr>
          <w:rFonts w:asciiTheme="minorHAnsi" w:hAnsiTheme="minorHAnsi" w:cstheme="minorHAnsi"/>
          <w:b/>
          <w:bCs/>
          <w:color w:val="auto"/>
          <w:sz w:val="24"/>
          <w:szCs w:val="24"/>
        </w:rPr>
        <w:t>ed</w:t>
      </w:r>
      <w:r w:rsidR="000450E1" w:rsidRPr="00606FB9">
        <w:rPr>
          <w:rFonts w:asciiTheme="minorHAnsi" w:hAnsiTheme="minorHAnsi" w:cstheme="minorHAnsi"/>
          <w:b/>
          <w:bCs/>
          <w:color w:val="auto"/>
          <w:sz w:val="24"/>
          <w:szCs w:val="24"/>
        </w:rPr>
        <w:t xml:space="preserve"> Church</w:t>
      </w:r>
      <w:bookmarkEnd w:id="7"/>
      <w:r w:rsidR="00D149E7" w:rsidRPr="00606FB9">
        <w:rPr>
          <w:rFonts w:asciiTheme="minorHAnsi" w:eastAsia="Arial Unicode MS" w:hAnsiTheme="minorHAnsi" w:cstheme="minorHAnsi"/>
          <w:color w:val="auto"/>
          <w:sz w:val="24"/>
          <w:szCs w:val="24"/>
        </w:rPr>
        <w:t xml:space="preserve"> </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bookmarkStart w:id="8" w:name="OLE_LINK3"/>
      <w:bookmarkStart w:id="9" w:name="OLE_LINK4"/>
      <w:bookmarkStart w:id="10" w:name="OLE_LINK5"/>
      <w:r>
        <w:rPr>
          <w:rFonts w:asciiTheme="minorHAnsi" w:hAnsiTheme="minorHAnsi" w:cstheme="minorHAnsi"/>
        </w:rPr>
        <w:t>‘Cranmer was a Cranmerian’.</w:t>
      </w:r>
      <w:r w:rsidRPr="00AB1AE4">
        <w:rPr>
          <w:rStyle w:val="FootnoteReference"/>
        </w:rPr>
        <w:footnoteReference w:id="64"/>
      </w:r>
      <w:r>
        <w:rPr>
          <w:rFonts w:asciiTheme="minorHAnsi" w:hAnsiTheme="minorHAnsi" w:cstheme="minorHAnsi"/>
        </w:rPr>
        <w:t xml:space="preserve"> His stamp on the authorised teaching of the CofE included strong echoes of European Protestant views whilst retaining elements from the unreformed Church which aligned with his </w:t>
      </w:r>
      <w:r w:rsidR="004D353F">
        <w:rPr>
          <w:rFonts w:asciiTheme="minorHAnsi" w:hAnsiTheme="minorHAnsi" w:cstheme="minorHAnsi"/>
        </w:rPr>
        <w:t xml:space="preserve">own </w:t>
      </w:r>
      <w:r>
        <w:rPr>
          <w:rFonts w:asciiTheme="minorHAnsi" w:hAnsiTheme="minorHAnsi" w:cstheme="minorHAnsi"/>
        </w:rPr>
        <w:t>overall theology.</w:t>
      </w:r>
      <w:r w:rsidRPr="00AB1AE4">
        <w:rPr>
          <w:rStyle w:val="FootnoteReference"/>
        </w:rPr>
        <w:footnoteReference w:id="65"/>
      </w:r>
      <w:r>
        <w:rPr>
          <w:rFonts w:asciiTheme="minorHAnsi" w:hAnsiTheme="minorHAnsi" w:cstheme="minorHAnsi"/>
        </w:rPr>
        <w:t xml:space="preserve"> The significance of Henry </w:t>
      </w:r>
      <w:r>
        <w:rPr>
          <w:rFonts w:asciiTheme="minorHAnsi" w:hAnsiTheme="minorHAnsi" w:cstheme="minorHAnsi"/>
        </w:rPr>
        <w:lastRenderedPageBreak/>
        <w:t>VIII’s assertion of royal authority over the Church and rejection of the supremacy of the pope</w:t>
      </w:r>
      <w:r w:rsidRPr="00AB1AE4">
        <w:rPr>
          <w:rStyle w:val="FootnoteReference"/>
        </w:rPr>
        <w:footnoteReference w:id="66"/>
      </w:r>
      <w:r>
        <w:rPr>
          <w:rFonts w:asciiTheme="minorHAnsi" w:hAnsiTheme="minorHAnsi" w:cstheme="minorHAnsi"/>
        </w:rPr>
        <w:t xml:space="preserve"> cannot be underestimated for the identity and ecclesiology of the CofE:</w:t>
      </w:r>
      <w:r w:rsidRPr="00AB1AE4">
        <w:rPr>
          <w:rStyle w:val="FootnoteReference"/>
        </w:rPr>
        <w:footnoteReference w:id="67"/>
      </w:r>
      <w:r w:rsidRPr="00BE01E1">
        <w:rPr>
          <w:rFonts w:asciiTheme="minorHAnsi" w:hAnsiTheme="minorHAnsi" w:cstheme="minorHAnsi"/>
        </w:rPr>
        <w:t xml:space="preserve"> </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20" w:right="1082"/>
        <w:rPr>
          <w:rFonts w:asciiTheme="minorHAnsi" w:hAnsiTheme="minorHAnsi" w:cstheme="minorHAnsi"/>
        </w:rPr>
      </w:pPr>
      <w:r>
        <w:rPr>
          <w:rFonts w:asciiTheme="minorHAnsi" w:hAnsiTheme="minorHAnsi" w:cstheme="minorHAnsi"/>
        </w:rPr>
        <w:t>the needs of the state were the primary consideration in the legislation that initiated the English Reformation, and each stage of the Reformation was legislated by Parliament.</w:t>
      </w:r>
      <w:r w:rsidRPr="00AB1AE4">
        <w:rPr>
          <w:rStyle w:val="FootnoteReference"/>
        </w:rPr>
        <w:footnoteReference w:id="68"/>
      </w:r>
      <w:r>
        <w:rPr>
          <w:rFonts w:asciiTheme="minorHAnsi" w:hAnsiTheme="minorHAnsi" w:cstheme="minorHAnsi"/>
        </w:rPr>
        <w:t xml:space="preserve"> </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Cranmer possessed an astute mind, his views considered but cautious and vacillating, needing to navigate extreme swings in the politics and religious fervour of four monarchs and their influential advisors. Political expediency often became prioritised.</w:t>
      </w:r>
      <w:r w:rsidR="003E7C85">
        <w:rPr>
          <w:rStyle w:val="FootnoteReference"/>
          <w:rFonts w:asciiTheme="minorHAnsi" w:hAnsiTheme="minorHAnsi" w:cstheme="minorHAnsi"/>
        </w:rPr>
        <w:footnoteReference w:id="69"/>
      </w:r>
      <w:r>
        <w:rPr>
          <w:rFonts w:asciiTheme="minorHAnsi" w:hAnsiTheme="minorHAnsi" w:cstheme="minorHAnsi"/>
        </w:rPr>
        <w:t xml:space="preserve"> The mid-sixteenth century exhibited common doctrinal Protestant-leaning convictions but lacked guaranteed unity of belief.</w:t>
      </w:r>
      <w:r w:rsidRPr="00AB1AE4">
        <w:rPr>
          <w:rStyle w:val="FootnoteReference"/>
        </w:rPr>
        <w:footnoteReference w:id="70"/>
      </w:r>
      <w:r>
        <w:rPr>
          <w:rFonts w:asciiTheme="minorHAnsi" w:hAnsiTheme="minorHAnsi" w:cstheme="minorHAnsi"/>
        </w:rPr>
        <w:t xml:space="preserve"> Cranmer’s most important publication as Primate of All England, </w:t>
      </w:r>
      <w:r>
        <w:rPr>
          <w:rFonts w:asciiTheme="minorHAnsi" w:hAnsiTheme="minorHAnsi" w:cstheme="minorHAnsi"/>
          <w:i/>
          <w:iCs/>
        </w:rPr>
        <w:t>The Book of Common Prayer</w:t>
      </w:r>
      <w:r>
        <w:rPr>
          <w:rFonts w:asciiTheme="minorHAnsi" w:hAnsiTheme="minorHAnsi" w:cstheme="minorHAnsi"/>
        </w:rPr>
        <w:t xml:space="preserve"> (1549)</w:t>
      </w:r>
      <w:r w:rsidRPr="00AB1AE4">
        <w:rPr>
          <w:rStyle w:val="FootnoteReference"/>
        </w:rPr>
        <w:footnoteReference w:id="71"/>
      </w:r>
      <w:r>
        <w:rPr>
          <w:rFonts w:asciiTheme="minorHAnsi" w:hAnsiTheme="minorHAnsi" w:cstheme="minorHAnsi"/>
        </w:rPr>
        <w:t>, was not ‘a haphazard clutter’ of borrowed opinions, but work crafted on his core values: Bible, the Fathers, and right reason.</w:t>
      </w:r>
      <w:r w:rsidRPr="00AB1AE4">
        <w:rPr>
          <w:rStyle w:val="FootnoteReference"/>
        </w:rPr>
        <w:footnoteReference w:id="72"/>
      </w:r>
      <w:r>
        <w:rPr>
          <w:rFonts w:asciiTheme="minorHAnsi" w:hAnsiTheme="minorHAnsi" w:cstheme="minorHAnsi"/>
        </w:rPr>
        <w:t xml:space="preserve"> His final 1552 version, amended several times to accommodate the flavour of the moment, proffered his mature theology of eucharistic and sacramental theology.</w:t>
      </w:r>
      <w:r w:rsidRPr="00AB1AE4">
        <w:rPr>
          <w:rStyle w:val="FootnoteReference"/>
        </w:rPr>
        <w:footnoteReference w:id="73"/>
      </w:r>
    </w:p>
    <w:p w:rsidR="00C901CF" w:rsidRDefault="00C901CF"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sidRPr="00E13E9B">
        <w:rPr>
          <w:rFonts w:asciiTheme="minorHAnsi" w:hAnsiTheme="minorHAnsi" w:cstheme="minorHAnsi"/>
        </w:rPr>
        <w:t xml:space="preserve">Holy Communion became a journey through Christian life. Rubric and liturgy focused on humility of approach, most especially in the Invitation to </w:t>
      </w:r>
      <w:r w:rsidR="004944A7" w:rsidRPr="00E13E9B">
        <w:rPr>
          <w:rFonts w:asciiTheme="minorHAnsi" w:hAnsiTheme="minorHAnsi" w:cstheme="minorHAnsi"/>
        </w:rPr>
        <w:t>Confession. Right preparation required reflecting earnestly on Jesus’ teaching on repentance</w:t>
      </w:r>
      <w:r w:rsidR="00A27F17" w:rsidRPr="00E13E9B">
        <w:rPr>
          <w:rFonts w:asciiTheme="minorHAnsi" w:hAnsiTheme="minorHAnsi" w:cstheme="minorHAnsi"/>
        </w:rPr>
        <w:t>, communal confession</w:t>
      </w:r>
      <w:r w:rsidR="004944A7" w:rsidRPr="00E13E9B">
        <w:rPr>
          <w:rFonts w:asciiTheme="minorHAnsi" w:hAnsiTheme="minorHAnsi" w:cstheme="minorHAnsi"/>
        </w:rPr>
        <w:t xml:space="preserve">, loving one’s neighbour, intention to lead a transformed life, </w:t>
      </w:r>
      <w:r w:rsidR="00A27F17" w:rsidRPr="00E13E9B">
        <w:rPr>
          <w:rFonts w:asciiTheme="minorHAnsi" w:hAnsiTheme="minorHAnsi" w:cstheme="minorHAnsi"/>
        </w:rPr>
        <w:t xml:space="preserve">all moving </w:t>
      </w:r>
      <w:r w:rsidR="007B288E" w:rsidRPr="00E13E9B">
        <w:rPr>
          <w:rFonts w:asciiTheme="minorHAnsi" w:hAnsiTheme="minorHAnsi" w:cstheme="minorHAnsi"/>
        </w:rPr>
        <w:t xml:space="preserve">towards </w:t>
      </w:r>
      <w:r w:rsidR="004944A7" w:rsidRPr="00E13E9B">
        <w:rPr>
          <w:rFonts w:asciiTheme="minorHAnsi" w:hAnsiTheme="minorHAnsi" w:cstheme="minorHAnsi"/>
        </w:rPr>
        <w:t xml:space="preserve">receipt of </w:t>
      </w:r>
      <w:r w:rsidR="004944A7" w:rsidRPr="00E13E9B">
        <w:rPr>
          <w:rFonts w:asciiTheme="minorHAnsi" w:hAnsiTheme="minorHAnsi" w:cstheme="minorHAnsi"/>
        </w:rPr>
        <w:lastRenderedPageBreak/>
        <w:t xml:space="preserve">communion. Absolution repeats the manner of confession, flowing immediately into the new prayer of Humble Access (see below) and words </w:t>
      </w:r>
      <w:r w:rsidR="001C555C" w:rsidRPr="00E13E9B">
        <w:rPr>
          <w:rFonts w:asciiTheme="minorHAnsi" w:hAnsiTheme="minorHAnsi" w:cstheme="minorHAnsi"/>
        </w:rPr>
        <w:t xml:space="preserve">of consecration using Jesus’ words of institution alone, an act of remembrance and re-iteration of Christ’s unique and sufficient atoning, redemptive and salvific sacrifice on the cross. After reception, </w:t>
      </w:r>
      <w:r w:rsidR="00B96592" w:rsidRPr="00E13E9B">
        <w:rPr>
          <w:rFonts w:asciiTheme="minorHAnsi" w:hAnsiTheme="minorHAnsi" w:cstheme="minorHAnsi"/>
        </w:rPr>
        <w:t xml:space="preserve">a deep petitioning prayer for God’s acceptance of our ‘bounden </w:t>
      </w:r>
      <w:proofErr w:type="spellStart"/>
      <w:r w:rsidR="00B96592" w:rsidRPr="00E13E9B">
        <w:rPr>
          <w:rFonts w:asciiTheme="minorHAnsi" w:hAnsiTheme="minorHAnsi" w:cstheme="minorHAnsi"/>
        </w:rPr>
        <w:t>duetie</w:t>
      </w:r>
      <w:proofErr w:type="spellEnd"/>
      <w:r w:rsidR="00B96592" w:rsidRPr="00E13E9B">
        <w:rPr>
          <w:rFonts w:asciiTheme="minorHAnsi" w:hAnsiTheme="minorHAnsi" w:cstheme="minorHAnsi"/>
        </w:rPr>
        <w:t xml:space="preserve"> and service’</w:t>
      </w:r>
      <w:r w:rsidR="00B96592" w:rsidRPr="00AB1AE4">
        <w:rPr>
          <w:rStyle w:val="FootnoteReference"/>
        </w:rPr>
        <w:footnoteReference w:id="74"/>
      </w:r>
      <w:r w:rsidR="00B96592" w:rsidRPr="00E13E9B">
        <w:rPr>
          <w:rFonts w:asciiTheme="minorHAnsi" w:hAnsiTheme="minorHAnsi" w:cstheme="minorHAnsi"/>
        </w:rPr>
        <w:t xml:space="preserve"> for the coming days, not based on merit or good works (i.e. penance) repeats the humility of the prayer of preparation. Only then is </w:t>
      </w:r>
      <w:r w:rsidR="001C555C" w:rsidRPr="00E13E9B">
        <w:rPr>
          <w:rFonts w:asciiTheme="minorHAnsi" w:hAnsiTheme="minorHAnsi" w:cstheme="minorHAnsi"/>
        </w:rPr>
        <w:t xml:space="preserve">the moment </w:t>
      </w:r>
      <w:r w:rsidR="00B96592" w:rsidRPr="00E13E9B">
        <w:rPr>
          <w:rFonts w:asciiTheme="minorHAnsi" w:hAnsiTheme="minorHAnsi" w:cstheme="minorHAnsi"/>
        </w:rPr>
        <w:t xml:space="preserve">appropriate </w:t>
      </w:r>
      <w:r w:rsidR="001C555C" w:rsidRPr="00E13E9B">
        <w:rPr>
          <w:rFonts w:asciiTheme="minorHAnsi" w:hAnsiTheme="minorHAnsi" w:cstheme="minorHAnsi"/>
        </w:rPr>
        <w:t>for praise and glorification</w:t>
      </w:r>
      <w:r w:rsidR="00B96592" w:rsidRPr="00E13E9B">
        <w:rPr>
          <w:rFonts w:asciiTheme="minorHAnsi" w:hAnsiTheme="minorHAnsi" w:cstheme="minorHAnsi"/>
        </w:rPr>
        <w:t>, and a minister’s blessing of Ch</w:t>
      </w:r>
      <w:r w:rsidR="005D752E">
        <w:rPr>
          <w:rFonts w:asciiTheme="minorHAnsi" w:hAnsiTheme="minorHAnsi" w:cstheme="minorHAnsi"/>
        </w:rPr>
        <w:t>r</w:t>
      </w:r>
      <w:r w:rsidR="00B96592" w:rsidRPr="00E13E9B">
        <w:rPr>
          <w:rFonts w:asciiTheme="minorHAnsi" w:hAnsiTheme="minorHAnsi" w:cstheme="minorHAnsi"/>
        </w:rPr>
        <w:t>ist’s peace which exceeds all human understanding.</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Cranmer’s belief and practice centred on three convictions, aligning with both Lutheran and Calvinist views: first, </w:t>
      </w:r>
      <w:r w:rsidRPr="00FE31F4">
        <w:rPr>
          <w:rFonts w:asciiTheme="minorHAnsi" w:hAnsiTheme="minorHAnsi" w:cstheme="minorHAnsi"/>
          <w:i/>
          <w:iCs/>
        </w:rPr>
        <w:t>the Bible as the essential, unique source of Christian faith</w:t>
      </w:r>
      <w:r>
        <w:rPr>
          <w:rFonts w:asciiTheme="minorHAnsi" w:hAnsiTheme="minorHAnsi" w:cstheme="minorHAnsi"/>
        </w:rPr>
        <w:t>: preached and taught to the collective church and individuals from an English-language Bible (and this, including Reformation teaching of justification by faith alone, mandated from 1547), not directed subjectively in Latin by RC</w:t>
      </w:r>
      <w:r w:rsidR="005D752E">
        <w:rPr>
          <w:rFonts w:asciiTheme="minorHAnsi" w:hAnsiTheme="minorHAnsi" w:cstheme="minorHAnsi"/>
        </w:rPr>
        <w:t xml:space="preserve"> priests</w:t>
      </w:r>
      <w:r>
        <w:rPr>
          <w:rFonts w:asciiTheme="minorHAnsi" w:hAnsiTheme="minorHAnsi" w:cstheme="minorHAnsi"/>
        </w:rPr>
        <w:t>.</w:t>
      </w:r>
      <w:r w:rsidRPr="00AB1AE4">
        <w:rPr>
          <w:rStyle w:val="FootnoteReference"/>
        </w:rPr>
        <w:footnoteReference w:id="75"/>
      </w:r>
      <w:r>
        <w:rPr>
          <w:rFonts w:asciiTheme="minorHAnsi" w:hAnsiTheme="minorHAnsi" w:cstheme="minorHAnsi"/>
        </w:rPr>
        <w:t xml:space="preserve"> </w:t>
      </w:r>
      <w:r w:rsidRPr="003B7318">
        <w:rPr>
          <w:rFonts w:asciiTheme="minorHAnsi" w:hAnsiTheme="minorHAnsi" w:cstheme="minorHAnsi"/>
        </w:rPr>
        <w:t xml:space="preserve">However, </w:t>
      </w:r>
      <w:r w:rsidR="00C901CF">
        <w:rPr>
          <w:rFonts w:asciiTheme="minorHAnsi" w:hAnsiTheme="minorHAnsi" w:cstheme="minorHAnsi"/>
        </w:rPr>
        <w:t>the unexpected</w:t>
      </w:r>
      <w:r w:rsidRPr="003B7318">
        <w:rPr>
          <w:rFonts w:asciiTheme="minorHAnsi" w:hAnsiTheme="minorHAnsi" w:cstheme="minorHAnsi"/>
        </w:rPr>
        <w:t xml:space="preserve"> </w:t>
      </w:r>
      <w:r w:rsidR="00C901CF">
        <w:rPr>
          <w:rFonts w:asciiTheme="minorHAnsi" w:hAnsiTheme="minorHAnsi" w:cstheme="minorHAnsi"/>
        </w:rPr>
        <w:t xml:space="preserve">consequential release of </w:t>
      </w:r>
      <w:r w:rsidRPr="003B7318">
        <w:rPr>
          <w:rFonts w:asciiTheme="minorHAnsi" w:hAnsiTheme="minorHAnsi" w:cstheme="minorHAnsi"/>
        </w:rPr>
        <w:t>empower</w:t>
      </w:r>
      <w:r w:rsidR="00C901CF">
        <w:rPr>
          <w:rFonts w:asciiTheme="minorHAnsi" w:hAnsiTheme="minorHAnsi" w:cstheme="minorHAnsi"/>
        </w:rPr>
        <w:t>ment</w:t>
      </w:r>
      <w:r w:rsidRPr="003B7318">
        <w:rPr>
          <w:rFonts w:asciiTheme="minorHAnsi" w:hAnsiTheme="minorHAnsi" w:cstheme="minorHAnsi"/>
        </w:rPr>
        <w:t xml:space="preserve"> </w:t>
      </w:r>
      <w:r w:rsidR="00C901CF">
        <w:rPr>
          <w:rFonts w:asciiTheme="minorHAnsi" w:hAnsiTheme="minorHAnsi" w:cstheme="minorHAnsi"/>
        </w:rPr>
        <w:t>in</w:t>
      </w:r>
      <w:r w:rsidRPr="003B7318">
        <w:rPr>
          <w:rFonts w:asciiTheme="minorHAnsi" w:hAnsiTheme="minorHAnsi" w:cstheme="minorHAnsi"/>
        </w:rPr>
        <w:t xml:space="preserve"> reading the Word in English w</w:t>
      </w:r>
      <w:r w:rsidR="00DB2D6C">
        <w:rPr>
          <w:rFonts w:asciiTheme="minorHAnsi" w:hAnsiTheme="minorHAnsi" w:cstheme="minorHAnsi"/>
        </w:rPr>
        <w:t xml:space="preserve">as to </w:t>
      </w:r>
      <w:r w:rsidRPr="003B7318">
        <w:rPr>
          <w:rFonts w:asciiTheme="minorHAnsi" w:hAnsiTheme="minorHAnsi" w:cstheme="minorHAnsi"/>
        </w:rPr>
        <w:t>leave CofE authority difficult to maintain, as seen in the preaching of early evangelical Anne Askew.</w:t>
      </w:r>
      <w:r w:rsidRPr="00AB1AE4">
        <w:rPr>
          <w:rStyle w:val="FootnoteReference"/>
        </w:rPr>
        <w:footnoteReference w:id="76"/>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Secondly, </w:t>
      </w:r>
      <w:r w:rsidR="005D752E">
        <w:rPr>
          <w:rFonts w:asciiTheme="minorHAnsi" w:hAnsiTheme="minorHAnsi" w:cstheme="minorHAnsi"/>
          <w:i/>
          <w:iCs/>
        </w:rPr>
        <w:t>t</w:t>
      </w:r>
      <w:r w:rsidRPr="00FE31F4">
        <w:rPr>
          <w:rFonts w:asciiTheme="minorHAnsi" w:hAnsiTheme="minorHAnsi" w:cstheme="minorHAnsi"/>
          <w:i/>
          <w:iCs/>
        </w:rPr>
        <w:t xml:space="preserve">he gospel of salvation </w:t>
      </w:r>
      <w:r>
        <w:rPr>
          <w:rFonts w:asciiTheme="minorHAnsi" w:hAnsiTheme="minorHAnsi" w:cstheme="minorHAnsi"/>
          <w:i/>
          <w:iCs/>
        </w:rPr>
        <w:t xml:space="preserve">is </w:t>
      </w:r>
      <w:r w:rsidRPr="00FE31F4">
        <w:rPr>
          <w:rFonts w:asciiTheme="minorHAnsi" w:hAnsiTheme="minorHAnsi" w:cstheme="minorHAnsi"/>
          <w:i/>
          <w:iCs/>
        </w:rPr>
        <w:t>given by grace through faith in Christ and his ‘all-sufficient atoning death’</w:t>
      </w:r>
      <w:r>
        <w:rPr>
          <w:rFonts w:asciiTheme="minorHAnsi" w:hAnsiTheme="minorHAnsi" w:cstheme="minorHAnsi"/>
        </w:rPr>
        <w:t>. The essence of faith for Cranmer, Basil Hall clarifies, aligns with Greek/Latin Fathers, not Luther, that is, not only belief but trust and hope, ‘a living quality indwelling and reviving, a power of grace’.</w:t>
      </w:r>
      <w:r w:rsidRPr="00AB1AE4">
        <w:rPr>
          <w:rStyle w:val="FootnoteReference"/>
        </w:rPr>
        <w:footnoteReference w:id="77"/>
      </w:r>
      <w:r>
        <w:rPr>
          <w:rFonts w:asciiTheme="minorHAnsi" w:hAnsiTheme="minorHAnsi" w:cstheme="minorHAnsi"/>
        </w:rPr>
        <w:t xml:space="preserve"> RC notions of penance achieved through good works, ‘buying’ favour with God or release from the ‘torture of purgatory’, were thereby </w:t>
      </w:r>
      <w:r>
        <w:rPr>
          <w:rFonts w:asciiTheme="minorHAnsi" w:hAnsiTheme="minorHAnsi" w:cstheme="minorHAnsi"/>
        </w:rPr>
        <w:lastRenderedPageBreak/>
        <w:t xml:space="preserve">rejected. Rather, Christ removed mankind’s sin at the cross whereby God freely (by grace) gives and believers trustfully accept (through faith) right standing (justification) with him as his loved, forgiven and accepted children and heirs in present time, not as some future attainment. This is the promise held out at the communion table in the bread and wine. </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Thirdly, </w:t>
      </w:r>
      <w:r w:rsidRPr="00680779">
        <w:rPr>
          <w:rFonts w:asciiTheme="minorHAnsi" w:hAnsiTheme="minorHAnsi" w:cstheme="minorHAnsi"/>
          <w:i/>
          <w:iCs/>
        </w:rPr>
        <w:t>the church is thus ‘the creation and vehicle of the Gospel’:</w:t>
      </w:r>
      <w:r>
        <w:rPr>
          <w:rFonts w:asciiTheme="minorHAnsi" w:hAnsiTheme="minorHAnsi" w:cstheme="minorHAnsi"/>
        </w:rPr>
        <w:t xml:space="preserve"> as God’s community of salvation, it needs to draw its life and being from God, that is, his living Word through word and sacrament. This does not require attachment to or dictation by the papacy.</w:t>
      </w:r>
      <w:r w:rsidRPr="00AB1AE4">
        <w:rPr>
          <w:rStyle w:val="FootnoteReference"/>
        </w:rPr>
        <w:footnoteReference w:id="78"/>
      </w:r>
      <w:r>
        <w:rPr>
          <w:rFonts w:asciiTheme="minorHAnsi" w:hAnsiTheme="minorHAnsi" w:cstheme="minorHAnsi"/>
        </w:rPr>
        <w:t xml:space="preserve"> In short, Cranmer’s perspective on shaping his reforming measures was revival, with the Spirit pouring new life into the church and into the world.</w:t>
      </w:r>
      <w:r w:rsidRPr="00AB1AE4">
        <w:rPr>
          <w:rStyle w:val="FootnoteReference"/>
        </w:rPr>
        <w:footnoteReference w:id="79"/>
      </w:r>
      <w:r w:rsidR="005D752E">
        <w:rPr>
          <w:rFonts w:asciiTheme="minorHAnsi" w:hAnsiTheme="minorHAnsi" w:cstheme="minorHAnsi"/>
        </w:rPr>
        <w:t xml:space="preserve">The bread and wine are the locus of this drawing of life </w:t>
      </w:r>
      <w:r w:rsidR="008239B5">
        <w:rPr>
          <w:rFonts w:asciiTheme="minorHAnsi" w:hAnsiTheme="minorHAnsi" w:cstheme="minorHAnsi"/>
        </w:rPr>
        <w:t>and being from God through the spiritual feeding at reception.</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The crucial royal </w:t>
      </w:r>
      <w:r w:rsidR="003B7318">
        <w:rPr>
          <w:rFonts w:asciiTheme="minorHAnsi" w:hAnsiTheme="minorHAnsi" w:cstheme="minorHAnsi"/>
        </w:rPr>
        <w:t xml:space="preserve">declaration </w:t>
      </w:r>
      <w:r>
        <w:rPr>
          <w:rFonts w:asciiTheme="minorHAnsi" w:hAnsiTheme="minorHAnsi" w:cstheme="minorHAnsi"/>
        </w:rPr>
        <w:t xml:space="preserve">of December 1547 pronounced that ‘people were to limit themselves to the clear words of Holy Scripture when discussing the Eucharist’ and the nature of the bread and wine: </w:t>
      </w:r>
    </w:p>
    <w:p w:rsidR="006375CD"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right="1223"/>
        <w:rPr>
          <w:rFonts w:asciiTheme="minorHAnsi" w:hAnsiTheme="minorHAnsi" w:cstheme="minorHAnsi"/>
        </w:rPr>
      </w:pPr>
      <w:r>
        <w:rPr>
          <w:rFonts w:asciiTheme="minorHAnsi" w:hAnsiTheme="minorHAnsi" w:cstheme="minorHAnsi"/>
        </w:rPr>
        <w:t xml:space="preserve">Were Christ’s body and blood present really or figuratively, locally or </w:t>
      </w:r>
      <w:proofErr w:type="spellStart"/>
      <w:r>
        <w:rPr>
          <w:rFonts w:asciiTheme="minorHAnsi" w:hAnsiTheme="minorHAnsi" w:cstheme="minorHAnsi"/>
        </w:rPr>
        <w:t>circumscriptly</w:t>
      </w:r>
      <w:proofErr w:type="spellEnd"/>
      <w:r>
        <w:rPr>
          <w:rFonts w:asciiTheme="minorHAnsi" w:hAnsiTheme="minorHAnsi" w:cstheme="minorHAnsi"/>
        </w:rPr>
        <w:t>, and having quantity and greatness or but substantially and by substance only, or else but in figure and manner of speaking?</w:t>
      </w:r>
      <w:r w:rsidRPr="00AB1AE4">
        <w:rPr>
          <w:rStyle w:val="FootnoteReference"/>
        </w:rPr>
        <w:footnoteReference w:id="80"/>
      </w:r>
      <w:r>
        <w:rPr>
          <w:rFonts w:asciiTheme="minorHAnsi" w:hAnsiTheme="minorHAnsi" w:cstheme="minorHAnsi"/>
        </w:rPr>
        <w:t xml:space="preserve"> </w:t>
      </w:r>
    </w:p>
    <w:p w:rsidR="006375CD" w:rsidRPr="00A0177F" w:rsidRDefault="003B7318"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Unharried by contrasting criticisms, </w:t>
      </w:r>
      <w:r w:rsidR="006375CD" w:rsidRPr="00C17005">
        <w:rPr>
          <w:rFonts w:asciiTheme="minorHAnsi" w:hAnsiTheme="minorHAnsi" w:cstheme="minorHAnsi"/>
        </w:rPr>
        <w:t xml:space="preserve">Cranmer </w:t>
      </w:r>
      <w:r w:rsidR="006375CD">
        <w:rPr>
          <w:rFonts w:asciiTheme="minorHAnsi" w:hAnsiTheme="minorHAnsi" w:cstheme="minorHAnsi"/>
        </w:rPr>
        <w:t>relies on what he calls ‘true ministration of the sacrament’ at Holy Communion. Christ</w:t>
      </w:r>
      <w:r>
        <w:rPr>
          <w:rFonts w:asciiTheme="minorHAnsi" w:hAnsiTheme="minorHAnsi" w:cstheme="minorHAnsi"/>
        </w:rPr>
        <w:t>, he insists,</w:t>
      </w:r>
      <w:r w:rsidR="006375CD">
        <w:rPr>
          <w:rFonts w:asciiTheme="minorHAnsi" w:hAnsiTheme="minorHAnsi" w:cstheme="minorHAnsi"/>
        </w:rPr>
        <w:t xml:space="preserve"> is present spiritually and consumed spiritually ‘of them that be godly and spiritual’, not consumed corpor</w:t>
      </w:r>
      <w:r>
        <w:rPr>
          <w:rFonts w:asciiTheme="minorHAnsi" w:hAnsiTheme="minorHAnsi" w:cstheme="minorHAnsi"/>
        </w:rPr>
        <w:t>e</w:t>
      </w:r>
      <w:r w:rsidR="006375CD">
        <w:rPr>
          <w:rFonts w:asciiTheme="minorHAnsi" w:hAnsiTheme="minorHAnsi" w:cstheme="minorHAnsi"/>
        </w:rPr>
        <w:t xml:space="preserve">ally, but purely spiritually. Christ, says Cranmer, can make his body present in the sacrament ‘as well with </w:t>
      </w:r>
      <w:r w:rsidR="006375CD">
        <w:rPr>
          <w:rFonts w:asciiTheme="minorHAnsi" w:hAnsiTheme="minorHAnsi" w:cstheme="minorHAnsi"/>
        </w:rPr>
        <w:lastRenderedPageBreak/>
        <w:t>the substance of the bread as without it, and rather with the substance of bread than with the accidents’. He utterly refutes and rejects transubstantiation. He returns to a Cyril</w:t>
      </w:r>
      <w:r w:rsidR="001F3CCD">
        <w:rPr>
          <w:rFonts w:asciiTheme="minorHAnsi" w:hAnsiTheme="minorHAnsi" w:cstheme="minorHAnsi"/>
        </w:rPr>
        <w:t>l</w:t>
      </w:r>
      <w:r w:rsidR="006375CD">
        <w:rPr>
          <w:rFonts w:asciiTheme="minorHAnsi" w:hAnsiTheme="minorHAnsi" w:cstheme="minorHAnsi"/>
        </w:rPr>
        <w:t>ian argument that otherwise there is the potential for Christ having two bodies, one made of the flesh of incarnation to the Virgin Mary, the other of bread, clearly a nonsense.</w:t>
      </w:r>
      <w:r w:rsidR="006375CD" w:rsidRPr="00AB1AE4">
        <w:rPr>
          <w:rStyle w:val="FootnoteReference"/>
        </w:rPr>
        <w:footnoteReference w:id="81"/>
      </w:r>
      <w:r w:rsidR="006375CD">
        <w:rPr>
          <w:rFonts w:asciiTheme="minorHAnsi" w:hAnsiTheme="minorHAnsi" w:cstheme="minorHAnsi"/>
        </w:rPr>
        <w:t xml:space="preserve"> Lutheran consubstantiation, Zwinglian </w:t>
      </w:r>
      <w:proofErr w:type="spellStart"/>
      <w:r w:rsidR="006375CD">
        <w:rPr>
          <w:rFonts w:asciiTheme="minorHAnsi" w:hAnsiTheme="minorHAnsi" w:cstheme="minorHAnsi"/>
        </w:rPr>
        <w:t>memorialism</w:t>
      </w:r>
      <w:proofErr w:type="spellEnd"/>
      <w:r w:rsidR="006375CD">
        <w:rPr>
          <w:rFonts w:asciiTheme="minorHAnsi" w:hAnsiTheme="minorHAnsi" w:cstheme="minorHAnsi"/>
        </w:rPr>
        <w:t xml:space="preserve"> and Calvinist symbolic instrumentalism</w:t>
      </w:r>
      <w:r w:rsidR="003E7C85">
        <w:rPr>
          <w:rStyle w:val="FootnoteReference"/>
          <w:rFonts w:asciiTheme="minorHAnsi" w:hAnsiTheme="minorHAnsi" w:cstheme="minorHAnsi"/>
        </w:rPr>
        <w:footnoteReference w:id="82"/>
      </w:r>
      <w:r w:rsidR="006375CD">
        <w:rPr>
          <w:rFonts w:asciiTheme="minorHAnsi" w:hAnsiTheme="minorHAnsi" w:cstheme="minorHAnsi"/>
        </w:rPr>
        <w:t xml:space="preserve"> were also discounted in favour of a more </w:t>
      </w:r>
      <w:proofErr w:type="spellStart"/>
      <w:r w:rsidR="006375CD">
        <w:rPr>
          <w:rFonts w:asciiTheme="minorHAnsi" w:hAnsiTheme="minorHAnsi" w:cstheme="minorHAnsi"/>
        </w:rPr>
        <w:t>Bucer</w:t>
      </w:r>
      <w:proofErr w:type="spellEnd"/>
      <w:r w:rsidR="006375CD">
        <w:rPr>
          <w:rFonts w:asciiTheme="minorHAnsi" w:hAnsiTheme="minorHAnsi" w:cstheme="minorHAnsi"/>
        </w:rPr>
        <w:t>/Bullinger-type symbolic parallelism</w:t>
      </w:r>
      <w:r w:rsidR="006375CD" w:rsidRPr="00AB1AE4">
        <w:rPr>
          <w:rStyle w:val="FootnoteReference"/>
        </w:rPr>
        <w:footnoteReference w:id="83"/>
      </w:r>
      <w:r w:rsidR="006375CD">
        <w:rPr>
          <w:rFonts w:asciiTheme="minorHAnsi" w:hAnsiTheme="minorHAnsi" w:cstheme="minorHAnsi"/>
        </w:rPr>
        <w:t>, but falling short of the accusation of nominalism some levelled against him</w:t>
      </w:r>
      <w:r w:rsidR="00220184">
        <w:rPr>
          <w:rFonts w:asciiTheme="minorHAnsi" w:hAnsiTheme="minorHAnsi" w:cstheme="minorHAnsi"/>
        </w:rPr>
        <w:t>.</w:t>
      </w:r>
      <w:r w:rsidR="00A0177F">
        <w:rPr>
          <w:rFonts w:asciiTheme="minorHAnsi" w:hAnsiTheme="minorHAnsi" w:cstheme="minorHAnsi"/>
        </w:rPr>
        <w:t xml:space="preserve"> </w:t>
      </w:r>
      <w:r w:rsidR="006375CD">
        <w:rPr>
          <w:rFonts w:asciiTheme="minorHAnsi" w:hAnsiTheme="minorHAnsi" w:cstheme="minorHAnsi"/>
        </w:rPr>
        <w:t xml:space="preserve">The </w:t>
      </w:r>
      <w:r w:rsidR="006375CD" w:rsidRPr="009D081A">
        <w:rPr>
          <w:rFonts w:asciiTheme="minorHAnsi" w:hAnsiTheme="minorHAnsi" w:cstheme="minorHAnsi"/>
          <w:i/>
          <w:iCs/>
        </w:rPr>
        <w:t xml:space="preserve">symbolic </w:t>
      </w:r>
      <w:r w:rsidR="006375CD">
        <w:rPr>
          <w:rFonts w:asciiTheme="minorHAnsi" w:hAnsiTheme="minorHAnsi" w:cstheme="minorHAnsi"/>
        </w:rPr>
        <w:t>nature of the bread and wine is sufficient for believers to receive forgiveness and new life by faith alone with thanksgiving</w:t>
      </w:r>
      <w:r w:rsidR="00A0177F">
        <w:rPr>
          <w:rFonts w:asciiTheme="minorHAnsi" w:hAnsiTheme="minorHAnsi" w:cstheme="minorHAnsi"/>
        </w:rPr>
        <w:t>.</w:t>
      </w:r>
    </w:p>
    <w:p w:rsidR="00FE1815" w:rsidRDefault="006375CD"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The Eucharist was no longer </w:t>
      </w:r>
      <w:r>
        <w:rPr>
          <w:rFonts w:asciiTheme="minorHAnsi" w:hAnsiTheme="minorHAnsi" w:cstheme="minorHAnsi"/>
          <w:i/>
          <w:iCs/>
        </w:rPr>
        <w:t>Mass</w:t>
      </w:r>
      <w:r>
        <w:rPr>
          <w:rFonts w:asciiTheme="minorHAnsi" w:hAnsiTheme="minorHAnsi" w:cstheme="minorHAnsi"/>
        </w:rPr>
        <w:t xml:space="preserve"> but </w:t>
      </w:r>
      <w:r>
        <w:rPr>
          <w:rFonts w:asciiTheme="minorHAnsi" w:hAnsiTheme="minorHAnsi" w:cstheme="minorHAnsi"/>
          <w:i/>
          <w:iCs/>
        </w:rPr>
        <w:t xml:space="preserve">The Order for the Administration of the </w:t>
      </w:r>
      <w:proofErr w:type="spellStart"/>
      <w:r>
        <w:rPr>
          <w:rFonts w:asciiTheme="minorHAnsi" w:hAnsiTheme="minorHAnsi" w:cstheme="minorHAnsi"/>
          <w:i/>
          <w:iCs/>
        </w:rPr>
        <w:t>Lordes</w:t>
      </w:r>
      <w:proofErr w:type="spellEnd"/>
      <w:r>
        <w:rPr>
          <w:rFonts w:asciiTheme="minorHAnsi" w:hAnsiTheme="minorHAnsi" w:cstheme="minorHAnsi"/>
          <w:i/>
          <w:iCs/>
        </w:rPr>
        <w:t xml:space="preserve"> Supper, or </w:t>
      </w:r>
      <w:proofErr w:type="spellStart"/>
      <w:r>
        <w:rPr>
          <w:rFonts w:asciiTheme="minorHAnsi" w:hAnsiTheme="minorHAnsi" w:cstheme="minorHAnsi"/>
          <w:i/>
          <w:iCs/>
        </w:rPr>
        <w:t>Holye</w:t>
      </w:r>
      <w:proofErr w:type="spellEnd"/>
      <w:r>
        <w:rPr>
          <w:rFonts w:asciiTheme="minorHAnsi" w:hAnsiTheme="minorHAnsi" w:cstheme="minorHAnsi"/>
          <w:i/>
          <w:iCs/>
        </w:rPr>
        <w:t xml:space="preserve"> Communion,</w:t>
      </w:r>
      <w:r>
        <w:rPr>
          <w:rFonts w:asciiTheme="minorHAnsi" w:hAnsiTheme="minorHAnsi" w:cstheme="minorHAnsi"/>
        </w:rPr>
        <w:t xml:space="preserve"> with associated removal of embellishments in dress, furniture, liturgical action and movement, all carefully refocusing the worship on the centrality of Scriptural integrity. Cranmer’s genius was taking the Protestant justification by faith alone and writing it into the heart of Holy Communion. Stripped to its core purpose, that is, engaging both the Church as a whole, and individual worshippers in the salvation wrought by Christ’s single offering himself in atonement for the sins of all mankind, the sacramental nature of communion presents the whole of Christians’ li</w:t>
      </w:r>
      <w:r w:rsidR="008239B5">
        <w:rPr>
          <w:rFonts w:asciiTheme="minorHAnsi" w:hAnsiTheme="minorHAnsi" w:cstheme="minorHAnsi"/>
        </w:rPr>
        <w:t>ves</w:t>
      </w:r>
      <w:r>
        <w:rPr>
          <w:rFonts w:asciiTheme="minorHAnsi" w:hAnsiTheme="minorHAnsi" w:cstheme="minorHAnsi"/>
        </w:rPr>
        <w:t xml:space="preserve"> and the daily routine of all Christian living. Some elements are common to all orders of worship. The order and choices of Eucharistic liturgy remind worshippers of the Church’s ‘most essential Christian identity and oneness with Christ as children of God’, where each communicant </w:t>
      </w:r>
      <w:r w:rsidR="003B7318">
        <w:rPr>
          <w:rFonts w:asciiTheme="minorHAnsi" w:hAnsiTheme="minorHAnsi" w:cstheme="minorHAnsi"/>
        </w:rPr>
        <w:t>is</w:t>
      </w:r>
      <w:r w:rsidR="00DB2D6C">
        <w:rPr>
          <w:rFonts w:asciiTheme="minorHAnsi" w:hAnsiTheme="minorHAnsi" w:cstheme="minorHAnsi"/>
        </w:rPr>
        <w:t xml:space="preserve"> </w:t>
      </w:r>
      <w:r>
        <w:rPr>
          <w:rFonts w:asciiTheme="minorHAnsi" w:hAnsiTheme="minorHAnsi" w:cstheme="minorHAnsi"/>
        </w:rPr>
        <w:lastRenderedPageBreak/>
        <w:t>thus spiritually fed with the bread/wine, spiritually infilled and inspired with the saving power of Christ’s body.</w:t>
      </w:r>
      <w:r w:rsidRPr="00AB1AE4">
        <w:rPr>
          <w:rStyle w:val="FootnoteReference"/>
        </w:rPr>
        <w:footnoteReference w:id="84"/>
      </w:r>
      <w:r>
        <w:rPr>
          <w:rFonts w:asciiTheme="minorHAnsi" w:hAnsiTheme="minorHAnsi" w:cstheme="minorHAnsi"/>
        </w:rPr>
        <w:t xml:space="preserve"> </w:t>
      </w:r>
    </w:p>
    <w:p w:rsidR="00FE1815" w:rsidRDefault="00FE1815"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 xml:space="preserve">The precision of wording clearly points to a spiritual meal, whereby worshippers may </w:t>
      </w:r>
      <w:r w:rsidRPr="00E13E9B">
        <w:rPr>
          <w:rFonts w:asciiTheme="minorHAnsi" w:hAnsiTheme="minorHAnsi" w:cstheme="minorHAnsi"/>
        </w:rPr>
        <w:t xml:space="preserve">partake ‘of his most blessed body and </w:t>
      </w:r>
      <w:proofErr w:type="spellStart"/>
      <w:r w:rsidRPr="00E13E9B">
        <w:rPr>
          <w:rFonts w:asciiTheme="minorHAnsi" w:hAnsiTheme="minorHAnsi" w:cstheme="minorHAnsi"/>
        </w:rPr>
        <w:t>bloud</w:t>
      </w:r>
      <w:proofErr w:type="spellEnd"/>
      <w:r w:rsidRPr="00E13E9B">
        <w:rPr>
          <w:rFonts w:asciiTheme="minorHAnsi" w:hAnsiTheme="minorHAnsi" w:cstheme="minorHAnsi"/>
        </w:rPr>
        <w:t xml:space="preserve">’ ‘in </w:t>
      </w:r>
      <w:proofErr w:type="spellStart"/>
      <w:r w:rsidRPr="00E13E9B">
        <w:rPr>
          <w:rFonts w:asciiTheme="minorHAnsi" w:hAnsiTheme="minorHAnsi" w:cstheme="minorHAnsi"/>
        </w:rPr>
        <w:t>remembraunce</w:t>
      </w:r>
      <w:proofErr w:type="spellEnd"/>
      <w:r w:rsidRPr="00E13E9B">
        <w:rPr>
          <w:rFonts w:asciiTheme="minorHAnsi" w:hAnsiTheme="minorHAnsi" w:cstheme="minorHAnsi"/>
        </w:rPr>
        <w:t xml:space="preserve"> of his death and passion’ ‘by </w:t>
      </w:r>
      <w:proofErr w:type="spellStart"/>
      <w:r w:rsidRPr="00E13E9B">
        <w:rPr>
          <w:rFonts w:asciiTheme="minorHAnsi" w:hAnsiTheme="minorHAnsi" w:cstheme="minorHAnsi"/>
        </w:rPr>
        <w:t>faythe</w:t>
      </w:r>
      <w:proofErr w:type="spellEnd"/>
      <w:r w:rsidRPr="00E13E9B">
        <w:rPr>
          <w:rFonts w:asciiTheme="minorHAnsi" w:hAnsiTheme="minorHAnsi" w:cstheme="minorHAnsi"/>
        </w:rPr>
        <w:t xml:space="preserve">, with </w:t>
      </w:r>
      <w:proofErr w:type="spellStart"/>
      <w:r w:rsidRPr="00E13E9B">
        <w:rPr>
          <w:rFonts w:asciiTheme="minorHAnsi" w:hAnsiTheme="minorHAnsi" w:cstheme="minorHAnsi"/>
        </w:rPr>
        <w:t>thankesgeving</w:t>
      </w:r>
      <w:proofErr w:type="spellEnd"/>
      <w:r w:rsidRPr="00E13E9B">
        <w:rPr>
          <w:rFonts w:asciiTheme="minorHAnsi" w:hAnsiTheme="minorHAnsi" w:cstheme="minorHAnsi"/>
        </w:rPr>
        <w:t>’.</w:t>
      </w:r>
      <w:r>
        <w:rPr>
          <w:rFonts w:asciiTheme="minorHAnsi" w:hAnsiTheme="minorHAnsi" w:cstheme="minorHAnsi"/>
        </w:rPr>
        <w:t xml:space="preserve"> By faith alone, the prayer is that ‘we and al thy whole church may </w:t>
      </w:r>
      <w:proofErr w:type="spellStart"/>
      <w:r>
        <w:rPr>
          <w:rFonts w:asciiTheme="minorHAnsi" w:hAnsiTheme="minorHAnsi" w:cstheme="minorHAnsi"/>
        </w:rPr>
        <w:t>obtaine</w:t>
      </w:r>
      <w:proofErr w:type="spellEnd"/>
      <w:r>
        <w:rPr>
          <w:rFonts w:asciiTheme="minorHAnsi" w:hAnsiTheme="minorHAnsi" w:cstheme="minorHAnsi"/>
        </w:rPr>
        <w:t xml:space="preserve"> remission of our </w:t>
      </w:r>
      <w:proofErr w:type="spellStart"/>
      <w:r>
        <w:rPr>
          <w:rFonts w:asciiTheme="minorHAnsi" w:hAnsiTheme="minorHAnsi" w:cstheme="minorHAnsi"/>
        </w:rPr>
        <w:t>synnes</w:t>
      </w:r>
      <w:proofErr w:type="spellEnd"/>
      <w:r>
        <w:rPr>
          <w:rFonts w:asciiTheme="minorHAnsi" w:hAnsiTheme="minorHAnsi" w:cstheme="minorHAnsi"/>
        </w:rPr>
        <w:t xml:space="preserve">, and all other benefits of his Passion’. It is </w:t>
      </w:r>
      <w:r w:rsidR="008239B5">
        <w:rPr>
          <w:rFonts w:asciiTheme="minorHAnsi" w:hAnsiTheme="minorHAnsi" w:cstheme="minorHAnsi"/>
        </w:rPr>
        <w:t xml:space="preserve">through </w:t>
      </w:r>
      <w:r>
        <w:rPr>
          <w:rFonts w:asciiTheme="minorHAnsi" w:hAnsiTheme="minorHAnsi" w:cstheme="minorHAnsi"/>
        </w:rPr>
        <w:t xml:space="preserve">the </w:t>
      </w:r>
      <w:r w:rsidRPr="00FA0B6B">
        <w:rPr>
          <w:rFonts w:asciiTheme="minorHAnsi" w:hAnsiTheme="minorHAnsi" w:cstheme="minorHAnsi"/>
          <w:i/>
          <w:iCs/>
        </w:rPr>
        <w:t>reception</w:t>
      </w:r>
      <w:r>
        <w:rPr>
          <w:rFonts w:asciiTheme="minorHAnsi" w:hAnsiTheme="minorHAnsi" w:cstheme="minorHAnsi"/>
        </w:rPr>
        <w:t xml:space="preserve"> of bread and wine, ‘partakers of this holy Communion’, not the consecrated elements that worshippers ‘may </w:t>
      </w:r>
      <w:proofErr w:type="spellStart"/>
      <w:r>
        <w:rPr>
          <w:rFonts w:asciiTheme="minorHAnsi" w:hAnsiTheme="minorHAnsi" w:cstheme="minorHAnsi"/>
        </w:rPr>
        <w:t>bee</w:t>
      </w:r>
      <w:proofErr w:type="spellEnd"/>
      <w:r>
        <w:rPr>
          <w:rFonts w:asciiTheme="minorHAnsi" w:hAnsiTheme="minorHAnsi" w:cstheme="minorHAnsi"/>
        </w:rPr>
        <w:t xml:space="preserve"> fulfilled with thy grace and heavenly </w:t>
      </w:r>
      <w:proofErr w:type="spellStart"/>
      <w:r>
        <w:rPr>
          <w:rFonts w:asciiTheme="minorHAnsi" w:hAnsiTheme="minorHAnsi" w:cstheme="minorHAnsi"/>
        </w:rPr>
        <w:t>benediccion</w:t>
      </w:r>
      <w:proofErr w:type="spellEnd"/>
      <w:r>
        <w:rPr>
          <w:rFonts w:asciiTheme="minorHAnsi" w:hAnsiTheme="minorHAnsi" w:cstheme="minorHAnsi"/>
        </w:rPr>
        <w:t>’.</w:t>
      </w:r>
      <w:r w:rsidRPr="00AB1AE4">
        <w:rPr>
          <w:rStyle w:val="FootnoteReference"/>
        </w:rPr>
        <w:footnoteReference w:id="85"/>
      </w:r>
      <w:r>
        <w:rPr>
          <w:rFonts w:asciiTheme="minorHAnsi" w:hAnsiTheme="minorHAnsi" w:cstheme="minorHAnsi"/>
        </w:rPr>
        <w:t xml:space="preserve"> This counters and dismisses the Tridentine declarations confirming the doctrine of transubstantiation. </w:t>
      </w:r>
    </w:p>
    <w:p w:rsidR="00FE1815" w:rsidRPr="009957E8" w:rsidRDefault="00FE1815"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firstLine="426"/>
        <w:rPr>
          <w:rFonts w:asciiTheme="minorHAnsi" w:hAnsiTheme="minorHAnsi" w:cstheme="minorHAnsi"/>
        </w:rPr>
      </w:pPr>
      <w:r>
        <w:rPr>
          <w:rFonts w:asciiTheme="minorHAnsi" w:hAnsiTheme="minorHAnsi" w:cstheme="minorHAnsi"/>
        </w:rPr>
        <w:t>The addition of the Prayer of Humble Access in BCP suggests its importance to Cranmer, as does its positioning centrally in the service. Thus amendments between 1549 and 1552 provide subtle, but significant, variations theologically.</w:t>
      </w:r>
      <w:r w:rsidRPr="00AB1AE4">
        <w:rPr>
          <w:rStyle w:val="FootnoteReference"/>
        </w:rPr>
        <w:footnoteReference w:id="86"/>
      </w:r>
      <w:r>
        <w:rPr>
          <w:rFonts w:asciiTheme="minorHAnsi" w:hAnsiTheme="minorHAnsi" w:cstheme="minorHAnsi"/>
        </w:rPr>
        <w:t xml:space="preserve"> Worthy and humble reception</w:t>
      </w:r>
      <w:r w:rsidRPr="00AB1AE4">
        <w:rPr>
          <w:rStyle w:val="FootnoteReference"/>
        </w:rPr>
        <w:footnoteReference w:id="87"/>
      </w:r>
      <w:r>
        <w:rPr>
          <w:rFonts w:asciiTheme="minorHAnsi" w:hAnsiTheme="minorHAnsi" w:cstheme="minorHAnsi"/>
        </w:rPr>
        <w:t>, rather than consecration or even repentance, thus becomes the highpoint of the communion.</w:t>
      </w:r>
      <w:r w:rsidRPr="00AB1AE4">
        <w:rPr>
          <w:rStyle w:val="FootnoteReference"/>
        </w:rPr>
        <w:footnoteReference w:id="88"/>
      </w:r>
      <w:r>
        <w:rPr>
          <w:rFonts w:asciiTheme="minorHAnsi" w:hAnsiTheme="minorHAnsi" w:cstheme="minorHAnsi"/>
        </w:rPr>
        <w:t xml:space="preserve"> Katie </w:t>
      </w:r>
      <w:proofErr w:type="spellStart"/>
      <w:r>
        <w:rPr>
          <w:rFonts w:asciiTheme="minorHAnsi" w:hAnsiTheme="minorHAnsi" w:cstheme="minorHAnsi"/>
        </w:rPr>
        <w:t>Badie</w:t>
      </w:r>
      <w:proofErr w:type="spellEnd"/>
      <w:r>
        <w:rPr>
          <w:rFonts w:asciiTheme="minorHAnsi" w:hAnsiTheme="minorHAnsi" w:cstheme="minorHAnsi"/>
        </w:rPr>
        <w:t xml:space="preserve"> indicates the controversial inclusion of the doublet ‘sinful </w:t>
      </w:r>
      <w:r w:rsidRPr="009957E8">
        <w:rPr>
          <w:rFonts w:asciiTheme="minorHAnsi" w:hAnsiTheme="minorHAnsi" w:cstheme="minorHAnsi"/>
          <w:i/>
          <w:iCs/>
        </w:rPr>
        <w:t>bodies</w:t>
      </w:r>
      <w:r>
        <w:rPr>
          <w:rFonts w:asciiTheme="minorHAnsi" w:hAnsiTheme="minorHAnsi" w:cstheme="minorHAnsi"/>
        </w:rPr>
        <w:t xml:space="preserve">…made clean by his </w:t>
      </w:r>
      <w:r w:rsidRPr="009957E8">
        <w:rPr>
          <w:rFonts w:asciiTheme="minorHAnsi" w:hAnsiTheme="minorHAnsi" w:cstheme="minorHAnsi"/>
          <w:i/>
          <w:iCs/>
        </w:rPr>
        <w:t>body</w:t>
      </w:r>
      <w:r>
        <w:rPr>
          <w:rFonts w:asciiTheme="minorHAnsi" w:hAnsiTheme="minorHAnsi" w:cstheme="minorHAnsi"/>
        </w:rPr>
        <w:t>’ and ‘</w:t>
      </w:r>
      <w:r>
        <w:rPr>
          <w:rFonts w:asciiTheme="minorHAnsi" w:hAnsiTheme="minorHAnsi" w:cstheme="minorHAnsi"/>
          <w:i/>
          <w:iCs/>
        </w:rPr>
        <w:t>souls</w:t>
      </w:r>
      <w:r>
        <w:rPr>
          <w:rFonts w:asciiTheme="minorHAnsi" w:hAnsiTheme="minorHAnsi" w:cstheme="minorHAnsi"/>
        </w:rPr>
        <w:t xml:space="preserve"> washed by his…</w:t>
      </w:r>
      <w:r>
        <w:rPr>
          <w:rFonts w:asciiTheme="minorHAnsi" w:hAnsiTheme="minorHAnsi" w:cstheme="minorHAnsi"/>
          <w:i/>
          <w:iCs/>
        </w:rPr>
        <w:t>blood</w:t>
      </w:r>
      <w:r>
        <w:rPr>
          <w:rFonts w:asciiTheme="minorHAnsi" w:hAnsiTheme="minorHAnsi" w:cstheme="minorHAnsi"/>
        </w:rPr>
        <w:t xml:space="preserve">’ to accompany the importance of reception in both kinds compared with the Roman rite. This is reflected in the addition of ‘and soul’ into the words of reception. The power of the final words of the Prayer of Humble Access of the indwelling of Christ draw the elements of reception compellingly towards Jesus’ words in John 6:56: ‘He that </w:t>
      </w:r>
      <w:proofErr w:type="spellStart"/>
      <w:r>
        <w:rPr>
          <w:rFonts w:asciiTheme="minorHAnsi" w:hAnsiTheme="minorHAnsi" w:cstheme="minorHAnsi"/>
        </w:rPr>
        <w:t>eateth</w:t>
      </w:r>
      <w:proofErr w:type="spellEnd"/>
      <w:r>
        <w:rPr>
          <w:rFonts w:asciiTheme="minorHAnsi" w:hAnsiTheme="minorHAnsi" w:cstheme="minorHAnsi"/>
        </w:rPr>
        <w:t xml:space="preserve"> my flesh and </w:t>
      </w:r>
      <w:proofErr w:type="spellStart"/>
      <w:r>
        <w:rPr>
          <w:rFonts w:asciiTheme="minorHAnsi" w:hAnsiTheme="minorHAnsi" w:cstheme="minorHAnsi"/>
        </w:rPr>
        <w:t>drinketh</w:t>
      </w:r>
      <w:proofErr w:type="spellEnd"/>
      <w:r>
        <w:rPr>
          <w:rFonts w:asciiTheme="minorHAnsi" w:hAnsiTheme="minorHAnsi" w:cstheme="minorHAnsi"/>
        </w:rPr>
        <w:t xml:space="preserve"> my </w:t>
      </w:r>
      <w:r>
        <w:rPr>
          <w:rFonts w:asciiTheme="minorHAnsi" w:hAnsiTheme="minorHAnsi" w:cstheme="minorHAnsi"/>
        </w:rPr>
        <w:lastRenderedPageBreak/>
        <w:t>blood dwelleth in me and I in him’ (AV) – evoking not only intimacy with Christ, but the strengthening nourishment of Christ’s indwelling and bearing of fruit with its eternal abundance.</w:t>
      </w:r>
      <w:r w:rsidRPr="00AB1AE4">
        <w:rPr>
          <w:rStyle w:val="FootnoteReference"/>
        </w:rPr>
        <w:footnoteReference w:id="89"/>
      </w:r>
      <w:r>
        <w:rPr>
          <w:rFonts w:asciiTheme="minorHAnsi" w:hAnsiTheme="minorHAnsi" w:cstheme="minorHAnsi"/>
        </w:rPr>
        <w:t xml:space="preserve"> A fitting place to participate in a simultaneously tangible and spiritual manner the saving power of Christ’s body as </w:t>
      </w:r>
      <w:r w:rsidRPr="00000BF9">
        <w:rPr>
          <w:rFonts w:asciiTheme="minorHAnsi" w:hAnsiTheme="minorHAnsi" w:cstheme="minorHAnsi"/>
          <w:i/>
          <w:iCs/>
        </w:rPr>
        <w:t>Holy</w:t>
      </w:r>
      <w:r>
        <w:rPr>
          <w:rFonts w:asciiTheme="minorHAnsi" w:hAnsiTheme="minorHAnsi" w:cstheme="minorHAnsi"/>
        </w:rPr>
        <w:t xml:space="preserve"> Communion is celebrated.</w:t>
      </w:r>
    </w:p>
    <w:p w:rsidR="00CB0C7F" w:rsidRPr="00606FB9" w:rsidRDefault="002B55FA" w:rsidP="00885569">
      <w:pPr>
        <w:pStyle w:val="Heading1"/>
        <w:spacing w:line="480" w:lineRule="auto"/>
        <w:rPr>
          <w:rFonts w:asciiTheme="minorHAnsi" w:hAnsiTheme="minorHAnsi" w:cstheme="minorHAnsi"/>
          <w:b/>
          <w:bCs/>
          <w:color w:val="auto"/>
          <w:sz w:val="24"/>
          <w:szCs w:val="24"/>
        </w:rPr>
      </w:pPr>
      <w:bookmarkStart w:id="11" w:name="_Toc166761534"/>
      <w:bookmarkEnd w:id="8"/>
      <w:bookmarkEnd w:id="9"/>
      <w:bookmarkEnd w:id="10"/>
      <w:r w:rsidRPr="00606FB9">
        <w:rPr>
          <w:rFonts w:asciiTheme="minorHAnsi" w:hAnsiTheme="minorHAnsi" w:cstheme="minorHAnsi"/>
          <w:b/>
          <w:bCs/>
          <w:color w:val="auto"/>
          <w:sz w:val="24"/>
          <w:szCs w:val="24"/>
        </w:rPr>
        <w:t>Concluding Reflections</w:t>
      </w:r>
      <w:bookmarkEnd w:id="11"/>
    </w:p>
    <w:p w:rsidR="00DC05F3" w:rsidRDefault="004B6A51" w:rsidP="00885569">
      <w:pPr>
        <w:spacing w:line="480" w:lineRule="auto"/>
        <w:ind w:firstLine="426"/>
        <w:rPr>
          <w:rFonts w:asciiTheme="minorHAnsi" w:hAnsiTheme="minorHAnsi" w:cstheme="minorHAnsi"/>
        </w:rPr>
      </w:pPr>
      <w:r>
        <w:rPr>
          <w:rFonts w:asciiTheme="minorHAnsi" w:hAnsiTheme="minorHAnsi" w:cstheme="minorHAnsi"/>
        </w:rPr>
        <w:t>Our differences have been shaped by politics, religion, personal issues</w:t>
      </w:r>
      <w:r w:rsidR="001A5D07">
        <w:rPr>
          <w:rFonts w:asciiTheme="minorHAnsi" w:hAnsiTheme="minorHAnsi" w:cstheme="minorHAnsi"/>
        </w:rPr>
        <w:t>. T</w:t>
      </w:r>
      <w:r>
        <w:rPr>
          <w:rFonts w:asciiTheme="minorHAnsi" w:hAnsiTheme="minorHAnsi" w:cstheme="minorHAnsi"/>
        </w:rPr>
        <w:t>he past bears witness to bitter and violent disagreement as evidenced in the struggles to cleanse the traditional abuses in worship and authority</w:t>
      </w:r>
      <w:r w:rsidR="001743FF" w:rsidRPr="001743FF">
        <w:rPr>
          <w:rFonts w:asciiTheme="minorHAnsi" w:hAnsiTheme="minorHAnsi" w:cstheme="minorHAnsi"/>
        </w:rPr>
        <w:t xml:space="preserve"> </w:t>
      </w:r>
      <w:r w:rsidR="001743FF">
        <w:rPr>
          <w:rFonts w:asciiTheme="minorHAnsi" w:hAnsiTheme="minorHAnsi" w:cstheme="minorHAnsi"/>
        </w:rPr>
        <w:t xml:space="preserve">From their insistence on the three essential principles, </w:t>
      </w:r>
      <w:r w:rsidR="001743FF">
        <w:rPr>
          <w:rFonts w:asciiTheme="minorHAnsi" w:hAnsiTheme="minorHAnsi" w:cstheme="minorHAnsi"/>
          <w:i/>
          <w:iCs/>
        </w:rPr>
        <w:t>sola scriptura, sola fide, sola gratia,</w:t>
      </w:r>
      <w:r w:rsidR="00200A85">
        <w:rPr>
          <w:rFonts w:asciiTheme="minorHAnsi" w:hAnsiTheme="minorHAnsi" w:cstheme="minorHAnsi"/>
        </w:rPr>
        <w:t xml:space="preserve"> Luther, Calvin and Cranmer </w:t>
      </w:r>
      <w:r w:rsidR="001743FF">
        <w:rPr>
          <w:rFonts w:asciiTheme="minorHAnsi" w:hAnsiTheme="minorHAnsi" w:cstheme="minorHAnsi"/>
        </w:rPr>
        <w:t xml:space="preserve">developed and achieved </w:t>
      </w:r>
      <w:r w:rsidR="00DC05F3">
        <w:rPr>
          <w:rFonts w:asciiTheme="minorHAnsi" w:hAnsiTheme="minorHAnsi" w:cstheme="minorHAnsi"/>
        </w:rPr>
        <w:t xml:space="preserve">a massive realignment of thinking and theology which </w:t>
      </w:r>
      <w:r w:rsidR="00AB1AE4">
        <w:rPr>
          <w:rFonts w:asciiTheme="minorHAnsi" w:hAnsiTheme="minorHAnsi" w:cstheme="minorHAnsi"/>
        </w:rPr>
        <w:t xml:space="preserve">restored Scriptural integrity to </w:t>
      </w:r>
      <w:r w:rsidR="00971156">
        <w:rPr>
          <w:rFonts w:asciiTheme="minorHAnsi" w:hAnsiTheme="minorHAnsi" w:cstheme="minorHAnsi"/>
        </w:rPr>
        <w:t xml:space="preserve">ecclesiology and theology and </w:t>
      </w:r>
      <w:r w:rsidR="00DC05F3">
        <w:rPr>
          <w:rFonts w:asciiTheme="minorHAnsi" w:hAnsiTheme="minorHAnsi" w:cstheme="minorHAnsi"/>
        </w:rPr>
        <w:t xml:space="preserve">captured popular belief. </w:t>
      </w:r>
      <w:r w:rsidR="001743FF">
        <w:rPr>
          <w:rFonts w:asciiTheme="minorHAnsi" w:hAnsiTheme="minorHAnsi" w:cstheme="minorHAnsi"/>
        </w:rPr>
        <w:t xml:space="preserve">They </w:t>
      </w:r>
      <w:r w:rsidR="00DC05F3">
        <w:rPr>
          <w:rFonts w:asciiTheme="minorHAnsi" w:hAnsiTheme="minorHAnsi" w:cstheme="minorHAnsi"/>
        </w:rPr>
        <w:t>offer</w:t>
      </w:r>
      <w:r w:rsidR="001743FF">
        <w:rPr>
          <w:rFonts w:asciiTheme="minorHAnsi" w:hAnsiTheme="minorHAnsi" w:cstheme="minorHAnsi"/>
        </w:rPr>
        <w:t>ed</w:t>
      </w:r>
      <w:r w:rsidR="00DC05F3">
        <w:rPr>
          <w:rFonts w:asciiTheme="minorHAnsi" w:hAnsiTheme="minorHAnsi" w:cstheme="minorHAnsi"/>
        </w:rPr>
        <w:t xml:space="preserve"> a corrective to </w:t>
      </w:r>
      <w:r w:rsidR="00AB1AE4">
        <w:rPr>
          <w:rFonts w:asciiTheme="minorHAnsi" w:hAnsiTheme="minorHAnsi" w:cstheme="minorHAnsi"/>
        </w:rPr>
        <w:t xml:space="preserve">traditional </w:t>
      </w:r>
      <w:r w:rsidR="00DD4A44">
        <w:rPr>
          <w:rFonts w:asciiTheme="minorHAnsi" w:hAnsiTheme="minorHAnsi" w:cstheme="minorHAnsi"/>
        </w:rPr>
        <w:t>RC</w:t>
      </w:r>
      <w:r w:rsidR="00DC05F3">
        <w:rPr>
          <w:rFonts w:asciiTheme="minorHAnsi" w:hAnsiTheme="minorHAnsi" w:cstheme="minorHAnsi"/>
        </w:rPr>
        <w:t xml:space="preserve"> doctrine, most especially regarding transubstantiation. </w:t>
      </w:r>
      <w:r w:rsidR="00FB46BB">
        <w:rPr>
          <w:rFonts w:asciiTheme="minorHAnsi" w:hAnsiTheme="minorHAnsi" w:cstheme="minorHAnsi"/>
        </w:rPr>
        <w:t>For the Reformers, b</w:t>
      </w:r>
      <w:r w:rsidR="00DC05F3">
        <w:rPr>
          <w:rFonts w:asciiTheme="minorHAnsi" w:hAnsiTheme="minorHAnsi" w:cstheme="minorHAnsi"/>
        </w:rPr>
        <w:t>aptism and Eucharist encompass</w:t>
      </w:r>
      <w:r w:rsidR="001743FF">
        <w:rPr>
          <w:rFonts w:asciiTheme="minorHAnsi" w:hAnsiTheme="minorHAnsi" w:cstheme="minorHAnsi"/>
        </w:rPr>
        <w:t>ed</w:t>
      </w:r>
      <w:r w:rsidR="00DC05F3">
        <w:rPr>
          <w:rFonts w:asciiTheme="minorHAnsi" w:hAnsiTheme="minorHAnsi" w:cstheme="minorHAnsi"/>
        </w:rPr>
        <w:t xml:space="preserve"> a believer’s </w:t>
      </w:r>
      <w:r w:rsidR="001743FF">
        <w:rPr>
          <w:rFonts w:asciiTheme="minorHAnsi" w:hAnsiTheme="minorHAnsi" w:cstheme="minorHAnsi"/>
        </w:rPr>
        <w:t xml:space="preserve">entire </w:t>
      </w:r>
      <w:r w:rsidR="00DC05F3">
        <w:rPr>
          <w:rFonts w:asciiTheme="minorHAnsi" w:hAnsiTheme="minorHAnsi" w:cstheme="minorHAnsi"/>
        </w:rPr>
        <w:t>focus of faith</w:t>
      </w:r>
      <w:r w:rsidR="00FB46BB">
        <w:rPr>
          <w:rFonts w:asciiTheme="minorHAnsi" w:hAnsiTheme="minorHAnsi" w:cstheme="minorHAnsi"/>
        </w:rPr>
        <w:t xml:space="preserve"> and Christ-orientated living</w:t>
      </w:r>
      <w:r w:rsidR="00DC05F3">
        <w:rPr>
          <w:rFonts w:asciiTheme="minorHAnsi" w:hAnsiTheme="minorHAnsi" w:cstheme="minorHAnsi"/>
        </w:rPr>
        <w:t xml:space="preserve">. </w:t>
      </w:r>
      <w:r w:rsidR="001743FF">
        <w:rPr>
          <w:rFonts w:asciiTheme="minorHAnsi" w:hAnsiTheme="minorHAnsi" w:cstheme="minorHAnsi"/>
        </w:rPr>
        <w:t>Their</w:t>
      </w:r>
      <w:r w:rsidR="002442FB">
        <w:rPr>
          <w:rFonts w:asciiTheme="minorHAnsi" w:hAnsiTheme="minorHAnsi" w:cstheme="minorHAnsi"/>
        </w:rPr>
        <w:t xml:space="preserve"> encounter with the real presence of the risen Christ and his saving power in the bread and wine of the Eucharist refreshes and renews body, soul and spirit. A</w:t>
      </w:r>
      <w:r w:rsidR="001A5D07">
        <w:rPr>
          <w:rFonts w:asciiTheme="minorHAnsi" w:hAnsiTheme="minorHAnsi" w:cstheme="minorHAnsi"/>
        </w:rPr>
        <w:t xml:space="preserve">ll focus is on giving praise and thanksgiving to God, remembering his </w:t>
      </w:r>
      <w:r w:rsidR="001743FF">
        <w:rPr>
          <w:rFonts w:asciiTheme="minorHAnsi" w:hAnsiTheme="minorHAnsi" w:cstheme="minorHAnsi"/>
        </w:rPr>
        <w:t xml:space="preserve">one-time salvific </w:t>
      </w:r>
      <w:r w:rsidR="001A5D07">
        <w:rPr>
          <w:rFonts w:asciiTheme="minorHAnsi" w:hAnsiTheme="minorHAnsi" w:cstheme="minorHAnsi"/>
        </w:rPr>
        <w:t xml:space="preserve">sacrifice on the cross, </w:t>
      </w:r>
      <w:r w:rsidR="001743FF">
        <w:rPr>
          <w:rFonts w:asciiTheme="minorHAnsi" w:hAnsiTheme="minorHAnsi" w:cstheme="minorHAnsi"/>
        </w:rPr>
        <w:t>enacted through the spiritual reception of</w:t>
      </w:r>
      <w:r w:rsidR="001A5D07">
        <w:rPr>
          <w:rFonts w:asciiTheme="minorHAnsi" w:hAnsiTheme="minorHAnsi" w:cstheme="minorHAnsi"/>
        </w:rPr>
        <w:t xml:space="preserve"> the real presence and saving power of Christ’s body </w:t>
      </w:r>
      <w:r w:rsidR="001743FF">
        <w:rPr>
          <w:rFonts w:asciiTheme="minorHAnsi" w:hAnsiTheme="minorHAnsi" w:cstheme="minorHAnsi"/>
        </w:rPr>
        <w:t xml:space="preserve">in </w:t>
      </w:r>
      <w:r w:rsidR="001A5D07">
        <w:rPr>
          <w:rFonts w:asciiTheme="minorHAnsi" w:hAnsiTheme="minorHAnsi" w:cstheme="minorHAnsi"/>
        </w:rPr>
        <w:t xml:space="preserve">the bread and wine of the Eucharist. </w:t>
      </w:r>
      <w:r w:rsidR="00FB46BB">
        <w:rPr>
          <w:rFonts w:asciiTheme="minorHAnsi" w:hAnsiTheme="minorHAnsi" w:cstheme="minorHAnsi"/>
        </w:rPr>
        <w:t>This is what it truly means to participate, both as individuals and as the whole church, in the saving power of Christ’s body at the Eucharist.</w:t>
      </w:r>
    </w:p>
    <w:p w:rsidR="00DC05F3" w:rsidRDefault="001743FF" w:rsidP="00885569">
      <w:pPr>
        <w:spacing w:line="480" w:lineRule="auto"/>
        <w:ind w:firstLine="426"/>
        <w:rPr>
          <w:rFonts w:asciiTheme="minorHAnsi" w:hAnsiTheme="minorHAnsi" w:cstheme="minorHAnsi"/>
        </w:rPr>
      </w:pPr>
      <w:r>
        <w:rPr>
          <w:rFonts w:asciiTheme="minorHAnsi" w:hAnsiTheme="minorHAnsi" w:cstheme="minorHAnsi"/>
        </w:rPr>
        <w:lastRenderedPageBreak/>
        <w:t>A</w:t>
      </w:r>
      <w:r w:rsidR="004B6A51">
        <w:rPr>
          <w:rFonts w:asciiTheme="minorHAnsi" w:hAnsiTheme="minorHAnsi" w:cstheme="minorHAnsi"/>
        </w:rPr>
        <w:t>ttempt</w:t>
      </w:r>
      <w:r>
        <w:rPr>
          <w:rFonts w:asciiTheme="minorHAnsi" w:hAnsiTheme="minorHAnsi" w:cstheme="minorHAnsi"/>
        </w:rPr>
        <w:t>s to reconcile</w:t>
      </w:r>
      <w:r w:rsidR="004B6A51">
        <w:rPr>
          <w:rFonts w:asciiTheme="minorHAnsi" w:hAnsiTheme="minorHAnsi" w:cstheme="minorHAnsi"/>
        </w:rPr>
        <w:t xml:space="preserve"> </w:t>
      </w:r>
      <w:r>
        <w:rPr>
          <w:rFonts w:asciiTheme="minorHAnsi" w:hAnsiTheme="minorHAnsi" w:cstheme="minorHAnsi"/>
        </w:rPr>
        <w:t xml:space="preserve">unresolved </w:t>
      </w:r>
      <w:r w:rsidR="004B6A51">
        <w:rPr>
          <w:rFonts w:asciiTheme="minorHAnsi" w:hAnsiTheme="minorHAnsi" w:cstheme="minorHAnsi"/>
        </w:rPr>
        <w:t xml:space="preserve">differences </w:t>
      </w:r>
      <w:r>
        <w:rPr>
          <w:rFonts w:asciiTheme="minorHAnsi" w:hAnsiTheme="minorHAnsi" w:cstheme="minorHAnsi"/>
        </w:rPr>
        <w:t>continue even today.</w:t>
      </w:r>
      <w:r w:rsidR="004B6A51">
        <w:rPr>
          <w:rFonts w:asciiTheme="minorHAnsi" w:hAnsiTheme="minorHAnsi" w:cstheme="minorHAnsi"/>
        </w:rPr>
        <w:t xml:space="preserve"> Protestant and </w:t>
      </w:r>
      <w:r w:rsidR="00DD4A44">
        <w:rPr>
          <w:rFonts w:asciiTheme="minorHAnsi" w:hAnsiTheme="minorHAnsi" w:cstheme="minorHAnsi"/>
        </w:rPr>
        <w:t>RC</w:t>
      </w:r>
      <w:r w:rsidR="004B6A51">
        <w:rPr>
          <w:rFonts w:asciiTheme="minorHAnsi" w:hAnsiTheme="minorHAnsi" w:cstheme="minorHAnsi"/>
        </w:rPr>
        <w:t>, Lutheran, Calvinist</w:t>
      </w:r>
      <w:r w:rsidR="00FB46BB">
        <w:rPr>
          <w:rFonts w:asciiTheme="minorHAnsi" w:hAnsiTheme="minorHAnsi" w:cstheme="minorHAnsi"/>
        </w:rPr>
        <w:t>,</w:t>
      </w:r>
      <w:r w:rsidR="004B6A51">
        <w:rPr>
          <w:rFonts w:asciiTheme="minorHAnsi" w:hAnsiTheme="minorHAnsi" w:cstheme="minorHAnsi"/>
        </w:rPr>
        <w:t xml:space="preserve"> Zwinglian or other</w:t>
      </w:r>
      <w:r>
        <w:rPr>
          <w:rFonts w:asciiTheme="minorHAnsi" w:hAnsiTheme="minorHAnsi" w:cstheme="minorHAnsi"/>
        </w:rPr>
        <w:t>,</w:t>
      </w:r>
      <w:r w:rsidR="004B6A51">
        <w:rPr>
          <w:rFonts w:asciiTheme="minorHAnsi" w:hAnsiTheme="minorHAnsi" w:cstheme="minorHAnsi"/>
        </w:rPr>
        <w:t xml:space="preserve"> must continue to seek oneness in the unity of the Triune God.</w:t>
      </w:r>
      <w:r w:rsidR="00DC05F3">
        <w:rPr>
          <w:rFonts w:asciiTheme="minorHAnsi" w:hAnsiTheme="minorHAnsi" w:cstheme="minorHAnsi"/>
        </w:rPr>
        <w:t xml:space="preserve"> </w:t>
      </w:r>
      <w:r>
        <w:rPr>
          <w:rFonts w:asciiTheme="minorHAnsi" w:hAnsiTheme="minorHAnsi" w:cstheme="minorHAnsi"/>
        </w:rPr>
        <w:t>The repeated cycle of</w:t>
      </w:r>
      <w:r w:rsidR="00DC05F3">
        <w:rPr>
          <w:rFonts w:asciiTheme="minorHAnsi" w:hAnsiTheme="minorHAnsi" w:cstheme="minorHAnsi"/>
        </w:rPr>
        <w:t xml:space="preserve"> </w:t>
      </w:r>
      <w:r w:rsidR="00971156">
        <w:rPr>
          <w:rFonts w:asciiTheme="minorHAnsi" w:hAnsiTheme="minorHAnsi" w:cstheme="minorHAnsi"/>
        </w:rPr>
        <w:t>division and disagreement</w:t>
      </w:r>
      <w:r w:rsidR="00DC05F3">
        <w:rPr>
          <w:rFonts w:asciiTheme="minorHAnsi" w:hAnsiTheme="minorHAnsi" w:cstheme="minorHAnsi"/>
        </w:rPr>
        <w:t xml:space="preserve"> </w:t>
      </w:r>
      <w:r>
        <w:rPr>
          <w:rFonts w:asciiTheme="minorHAnsi" w:hAnsiTheme="minorHAnsi" w:cstheme="minorHAnsi"/>
        </w:rPr>
        <w:t>is</w:t>
      </w:r>
      <w:r w:rsidR="00DC05F3">
        <w:rPr>
          <w:rFonts w:asciiTheme="minorHAnsi" w:hAnsiTheme="minorHAnsi" w:cstheme="minorHAnsi"/>
        </w:rPr>
        <w:t xml:space="preserve"> witnessed </w:t>
      </w:r>
      <w:r>
        <w:rPr>
          <w:rFonts w:asciiTheme="minorHAnsi" w:hAnsiTheme="minorHAnsi" w:cstheme="minorHAnsi"/>
        </w:rPr>
        <w:t xml:space="preserve">today </w:t>
      </w:r>
      <w:r w:rsidR="00DC05F3">
        <w:rPr>
          <w:rFonts w:asciiTheme="minorHAnsi" w:hAnsiTheme="minorHAnsi" w:cstheme="minorHAnsi"/>
        </w:rPr>
        <w:t xml:space="preserve">in the fresh, perhaps schismatic, differences experienced </w:t>
      </w:r>
      <w:r>
        <w:rPr>
          <w:rFonts w:asciiTheme="minorHAnsi" w:hAnsiTheme="minorHAnsi" w:cstheme="minorHAnsi"/>
        </w:rPr>
        <w:t>between the</w:t>
      </w:r>
      <w:r w:rsidR="00DC05F3">
        <w:rPr>
          <w:rFonts w:asciiTheme="minorHAnsi" w:hAnsiTheme="minorHAnsi" w:cstheme="minorHAnsi"/>
        </w:rPr>
        <w:t xml:space="preserve"> Anglican Communion and </w:t>
      </w:r>
      <w:r w:rsidR="00DC05F3" w:rsidRPr="00E13E9B">
        <w:rPr>
          <w:rFonts w:asciiTheme="minorHAnsi" w:hAnsiTheme="minorHAnsi" w:cstheme="minorHAnsi"/>
        </w:rPr>
        <w:t>GAFCON</w:t>
      </w:r>
      <w:r w:rsidR="00AE19A5">
        <w:rPr>
          <w:rFonts w:asciiTheme="minorHAnsi" w:hAnsiTheme="minorHAnsi" w:cstheme="minorHAnsi"/>
        </w:rPr>
        <w:t xml:space="preserve">. </w:t>
      </w:r>
      <w:r w:rsidR="00FB46BB">
        <w:rPr>
          <w:rFonts w:asciiTheme="minorHAnsi" w:hAnsiTheme="minorHAnsi" w:cstheme="minorHAnsi"/>
        </w:rPr>
        <w:t>GAFCON’s</w:t>
      </w:r>
      <w:r w:rsidR="00DC05F3">
        <w:rPr>
          <w:rFonts w:asciiTheme="minorHAnsi" w:hAnsiTheme="minorHAnsi" w:cstheme="minorHAnsi"/>
        </w:rPr>
        <w:t xml:space="preserve"> Primate</w:t>
      </w:r>
      <w:r w:rsidR="00AE19A5">
        <w:rPr>
          <w:rFonts w:asciiTheme="minorHAnsi" w:hAnsiTheme="minorHAnsi" w:cstheme="minorHAnsi"/>
        </w:rPr>
        <w:t>s</w:t>
      </w:r>
      <w:r w:rsidR="00DC05F3">
        <w:rPr>
          <w:rFonts w:asciiTheme="minorHAnsi" w:hAnsiTheme="minorHAnsi" w:cstheme="minorHAnsi"/>
        </w:rPr>
        <w:t>’</w:t>
      </w:r>
      <w:r w:rsidR="00AE19A5">
        <w:rPr>
          <w:rFonts w:asciiTheme="minorHAnsi" w:hAnsiTheme="minorHAnsi" w:cstheme="minorHAnsi"/>
        </w:rPr>
        <w:t xml:space="preserve"> Council</w:t>
      </w:r>
      <w:r w:rsidR="00DC05F3">
        <w:rPr>
          <w:rFonts w:asciiTheme="minorHAnsi" w:hAnsiTheme="minorHAnsi" w:cstheme="minorHAnsi"/>
        </w:rPr>
        <w:t xml:space="preserve"> chair, </w:t>
      </w:r>
      <w:r w:rsidR="00AE19A5">
        <w:rPr>
          <w:rFonts w:asciiTheme="minorHAnsi" w:hAnsiTheme="minorHAnsi" w:cstheme="minorHAnsi"/>
        </w:rPr>
        <w:t xml:space="preserve">Laurent </w:t>
      </w:r>
      <w:proofErr w:type="spellStart"/>
      <w:r w:rsidR="00AE19A5">
        <w:rPr>
          <w:rFonts w:asciiTheme="minorHAnsi" w:hAnsiTheme="minorHAnsi" w:cstheme="minorHAnsi"/>
        </w:rPr>
        <w:t>Mbanda</w:t>
      </w:r>
      <w:proofErr w:type="spellEnd"/>
      <w:r w:rsidR="00AE19A5">
        <w:rPr>
          <w:rFonts w:asciiTheme="minorHAnsi" w:hAnsiTheme="minorHAnsi" w:cstheme="minorHAnsi"/>
        </w:rPr>
        <w:t>, states emphatically that amendments proposed to the description of the Anglican Communion and its existing structures ‘will do nothing to mend the torn fabric of our Communion. Nothing apart from a return to the Lord through deep repentance and renunciation of false teaching by erring provinces will suffice’</w:t>
      </w:r>
      <w:r w:rsidR="00B00CB8">
        <w:rPr>
          <w:rFonts w:asciiTheme="minorHAnsi" w:hAnsiTheme="minorHAnsi" w:cstheme="minorHAnsi"/>
        </w:rPr>
        <w:t>.</w:t>
      </w:r>
      <w:r w:rsidR="00B00CB8" w:rsidRPr="00AB1AE4">
        <w:rPr>
          <w:rStyle w:val="FootnoteReference"/>
        </w:rPr>
        <w:footnoteReference w:id="90"/>
      </w:r>
      <w:r w:rsidR="00B00CB8">
        <w:rPr>
          <w:rFonts w:asciiTheme="minorHAnsi" w:hAnsiTheme="minorHAnsi" w:cstheme="minorHAnsi"/>
        </w:rPr>
        <w:t xml:space="preserve"> The </w:t>
      </w:r>
      <w:r w:rsidR="00971156">
        <w:rPr>
          <w:rFonts w:asciiTheme="minorHAnsi" w:hAnsiTheme="minorHAnsi" w:cstheme="minorHAnsi"/>
        </w:rPr>
        <w:t xml:space="preserve">Church Times </w:t>
      </w:r>
      <w:r w:rsidR="00B00CB8">
        <w:rPr>
          <w:rFonts w:asciiTheme="minorHAnsi" w:hAnsiTheme="minorHAnsi" w:cstheme="minorHAnsi"/>
        </w:rPr>
        <w:t>editor’s response quotes J</w:t>
      </w:r>
      <w:r w:rsidR="00B56298">
        <w:rPr>
          <w:rFonts w:asciiTheme="minorHAnsi" w:hAnsiTheme="minorHAnsi" w:cstheme="minorHAnsi"/>
        </w:rPr>
        <w:t>.</w:t>
      </w:r>
      <w:r w:rsidR="00B00CB8">
        <w:rPr>
          <w:rFonts w:asciiTheme="minorHAnsi" w:hAnsiTheme="minorHAnsi" w:cstheme="minorHAnsi"/>
        </w:rPr>
        <w:t>C</w:t>
      </w:r>
      <w:r w:rsidR="00B56298">
        <w:rPr>
          <w:rFonts w:asciiTheme="minorHAnsi" w:hAnsiTheme="minorHAnsi" w:cstheme="minorHAnsi"/>
        </w:rPr>
        <w:t>.</w:t>
      </w:r>
      <w:r w:rsidR="00B00CB8">
        <w:rPr>
          <w:rFonts w:asciiTheme="minorHAnsi" w:hAnsiTheme="minorHAnsi" w:cstheme="minorHAnsi"/>
        </w:rPr>
        <w:t xml:space="preserve"> Ryle</w:t>
      </w:r>
      <w:r w:rsidR="00D06943">
        <w:rPr>
          <w:rFonts w:asciiTheme="minorHAnsi" w:hAnsiTheme="minorHAnsi" w:cstheme="minorHAnsi"/>
        </w:rPr>
        <w:t xml:space="preserve"> </w:t>
      </w:r>
      <w:r w:rsidR="00B56298">
        <w:rPr>
          <w:rFonts w:asciiTheme="minorHAnsi" w:hAnsiTheme="minorHAnsi" w:cstheme="minorHAnsi"/>
        </w:rPr>
        <w:t>and then closes: ‘it is natural, even healthy, to be in a church with people with whom one disagrees – however, exhausting, this can be at times. Efforts to secure it should never be exhausted.’</w:t>
      </w:r>
      <w:r w:rsidR="002B5403" w:rsidRPr="00AB1AE4">
        <w:rPr>
          <w:rStyle w:val="FootnoteReference"/>
        </w:rPr>
        <w:footnoteReference w:id="91"/>
      </w:r>
      <w:r w:rsidR="002B5403">
        <w:rPr>
          <w:rFonts w:asciiTheme="minorHAnsi" w:hAnsiTheme="minorHAnsi" w:cstheme="minorHAnsi"/>
        </w:rPr>
        <w:t xml:space="preserve"> Perhaps now is the time to look beyond the differences and to focus precisely on th</w:t>
      </w:r>
      <w:r w:rsidR="00971156">
        <w:rPr>
          <w:rFonts w:asciiTheme="minorHAnsi" w:hAnsiTheme="minorHAnsi" w:cstheme="minorHAnsi"/>
        </w:rPr>
        <w:t>e uniting force of the</w:t>
      </w:r>
      <w:r w:rsidR="002B5403">
        <w:rPr>
          <w:rFonts w:asciiTheme="minorHAnsi" w:hAnsiTheme="minorHAnsi" w:cstheme="minorHAnsi"/>
        </w:rPr>
        <w:t xml:space="preserve"> saving power of Christ’s body in the Eucharist, in which all Pro</w:t>
      </w:r>
      <w:r w:rsidR="006A30DA">
        <w:rPr>
          <w:rFonts w:asciiTheme="minorHAnsi" w:hAnsiTheme="minorHAnsi" w:cstheme="minorHAnsi"/>
        </w:rPr>
        <w:t>t</w:t>
      </w:r>
      <w:r w:rsidR="002B5403">
        <w:rPr>
          <w:rFonts w:asciiTheme="minorHAnsi" w:hAnsiTheme="minorHAnsi" w:cstheme="minorHAnsi"/>
        </w:rPr>
        <w:t xml:space="preserve">estants of whatever persuasion and denomination can share, both as individuals and </w:t>
      </w:r>
      <w:r w:rsidR="006A30DA">
        <w:rPr>
          <w:rFonts w:asciiTheme="minorHAnsi" w:hAnsiTheme="minorHAnsi" w:cstheme="minorHAnsi"/>
        </w:rPr>
        <w:t xml:space="preserve">the </w:t>
      </w:r>
      <w:r w:rsidR="006A30DA">
        <w:rPr>
          <w:rFonts w:asciiTheme="minorHAnsi" w:hAnsiTheme="minorHAnsi" w:cstheme="minorHAnsi"/>
          <w:i/>
          <w:iCs/>
        </w:rPr>
        <w:t xml:space="preserve">Corpus </w:t>
      </w:r>
      <w:proofErr w:type="spellStart"/>
      <w:r w:rsidR="006A30DA">
        <w:rPr>
          <w:rFonts w:asciiTheme="minorHAnsi" w:hAnsiTheme="minorHAnsi" w:cstheme="minorHAnsi"/>
          <w:i/>
          <w:iCs/>
        </w:rPr>
        <w:t>Christianum</w:t>
      </w:r>
      <w:proofErr w:type="spellEnd"/>
      <w:r w:rsidR="006A30DA">
        <w:rPr>
          <w:rFonts w:asciiTheme="minorHAnsi" w:hAnsiTheme="minorHAnsi" w:cstheme="minorHAnsi"/>
        </w:rPr>
        <w:t xml:space="preserve"> of the rock upon which Christ's Church is built.</w:t>
      </w:r>
    </w:p>
    <w:p w:rsidR="00EE74FD" w:rsidRDefault="00EE74FD" w:rsidP="00885569">
      <w:pPr>
        <w:spacing w:line="480" w:lineRule="auto"/>
        <w:rPr>
          <w:rFonts w:asciiTheme="minorHAnsi" w:hAnsiTheme="minorHAnsi" w:cstheme="minorHAnsi"/>
        </w:rPr>
      </w:pPr>
    </w:p>
    <w:p w:rsidR="00EE74FD" w:rsidRPr="00EE74FD" w:rsidRDefault="00EE74FD" w:rsidP="00885569">
      <w:pPr>
        <w:pStyle w:val="Heading1"/>
        <w:spacing w:line="480" w:lineRule="auto"/>
        <w:rPr>
          <w:rFonts w:asciiTheme="minorHAnsi" w:hAnsiTheme="minorHAnsi" w:cstheme="minorHAnsi"/>
          <w:b/>
          <w:bCs/>
          <w:color w:val="auto"/>
          <w:sz w:val="24"/>
          <w:szCs w:val="24"/>
        </w:rPr>
      </w:pPr>
      <w:bookmarkStart w:id="12" w:name="_Toc166761535"/>
      <w:r w:rsidRPr="00EE74FD">
        <w:rPr>
          <w:rFonts w:asciiTheme="minorHAnsi" w:hAnsiTheme="minorHAnsi" w:cstheme="minorHAnsi"/>
          <w:b/>
          <w:bCs/>
          <w:color w:val="auto"/>
          <w:sz w:val="24"/>
          <w:szCs w:val="24"/>
        </w:rPr>
        <w:t>A</w:t>
      </w:r>
      <w:r>
        <w:rPr>
          <w:rFonts w:asciiTheme="minorHAnsi" w:hAnsiTheme="minorHAnsi" w:cstheme="minorHAnsi"/>
          <w:b/>
          <w:bCs/>
          <w:color w:val="auto"/>
          <w:sz w:val="24"/>
          <w:szCs w:val="24"/>
        </w:rPr>
        <w:t>PPENDICES</w:t>
      </w:r>
      <w:bookmarkEnd w:id="12"/>
    </w:p>
    <w:p w:rsidR="00EE74FD" w:rsidRPr="00EE74FD" w:rsidRDefault="00EE74FD" w:rsidP="00885569">
      <w:pPr>
        <w:pStyle w:val="Heading2"/>
        <w:spacing w:line="360" w:lineRule="auto"/>
        <w:rPr>
          <w:rFonts w:asciiTheme="minorHAnsi" w:hAnsiTheme="minorHAnsi" w:cstheme="minorHAnsi"/>
          <w:b/>
          <w:bCs/>
          <w:color w:val="auto"/>
          <w:sz w:val="24"/>
          <w:szCs w:val="24"/>
        </w:rPr>
      </w:pPr>
      <w:bookmarkStart w:id="13" w:name="_Toc166761536"/>
      <w:r w:rsidRPr="00EE74FD">
        <w:rPr>
          <w:rFonts w:asciiTheme="minorHAnsi" w:hAnsiTheme="minorHAnsi" w:cstheme="minorHAnsi"/>
          <w:b/>
          <w:bCs/>
          <w:color w:val="auto"/>
          <w:sz w:val="24"/>
          <w:szCs w:val="24"/>
        </w:rPr>
        <w:t>1. Luther on literal understanding of Christ’s words of consecration</w:t>
      </w:r>
      <w:bookmarkEnd w:id="13"/>
    </w:p>
    <w:p w:rsidR="00EE74FD" w:rsidRDefault="00EE74FD" w:rsidP="00885569">
      <w:pPr>
        <w:pStyle w:val="NormalWeb"/>
        <w:shd w:val="clear" w:color="auto" w:fill="FFFFFF"/>
        <w:spacing w:before="0" w:beforeAutospacing="0" w:after="0" w:afterAutospacing="0" w:line="360" w:lineRule="auto"/>
        <w:ind w:left="1440" w:right="798"/>
        <w:rPr>
          <w:rFonts w:asciiTheme="minorHAnsi" w:hAnsiTheme="minorHAnsi" w:cstheme="minorHAnsi"/>
        </w:rPr>
      </w:pPr>
    </w:p>
    <w:p w:rsidR="00EE74FD" w:rsidRPr="00BA1D44" w:rsidRDefault="00EE74FD" w:rsidP="00885569">
      <w:pPr>
        <w:pStyle w:val="NormalWeb"/>
        <w:shd w:val="clear" w:color="auto" w:fill="FFFFFF"/>
        <w:spacing w:before="0" w:beforeAutospacing="0" w:after="0" w:afterAutospacing="0" w:line="360" w:lineRule="auto"/>
        <w:ind w:left="1440" w:right="798"/>
        <w:rPr>
          <w:rFonts w:asciiTheme="minorHAnsi" w:hAnsiTheme="minorHAnsi" w:cstheme="minorHAnsi"/>
        </w:rPr>
      </w:pPr>
      <w:r w:rsidRPr="00BA1D44">
        <w:rPr>
          <w:rFonts w:asciiTheme="minorHAnsi" w:hAnsiTheme="minorHAnsi" w:cstheme="minorHAnsi"/>
        </w:rPr>
        <w:t xml:space="preserve">Now, to come to grips with the subject, let us take up the saying of Christ, which Matthew and Mark record: “He took bread, and gave thanks, and broke it, and gave it to his disciples and said, ‘Take, eat; </w:t>
      </w:r>
      <w:r w:rsidRPr="00BA1D44">
        <w:rPr>
          <w:rFonts w:asciiTheme="minorHAnsi" w:hAnsiTheme="minorHAnsi" w:cstheme="minorHAnsi"/>
        </w:rPr>
        <w:lastRenderedPageBreak/>
        <w:t>this is my body which is given for you.’”[…]here stands the text, stating clearly and lucidly that Christ gives his body to eat when he distributes the bread. On this we take our stand, and we also believe and teach that in the Supper we eat and take to ourselves Christ’s body truly and physically. But how this takes place or how he is in the bread, we do not know and are not meant to know. We should believe God’s Word without setting bounds or measure to it. The bread we see with our eyes, but we hear with our ears that Christ’s body is present. (</w:t>
      </w:r>
      <w:r w:rsidRPr="00BA1D44">
        <w:rPr>
          <w:rFonts w:asciiTheme="minorHAnsi" w:hAnsiTheme="minorHAnsi" w:cstheme="minorHAnsi"/>
          <w:color w:val="0C0C0C"/>
        </w:rPr>
        <w:t>WA 23:38–320)</w:t>
      </w:r>
      <w:r w:rsidRPr="00AB1AE4">
        <w:rPr>
          <w:rStyle w:val="FootnoteReference"/>
        </w:rPr>
        <w:footnoteReference w:id="92"/>
      </w:r>
    </w:p>
    <w:p w:rsidR="00EE74FD" w:rsidRDefault="00EE74FD" w:rsidP="00885569">
      <w:pPr>
        <w:spacing w:line="360" w:lineRule="auto"/>
        <w:rPr>
          <w:rFonts w:asciiTheme="minorHAnsi" w:hAnsiTheme="minorHAnsi" w:cstheme="minorHAnsi"/>
        </w:rPr>
      </w:pPr>
    </w:p>
    <w:p w:rsidR="00EE74FD" w:rsidRPr="000E2C15" w:rsidRDefault="000E2C15" w:rsidP="00885569">
      <w:pPr>
        <w:pStyle w:val="Heading2"/>
        <w:spacing w:line="360" w:lineRule="auto"/>
        <w:rPr>
          <w:rFonts w:asciiTheme="minorHAnsi" w:hAnsiTheme="minorHAnsi" w:cstheme="minorHAnsi"/>
          <w:b/>
          <w:bCs/>
          <w:color w:val="auto"/>
          <w:sz w:val="24"/>
          <w:szCs w:val="24"/>
        </w:rPr>
      </w:pPr>
      <w:bookmarkStart w:id="14" w:name="_Toc166761537"/>
      <w:r w:rsidRPr="000E2C15">
        <w:rPr>
          <w:rFonts w:asciiTheme="minorHAnsi" w:hAnsiTheme="minorHAnsi" w:cstheme="minorHAnsi"/>
          <w:b/>
          <w:bCs/>
          <w:color w:val="auto"/>
          <w:sz w:val="24"/>
          <w:szCs w:val="24"/>
        </w:rPr>
        <w:t>2. Calvin on Spiritual Presence</w:t>
      </w:r>
      <w:bookmarkEnd w:id="14"/>
    </w:p>
    <w:p w:rsidR="000E2C15" w:rsidRDefault="000E2C15" w:rsidP="00885569">
      <w:pPr>
        <w:spacing w:line="360" w:lineRule="auto"/>
        <w:rPr>
          <w:rFonts w:asciiTheme="minorHAnsi" w:hAnsiTheme="minorHAnsi" w:cstheme="minorHAnsi"/>
        </w:rPr>
      </w:pPr>
    </w:p>
    <w:p w:rsidR="008011A0" w:rsidRPr="0074383E" w:rsidRDefault="008011A0" w:rsidP="00885569">
      <w:pPr>
        <w:pStyle w:val="NormalWeb"/>
        <w:shd w:val="clear" w:color="auto" w:fill="FFFFFF"/>
        <w:spacing w:before="0" w:beforeAutospacing="0" w:after="0" w:afterAutospacing="0" w:line="360" w:lineRule="auto"/>
        <w:ind w:left="1440" w:hanging="22"/>
        <w:rPr>
          <w:rFonts w:asciiTheme="minorHAnsi" w:hAnsiTheme="minorHAnsi" w:cstheme="minorHAnsi"/>
          <w:color w:val="212121"/>
        </w:rPr>
      </w:pPr>
      <w:r w:rsidRPr="0074383E">
        <w:rPr>
          <w:rFonts w:asciiTheme="minorHAnsi" w:hAnsiTheme="minorHAnsi" w:cstheme="minorHAnsi"/>
          <w:color w:val="222222"/>
          <w:shd w:val="clear" w:color="auto" w:fill="FFFFFF"/>
        </w:rPr>
        <w:t>I will not be ashamed to confess that it is too high a mystery either for my mind to comprehend or my words to express; and to speak more plainly, I rather feel than understand it. The truth of God, therefore, in which I can safely rest, I here embrace without controversy. He declares that his flesh is the meat, his blood the drink, of my soul; I give my soul to him to be fed with such food. In his sacred Supper he bids me take, eat, and drink his body and blood under the symbols of bread and wine. I have no doubt that he will truly give and I receive.</w:t>
      </w:r>
      <w:r w:rsidRPr="00AB1AE4">
        <w:rPr>
          <w:rStyle w:val="FootnoteReference"/>
        </w:rPr>
        <w:footnoteReference w:id="93"/>
      </w:r>
    </w:p>
    <w:p w:rsidR="000E2C15" w:rsidRDefault="000E2C15" w:rsidP="00885569">
      <w:pPr>
        <w:spacing w:line="360" w:lineRule="auto"/>
        <w:rPr>
          <w:rFonts w:asciiTheme="minorHAnsi" w:hAnsiTheme="minorHAnsi" w:cstheme="minorHAnsi"/>
        </w:rPr>
      </w:pPr>
    </w:p>
    <w:p w:rsidR="00220184" w:rsidRPr="00220184" w:rsidRDefault="00220184" w:rsidP="00885569">
      <w:pPr>
        <w:pStyle w:val="Heading2"/>
        <w:spacing w:line="360" w:lineRule="auto"/>
        <w:rPr>
          <w:rFonts w:asciiTheme="minorHAnsi" w:hAnsiTheme="minorHAnsi" w:cstheme="minorHAnsi"/>
          <w:b/>
          <w:bCs/>
          <w:color w:val="auto"/>
          <w:sz w:val="24"/>
          <w:szCs w:val="24"/>
        </w:rPr>
      </w:pPr>
      <w:bookmarkStart w:id="15" w:name="_Toc166761538"/>
      <w:r w:rsidRPr="00220184">
        <w:rPr>
          <w:rFonts w:asciiTheme="minorHAnsi" w:hAnsiTheme="minorHAnsi" w:cstheme="minorHAnsi"/>
          <w:b/>
          <w:bCs/>
          <w:color w:val="auto"/>
          <w:sz w:val="24"/>
          <w:szCs w:val="24"/>
        </w:rPr>
        <w:t>3a</w:t>
      </w:r>
      <w:r w:rsidR="00885569">
        <w:rPr>
          <w:rFonts w:asciiTheme="minorHAnsi" w:hAnsiTheme="minorHAnsi" w:cstheme="minorHAnsi"/>
          <w:b/>
          <w:bCs/>
          <w:color w:val="auto"/>
          <w:sz w:val="24"/>
          <w:szCs w:val="24"/>
        </w:rPr>
        <w:t>.</w:t>
      </w:r>
      <w:r w:rsidRPr="00220184">
        <w:rPr>
          <w:rFonts w:asciiTheme="minorHAnsi" w:hAnsiTheme="minorHAnsi" w:cstheme="minorHAnsi"/>
          <w:b/>
          <w:bCs/>
          <w:color w:val="auto"/>
          <w:sz w:val="24"/>
          <w:szCs w:val="24"/>
        </w:rPr>
        <w:t xml:space="preserve"> Cranmer on the Words of Consecration</w:t>
      </w:r>
      <w:bookmarkEnd w:id="15"/>
    </w:p>
    <w:p w:rsidR="00220184" w:rsidRDefault="00220184" w:rsidP="00885569">
      <w:pPr>
        <w:spacing w:line="360" w:lineRule="auto"/>
        <w:rPr>
          <w:rFonts w:asciiTheme="minorHAnsi" w:hAnsiTheme="minorHAnsi" w:cstheme="minorHAnsi"/>
        </w:rPr>
      </w:pPr>
    </w:p>
    <w:p w:rsidR="00220184" w:rsidRDefault="00220184"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20" w:right="1223" w:firstLine="14"/>
        <w:rPr>
          <w:rFonts w:asciiTheme="minorHAnsi" w:hAnsiTheme="minorHAnsi" w:cstheme="minorHAnsi"/>
        </w:rPr>
      </w:pPr>
      <w:r>
        <w:rPr>
          <w:rFonts w:asciiTheme="minorHAnsi" w:hAnsiTheme="minorHAnsi" w:cstheme="minorHAnsi"/>
        </w:rPr>
        <w:t xml:space="preserve">our Saviour Christ called the material bread which he brake, his body; and the wine, which was the fruit of the vine, his blood. And yet he </w:t>
      </w:r>
      <w:proofErr w:type="spellStart"/>
      <w:r>
        <w:rPr>
          <w:rFonts w:asciiTheme="minorHAnsi" w:hAnsiTheme="minorHAnsi" w:cstheme="minorHAnsi"/>
        </w:rPr>
        <w:t>spake</w:t>
      </w:r>
      <w:proofErr w:type="spellEnd"/>
      <w:r>
        <w:rPr>
          <w:rFonts w:asciiTheme="minorHAnsi" w:hAnsiTheme="minorHAnsi" w:cstheme="minorHAnsi"/>
        </w:rPr>
        <w:t xml:space="preserve"> not this to the intent that men should think that the material bread is his body, or that his very body is material bread; </w:t>
      </w:r>
      <w:r>
        <w:rPr>
          <w:rFonts w:asciiTheme="minorHAnsi" w:hAnsiTheme="minorHAnsi" w:cstheme="minorHAnsi"/>
        </w:rPr>
        <w:lastRenderedPageBreak/>
        <w:t xml:space="preserve">neither that wine made of grapes is his very blood, or that his very blood is wine made grapes: but to signify unto us, as St Paul saith, that the cup is a </w:t>
      </w:r>
      <w:r w:rsidRPr="003A30E2">
        <w:rPr>
          <w:rFonts w:asciiTheme="minorHAnsi" w:hAnsiTheme="minorHAnsi" w:cstheme="minorHAnsi"/>
          <w:i/>
          <w:iCs/>
        </w:rPr>
        <w:t>communion</w:t>
      </w:r>
      <w:r>
        <w:rPr>
          <w:rFonts w:asciiTheme="minorHAnsi" w:hAnsiTheme="minorHAnsi" w:cstheme="minorHAnsi"/>
        </w:rPr>
        <w:t xml:space="preserve"> of Christ’s blood which was shed for us, and the bread is a </w:t>
      </w:r>
      <w:r w:rsidRPr="003A30E2">
        <w:rPr>
          <w:rFonts w:asciiTheme="minorHAnsi" w:hAnsiTheme="minorHAnsi" w:cstheme="minorHAnsi"/>
          <w:i/>
          <w:iCs/>
        </w:rPr>
        <w:t>communion</w:t>
      </w:r>
      <w:r>
        <w:rPr>
          <w:rFonts w:asciiTheme="minorHAnsi" w:hAnsiTheme="minorHAnsi" w:cstheme="minorHAnsi"/>
        </w:rPr>
        <w:t xml:space="preserve"> of his flesh that was crucified for us.</w:t>
      </w:r>
      <w:r w:rsidRPr="00AB1AE4">
        <w:rPr>
          <w:rStyle w:val="FootnoteReference"/>
        </w:rPr>
        <w:footnoteReference w:id="94"/>
      </w:r>
      <w:r>
        <w:rPr>
          <w:rFonts w:asciiTheme="minorHAnsi" w:hAnsiTheme="minorHAnsi" w:cstheme="minorHAnsi"/>
        </w:rPr>
        <w:t xml:space="preserve"> </w:t>
      </w:r>
    </w:p>
    <w:p w:rsidR="00220184" w:rsidRDefault="00220184" w:rsidP="00885569">
      <w:pPr>
        <w:spacing w:line="360" w:lineRule="auto"/>
        <w:rPr>
          <w:rFonts w:asciiTheme="minorHAnsi" w:hAnsiTheme="minorHAnsi" w:cstheme="minorHAnsi"/>
        </w:rPr>
      </w:pPr>
    </w:p>
    <w:p w:rsidR="00220184" w:rsidRPr="00885569" w:rsidRDefault="00220184" w:rsidP="00885569">
      <w:pPr>
        <w:pStyle w:val="Heading2"/>
        <w:rPr>
          <w:rFonts w:asciiTheme="minorHAnsi" w:hAnsiTheme="minorHAnsi" w:cstheme="minorHAnsi"/>
          <w:b/>
          <w:bCs/>
          <w:color w:val="auto"/>
          <w:sz w:val="24"/>
          <w:szCs w:val="24"/>
        </w:rPr>
      </w:pPr>
      <w:bookmarkStart w:id="16" w:name="_Toc166761539"/>
      <w:r w:rsidRPr="00885569">
        <w:rPr>
          <w:rFonts w:asciiTheme="minorHAnsi" w:hAnsiTheme="minorHAnsi" w:cstheme="minorHAnsi"/>
          <w:b/>
          <w:bCs/>
          <w:color w:val="auto"/>
          <w:sz w:val="24"/>
          <w:szCs w:val="24"/>
        </w:rPr>
        <w:t>3b. Cranmer’s explanation of the real presence at consecration</w:t>
      </w:r>
      <w:bookmarkEnd w:id="16"/>
    </w:p>
    <w:p w:rsidR="00220184" w:rsidRDefault="00220184" w:rsidP="00885569">
      <w:pPr>
        <w:spacing w:line="360" w:lineRule="auto"/>
        <w:rPr>
          <w:rFonts w:asciiTheme="minorHAnsi" w:hAnsiTheme="minorHAnsi" w:cstheme="minorHAnsi"/>
        </w:rPr>
      </w:pPr>
    </w:p>
    <w:p w:rsidR="00220184" w:rsidRDefault="00220184"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20" w:right="1365"/>
        <w:rPr>
          <w:rFonts w:asciiTheme="minorHAnsi" w:hAnsiTheme="minorHAnsi" w:cstheme="minorHAnsi"/>
        </w:rPr>
      </w:pPr>
      <w:r>
        <w:rPr>
          <w:rFonts w:asciiTheme="minorHAnsi" w:hAnsiTheme="minorHAnsi" w:cstheme="minorHAnsi"/>
        </w:rPr>
        <w:t xml:space="preserve">The minister </w:t>
      </w:r>
      <w:proofErr w:type="spellStart"/>
      <w:r>
        <w:rPr>
          <w:rFonts w:asciiTheme="minorHAnsi" w:hAnsiTheme="minorHAnsi" w:cstheme="minorHAnsi"/>
        </w:rPr>
        <w:t>speaketh</w:t>
      </w:r>
      <w:proofErr w:type="spellEnd"/>
      <w:r>
        <w:rPr>
          <w:rFonts w:asciiTheme="minorHAnsi" w:hAnsiTheme="minorHAnsi" w:cstheme="minorHAnsi"/>
        </w:rPr>
        <w:t xml:space="preserve"> unto us God’s own words, which we must take as spoken from God’s own mouth, because that from his mouth it came, and his word it is, not the minister’s. Likewise, when he </w:t>
      </w:r>
      <w:proofErr w:type="spellStart"/>
      <w:r>
        <w:rPr>
          <w:rFonts w:asciiTheme="minorHAnsi" w:hAnsiTheme="minorHAnsi" w:cstheme="minorHAnsi"/>
        </w:rPr>
        <w:t>ministereth</w:t>
      </w:r>
      <w:proofErr w:type="spellEnd"/>
      <w:r>
        <w:rPr>
          <w:rFonts w:asciiTheme="minorHAnsi" w:hAnsiTheme="minorHAnsi" w:cstheme="minorHAnsi"/>
        </w:rPr>
        <w:t xml:space="preserve"> to our sights Christ’s holy sacraments, we must think Christ crucified and presented before our eyes, because the sacraments so represent him and be his sacraments, not the priest’s[…]and as at the Lord’s holy table, the priest </w:t>
      </w:r>
      <w:proofErr w:type="spellStart"/>
      <w:r>
        <w:rPr>
          <w:rFonts w:asciiTheme="minorHAnsi" w:hAnsiTheme="minorHAnsi" w:cstheme="minorHAnsi"/>
        </w:rPr>
        <w:t>distributeth</w:t>
      </w:r>
      <w:proofErr w:type="spellEnd"/>
      <w:r>
        <w:rPr>
          <w:rFonts w:asciiTheme="minorHAnsi" w:hAnsiTheme="minorHAnsi" w:cstheme="minorHAnsi"/>
        </w:rPr>
        <w:t xml:space="preserve"> wine and bread to feed the body, so we must think that inwardly by faith we see Christ feeding both body and soul to eternal life. What comfort can be devised anymore in this world for a Christian man?</w:t>
      </w:r>
      <w:r w:rsidRPr="00AB1AE4">
        <w:rPr>
          <w:rStyle w:val="FootnoteReference"/>
        </w:rPr>
        <w:footnoteReference w:id="95"/>
      </w:r>
    </w:p>
    <w:p w:rsidR="00220184" w:rsidRDefault="00220184" w:rsidP="00885569">
      <w:pPr>
        <w:spacing w:line="360" w:lineRule="auto"/>
        <w:rPr>
          <w:rFonts w:asciiTheme="minorHAnsi" w:hAnsiTheme="minorHAnsi" w:cstheme="minorHAnsi"/>
        </w:rPr>
      </w:pPr>
    </w:p>
    <w:p w:rsidR="00A0177F" w:rsidRPr="00A0177F" w:rsidRDefault="00A0177F" w:rsidP="00885569">
      <w:pPr>
        <w:pStyle w:val="Heading2"/>
        <w:spacing w:line="360" w:lineRule="auto"/>
        <w:rPr>
          <w:rFonts w:asciiTheme="minorHAnsi" w:hAnsiTheme="minorHAnsi" w:cstheme="minorHAnsi"/>
          <w:b/>
          <w:bCs/>
          <w:color w:val="auto"/>
          <w:sz w:val="24"/>
          <w:szCs w:val="24"/>
        </w:rPr>
      </w:pPr>
      <w:bookmarkStart w:id="17" w:name="_Toc166761540"/>
      <w:r w:rsidRPr="00A0177F">
        <w:rPr>
          <w:rFonts w:asciiTheme="minorHAnsi" w:hAnsiTheme="minorHAnsi" w:cstheme="minorHAnsi"/>
          <w:b/>
          <w:bCs/>
          <w:color w:val="auto"/>
          <w:sz w:val="24"/>
          <w:szCs w:val="24"/>
        </w:rPr>
        <w:t>3c. Cranmer and the symbolic nature of the bread and wine</w:t>
      </w:r>
      <w:bookmarkEnd w:id="17"/>
    </w:p>
    <w:p w:rsidR="00A0177F" w:rsidRDefault="00A0177F" w:rsidP="00885569">
      <w:pPr>
        <w:spacing w:line="360" w:lineRule="auto"/>
        <w:rPr>
          <w:rFonts w:asciiTheme="minorHAnsi" w:hAnsiTheme="minorHAnsi" w:cstheme="minorHAnsi"/>
        </w:rPr>
      </w:pPr>
    </w:p>
    <w:p w:rsidR="00A0177F" w:rsidRDefault="00A0177F" w:rsidP="00885569">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1134" w:right="1365"/>
        <w:rPr>
          <w:rFonts w:asciiTheme="minorHAnsi" w:hAnsiTheme="minorHAnsi" w:cstheme="minorHAnsi"/>
        </w:rPr>
      </w:pPr>
      <w:r>
        <w:rPr>
          <w:rFonts w:asciiTheme="minorHAnsi" w:hAnsiTheme="minorHAnsi" w:cstheme="minorHAnsi"/>
        </w:rPr>
        <w:t>And although Christ be not corporeally in the bread and wine, yet Christ used not so many words, in the mystery of his holy supper, without effectual signification. For he is effectually present, and effectually worketh not in the bread and wine, but in the godly receivers of them, to whom he giveth his own flesh spiritually to feed upon, and his own blood to quench their great inward thirst.</w:t>
      </w:r>
      <w:r w:rsidRPr="00AB1AE4">
        <w:rPr>
          <w:rStyle w:val="FootnoteReference"/>
        </w:rPr>
        <w:footnoteReference w:id="96"/>
      </w:r>
    </w:p>
    <w:p w:rsidR="00885569" w:rsidRDefault="00885569" w:rsidP="00606FB9">
      <w:pPr>
        <w:pStyle w:val="Heading1"/>
        <w:rPr>
          <w:rFonts w:asciiTheme="minorHAnsi" w:hAnsiTheme="minorHAnsi" w:cstheme="minorHAnsi"/>
          <w:b/>
          <w:bCs/>
          <w:color w:val="auto"/>
          <w:sz w:val="24"/>
          <w:szCs w:val="24"/>
        </w:rPr>
      </w:pPr>
    </w:p>
    <w:p w:rsidR="00A634DD" w:rsidRPr="00606FB9" w:rsidRDefault="00A634DD" w:rsidP="00606FB9">
      <w:pPr>
        <w:pStyle w:val="Heading1"/>
        <w:rPr>
          <w:rFonts w:asciiTheme="minorHAnsi" w:hAnsiTheme="minorHAnsi" w:cstheme="minorHAnsi"/>
          <w:b/>
          <w:bCs/>
          <w:color w:val="auto"/>
          <w:sz w:val="24"/>
          <w:szCs w:val="24"/>
        </w:rPr>
      </w:pPr>
      <w:bookmarkStart w:id="18" w:name="_Toc166761541"/>
      <w:r w:rsidRPr="00606FB9">
        <w:rPr>
          <w:rFonts w:asciiTheme="minorHAnsi" w:hAnsiTheme="minorHAnsi" w:cstheme="minorHAnsi"/>
          <w:b/>
          <w:bCs/>
          <w:color w:val="auto"/>
          <w:sz w:val="24"/>
          <w:szCs w:val="24"/>
        </w:rPr>
        <w:t>BIBLIOGRAPHY</w:t>
      </w:r>
      <w:bookmarkEnd w:id="18"/>
    </w:p>
    <w:p w:rsidR="005D1C9E" w:rsidRPr="00570945" w:rsidRDefault="005D1C9E" w:rsidP="00770E8B">
      <w:pPr>
        <w:rPr>
          <w:rFonts w:asciiTheme="minorHAnsi" w:hAnsiTheme="minorHAnsi" w:cstheme="minorHAnsi"/>
        </w:rPr>
      </w:pPr>
    </w:p>
    <w:p w:rsidR="00770E8B" w:rsidRPr="008D6879" w:rsidRDefault="00A634DD" w:rsidP="008D6879">
      <w:pPr>
        <w:pStyle w:val="Heading2"/>
        <w:rPr>
          <w:rFonts w:asciiTheme="minorHAnsi" w:hAnsiTheme="minorHAnsi" w:cstheme="minorHAnsi"/>
          <w:b/>
          <w:bCs/>
          <w:color w:val="auto"/>
          <w:sz w:val="24"/>
          <w:szCs w:val="24"/>
        </w:rPr>
      </w:pPr>
      <w:bookmarkStart w:id="19" w:name="_Toc166761542"/>
      <w:r w:rsidRPr="00606FB9">
        <w:rPr>
          <w:rFonts w:asciiTheme="minorHAnsi" w:hAnsiTheme="minorHAnsi" w:cstheme="minorHAnsi"/>
          <w:b/>
          <w:bCs/>
          <w:color w:val="auto"/>
          <w:sz w:val="24"/>
          <w:szCs w:val="24"/>
        </w:rPr>
        <w:t>Works Cited</w:t>
      </w:r>
      <w:bookmarkEnd w:id="19"/>
    </w:p>
    <w:p w:rsidR="005A3DFD" w:rsidRPr="005A3DFD" w:rsidRDefault="005A3DFD" w:rsidP="005A3DFD">
      <w:pPr>
        <w:pStyle w:val="Bibliography"/>
        <w:spacing w:before="120"/>
        <w:rPr>
          <w:rFonts w:ascii="Calibri" w:hAnsiTheme="minorHAnsi" w:cs="Calibri"/>
        </w:rPr>
      </w:pPr>
      <w:r>
        <w:rPr>
          <w:rFonts w:asciiTheme="minorHAnsi" w:hAnsiTheme="minorHAnsi" w:cstheme="minorHAnsi"/>
        </w:rPr>
        <w:fldChar w:fldCharType="begin"/>
      </w:r>
      <w:r>
        <w:rPr>
          <w:rFonts w:asciiTheme="minorHAnsi" w:hAnsiTheme="minorHAnsi" w:cstheme="minorHAnsi"/>
        </w:rPr>
        <w:instrText xml:space="preserve"> ADDIN ZOTERO_BIBL {"uncited":[],"omitted":[],"custom":[]} CSL_BIBLIOGRAPHY </w:instrText>
      </w:r>
      <w:r>
        <w:rPr>
          <w:rFonts w:asciiTheme="minorHAnsi" w:hAnsiTheme="minorHAnsi" w:cstheme="minorHAnsi"/>
        </w:rPr>
        <w:fldChar w:fldCharType="separate"/>
      </w:r>
      <w:r w:rsidRPr="005A3DFD">
        <w:rPr>
          <w:rFonts w:ascii="Calibri" w:hAnsiTheme="minorHAnsi" w:cs="Calibri"/>
        </w:rPr>
        <w:t xml:space="preserve">Ayris, Paul, and David Selwyn, eds. </w:t>
      </w:r>
      <w:r w:rsidRPr="005A3DFD">
        <w:rPr>
          <w:rFonts w:ascii="Calibri" w:hAnsiTheme="minorHAnsi" w:cs="Calibri"/>
          <w:i/>
          <w:iCs/>
        </w:rPr>
        <w:t>Thomas Cranmer: Churchman and Scholar</w:t>
      </w:r>
      <w:r w:rsidRPr="005A3DFD">
        <w:rPr>
          <w:rFonts w:ascii="Calibri" w:hAnsiTheme="minorHAnsi" w:cs="Calibri"/>
        </w:rPr>
        <w:t xml:space="preserve">. </w:t>
      </w:r>
      <w:proofErr w:type="spellStart"/>
      <w:r w:rsidRPr="005A3DFD">
        <w:rPr>
          <w:rFonts w:ascii="Calibri" w:hAnsiTheme="minorHAnsi" w:cs="Calibri"/>
        </w:rPr>
        <w:t>Pbk</w:t>
      </w:r>
      <w:proofErr w:type="spellEnd"/>
      <w:r w:rsidRPr="005A3DFD">
        <w:rPr>
          <w:rFonts w:ascii="Calibri" w:hAnsiTheme="minorHAnsi" w:cs="Calibri"/>
        </w:rPr>
        <w:t>-Ed. Woodbridge: Boydell, 1999.</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Badie</w:t>
      </w:r>
      <w:proofErr w:type="spellEnd"/>
      <w:r w:rsidRPr="005A3DFD">
        <w:rPr>
          <w:rFonts w:ascii="Calibri" w:hAnsiTheme="minorHAnsi" w:cs="Calibri"/>
        </w:rPr>
        <w:t xml:space="preserve">, Katie. ‘The Prayer of Humble Access’. </w:t>
      </w:r>
      <w:r w:rsidRPr="005A3DFD">
        <w:rPr>
          <w:rFonts w:ascii="Calibri" w:hAnsiTheme="minorHAnsi" w:cs="Calibri"/>
          <w:i/>
          <w:iCs/>
        </w:rPr>
        <w:t>Churchman</w:t>
      </w:r>
      <w:r w:rsidRPr="005A3DFD">
        <w:rPr>
          <w:rFonts w:ascii="Calibri" w:hAnsiTheme="minorHAnsi" w:cs="Calibri"/>
        </w:rPr>
        <w:t xml:space="preserve"> 120, no. 2 (Summer 2002): 103–17.</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Baker, Kenneth. ‘The Catholic Doctrine of the Real Presence’. Accessed 16 April 2024. https://www.catholiceducation.org/en/culture/catholic-contributions/the-catholic-doctrine-of-the-real-presence.html.</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Burnett, Amy Nelson. ‘That These Words of Christ, “This Is My Body,” Etc., Still Stand Firm Against the Fanatics’. In </w:t>
      </w:r>
      <w:r w:rsidRPr="005A3DFD">
        <w:rPr>
          <w:rFonts w:ascii="Calibri" w:hAnsiTheme="minorHAnsi" w:cs="Calibri"/>
          <w:i/>
          <w:iCs/>
        </w:rPr>
        <w:t>The Annotated Luther, Volume 3</w:t>
      </w:r>
      <w:r w:rsidRPr="005A3DFD">
        <w:rPr>
          <w:rFonts w:ascii="Calibri" w:hAnsiTheme="minorHAnsi" w:cs="Calibri"/>
        </w:rPr>
        <w:t xml:space="preserve">, edited by Paul W. Robinson, Hans J. </w:t>
      </w:r>
      <w:proofErr w:type="spellStart"/>
      <w:r w:rsidRPr="005A3DFD">
        <w:rPr>
          <w:rFonts w:ascii="Calibri" w:hAnsiTheme="minorHAnsi" w:cs="Calibri"/>
        </w:rPr>
        <w:t>Hillerbrand</w:t>
      </w:r>
      <w:proofErr w:type="spellEnd"/>
      <w:r w:rsidRPr="005A3DFD">
        <w:rPr>
          <w:rFonts w:ascii="Calibri" w:hAnsiTheme="minorHAnsi" w:cs="Calibri"/>
        </w:rPr>
        <w:t xml:space="preserve">, </w:t>
      </w:r>
      <w:proofErr w:type="spellStart"/>
      <w:r w:rsidRPr="005A3DFD">
        <w:rPr>
          <w:rFonts w:ascii="Calibri" w:hAnsiTheme="minorHAnsi" w:cs="Calibri"/>
        </w:rPr>
        <w:t>Kirsi</w:t>
      </w:r>
      <w:proofErr w:type="spellEnd"/>
      <w:r w:rsidRPr="005A3DFD">
        <w:rPr>
          <w:rFonts w:ascii="Calibri" w:hAnsiTheme="minorHAnsi" w:cs="Calibri"/>
        </w:rPr>
        <w:t xml:space="preserve"> I. </w:t>
      </w:r>
      <w:proofErr w:type="spellStart"/>
      <w:r w:rsidRPr="005A3DFD">
        <w:rPr>
          <w:rFonts w:ascii="Calibri" w:hAnsiTheme="minorHAnsi" w:cs="Calibri"/>
        </w:rPr>
        <w:t>Stjerna</w:t>
      </w:r>
      <w:proofErr w:type="spellEnd"/>
      <w:r w:rsidRPr="005A3DFD">
        <w:rPr>
          <w:rFonts w:ascii="Calibri" w:hAnsiTheme="minorHAnsi" w:cs="Calibri"/>
        </w:rPr>
        <w:t xml:space="preserve">, and Timothy J. </w:t>
      </w:r>
      <w:proofErr w:type="spellStart"/>
      <w:r w:rsidRPr="005A3DFD">
        <w:rPr>
          <w:rFonts w:ascii="Calibri" w:hAnsiTheme="minorHAnsi" w:cs="Calibri"/>
        </w:rPr>
        <w:t>Wengert</w:t>
      </w:r>
      <w:proofErr w:type="spellEnd"/>
      <w:r w:rsidRPr="005A3DFD">
        <w:rPr>
          <w:rFonts w:ascii="Calibri" w:hAnsiTheme="minorHAnsi" w:cs="Calibri"/>
        </w:rPr>
        <w:t>, 163–274. Church and Sacraments. 1517 Media, 2016. https://doi.org/10.2307/j.ctt19qgfvv.9.</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Butler, Geoffrey. ‘John Calvin’s Eucharistic Theology: A Pentecostal Analysis Geoffrey Butler’. The Gospel Coalition. Accessed 1 May 2024. https://www.thegospelcoalition.org/themelios/article/john-calvins-eucharistic-theology-a-pentecostal-analysis-geoffrey-butler/.</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Calvin, Jean. </w:t>
      </w:r>
      <w:r w:rsidRPr="005A3DFD">
        <w:rPr>
          <w:rFonts w:ascii="Calibri" w:hAnsiTheme="minorHAnsi" w:cs="Calibri"/>
          <w:i/>
          <w:iCs/>
        </w:rPr>
        <w:t>Institutes of the Christian Religion</w:t>
      </w:r>
      <w:r w:rsidRPr="005A3DFD">
        <w:rPr>
          <w:rFonts w:ascii="Calibri" w:hAnsiTheme="minorHAnsi" w:cs="Calibri"/>
        </w:rPr>
        <w:t>. Edited by John Thomas McNeill. Translated by Ford Lewis Battles. Vol. 2. 2 vols. The Library of Christian Classics. Louisville, Ky. London: Westminster John Knox Press, 1960.</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Calvin, John. ‘John Calvin: Institutes of the Christian Religion - Christian Classics Ethereal Library’. Accessed 29 March 2023. https://www.ccel.org/ccel/calvin/institutes.iv.xvii.html.</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i/>
          <w:iCs/>
        </w:rPr>
        <w:t>Church Times</w:t>
      </w:r>
      <w:r w:rsidRPr="005A3DFD">
        <w:rPr>
          <w:rFonts w:ascii="Calibri" w:hAnsiTheme="minorHAnsi" w:cs="Calibri"/>
        </w:rPr>
        <w:t>. ‘Disagreement over Who Stayed, and Why’. 10 May 2024, No. 8404 edition.</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i/>
          <w:iCs/>
        </w:rPr>
        <w:t>Church Times</w:t>
      </w:r>
      <w:r w:rsidRPr="005A3DFD">
        <w:rPr>
          <w:rFonts w:ascii="Calibri" w:hAnsiTheme="minorHAnsi" w:cs="Calibri"/>
        </w:rPr>
        <w:t>. ‘Editorial’. 10 May 2024, No. 8404 edition, sec. Editorial.</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Daniel, David P. ‘Luther on the Church’. In </w:t>
      </w:r>
      <w:r w:rsidRPr="005A3DFD">
        <w:rPr>
          <w:rFonts w:ascii="Calibri" w:hAnsiTheme="minorHAnsi" w:cs="Calibri"/>
          <w:i/>
          <w:iCs/>
        </w:rPr>
        <w:t>The Oxford Handbook of Martin Luther’s Theology</w:t>
      </w:r>
      <w:r w:rsidRPr="005A3DFD">
        <w:rPr>
          <w:rFonts w:ascii="Calibri" w:hAnsiTheme="minorHAnsi" w:cs="Calibri"/>
        </w:rPr>
        <w:t xml:space="preserve">, edited by Robert Kolb, Irene </w:t>
      </w:r>
      <w:proofErr w:type="spellStart"/>
      <w:r w:rsidRPr="005A3DFD">
        <w:rPr>
          <w:rFonts w:ascii="Calibri" w:hAnsiTheme="minorHAnsi" w:cs="Calibri"/>
        </w:rPr>
        <w:t>Dingel</w:t>
      </w:r>
      <w:proofErr w:type="spellEnd"/>
      <w:r w:rsidRPr="005A3DFD">
        <w:rPr>
          <w:rFonts w:ascii="Calibri" w:hAnsiTheme="minorHAnsi" w:cs="Calibri"/>
        </w:rPr>
        <w:t xml:space="preserve">, and </w:t>
      </w:r>
      <w:proofErr w:type="spellStart"/>
      <w:r w:rsidRPr="005A3DFD">
        <w:rPr>
          <w:rFonts w:ascii="Calibri" w:hAnsiTheme="minorHAnsi" w:cs="Calibri"/>
        </w:rPr>
        <w:t>L’ubomír</w:t>
      </w:r>
      <w:proofErr w:type="spellEnd"/>
      <w:r w:rsidRPr="005A3DFD">
        <w:rPr>
          <w:rFonts w:ascii="Calibri" w:hAnsiTheme="minorHAnsi" w:cs="Calibri"/>
        </w:rPr>
        <w:t xml:space="preserve"> </w:t>
      </w:r>
      <w:proofErr w:type="spellStart"/>
      <w:r w:rsidRPr="005A3DFD">
        <w:rPr>
          <w:rFonts w:ascii="Calibri" w:hAnsiTheme="minorHAnsi" w:cs="Calibri"/>
        </w:rPr>
        <w:t>Batka</w:t>
      </w:r>
      <w:proofErr w:type="spellEnd"/>
      <w:r w:rsidRPr="005A3DFD">
        <w:rPr>
          <w:rFonts w:ascii="Calibri" w:hAnsiTheme="minorHAnsi" w:cs="Calibri"/>
        </w:rPr>
        <w:t>, 0. Oxford University Press, 2014. https://doi.org/10.1093/oxfordhb/9780199604708.013.037.</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Gerrish, B. A. </w:t>
      </w:r>
      <w:r w:rsidRPr="005A3DFD">
        <w:rPr>
          <w:rFonts w:ascii="Calibri" w:hAnsiTheme="minorHAnsi" w:cs="Calibri"/>
          <w:i/>
          <w:iCs/>
        </w:rPr>
        <w:t>Grace and Gratitude: The Eucharistic Theology of John Calvin</w:t>
      </w:r>
      <w:r w:rsidRPr="005A3DFD">
        <w:rPr>
          <w:rFonts w:ascii="Calibri" w:hAnsiTheme="minorHAnsi" w:cs="Calibri"/>
        </w:rPr>
        <w:t>. Minneapolis: Fortress Press, 1993.</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Heinze, Rudolph W. </w:t>
      </w:r>
      <w:r w:rsidRPr="005A3DFD">
        <w:rPr>
          <w:rFonts w:ascii="Calibri" w:hAnsiTheme="minorHAnsi" w:cs="Calibri"/>
          <w:i/>
          <w:iCs/>
        </w:rPr>
        <w:t>Reform and Conflict: From the Medieval World to the Wars of Religion, A.D. 1350 - 1648</w:t>
      </w:r>
      <w:r w:rsidRPr="005A3DFD">
        <w:rPr>
          <w:rFonts w:ascii="Calibri" w:hAnsiTheme="minorHAnsi" w:cs="Calibri"/>
        </w:rPr>
        <w:t>. The Baker History of the Church, v. 4. Grand Rapids, Mich: Baker Books, 2005.</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Hickinbotham</w:t>
      </w:r>
      <w:proofErr w:type="spellEnd"/>
      <w:r w:rsidRPr="005A3DFD">
        <w:rPr>
          <w:rFonts w:ascii="Calibri" w:hAnsiTheme="minorHAnsi" w:cs="Calibri"/>
        </w:rPr>
        <w:t xml:space="preserve">, James P. ‘Cranmer and the Evangelical Revival’. In </w:t>
      </w:r>
      <w:r w:rsidRPr="005A3DFD">
        <w:rPr>
          <w:rFonts w:ascii="Calibri" w:hAnsiTheme="minorHAnsi" w:cs="Calibri"/>
          <w:i/>
          <w:iCs/>
        </w:rPr>
        <w:t>Thomas Cranmer: Essays in Commemoration of the 500th Anniversary of His Birth</w:t>
      </w:r>
      <w:r w:rsidRPr="005A3DFD">
        <w:rPr>
          <w:rFonts w:ascii="Calibri" w:hAnsiTheme="minorHAnsi" w:cs="Calibri"/>
        </w:rPr>
        <w:t>, edited by Margot Johnson, 190–203. Durham: Turnstone Ventures, 1990.</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Hunt, John. ‘ARCHBISHOP CRANMER’S THEOLOGY.’ </w:t>
      </w:r>
      <w:r w:rsidRPr="005A3DFD">
        <w:rPr>
          <w:rFonts w:ascii="Calibri" w:hAnsiTheme="minorHAnsi" w:cs="Calibri"/>
          <w:i/>
          <w:iCs/>
        </w:rPr>
        <w:t>The Contemporary Review,  1866-1900</w:t>
      </w:r>
      <w:r w:rsidRPr="005A3DFD">
        <w:rPr>
          <w:rFonts w:ascii="Calibri" w:hAnsiTheme="minorHAnsi" w:cs="Calibri"/>
        </w:rPr>
        <w:t xml:space="preserve"> 12 (October 1869): 199–212.</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lastRenderedPageBreak/>
        <w:t xml:space="preserve">Jeanes, Gordon P. </w:t>
      </w:r>
      <w:r w:rsidRPr="005A3DFD">
        <w:rPr>
          <w:rFonts w:ascii="Calibri" w:hAnsiTheme="minorHAnsi" w:cs="Calibri"/>
          <w:i/>
          <w:iCs/>
        </w:rPr>
        <w:t>Signs of God’s Promise: Thomas Cranmer’s Sacramental Theology and the Book of Common Prayer</w:t>
      </w:r>
      <w:r w:rsidRPr="005A3DFD">
        <w:rPr>
          <w:rFonts w:ascii="Calibri" w:hAnsiTheme="minorHAnsi" w:cs="Calibri"/>
        </w:rPr>
        <w:t>. London ; New York: T &amp; T Clark, 2008.</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Jensen, Gordon A. ‘Luther and the Lord’s Supper’. In </w:t>
      </w:r>
      <w:r w:rsidRPr="005A3DFD">
        <w:rPr>
          <w:rFonts w:ascii="Calibri" w:hAnsiTheme="minorHAnsi" w:cs="Calibri"/>
          <w:i/>
          <w:iCs/>
        </w:rPr>
        <w:t>The Oxford Handbook of Martin Luther’s Theology</w:t>
      </w:r>
      <w:r w:rsidRPr="005A3DFD">
        <w:rPr>
          <w:rFonts w:ascii="Calibri" w:hAnsiTheme="minorHAnsi" w:cs="Calibri"/>
        </w:rPr>
        <w:t xml:space="preserve">, edited by Robert Kolb, Irene </w:t>
      </w:r>
      <w:proofErr w:type="spellStart"/>
      <w:r w:rsidRPr="005A3DFD">
        <w:rPr>
          <w:rFonts w:ascii="Calibri" w:hAnsiTheme="minorHAnsi" w:cs="Calibri"/>
        </w:rPr>
        <w:t>Dingel</w:t>
      </w:r>
      <w:proofErr w:type="spellEnd"/>
      <w:r w:rsidRPr="005A3DFD">
        <w:rPr>
          <w:rFonts w:ascii="Calibri" w:hAnsiTheme="minorHAnsi" w:cs="Calibri"/>
        </w:rPr>
        <w:t xml:space="preserve">, and </w:t>
      </w:r>
      <w:proofErr w:type="spellStart"/>
      <w:r w:rsidRPr="005A3DFD">
        <w:rPr>
          <w:rFonts w:ascii="Calibri" w:hAnsiTheme="minorHAnsi" w:cs="Calibri"/>
        </w:rPr>
        <w:t>L’ubomír</w:t>
      </w:r>
      <w:proofErr w:type="spellEnd"/>
      <w:r w:rsidRPr="005A3DFD">
        <w:rPr>
          <w:rFonts w:ascii="Calibri" w:hAnsiTheme="minorHAnsi" w:cs="Calibri"/>
        </w:rPr>
        <w:t xml:space="preserve"> </w:t>
      </w:r>
      <w:proofErr w:type="spellStart"/>
      <w:r w:rsidRPr="005A3DFD">
        <w:rPr>
          <w:rFonts w:ascii="Calibri" w:hAnsiTheme="minorHAnsi" w:cs="Calibri"/>
        </w:rPr>
        <w:t>Batka</w:t>
      </w:r>
      <w:proofErr w:type="spellEnd"/>
      <w:r w:rsidRPr="005A3DFD">
        <w:rPr>
          <w:rFonts w:ascii="Calibri" w:hAnsiTheme="minorHAnsi" w:cs="Calibri"/>
        </w:rPr>
        <w:t>, 0. Oxford University Press, 2014. https://doi.org/10.1093/oxfordhb/9780199604708.013.040.</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Lindberg, Carter. </w:t>
      </w:r>
      <w:r w:rsidRPr="005A3DFD">
        <w:rPr>
          <w:rFonts w:ascii="Calibri" w:hAnsiTheme="minorHAnsi" w:cs="Calibri"/>
          <w:i/>
          <w:iCs/>
        </w:rPr>
        <w:t>The European Reformations Sourcebook</w:t>
      </w:r>
      <w:r w:rsidRPr="005A3DFD">
        <w:rPr>
          <w:rFonts w:ascii="Calibri" w:hAnsiTheme="minorHAnsi" w:cs="Calibri"/>
        </w:rPr>
        <w:t>. Oxford: Blackwell, 2000.</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Lohse, Bernhard. </w:t>
      </w:r>
      <w:r w:rsidRPr="005A3DFD">
        <w:rPr>
          <w:rFonts w:ascii="Calibri" w:hAnsiTheme="minorHAnsi" w:cs="Calibri"/>
          <w:i/>
          <w:iCs/>
        </w:rPr>
        <w:t>Martin Luther’s Theology: It’s Historical and Systematic Development</w:t>
      </w:r>
      <w:r w:rsidRPr="005A3DFD">
        <w:rPr>
          <w:rFonts w:ascii="Calibri" w:hAnsiTheme="minorHAnsi" w:cs="Calibri"/>
        </w:rPr>
        <w:t>. Edited and translated by Roy Harrisville. Reprint. Lanham: Fortress Press, 2011.</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LUTHER, MARTIN, Frederick C. Ahrens, and Abdel Ross Wentz. ‘THE BABYLONIAN CAPTIVITY OF THE CHURCH’. In </w:t>
      </w:r>
      <w:r w:rsidRPr="005A3DFD">
        <w:rPr>
          <w:rFonts w:ascii="Calibri" w:hAnsiTheme="minorHAnsi" w:cs="Calibri"/>
          <w:i/>
          <w:iCs/>
        </w:rPr>
        <w:t>Three Treatises</w:t>
      </w:r>
      <w:r w:rsidRPr="005A3DFD">
        <w:rPr>
          <w:rFonts w:ascii="Calibri" w:hAnsiTheme="minorHAnsi" w:cs="Calibri"/>
        </w:rPr>
        <w:t xml:space="preserve">, translated by A. T. W. </w:t>
      </w:r>
      <w:proofErr w:type="spellStart"/>
      <w:r w:rsidRPr="005A3DFD">
        <w:rPr>
          <w:rFonts w:ascii="Calibri" w:hAnsiTheme="minorHAnsi" w:cs="Calibri"/>
        </w:rPr>
        <w:t>Steinhäuser</w:t>
      </w:r>
      <w:proofErr w:type="spellEnd"/>
      <w:r w:rsidRPr="005A3DFD">
        <w:rPr>
          <w:rFonts w:ascii="Calibri" w:hAnsiTheme="minorHAnsi" w:cs="Calibri"/>
        </w:rPr>
        <w:t>, 113–260. 1517 Media, 1970. https://doi.org/10.2307/j.ctv1hqdk12.5.</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‘Luther’s Small Catechism by </w:t>
      </w:r>
      <w:proofErr w:type="spellStart"/>
      <w:r w:rsidRPr="005A3DFD">
        <w:rPr>
          <w:rFonts w:ascii="Calibri" w:hAnsiTheme="minorHAnsi" w:cs="Calibri"/>
        </w:rPr>
        <w:t>Dr.</w:t>
      </w:r>
      <w:proofErr w:type="spellEnd"/>
      <w:r w:rsidRPr="005A3DFD">
        <w:rPr>
          <w:rFonts w:ascii="Calibri" w:hAnsiTheme="minorHAnsi" w:cs="Calibri"/>
        </w:rPr>
        <w:t xml:space="preserve"> Martin Luther’. Accessed 20 April 2024. http://catechism.cph.org/sacrament-of-the-altar.html.</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MacCulloch, </w:t>
      </w:r>
      <w:proofErr w:type="spellStart"/>
      <w:r w:rsidRPr="005A3DFD">
        <w:rPr>
          <w:rFonts w:ascii="Calibri" w:hAnsiTheme="minorHAnsi" w:cs="Calibri"/>
        </w:rPr>
        <w:t>Diarmaid</w:t>
      </w:r>
      <w:proofErr w:type="spellEnd"/>
      <w:r w:rsidRPr="005A3DFD">
        <w:rPr>
          <w:rFonts w:ascii="Calibri" w:hAnsiTheme="minorHAnsi" w:cs="Calibri"/>
        </w:rPr>
        <w:t xml:space="preserve">. </w:t>
      </w:r>
      <w:r w:rsidRPr="005A3DFD">
        <w:rPr>
          <w:rFonts w:ascii="Calibri" w:hAnsiTheme="minorHAnsi" w:cs="Calibri"/>
          <w:i/>
          <w:iCs/>
        </w:rPr>
        <w:t>Thomas Cranmer: A Life</w:t>
      </w:r>
      <w:r w:rsidRPr="005A3DFD">
        <w:rPr>
          <w:rFonts w:ascii="Calibri" w:hAnsiTheme="minorHAnsi" w:cs="Calibri"/>
        </w:rPr>
        <w:t>. New Haven (Conn.): Yale university press, 1996.</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MALSON-HUDDLE, ELIZABETH. ‘Anne Askew and the Controversy over the Real Presence’. </w:t>
      </w:r>
      <w:r w:rsidRPr="005A3DFD">
        <w:rPr>
          <w:rFonts w:ascii="Calibri" w:hAnsiTheme="minorHAnsi" w:cs="Calibri"/>
          <w:i/>
          <w:iCs/>
        </w:rPr>
        <w:t>Studies in English Literature, 1500-1900</w:t>
      </w:r>
      <w:r w:rsidRPr="005A3DFD">
        <w:rPr>
          <w:rFonts w:ascii="Calibri" w:hAnsiTheme="minorHAnsi" w:cs="Calibri"/>
        </w:rPr>
        <w:t xml:space="preserve"> 50, no. 1 (2010): 1–16. https://doi.org/10.1353/sel.0.0085.</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Marrs, Daniel. ‘Real Presence, Spiritual Presence: Assessing Thomas Cranmer’s Appropriation of St. Ambrose’s Eucharistic Doctrine’. </w:t>
      </w:r>
      <w:r w:rsidRPr="005A3DFD">
        <w:rPr>
          <w:rFonts w:ascii="Calibri" w:hAnsiTheme="minorHAnsi" w:cs="Calibri"/>
          <w:i/>
          <w:iCs/>
        </w:rPr>
        <w:t>Anglican Theological Review</w:t>
      </w:r>
      <w:r w:rsidRPr="005A3DFD">
        <w:rPr>
          <w:rFonts w:ascii="Calibri" w:hAnsiTheme="minorHAnsi" w:cs="Calibri"/>
        </w:rPr>
        <w:t xml:space="preserve"> 97, no. 1 (1 December 2015): 53–74. https://doi.org/10.1177/000332861509700105.</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‘Martin Luther’s 95 Theses’. Accessed 16 May 2024. https://www.luther.de/en/95thesen.html.</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McGrath, Alister E. </w:t>
      </w:r>
      <w:r w:rsidRPr="005A3DFD">
        <w:rPr>
          <w:rFonts w:ascii="Calibri" w:hAnsiTheme="minorHAnsi" w:cs="Calibri"/>
          <w:i/>
          <w:iCs/>
        </w:rPr>
        <w:t>Christian Theology: An Introduction</w:t>
      </w:r>
      <w:r w:rsidRPr="005A3DFD">
        <w:rPr>
          <w:rFonts w:ascii="Calibri" w:hAnsiTheme="minorHAnsi" w:cs="Calibri"/>
        </w:rPr>
        <w:t>. 3rd ed. Oxford ; Malden, MA: Blackwell Publishers, 2001.</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Meyer, Carl S. </w:t>
      </w:r>
      <w:r w:rsidRPr="005A3DFD">
        <w:rPr>
          <w:rFonts w:ascii="Calibri" w:hAnsiTheme="minorHAnsi" w:cs="Calibri"/>
          <w:i/>
          <w:iCs/>
        </w:rPr>
        <w:t>Cranmer’s Selected Writings</w:t>
      </w:r>
      <w:r w:rsidRPr="005A3DFD">
        <w:rPr>
          <w:rFonts w:ascii="Calibri" w:hAnsiTheme="minorHAnsi" w:cs="Calibri"/>
        </w:rPr>
        <w:t>. London: SPCK, 1961.</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Migliore</w:t>
      </w:r>
      <w:proofErr w:type="spellEnd"/>
      <w:r w:rsidRPr="005A3DFD">
        <w:rPr>
          <w:rFonts w:ascii="Calibri" w:hAnsiTheme="minorHAnsi" w:cs="Calibri"/>
        </w:rPr>
        <w:t xml:space="preserve">, Daniel L. </w:t>
      </w:r>
      <w:r w:rsidRPr="005A3DFD">
        <w:rPr>
          <w:rFonts w:ascii="Calibri" w:hAnsiTheme="minorHAnsi" w:cs="Calibri"/>
          <w:i/>
          <w:iCs/>
        </w:rPr>
        <w:t>Faith Seeking Understanding: An Introduction to Christian Theology</w:t>
      </w:r>
      <w:r w:rsidRPr="005A3DFD">
        <w:rPr>
          <w:rFonts w:ascii="Calibri" w:hAnsiTheme="minorHAnsi" w:cs="Calibri"/>
        </w:rPr>
        <w:t>. 2nd ed. Grand Rapids, Mich: W.B. Eerdmans, 2004.</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Morris, Jeremy. </w:t>
      </w:r>
      <w:r w:rsidRPr="005A3DFD">
        <w:rPr>
          <w:rFonts w:ascii="Calibri" w:hAnsiTheme="minorHAnsi" w:cs="Calibri"/>
          <w:i/>
          <w:iCs/>
        </w:rPr>
        <w:t>A People’s Church: A History of the Church of England</w:t>
      </w:r>
      <w:r w:rsidRPr="005A3DFD">
        <w:rPr>
          <w:rFonts w:ascii="Calibri" w:hAnsiTheme="minorHAnsi" w:cs="Calibri"/>
        </w:rPr>
        <w:t>. London: Profile Books Ltd, 2022.</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O’Collins</w:t>
      </w:r>
      <w:proofErr w:type="spellEnd"/>
      <w:r w:rsidRPr="005A3DFD">
        <w:rPr>
          <w:rFonts w:ascii="Calibri" w:hAnsiTheme="minorHAnsi" w:cs="Calibri"/>
        </w:rPr>
        <w:t xml:space="preserve">, Gerald. </w:t>
      </w:r>
      <w:r w:rsidRPr="005A3DFD">
        <w:rPr>
          <w:rFonts w:ascii="Calibri" w:hAnsiTheme="minorHAnsi" w:cs="Calibri"/>
          <w:i/>
          <w:iCs/>
        </w:rPr>
        <w:t>Christology: A Biblical, Historical, and Systematic Study of Jesus Christ</w:t>
      </w:r>
      <w:r w:rsidRPr="005A3DFD">
        <w:rPr>
          <w:rFonts w:ascii="Calibri" w:hAnsiTheme="minorHAnsi" w:cs="Calibri"/>
        </w:rPr>
        <w:t>. Oxford ; New York: Oxford University Press, 1995.</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Pelikan</w:t>
      </w:r>
      <w:proofErr w:type="spellEnd"/>
      <w:r w:rsidRPr="005A3DFD">
        <w:rPr>
          <w:rFonts w:ascii="Calibri" w:hAnsiTheme="minorHAnsi" w:cs="Calibri"/>
        </w:rPr>
        <w:t xml:space="preserve">, Jaroslav. </w:t>
      </w:r>
      <w:r w:rsidRPr="005A3DFD">
        <w:rPr>
          <w:rFonts w:ascii="Calibri" w:hAnsiTheme="minorHAnsi" w:cs="Calibri"/>
          <w:i/>
          <w:iCs/>
        </w:rPr>
        <w:t>Reformation of Church and Dogma: 1300 - 1700</w:t>
      </w:r>
      <w:r w:rsidRPr="005A3DFD">
        <w:rPr>
          <w:rFonts w:ascii="Calibri" w:hAnsiTheme="minorHAnsi" w:cs="Calibri"/>
        </w:rPr>
        <w:t>. Paperback ed. 1985, [</w:t>
      </w:r>
      <w:proofErr w:type="spellStart"/>
      <w:r w:rsidRPr="005A3DFD">
        <w:rPr>
          <w:rFonts w:ascii="Calibri" w:hAnsiTheme="minorHAnsi" w:cs="Calibri"/>
        </w:rPr>
        <w:t>Nachdr</w:t>
      </w:r>
      <w:proofErr w:type="spellEnd"/>
      <w:r w:rsidRPr="005A3DFD">
        <w:rPr>
          <w:rFonts w:ascii="Calibri" w:hAnsiTheme="minorHAnsi" w:cs="Calibri"/>
        </w:rPr>
        <w:t xml:space="preserve">.]. The Christian Tradition : A History of the Development of Doctrine / Jaroslav </w:t>
      </w:r>
      <w:proofErr w:type="spellStart"/>
      <w:r w:rsidRPr="005A3DFD">
        <w:rPr>
          <w:rFonts w:ascii="Calibri" w:hAnsiTheme="minorHAnsi" w:cs="Calibri"/>
        </w:rPr>
        <w:t>Pelikan</w:t>
      </w:r>
      <w:proofErr w:type="spellEnd"/>
      <w:r w:rsidRPr="005A3DFD">
        <w:rPr>
          <w:rFonts w:ascii="Calibri" w:hAnsiTheme="minorHAnsi" w:cs="Calibri"/>
        </w:rPr>
        <w:t xml:space="preserve"> 4. Chicago, Ill.: Univ. of Chicago Press, 2006.</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Posset, Franz. ‘Luther@500: Catholic Interest in Martin Luther’. </w:t>
      </w:r>
      <w:r w:rsidRPr="005A3DFD">
        <w:rPr>
          <w:rFonts w:ascii="Calibri" w:hAnsiTheme="minorHAnsi" w:cs="Calibri"/>
          <w:i/>
          <w:iCs/>
        </w:rPr>
        <w:t>The Australasian Catholic Record</w:t>
      </w:r>
      <w:r w:rsidRPr="005A3DFD">
        <w:rPr>
          <w:rFonts w:ascii="Calibri" w:hAnsiTheme="minorHAnsi" w:cs="Calibri"/>
        </w:rPr>
        <w:t xml:space="preserve"> 94, no. 4 (October 2017): 398–414.</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lastRenderedPageBreak/>
        <w:t xml:space="preserve">Robinson, Paul W. ‘Introduction to Volume 3’. In </w:t>
      </w:r>
      <w:r w:rsidRPr="005A3DFD">
        <w:rPr>
          <w:rFonts w:ascii="Calibri" w:hAnsiTheme="minorHAnsi" w:cs="Calibri"/>
          <w:i/>
          <w:iCs/>
        </w:rPr>
        <w:t>The Annotated Luther, Volume 3</w:t>
      </w:r>
      <w:r w:rsidRPr="005A3DFD">
        <w:rPr>
          <w:rFonts w:ascii="Calibri" w:hAnsiTheme="minorHAnsi" w:cs="Calibri"/>
        </w:rPr>
        <w:t xml:space="preserve">, edited by Paul W. Robinson, Hans J. </w:t>
      </w:r>
      <w:proofErr w:type="spellStart"/>
      <w:r w:rsidRPr="005A3DFD">
        <w:rPr>
          <w:rFonts w:ascii="Calibri" w:hAnsiTheme="minorHAnsi" w:cs="Calibri"/>
        </w:rPr>
        <w:t>Hillerbrand</w:t>
      </w:r>
      <w:proofErr w:type="spellEnd"/>
      <w:r w:rsidRPr="005A3DFD">
        <w:rPr>
          <w:rFonts w:ascii="Calibri" w:hAnsiTheme="minorHAnsi" w:cs="Calibri"/>
        </w:rPr>
        <w:t xml:space="preserve">, </w:t>
      </w:r>
      <w:proofErr w:type="spellStart"/>
      <w:r w:rsidRPr="005A3DFD">
        <w:rPr>
          <w:rFonts w:ascii="Calibri" w:hAnsiTheme="minorHAnsi" w:cs="Calibri"/>
        </w:rPr>
        <w:t>Kirsi</w:t>
      </w:r>
      <w:proofErr w:type="spellEnd"/>
      <w:r w:rsidRPr="005A3DFD">
        <w:rPr>
          <w:rFonts w:ascii="Calibri" w:hAnsiTheme="minorHAnsi" w:cs="Calibri"/>
        </w:rPr>
        <w:t xml:space="preserve"> I. </w:t>
      </w:r>
      <w:proofErr w:type="spellStart"/>
      <w:r w:rsidRPr="005A3DFD">
        <w:rPr>
          <w:rFonts w:ascii="Calibri" w:hAnsiTheme="minorHAnsi" w:cs="Calibri"/>
        </w:rPr>
        <w:t>Stjerna</w:t>
      </w:r>
      <w:proofErr w:type="spellEnd"/>
      <w:r w:rsidRPr="005A3DFD">
        <w:rPr>
          <w:rFonts w:ascii="Calibri" w:hAnsiTheme="minorHAnsi" w:cs="Calibri"/>
        </w:rPr>
        <w:t xml:space="preserve">, and Timothy J. </w:t>
      </w:r>
      <w:proofErr w:type="spellStart"/>
      <w:r w:rsidRPr="005A3DFD">
        <w:rPr>
          <w:rFonts w:ascii="Calibri" w:hAnsiTheme="minorHAnsi" w:cs="Calibri"/>
        </w:rPr>
        <w:t>Wengert</w:t>
      </w:r>
      <w:proofErr w:type="spellEnd"/>
      <w:r w:rsidRPr="005A3DFD">
        <w:rPr>
          <w:rFonts w:ascii="Calibri" w:hAnsiTheme="minorHAnsi" w:cs="Calibri"/>
        </w:rPr>
        <w:t>, 1–8. Church and Sacraments. 1517 Media, 2016. https://doi.org/10.2307/j.ctt19qgfvv.6.</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Steinmetz, David C. ‘THE CATHOLIC LUTHER: A Critical Reappraisal’. </w:t>
      </w:r>
      <w:r w:rsidRPr="005A3DFD">
        <w:rPr>
          <w:rFonts w:ascii="Calibri" w:hAnsiTheme="minorHAnsi" w:cs="Calibri"/>
          <w:i/>
          <w:iCs/>
        </w:rPr>
        <w:t>Theology Today</w:t>
      </w:r>
      <w:r w:rsidRPr="005A3DFD">
        <w:rPr>
          <w:rFonts w:ascii="Calibri" w:hAnsiTheme="minorHAnsi" w:cs="Calibri"/>
        </w:rPr>
        <w:t xml:space="preserve"> 61, no. 2 (July 2004): 187–201.</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‘The 1552 Book of Common Prayer: Holy Communion’. Accessed 15 May 2024. http://justus.anglican.org/resources/bcp/1552/Communion_1552.htm.</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Vajta</w:t>
      </w:r>
      <w:proofErr w:type="spellEnd"/>
      <w:r w:rsidRPr="005A3DFD">
        <w:rPr>
          <w:rFonts w:ascii="Calibri" w:hAnsiTheme="minorHAnsi" w:cs="Calibri"/>
        </w:rPr>
        <w:t xml:space="preserve">, </w:t>
      </w:r>
      <w:proofErr w:type="spellStart"/>
      <w:r w:rsidRPr="005A3DFD">
        <w:rPr>
          <w:rFonts w:ascii="Calibri" w:hAnsiTheme="minorHAnsi" w:cs="Calibri"/>
        </w:rPr>
        <w:t>Vilmos</w:t>
      </w:r>
      <w:proofErr w:type="spellEnd"/>
      <w:r w:rsidRPr="005A3DFD">
        <w:rPr>
          <w:rFonts w:ascii="Calibri" w:hAnsiTheme="minorHAnsi" w:cs="Calibri"/>
        </w:rPr>
        <w:t xml:space="preserve">. </w:t>
      </w:r>
      <w:r w:rsidRPr="005A3DFD">
        <w:rPr>
          <w:rFonts w:ascii="Calibri" w:hAnsiTheme="minorHAnsi" w:cs="Calibri"/>
          <w:i/>
          <w:iCs/>
        </w:rPr>
        <w:t>Luther on Worship: An Interpretation</w:t>
      </w:r>
      <w:r w:rsidRPr="005A3DFD">
        <w:rPr>
          <w:rFonts w:ascii="Calibri" w:hAnsiTheme="minorHAnsi" w:cs="Calibri"/>
        </w:rPr>
        <w:t>. Fortress Press, 1958.</w:t>
      </w:r>
    </w:p>
    <w:p w:rsidR="005A3DFD" w:rsidRPr="005A3DFD" w:rsidRDefault="005A3DFD" w:rsidP="005A3DFD">
      <w:pPr>
        <w:pStyle w:val="Bibliography"/>
        <w:spacing w:before="120"/>
        <w:rPr>
          <w:rFonts w:ascii="Calibri" w:hAnsiTheme="minorHAnsi" w:cs="Calibri"/>
        </w:rPr>
      </w:pPr>
      <w:r w:rsidRPr="005A3DFD">
        <w:rPr>
          <w:rFonts w:ascii="Calibri" w:hAnsiTheme="minorHAnsi" w:cs="Calibri"/>
        </w:rPr>
        <w:t xml:space="preserve">Wendel, François. </w:t>
      </w:r>
      <w:r w:rsidRPr="005A3DFD">
        <w:rPr>
          <w:rFonts w:ascii="Calibri" w:hAnsiTheme="minorHAnsi" w:cs="Calibri"/>
          <w:i/>
          <w:iCs/>
        </w:rPr>
        <w:t>Calvin: Origins and Development of His Religious Thought</w:t>
      </w:r>
      <w:r w:rsidRPr="005A3DFD">
        <w:rPr>
          <w:rFonts w:ascii="Calibri" w:hAnsiTheme="minorHAnsi" w:cs="Calibri"/>
        </w:rPr>
        <w:t xml:space="preserve">. Translated by Philip </w:t>
      </w:r>
      <w:proofErr w:type="spellStart"/>
      <w:r w:rsidRPr="005A3DFD">
        <w:rPr>
          <w:rFonts w:ascii="Calibri" w:hAnsiTheme="minorHAnsi" w:cs="Calibri"/>
        </w:rPr>
        <w:t>Mairet</w:t>
      </w:r>
      <w:proofErr w:type="spellEnd"/>
      <w:r w:rsidRPr="005A3DFD">
        <w:rPr>
          <w:rFonts w:ascii="Calibri" w:hAnsiTheme="minorHAnsi" w:cs="Calibri"/>
        </w:rPr>
        <w:t>. Fontana Library. London: Collins, 1965.</w:t>
      </w:r>
    </w:p>
    <w:p w:rsidR="005A3DFD" w:rsidRPr="005A3DFD" w:rsidRDefault="005A3DFD" w:rsidP="005A3DFD">
      <w:pPr>
        <w:pStyle w:val="Bibliography"/>
        <w:spacing w:before="120"/>
        <w:rPr>
          <w:rFonts w:ascii="Calibri" w:hAnsiTheme="minorHAnsi" w:cs="Calibri"/>
        </w:rPr>
      </w:pPr>
      <w:proofErr w:type="spellStart"/>
      <w:r w:rsidRPr="005A3DFD">
        <w:rPr>
          <w:rFonts w:ascii="Calibri" w:hAnsiTheme="minorHAnsi" w:cs="Calibri"/>
        </w:rPr>
        <w:t>Yeago</w:t>
      </w:r>
      <w:proofErr w:type="spellEnd"/>
      <w:r w:rsidRPr="005A3DFD">
        <w:rPr>
          <w:rFonts w:ascii="Calibri" w:hAnsiTheme="minorHAnsi" w:cs="Calibri"/>
        </w:rPr>
        <w:t xml:space="preserve">, David S. ‘“A Christian, Holy People” Martin Luther on Salvation and the Church’. </w:t>
      </w:r>
      <w:r w:rsidRPr="005A3DFD">
        <w:rPr>
          <w:rFonts w:ascii="Calibri" w:hAnsiTheme="minorHAnsi" w:cs="Calibri"/>
          <w:i/>
          <w:iCs/>
        </w:rPr>
        <w:t>Modern Theology</w:t>
      </w:r>
      <w:r w:rsidRPr="005A3DFD">
        <w:rPr>
          <w:rFonts w:ascii="Calibri" w:hAnsiTheme="minorHAnsi" w:cs="Calibri"/>
        </w:rPr>
        <w:t xml:space="preserve"> 13, no. 1 (January 1997): 101–20. https://doi.org/10.1111/1468-0025.00033.</w:t>
      </w:r>
    </w:p>
    <w:p w:rsidR="00C27694" w:rsidRPr="00570945" w:rsidRDefault="005A3DFD" w:rsidP="008D6879">
      <w:pPr>
        <w:spacing w:before="120"/>
        <w:rPr>
          <w:rFonts w:asciiTheme="minorHAnsi" w:hAnsiTheme="minorHAnsi" w:cstheme="minorHAnsi"/>
        </w:rPr>
      </w:pPr>
      <w:r>
        <w:rPr>
          <w:rFonts w:asciiTheme="minorHAnsi" w:hAnsiTheme="minorHAnsi" w:cstheme="minorHAnsi"/>
        </w:rPr>
        <w:fldChar w:fldCharType="end"/>
      </w:r>
    </w:p>
    <w:p w:rsidR="00DB7A54" w:rsidRPr="008D6879" w:rsidRDefault="005A3DFD" w:rsidP="008D6879">
      <w:pPr>
        <w:pStyle w:val="Heading2"/>
        <w:rPr>
          <w:rFonts w:asciiTheme="minorHAnsi" w:eastAsiaTheme="minorHAnsi" w:hAnsiTheme="minorHAnsi" w:cstheme="minorHAnsi"/>
          <w:b/>
          <w:bCs/>
          <w:color w:val="auto"/>
          <w:sz w:val="24"/>
          <w:szCs w:val="24"/>
          <w:bdr w:val="none" w:sz="0" w:space="0" w:color="auto"/>
        </w:rPr>
      </w:pPr>
      <w:bookmarkStart w:id="20" w:name="_Toc166761543"/>
      <w:r w:rsidRPr="008D6879">
        <w:rPr>
          <w:rFonts w:asciiTheme="minorHAnsi" w:eastAsiaTheme="minorHAnsi" w:hAnsiTheme="minorHAnsi" w:cstheme="minorHAnsi"/>
          <w:b/>
          <w:bCs/>
          <w:color w:val="auto"/>
          <w:sz w:val="24"/>
          <w:szCs w:val="24"/>
          <w:bdr w:val="none" w:sz="0" w:space="0" w:color="auto"/>
        </w:rPr>
        <w:t>Additional resources consulted</w:t>
      </w:r>
      <w:bookmarkEnd w:id="20"/>
    </w:p>
    <w:p w:rsidR="005A3DFD" w:rsidRDefault="005A3DFD" w:rsidP="00E13E9B">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dr w:val="none" w:sz="0" w:space="0" w:color="auto"/>
          <w14:ligatures w14:val="standardContextual"/>
        </w:rPr>
      </w:pPr>
    </w:p>
    <w:p w:rsidR="008D6879" w:rsidRPr="008D6879" w:rsidRDefault="008D6879" w:rsidP="008D6879">
      <w:pPr>
        <w:spacing w:before="120"/>
        <w:ind w:left="709" w:hanging="709"/>
        <w:rPr>
          <w:rFonts w:asciiTheme="minorHAnsi" w:hAnsiTheme="minorHAnsi" w:cstheme="minorHAnsi"/>
        </w:rPr>
      </w:pPr>
      <w:proofErr w:type="spellStart"/>
      <w:r w:rsidRPr="008D6879">
        <w:rPr>
          <w:rFonts w:asciiTheme="minorHAnsi" w:hAnsiTheme="minorHAnsi" w:cstheme="minorHAnsi"/>
        </w:rPr>
        <w:t>Arcadi</w:t>
      </w:r>
      <w:proofErr w:type="spellEnd"/>
      <w:r w:rsidRPr="008D6879">
        <w:rPr>
          <w:rFonts w:asciiTheme="minorHAnsi" w:hAnsiTheme="minorHAnsi" w:cstheme="minorHAnsi"/>
        </w:rPr>
        <w:t xml:space="preserve">, James M. ‘Discerning the Body of Christ: A Retrieval of Thomas Cranmer’s Eucharistic Theology by Way of the Spiritual Senses’. </w:t>
      </w:r>
      <w:r w:rsidRPr="008D6879">
        <w:rPr>
          <w:rFonts w:asciiTheme="minorHAnsi" w:hAnsiTheme="minorHAnsi" w:cstheme="minorHAnsi"/>
          <w:i/>
          <w:iCs/>
        </w:rPr>
        <w:t>Journal of Anglican Studies</w:t>
      </w:r>
      <w:r w:rsidRPr="008D6879">
        <w:rPr>
          <w:rFonts w:asciiTheme="minorHAnsi" w:hAnsiTheme="minorHAnsi" w:cstheme="minorHAnsi"/>
        </w:rPr>
        <w:t xml:space="preserve"> 17, no. 2 (2019): 183–97. </w:t>
      </w:r>
      <w:hyperlink r:id="rId8" w:history="1">
        <w:r w:rsidRPr="008D6879">
          <w:rPr>
            <w:rStyle w:val="Hyperlink"/>
            <w:rFonts w:asciiTheme="minorHAnsi" w:hAnsiTheme="minorHAnsi" w:cstheme="minorHAnsi"/>
          </w:rPr>
          <w:t>https://doi.org/10.1017/S1740355319000019</w:t>
        </w:r>
      </w:hyperlink>
      <w:r w:rsidRPr="008D6879">
        <w:rPr>
          <w:rFonts w:asciiTheme="minorHAnsi" w:hAnsiTheme="minorHAnsi" w:cstheme="minorHAnsi"/>
        </w:rPr>
        <w:t>.</w:t>
      </w:r>
    </w:p>
    <w:p w:rsidR="008D6879" w:rsidRPr="008D6879" w:rsidRDefault="008D6879" w:rsidP="008D6879">
      <w:pPr>
        <w:spacing w:before="120"/>
        <w:ind w:left="709" w:hanging="709"/>
        <w:rPr>
          <w:rFonts w:asciiTheme="minorHAnsi" w:hAnsiTheme="minorHAnsi" w:cstheme="minorHAnsi"/>
        </w:rPr>
      </w:pPr>
      <w:proofErr w:type="spellStart"/>
      <w:r w:rsidRPr="008D6879">
        <w:rPr>
          <w:rFonts w:asciiTheme="minorHAnsi" w:hAnsiTheme="minorHAnsi" w:cstheme="minorHAnsi"/>
        </w:rPr>
        <w:t>Konkola</w:t>
      </w:r>
      <w:proofErr w:type="spellEnd"/>
      <w:r w:rsidRPr="008D6879">
        <w:rPr>
          <w:rFonts w:asciiTheme="minorHAnsi" w:hAnsiTheme="minorHAnsi" w:cstheme="minorHAnsi"/>
        </w:rPr>
        <w:t xml:space="preserve">, Kari, and </w:t>
      </w:r>
      <w:proofErr w:type="spellStart"/>
      <w:r w:rsidRPr="008D6879">
        <w:rPr>
          <w:rFonts w:asciiTheme="minorHAnsi" w:hAnsiTheme="minorHAnsi" w:cstheme="minorHAnsi"/>
        </w:rPr>
        <w:t>Diarmaid</w:t>
      </w:r>
      <w:proofErr w:type="spellEnd"/>
      <w:r w:rsidRPr="008D6879">
        <w:rPr>
          <w:rFonts w:asciiTheme="minorHAnsi" w:hAnsiTheme="minorHAnsi" w:cstheme="minorHAnsi"/>
        </w:rPr>
        <w:t xml:space="preserve"> MacCulloch. ‘People of the Book: Success in the English Reformation’. </w:t>
      </w:r>
      <w:r w:rsidRPr="008D6879">
        <w:rPr>
          <w:rFonts w:asciiTheme="minorHAnsi" w:hAnsiTheme="minorHAnsi" w:cstheme="minorHAnsi"/>
          <w:i/>
          <w:iCs/>
        </w:rPr>
        <w:t>History Today</w:t>
      </w:r>
      <w:r w:rsidRPr="008D6879">
        <w:rPr>
          <w:rFonts w:asciiTheme="minorHAnsi" w:hAnsiTheme="minorHAnsi" w:cstheme="minorHAnsi"/>
        </w:rPr>
        <w:t>, London: History Today Ltd., October 2003. 202815541. ProQuest Central.</w:t>
      </w:r>
    </w:p>
    <w:p w:rsidR="008D6879" w:rsidRPr="008D6879" w:rsidRDefault="008D6879" w:rsidP="008D6879">
      <w:pPr>
        <w:spacing w:before="120"/>
        <w:ind w:left="709" w:hanging="709"/>
        <w:rPr>
          <w:rFonts w:asciiTheme="minorHAnsi" w:hAnsiTheme="minorHAnsi" w:cstheme="minorHAnsi"/>
        </w:rPr>
      </w:pPr>
      <w:r w:rsidRPr="008D6879">
        <w:rPr>
          <w:rFonts w:asciiTheme="minorHAnsi" w:hAnsiTheme="minorHAnsi" w:cstheme="minorHAnsi"/>
        </w:rPr>
        <w:t xml:space="preserve">Null, Ashley. </w:t>
      </w:r>
      <w:r w:rsidRPr="008D6879">
        <w:rPr>
          <w:rFonts w:asciiTheme="minorHAnsi" w:hAnsiTheme="minorHAnsi" w:cstheme="minorHAnsi"/>
          <w:i/>
          <w:iCs/>
        </w:rPr>
        <w:t>Thomas Cranmer’s Doctrine of Repentance</w:t>
      </w:r>
      <w:r w:rsidRPr="008D6879">
        <w:rPr>
          <w:rFonts w:asciiTheme="minorHAnsi" w:hAnsiTheme="minorHAnsi" w:cstheme="minorHAnsi"/>
        </w:rPr>
        <w:t xml:space="preserve">. Oxford University Press, 2001. </w:t>
      </w:r>
      <w:hyperlink r:id="rId9" w:history="1">
        <w:r w:rsidRPr="008D6879">
          <w:rPr>
            <w:rStyle w:val="Hyperlink"/>
            <w:rFonts w:asciiTheme="minorHAnsi" w:hAnsiTheme="minorHAnsi" w:cstheme="minorHAnsi"/>
          </w:rPr>
          <w:t>https://doi.org/10.1093/acprof:oso/9780198270218.001.0001</w:t>
        </w:r>
      </w:hyperlink>
      <w:r w:rsidRPr="008D6879">
        <w:rPr>
          <w:rFonts w:asciiTheme="minorHAnsi" w:hAnsiTheme="minorHAnsi" w:cstheme="minorHAnsi"/>
        </w:rPr>
        <w:t>.</w:t>
      </w:r>
    </w:p>
    <w:p w:rsidR="008D6879" w:rsidRPr="008D6879" w:rsidRDefault="008D6879" w:rsidP="008D6879">
      <w:pPr>
        <w:spacing w:before="120"/>
        <w:ind w:left="709" w:hanging="709"/>
        <w:rPr>
          <w:rFonts w:asciiTheme="minorHAnsi" w:hAnsiTheme="minorHAnsi" w:cstheme="minorHAnsi"/>
        </w:rPr>
      </w:pPr>
      <w:r w:rsidRPr="008D6879">
        <w:rPr>
          <w:rFonts w:asciiTheme="minorHAnsi" w:hAnsiTheme="minorHAnsi" w:cstheme="minorHAnsi"/>
        </w:rPr>
        <w:t xml:space="preserve">Phan, Peter C. ‘Roman Catholic Theology’. In </w:t>
      </w:r>
      <w:r w:rsidRPr="008D6879">
        <w:rPr>
          <w:rFonts w:asciiTheme="minorHAnsi" w:hAnsiTheme="minorHAnsi" w:cstheme="minorHAnsi"/>
          <w:i/>
          <w:iCs/>
        </w:rPr>
        <w:t>The Oxford Handbook of Eschatology</w:t>
      </w:r>
      <w:r w:rsidRPr="008D6879">
        <w:rPr>
          <w:rFonts w:asciiTheme="minorHAnsi" w:hAnsiTheme="minorHAnsi" w:cstheme="minorHAnsi"/>
        </w:rPr>
        <w:t xml:space="preserve">, edited by Jerry L. Walls, 215–32. Oxford University Press, 2007. </w:t>
      </w:r>
      <w:hyperlink r:id="rId10" w:history="1">
        <w:r w:rsidRPr="008D6879">
          <w:rPr>
            <w:rStyle w:val="Hyperlink"/>
            <w:rFonts w:asciiTheme="minorHAnsi" w:hAnsiTheme="minorHAnsi" w:cstheme="minorHAnsi"/>
          </w:rPr>
          <w:t>https://doi.org/10.1093/oxfordhb/9780195170498.003.12</w:t>
        </w:r>
      </w:hyperlink>
      <w:r w:rsidRPr="008D6879">
        <w:rPr>
          <w:rFonts w:asciiTheme="minorHAnsi" w:hAnsiTheme="minorHAnsi" w:cstheme="minorHAnsi"/>
        </w:rPr>
        <w:t>.</w:t>
      </w:r>
    </w:p>
    <w:p w:rsidR="008D6879" w:rsidRPr="008D6879" w:rsidRDefault="008D6879" w:rsidP="008D6879">
      <w:pPr>
        <w:spacing w:before="120"/>
        <w:ind w:left="709" w:hanging="709"/>
        <w:rPr>
          <w:rFonts w:asciiTheme="minorHAnsi" w:hAnsiTheme="minorHAnsi" w:cstheme="minorHAnsi"/>
        </w:rPr>
      </w:pPr>
      <w:proofErr w:type="spellStart"/>
      <w:r w:rsidRPr="008D6879">
        <w:rPr>
          <w:rFonts w:asciiTheme="minorHAnsi" w:hAnsiTheme="minorHAnsi" w:cstheme="minorHAnsi"/>
        </w:rPr>
        <w:t>Santrac</w:t>
      </w:r>
      <w:proofErr w:type="spellEnd"/>
      <w:r w:rsidRPr="008D6879">
        <w:rPr>
          <w:rFonts w:asciiTheme="minorHAnsi" w:hAnsiTheme="minorHAnsi" w:cstheme="minorHAnsi"/>
        </w:rPr>
        <w:t xml:space="preserve">, Aleksandar S. ‘The Legacy of Martin Luther’s Sola Fide’. </w:t>
      </w:r>
      <w:r w:rsidRPr="008D6879">
        <w:rPr>
          <w:rFonts w:asciiTheme="minorHAnsi" w:hAnsiTheme="minorHAnsi" w:cstheme="minorHAnsi"/>
          <w:i/>
          <w:iCs/>
        </w:rPr>
        <w:t xml:space="preserve">In Die </w:t>
      </w:r>
      <w:proofErr w:type="spellStart"/>
      <w:r w:rsidRPr="008D6879">
        <w:rPr>
          <w:rFonts w:asciiTheme="minorHAnsi" w:hAnsiTheme="minorHAnsi" w:cstheme="minorHAnsi"/>
          <w:i/>
          <w:iCs/>
        </w:rPr>
        <w:t>Skriflig</w:t>
      </w:r>
      <w:proofErr w:type="spellEnd"/>
      <w:r w:rsidRPr="008D6879">
        <w:rPr>
          <w:rFonts w:asciiTheme="minorHAnsi" w:hAnsiTheme="minorHAnsi" w:cstheme="minorHAnsi"/>
        </w:rPr>
        <w:t xml:space="preserve"> 51, no. 1 (2017). </w:t>
      </w:r>
      <w:hyperlink r:id="rId11" w:history="1">
        <w:r w:rsidRPr="008D6879">
          <w:rPr>
            <w:rStyle w:val="Hyperlink"/>
            <w:rFonts w:asciiTheme="minorHAnsi" w:hAnsiTheme="minorHAnsi" w:cstheme="minorHAnsi"/>
          </w:rPr>
          <w:t>https://doi.org/10.4102/ids.v51i1.2275</w:t>
        </w:r>
      </w:hyperlink>
      <w:r w:rsidRPr="008D6879">
        <w:rPr>
          <w:rFonts w:asciiTheme="minorHAnsi" w:hAnsiTheme="minorHAnsi" w:cstheme="minorHAnsi"/>
        </w:rPr>
        <w:t>.</w:t>
      </w:r>
    </w:p>
    <w:p w:rsidR="008D6879" w:rsidRPr="008D6879" w:rsidRDefault="008D6879" w:rsidP="008D6879">
      <w:pPr>
        <w:spacing w:before="120"/>
        <w:ind w:left="709" w:hanging="709"/>
        <w:rPr>
          <w:rFonts w:asciiTheme="minorHAnsi" w:hAnsiTheme="minorHAnsi" w:cstheme="minorHAnsi"/>
        </w:rPr>
      </w:pPr>
      <w:proofErr w:type="spellStart"/>
      <w:r w:rsidRPr="008D6879">
        <w:rPr>
          <w:rFonts w:asciiTheme="minorHAnsi" w:hAnsiTheme="minorHAnsi" w:cstheme="minorHAnsi"/>
        </w:rPr>
        <w:t>Valčová</w:t>
      </w:r>
      <w:proofErr w:type="spellEnd"/>
      <w:r w:rsidRPr="008D6879">
        <w:rPr>
          <w:rFonts w:asciiTheme="minorHAnsi" w:hAnsiTheme="minorHAnsi" w:cstheme="minorHAnsi"/>
        </w:rPr>
        <w:t xml:space="preserve">, </w:t>
      </w:r>
      <w:proofErr w:type="spellStart"/>
      <w:r w:rsidRPr="008D6879">
        <w:rPr>
          <w:rFonts w:asciiTheme="minorHAnsi" w:hAnsiTheme="minorHAnsi" w:cstheme="minorHAnsi"/>
        </w:rPr>
        <w:t>Katarína</w:t>
      </w:r>
      <w:proofErr w:type="spellEnd"/>
      <w:r w:rsidRPr="008D6879">
        <w:rPr>
          <w:rFonts w:asciiTheme="minorHAnsi" w:hAnsiTheme="minorHAnsi" w:cstheme="minorHAnsi"/>
        </w:rPr>
        <w:t xml:space="preserve">. ‘The Theology of the Worship Service According to Martin Luther’. </w:t>
      </w:r>
      <w:r w:rsidRPr="008D6879">
        <w:rPr>
          <w:rFonts w:asciiTheme="minorHAnsi" w:hAnsiTheme="minorHAnsi" w:cstheme="minorHAnsi"/>
          <w:i/>
          <w:iCs/>
        </w:rPr>
        <w:t>E-</w:t>
      </w:r>
      <w:proofErr w:type="spellStart"/>
      <w:r w:rsidRPr="008D6879">
        <w:rPr>
          <w:rFonts w:asciiTheme="minorHAnsi" w:hAnsiTheme="minorHAnsi" w:cstheme="minorHAnsi"/>
          <w:i/>
          <w:iCs/>
        </w:rPr>
        <w:t>Theologos</w:t>
      </w:r>
      <w:proofErr w:type="spellEnd"/>
      <w:r w:rsidRPr="008D6879">
        <w:rPr>
          <w:rFonts w:asciiTheme="minorHAnsi" w:hAnsiTheme="minorHAnsi" w:cstheme="minorHAnsi"/>
        </w:rPr>
        <w:t xml:space="preserve"> 3, no. 1 (2012): 68–81. </w:t>
      </w:r>
      <w:hyperlink r:id="rId12" w:history="1">
        <w:r w:rsidRPr="008D6879">
          <w:rPr>
            <w:rStyle w:val="Hyperlink"/>
            <w:rFonts w:asciiTheme="minorHAnsi" w:hAnsiTheme="minorHAnsi" w:cstheme="minorHAnsi"/>
          </w:rPr>
          <w:t>https://doi.org/10.2478/v10154-012-0006-9</w:t>
        </w:r>
      </w:hyperlink>
      <w:r w:rsidRPr="008D6879">
        <w:rPr>
          <w:rFonts w:asciiTheme="minorHAnsi" w:hAnsiTheme="minorHAnsi" w:cstheme="minorHAnsi"/>
        </w:rPr>
        <w:t>.</w:t>
      </w:r>
    </w:p>
    <w:p w:rsidR="008D6879" w:rsidRPr="008D6879" w:rsidRDefault="008D6879" w:rsidP="008D6879">
      <w:pPr>
        <w:spacing w:before="120"/>
        <w:ind w:left="709" w:hanging="709"/>
        <w:rPr>
          <w:rFonts w:asciiTheme="minorHAnsi" w:hAnsiTheme="minorHAnsi" w:cstheme="minorHAnsi"/>
        </w:rPr>
      </w:pPr>
      <w:r w:rsidRPr="008D6879">
        <w:rPr>
          <w:rFonts w:asciiTheme="minorHAnsi" w:hAnsiTheme="minorHAnsi" w:cstheme="minorHAnsi"/>
        </w:rPr>
        <w:t xml:space="preserve">Wax, Trevin. ‘Luther vs. Zwingli 2: Luther on the Lord’s Supper’. The Gospel Coalition, 11 February 2008. </w:t>
      </w:r>
      <w:hyperlink r:id="rId13" w:history="1">
        <w:r w:rsidRPr="008D6879">
          <w:rPr>
            <w:rStyle w:val="Hyperlink"/>
            <w:rFonts w:asciiTheme="minorHAnsi" w:hAnsiTheme="minorHAnsi" w:cstheme="minorHAnsi"/>
          </w:rPr>
          <w:t>https://www.thegospelcoalition.org/blogs/trevin-wax/luther-vs-zwingli-2-luther-on-the-lords-supper/</w:t>
        </w:r>
      </w:hyperlink>
      <w:r w:rsidRPr="008D6879">
        <w:rPr>
          <w:rFonts w:asciiTheme="minorHAnsi" w:hAnsiTheme="minorHAnsi" w:cstheme="minorHAnsi"/>
        </w:rPr>
        <w:t>.</w:t>
      </w:r>
    </w:p>
    <w:p w:rsidR="005A3DFD" w:rsidRPr="00570945" w:rsidRDefault="005A3DFD" w:rsidP="00E13E9B">
      <w:p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eastAsiaTheme="minorHAnsi" w:hAnsiTheme="minorHAnsi" w:cstheme="minorHAnsi"/>
          <w:bdr w:val="none" w:sz="0" w:space="0" w:color="auto"/>
          <w14:ligatures w14:val="standardContextual"/>
        </w:rPr>
      </w:pPr>
    </w:p>
    <w:sectPr w:rsidR="005A3DFD" w:rsidRPr="00570945" w:rsidSect="00D04170">
      <w:headerReference w:type="default" r:id="rId14"/>
      <w:foot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E5444" w:rsidRDefault="00FE5444" w:rsidP="00F65DA5">
      <w:r>
        <w:separator/>
      </w:r>
    </w:p>
  </w:endnote>
  <w:endnote w:type="continuationSeparator" w:id="0">
    <w:p w:rsidR="00FE5444" w:rsidRDefault="00FE5444" w:rsidP="00F65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Footer"/>
      <w:jc w:val="center"/>
    </w:pPr>
    <w:r>
      <w:t xml:space="preserve">Page </w:t>
    </w:r>
    <w:r>
      <w:fldChar w:fldCharType="begin"/>
    </w:r>
    <w:r>
      <w:instrText xml:space="preserve"> PAGE </w:instrText>
    </w:r>
    <w:r>
      <w:fldChar w:fldCharType="separate"/>
    </w:r>
    <w:r>
      <w:rPr>
        <w:noProof/>
      </w:rPr>
      <w:t>1</w:t>
    </w:r>
    <w:r>
      <w:fldChar w:fldCharType="end"/>
    </w:r>
    <w:r>
      <w:t xml:space="preserve"> of </w:t>
    </w:r>
    <w:r>
      <w:fldChar w:fldCharType="begin"/>
    </w:r>
    <w:r>
      <w:instrText xml:space="preserve"> NUMPAGES </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E5444" w:rsidRDefault="00FE5444" w:rsidP="00F65DA5">
      <w:r>
        <w:separator/>
      </w:r>
    </w:p>
  </w:footnote>
  <w:footnote w:type="continuationSeparator" w:id="0">
    <w:p w:rsidR="00FE5444" w:rsidRDefault="00FE5444" w:rsidP="00F65DA5">
      <w:r>
        <w:continuationSeparator/>
      </w:r>
    </w:p>
  </w:footnote>
  <w:footnote w:id="1">
    <w:p w:rsidR="008D0FD2" w:rsidRDefault="008D0FD2">
      <w:pPr>
        <w:pStyle w:val="FootnoteText"/>
      </w:pPr>
      <w:r w:rsidRPr="00AB1AE4">
        <w:rPr>
          <w:rStyle w:val="FootnoteReference"/>
        </w:rPr>
        <w:footnoteRef/>
      </w:r>
      <w:r>
        <w:t xml:space="preserve"> Hereafter abbreviated to ‘RC’</w:t>
      </w:r>
    </w:p>
  </w:footnote>
  <w:footnote w:id="2">
    <w:p w:rsidR="005853F6" w:rsidRDefault="005853F6" w:rsidP="005853F6">
      <w:pPr>
        <w:pStyle w:val="FootnoteText"/>
      </w:pPr>
      <w:r w:rsidRPr="00AB1AE4">
        <w:rPr>
          <w:rStyle w:val="FootnoteReference"/>
        </w:rPr>
        <w:footnoteRef/>
      </w:r>
      <w:r>
        <w:t xml:space="preserve"> Hereafter abbreviated to ‘CofE’.</w:t>
      </w:r>
    </w:p>
  </w:footnote>
  <w:footnote w:id="3">
    <w:p w:rsidR="005853F6" w:rsidRDefault="005853F6">
      <w:pPr>
        <w:pStyle w:val="FootnoteText"/>
      </w:pPr>
      <w:r w:rsidRPr="00AB1AE4">
        <w:rPr>
          <w:rStyle w:val="FootnoteReference"/>
        </w:rPr>
        <w:footnoteRef/>
      </w:r>
      <w:r>
        <w:t xml:space="preserve"> Hereafter abbreviated to ‘BCP’.</w:t>
      </w:r>
    </w:p>
  </w:footnote>
  <w:footnote w:id="4">
    <w:p w:rsidR="00716E62" w:rsidRDefault="00716E62">
      <w:pPr>
        <w:pStyle w:val="FootnoteText"/>
      </w:pPr>
      <w:r w:rsidRPr="00AB1AE4">
        <w:rPr>
          <w:rStyle w:val="FootnoteReference"/>
        </w:rPr>
        <w:footnoteRef/>
      </w:r>
      <w:r>
        <w:t xml:space="preserve"> </w:t>
      </w:r>
      <w:r w:rsidR="00375B67">
        <w:t>See the Appendices for l</w:t>
      </w:r>
      <w:r>
        <w:rPr>
          <w:rFonts w:cstheme="minorHAnsi"/>
        </w:rPr>
        <w:t xml:space="preserve">onger quotations (in translation) from </w:t>
      </w:r>
      <w:r w:rsidR="00375B67">
        <w:rPr>
          <w:rFonts w:cstheme="minorHAnsi"/>
        </w:rPr>
        <w:t xml:space="preserve">Luther, Calvin and Cranmer </w:t>
      </w:r>
      <w:r>
        <w:rPr>
          <w:rFonts w:cstheme="minorHAnsi"/>
        </w:rPr>
        <w:t>primary sources</w:t>
      </w:r>
      <w:r w:rsidR="00375B67">
        <w:rPr>
          <w:rFonts w:cstheme="minorHAnsi"/>
        </w:rPr>
        <w:t xml:space="preserve"> which expound </w:t>
      </w:r>
      <w:proofErr w:type="spellStart"/>
      <w:r w:rsidR="00375B67">
        <w:rPr>
          <w:rFonts w:cstheme="minorHAnsi"/>
        </w:rPr>
        <w:t>their</w:t>
      </w:r>
      <w:proofErr w:type="spellEnd"/>
      <w:r w:rsidR="00375B67">
        <w:rPr>
          <w:rFonts w:cstheme="minorHAnsi"/>
        </w:rPr>
        <w:t xml:space="preserve"> </w:t>
      </w:r>
      <w:r>
        <w:rPr>
          <w:rFonts w:cstheme="minorHAnsi"/>
        </w:rPr>
        <w:t>arguments and conclusions drawn.</w:t>
      </w:r>
    </w:p>
  </w:footnote>
  <w:footnote w:id="5">
    <w:p w:rsidR="00D63AAF" w:rsidRDefault="00D63AAF" w:rsidP="00D63AAF">
      <w:pPr>
        <w:pStyle w:val="FootnoteText"/>
      </w:pPr>
      <w:r w:rsidRPr="00AB1AE4">
        <w:rPr>
          <w:rStyle w:val="FootnoteReference"/>
        </w:rPr>
        <w:footnoteRef/>
      </w:r>
      <w:r>
        <w:t xml:space="preserve"> The subject and general content of: </w:t>
      </w:r>
      <w:r>
        <w:fldChar w:fldCharType="begin"/>
      </w:r>
      <w:r w:rsidR="00D01C1F">
        <w:instrText xml:space="preserve"> ADDIN ZOTERO_ITEM CSL_CITATION {"citationID":"2lNv8Yyc","properties":{"formattedCitation":"Bernhard Lohse, {\\i{}Martin Luther\\uc0\\u8217{}s Theology: It\\uc0\\u8217{}s Historical and Systematic Development}, ed. and trans. Roy Harrisville, Reprint (Lanham: Fortress Press, 2011).","plainCitation":"Bernhard Lohse, Martin Luther’s Theology: It’s Historical and Systematic Development, ed. and trans. Roy Harrisville, Reprint (Lanham: Fortress Press, 2011).","noteIndex":5},"citationItems":[{"id":3299,"uris":["http://zotero.org/users/7540819/items/ZQ9LSKK5"],"itemData":{"id":3299,"type":"book","abstract":"This definitive analysis of the theology of Martin Luther surveys its development during the crises of Luther`s life, then offers a systematic survey by topics. Containing a wealth of quotations from less-known writings by Luther and written in a way that will interest both scholar and novice, Lohse`s magisterial volume is the first to evaluate Luther`s theology in both ways. Lohse`s historical analysis takes up Luther`s early exegetical works and then his debates with traditions important to him in the context of the various controversies leading up to his dispute with the Antinomians. The systematic treatment shows how the meaning of ancient Christian doctrines took their place within the central teaching of justification by faith","edition":"Reprint","event-place":"Lanham","ISBN":"978-0-8006-9836-2","language":"eng","number-of-pages":"393","publisher":"Fortress Press","publisher-place":"Lanham","source":"K10plus ISBN","title":"Martin Luther's Theology: It's Historical and Systematic Development","title-short":"Martin Luther's Theology","author":[{"family":"Lohse","given":"Bernhard"}],"translator":[{"family":"Harrisville","given":"Roy"}],"editor":[{"family":"Harrisville","given":"Roy"}],"issued":{"date-parts":[["2011"]]}}}],"schema":"https://github.com/citation-style-language/schema/raw/master/csl-citation.json"} </w:instrText>
      </w:r>
      <w:r>
        <w:fldChar w:fldCharType="separate"/>
      </w:r>
      <w:r w:rsidRPr="00087D2F">
        <w:rPr>
          <w:rFonts w:ascii="Calibri" w:cs="Calibri"/>
        </w:rPr>
        <w:t xml:space="preserve">Bernhard Lohse, </w:t>
      </w:r>
      <w:r w:rsidRPr="00087D2F">
        <w:rPr>
          <w:rFonts w:ascii="Calibri" w:cs="Calibri"/>
          <w:i/>
          <w:iCs/>
        </w:rPr>
        <w:t>Martin Luther’s Theology: It’s Historical and Systematic Development</w:t>
      </w:r>
      <w:r w:rsidRPr="00087D2F">
        <w:rPr>
          <w:rFonts w:ascii="Calibri" w:cs="Calibri"/>
        </w:rPr>
        <w:t>, ed. and trans. Roy Harrisville, Reprint (Lanham: Fortress Press, 2011).</w:t>
      </w:r>
      <w:r>
        <w:fldChar w:fldCharType="end"/>
      </w:r>
    </w:p>
  </w:footnote>
  <w:footnote w:id="6">
    <w:p w:rsidR="00733A91" w:rsidRDefault="00733A91">
      <w:pPr>
        <w:pStyle w:val="FootnoteText"/>
      </w:pPr>
      <w:r>
        <w:rPr>
          <w:rStyle w:val="FootnoteReference"/>
        </w:rPr>
        <w:footnoteRef/>
      </w:r>
      <w:r>
        <w:t xml:space="preserve"> </w:t>
      </w:r>
      <w:r>
        <w:fldChar w:fldCharType="begin"/>
      </w:r>
      <w:r>
        <w:instrText xml:space="preserve"> ADDIN ZOTERO_ITEM CSL_CITATION {"citationID":"Jr3ZgCLJ","properties":{"formattedCitation":"Gerald O\\uc0\\u8217{}Collins, {\\i{}Christology: A Biblical, Historical, and Systematic Study of Jesus Christ} (Oxford\\uc0\\u8239{}; New York: Oxford University Press, 1995).","plainCitation":"Gerald O’Collins, Christology: A Biblical, Historical, and Systematic Study of Jesus Christ (Oxford ; New York: Oxford University Press, 1995).","dontUpdate":true,"noteIndex":6},"citationItems":[{"id":2493,"uris":["http://zotero.org/users/7540819/items/HGRWDUHQ"],"itemData":{"id":2493,"type":"book","call-number":"BT202 .O313 1995","event-place":"Oxford ; New York","ISBN":"978-0-19-875501-2","number-of-pages":"333","publisher":"Oxford University Press","publisher-place":"Oxford ; New York","source":"Library of Congress ISBN","title":"Christology: a biblical, historical, and systematic study of Jesus Christ","title-short":"Christology","author":[{"family":"O'Collins","given":"Gerald"}],"issued":{"date-parts":[["1995"]]}}}],"schema":"https://github.com/citation-style-language/schema/raw/master/csl-citation.json"} </w:instrText>
      </w:r>
      <w:r>
        <w:fldChar w:fldCharType="separate"/>
      </w:r>
      <w:r w:rsidRPr="00733A91">
        <w:rPr>
          <w:rFonts w:ascii="Calibri" w:cs="Calibri"/>
        </w:rPr>
        <w:t xml:space="preserve">Gerald </w:t>
      </w:r>
      <w:proofErr w:type="spellStart"/>
      <w:r w:rsidRPr="00733A91">
        <w:rPr>
          <w:rFonts w:ascii="Calibri" w:cs="Calibri"/>
        </w:rPr>
        <w:t>O’Collins</w:t>
      </w:r>
      <w:proofErr w:type="spellEnd"/>
      <w:r w:rsidRPr="00733A91">
        <w:rPr>
          <w:rFonts w:ascii="Calibri" w:cs="Calibri"/>
        </w:rPr>
        <w:t xml:space="preserve">, </w:t>
      </w:r>
      <w:r w:rsidRPr="00733A91">
        <w:rPr>
          <w:rFonts w:ascii="Calibri" w:cs="Calibri"/>
          <w:i/>
          <w:iCs/>
        </w:rPr>
        <w:t>Christology: A Biblical, Historical, and Systematic Study of Jesus Christ</w:t>
      </w:r>
      <w:r w:rsidRPr="00733A91">
        <w:rPr>
          <w:rFonts w:ascii="Calibri" w:cs="Calibri"/>
        </w:rPr>
        <w:t xml:space="preserve"> (Oxford ; New York: Oxford University Press, 1995)</w:t>
      </w:r>
      <w:r>
        <w:rPr>
          <w:rFonts w:ascii="Calibri" w:cs="Calibri"/>
        </w:rPr>
        <w:t>, 212</w:t>
      </w:r>
      <w:r w:rsidRPr="00733A91">
        <w:rPr>
          <w:rFonts w:ascii="Calibri" w:cs="Calibri"/>
        </w:rPr>
        <w:t>.</w:t>
      </w:r>
      <w:r>
        <w:fldChar w:fldCharType="end"/>
      </w:r>
    </w:p>
  </w:footnote>
  <w:footnote w:id="7">
    <w:p w:rsidR="000B69D9" w:rsidRDefault="000B69D9" w:rsidP="000B69D9">
      <w:pPr>
        <w:pStyle w:val="FootnoteText"/>
      </w:pPr>
      <w:r w:rsidRPr="00AB1AE4">
        <w:rPr>
          <w:rStyle w:val="FootnoteReference"/>
        </w:rPr>
        <w:footnoteRef/>
      </w:r>
      <w:r>
        <w:t xml:space="preserve"> </w:t>
      </w:r>
      <w:r>
        <w:fldChar w:fldCharType="begin"/>
      </w:r>
      <w:r w:rsidR="00733A91">
        <w:instrText xml:space="preserve"> ADDIN ZOTERO_ITEM CSL_CITATION {"citationID":"TjJ6Nz19","properties":{"formattedCitation":"Alister E. McGrath, {\\i{}Christian Theology: An Introduction}, 3rd ed (Oxford\\uc0\\u8239{}; Malden, MA: Blackwell Publishers, 2001).","plainCitation":"Alister E. McGrath, Christian Theology: An Introduction, 3rd ed (Oxford ; Malden, MA: Blackwell Publishers, 2001).","dontUpdate":true,"noteIndex":7},"citationItems":[{"id":1923,"uris":["http://zotero.org/users/7540819/items/XY7ZAMH3"],"itemData":{"id":1923,"type":"book","call-number":"BT65 .M34 2001","edition":"3rd ed","event-place":"Oxford ; Malden, MA","ISBN":"978-0-631-22527-0","number-of-pages":"616","publisher":"Blackwell Publishers","publisher-place":"Oxford ; Malden, MA","source":"Library of Congress ISBN","title":"Christian theology: an introduction","title-short":"Christian theology","author":[{"family":"McGrath","given":"Alister E."}],"issued":{"date-parts":[["2001"]]}}}],"schema":"https://github.com/citation-style-language/schema/raw/master/csl-citation.json"} </w:instrText>
      </w:r>
      <w:r>
        <w:fldChar w:fldCharType="separate"/>
      </w:r>
      <w:r w:rsidRPr="007A4631">
        <w:rPr>
          <w:rFonts w:ascii="Calibri" w:cs="Calibri"/>
        </w:rPr>
        <w:t xml:space="preserve">Alister E. McGrath, </w:t>
      </w:r>
      <w:r w:rsidRPr="007A4631">
        <w:rPr>
          <w:rFonts w:ascii="Calibri" w:cs="Calibri"/>
          <w:i/>
          <w:iCs/>
        </w:rPr>
        <w:t>Christian Theology: An Introduction</w:t>
      </w:r>
      <w:r w:rsidRPr="007A4631">
        <w:rPr>
          <w:rFonts w:ascii="Calibri" w:cs="Calibri"/>
        </w:rPr>
        <w:t>, 3rd ed (Oxford ; Malden, MA: Blackwell Publishers, 2001)</w:t>
      </w:r>
      <w:r>
        <w:rPr>
          <w:rFonts w:ascii="Calibri" w:cs="Calibri"/>
        </w:rPr>
        <w:t>, 524-525</w:t>
      </w:r>
      <w:r w:rsidRPr="007A4631">
        <w:rPr>
          <w:rFonts w:ascii="Calibri" w:cs="Calibri"/>
        </w:rPr>
        <w:t>.</w:t>
      </w:r>
      <w:r>
        <w:fldChar w:fldCharType="end"/>
      </w:r>
    </w:p>
  </w:footnote>
  <w:footnote w:id="8">
    <w:p w:rsidR="000B69D9" w:rsidRDefault="000B69D9" w:rsidP="000B69D9">
      <w:pPr>
        <w:pStyle w:val="FootnoteText"/>
      </w:pPr>
      <w:r w:rsidRPr="00AB1AE4">
        <w:rPr>
          <w:rStyle w:val="FootnoteReference"/>
        </w:rPr>
        <w:footnoteRef/>
      </w:r>
      <w:r>
        <w:t xml:space="preserve"> </w:t>
      </w:r>
      <w:r>
        <w:fldChar w:fldCharType="begin"/>
      </w:r>
      <w:r w:rsidR="005A3DFD">
        <w:instrText xml:space="preserve"> ADDIN ZOTERO_ITEM CSL_CITATION {"citationID":"Hfmkgafo","properties":{"formattedCitation":"Kenneth Baker, \\uc0\\u8216{}The Catholic Doctrine of the Real Presence\\uc0\\u8217{}, accessed 16 April 2024, https://www.catholiceducation.org/en/culture/catholic-contributions/the-catholic-doctrine-of-the-real-presence.html.","plainCitation":"Kenneth Baker, ‘The Catholic Doctrine of the Real Presence’, accessed 16 April 2024, https://www.catholiceducation.org/en/culture/catholic-contributions/the-catholic-doctrine-of-the-real-presence.html.","noteIndex":8},"citationItems":[{"id":3230,"uris":["http://zotero.org/users/7540819/items/EVJ42BFZ"],"itemData":{"id":3230,"type":"webpage","abstract":"According to Catholic belief the Holy Eucharist is both a sacrament and a sacrifice. The aspect of the sacrament which I will consider now is what is...","language":"en-gb","title":"The Catholic Doctrine of the Real Presence","title-short":"The Catholic Doctrine of the Real Presence","URL":"https://www.catholiceducation.org/en/culture/catholic-contributions/the-catholic-doctrine-of-the-real-presence.html","author":[{"family":"Baker","given":"Kenneth"}],"accessed":{"date-parts":[["2024",4,16]]}}}],"schema":"https://github.com/citation-style-language/schema/raw/master/csl-citation.json"} </w:instrText>
      </w:r>
      <w:r>
        <w:fldChar w:fldCharType="separate"/>
      </w:r>
      <w:r w:rsidRPr="007A4631">
        <w:rPr>
          <w:rFonts w:ascii="Calibri" w:cs="Calibri"/>
        </w:rPr>
        <w:t>Kenneth Baker, ‘The Catholic Doctrine of the Real Presence’, accessed 16 April 2024, https://www.catholiceducation.org/en/culture/catholic-contributions/the-catholic-doctrine-of-the-real-presence.html.</w:t>
      </w:r>
      <w:r>
        <w:fldChar w:fldCharType="end"/>
      </w:r>
      <w:r>
        <w:t xml:space="preserve"> </w:t>
      </w:r>
    </w:p>
  </w:footnote>
  <w:footnote w:id="9">
    <w:p w:rsidR="007F2CE9" w:rsidRDefault="007F2CE9">
      <w:pPr>
        <w:pStyle w:val="FootnoteText"/>
      </w:pPr>
      <w:r w:rsidRPr="00AB1AE4">
        <w:rPr>
          <w:rStyle w:val="FootnoteReference"/>
        </w:rPr>
        <w:footnoteRef/>
      </w:r>
      <w:r>
        <w:t xml:space="preserve"> </w:t>
      </w:r>
      <w:r>
        <w:fldChar w:fldCharType="begin"/>
      </w:r>
      <w:r w:rsidR="00733A91">
        <w:instrText xml:space="preserve"> ADDIN ZOTERO_ITEM CSL_CITATION {"citationID":"Uz1VPHS2","properties":{"formattedCitation":"Daniel L. Migliore, {\\i{}Faith Seeking Understanding: An Introduction to Christian Theology}, 2nd ed (Grand Rapids, Mich: W.B. Eerdmans, 2004).","plainCitation":"Daniel L. Migliore, Faith Seeking Understanding: An Introduction to Christian Theology, 2nd ed (Grand Rapids, Mich: W.B. Eerdmans, 2004).","dontUpdate":true,"noteIndex":9},"citationItems":[{"id":2237,"uris":["http://zotero.org/users/7540819/items/ANXYXUU7"],"itemData":{"id":2237,"type":"book","call-number":"BT65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r w:rsidRPr="007F2CE9">
        <w:rPr>
          <w:rFonts w:ascii="Calibri" w:cs="Calibri"/>
        </w:rPr>
        <w:t xml:space="preserve">Daniel L. Migliore, </w:t>
      </w:r>
      <w:r w:rsidRPr="007F2CE9">
        <w:rPr>
          <w:rFonts w:ascii="Calibri" w:cs="Calibri"/>
          <w:i/>
          <w:iCs/>
        </w:rPr>
        <w:t>Faith Seeking Understanding: An Introduction to Christian Theology</w:t>
      </w:r>
      <w:r w:rsidRPr="007F2CE9">
        <w:rPr>
          <w:rFonts w:ascii="Calibri" w:cs="Calibri"/>
        </w:rPr>
        <w:t>, 2nd ed (Grand Rapids, Mich: W.B. Eerdmans, 2004)</w:t>
      </w:r>
      <w:r>
        <w:rPr>
          <w:rFonts w:ascii="Calibri" w:cs="Calibri"/>
        </w:rPr>
        <w:t>, 291</w:t>
      </w:r>
      <w:r w:rsidRPr="007F2CE9">
        <w:rPr>
          <w:rFonts w:ascii="Calibri" w:cs="Calibri"/>
        </w:rPr>
        <w:t>.</w:t>
      </w:r>
      <w:r>
        <w:fldChar w:fldCharType="end"/>
      </w:r>
    </w:p>
  </w:footnote>
  <w:footnote w:id="10">
    <w:p w:rsidR="00520D4E" w:rsidRDefault="00520D4E">
      <w:pPr>
        <w:pStyle w:val="FootnoteText"/>
      </w:pPr>
      <w:r w:rsidRPr="00AB1AE4">
        <w:rPr>
          <w:rStyle w:val="FootnoteReference"/>
        </w:rPr>
        <w:footnoteRef/>
      </w:r>
      <w:r>
        <w:t xml:space="preserve"> </w:t>
      </w:r>
      <w:r>
        <w:fldChar w:fldCharType="begin"/>
      </w:r>
      <w:r w:rsidR="00733A91">
        <w:instrText xml:space="preserve"> ADDIN ZOTERO_ITEM CSL_CITATION {"citationID":"piBhFlQ0","properties":{"formattedCitation":"Migliore, {\\i{}Faith Seeking Understanding}.","plainCitation":"Migliore, Faith Seeking Understanding.","dontUpdate":true,"noteIndex":10},"citationItems":[{"id":2237,"uris":["http://zotero.org/users/7540819/items/ANXYXUU7"],"itemData":{"id":2237,"type":"book","call-number":"BT65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r w:rsidRPr="00520D4E">
        <w:rPr>
          <w:rFonts w:ascii="Calibri" w:cs="Calibri"/>
        </w:rPr>
        <w:t xml:space="preserve">Migliore, </w:t>
      </w:r>
      <w:r w:rsidRPr="00520D4E">
        <w:rPr>
          <w:rFonts w:ascii="Calibri" w:cs="Calibri"/>
          <w:i/>
          <w:iCs/>
        </w:rPr>
        <w:t>Faith Seeking Understanding</w:t>
      </w:r>
      <w:r>
        <w:rPr>
          <w:rFonts w:ascii="Calibri" w:cs="Calibri"/>
          <w:i/>
          <w:iCs/>
        </w:rPr>
        <w:t xml:space="preserve">, </w:t>
      </w:r>
      <w:r>
        <w:rPr>
          <w:rFonts w:ascii="Calibri" w:cs="Calibri"/>
        </w:rPr>
        <w:t>291-292</w:t>
      </w:r>
      <w:r w:rsidRPr="00520D4E">
        <w:rPr>
          <w:rFonts w:ascii="Calibri" w:cs="Calibri"/>
        </w:rPr>
        <w:t>.</w:t>
      </w:r>
      <w:r>
        <w:fldChar w:fldCharType="end"/>
      </w:r>
      <w:r>
        <w:t xml:space="preserve"> </w:t>
      </w:r>
      <w:proofErr w:type="spellStart"/>
      <w:r>
        <w:t>Migliore</w:t>
      </w:r>
      <w:proofErr w:type="spellEnd"/>
      <w:r>
        <w:t xml:space="preserve"> here summarises </w:t>
      </w:r>
      <w:r>
        <w:fldChar w:fldCharType="begin"/>
      </w:r>
      <w:r w:rsidR="00733A91">
        <w:instrText xml:space="preserve"> ADDIN ZOTERO_ITEM CSL_CITATION {"citationID":"JgalU73Z","properties":{"formattedCitation":"John Calvin, \\uc0\\u8216{}John Calvin: Institutes of the Christian Religion - Christian Classics Ethereal Library\\uc0\\u8217{}, accessed 29 March 2023, https://www.ccel.org/ccel/calvin/institutes.iv.xvii.html.","plainCitation":"John Calvin, ‘John Calvin: Institutes of the Christian Religion - Christian Classics Ethereal Library’, accessed 29 March 2023, https://www.ccel.org/ccel/calvin/institutes.iv.xvii.html.","dontUpdate":true,"noteIndex":10},"citationItems":[{"id":2564,"uris":["http://zotero.org/users/7540819/items/UZN5KIUX"],"itemData":{"id":2564,"type":"webpage","title":"John Calvin: Institutes of the Christian Religion - Christian Classics Ethereal Library","URL":"https://www.ccel.org/ccel/calvin/institutes.iv.xvii.html","author":[{"family":"Calvin","given":"John"}],"accessed":{"date-parts":[["2023",3,29]]}}}],"schema":"https://github.com/citation-style-language/schema/raw/master/csl-citation.json"} </w:instrText>
      </w:r>
      <w:r>
        <w:fldChar w:fldCharType="separate"/>
      </w:r>
      <w:r w:rsidRPr="00520D4E">
        <w:rPr>
          <w:rFonts w:ascii="Calibri" w:cs="Calibri"/>
        </w:rPr>
        <w:t xml:space="preserve">John Calvin, ‘John Calvin: Institutes of the Christian Religion - Christian Classics Ethereal Library’, </w:t>
      </w:r>
      <w:r>
        <w:rPr>
          <w:rFonts w:ascii="Calibri" w:cs="Calibri"/>
        </w:rPr>
        <w:t>4.18.13-16</w:t>
      </w:r>
      <w:r w:rsidRPr="00520D4E">
        <w:rPr>
          <w:rFonts w:ascii="Calibri" w:cs="Calibri"/>
        </w:rPr>
        <w:t>.</w:t>
      </w:r>
      <w:r>
        <w:fldChar w:fldCharType="end"/>
      </w:r>
      <w:r>
        <w:t xml:space="preserve"> </w:t>
      </w:r>
    </w:p>
  </w:footnote>
  <w:footnote w:id="11">
    <w:p w:rsidR="00A83061" w:rsidRDefault="00A83061">
      <w:pPr>
        <w:pStyle w:val="FootnoteText"/>
      </w:pPr>
      <w:r w:rsidRPr="00AB1AE4">
        <w:rPr>
          <w:rStyle w:val="FootnoteReference"/>
        </w:rPr>
        <w:footnoteRef/>
      </w:r>
      <w:r>
        <w:t xml:space="preserve"> See, for example, Franz Posset’s incisive discussion of Catholic interest in the 500</w:t>
      </w:r>
      <w:r w:rsidRPr="00A83061">
        <w:rPr>
          <w:vertAlign w:val="superscript"/>
        </w:rPr>
        <w:t>th</w:t>
      </w:r>
      <w:r>
        <w:t xml:space="preserve"> anniversary of Luther’s Reformation: </w:t>
      </w:r>
      <w:r>
        <w:fldChar w:fldCharType="begin"/>
      </w:r>
      <w:r w:rsidR="005A3DFD">
        <w:instrText xml:space="preserve"> ADDIN ZOTERO_ITEM CSL_CITATION {"citationID":"swAsBOIc","properties":{"formattedCitation":"Franz Posset, \\uc0\\u8216{}Luther@500: Catholic Interest in Martin Luther\\uc0\\u8217{}, {\\i{}The Australasian Catholic Record} 94, no. 4 (October 2017): 398\\uc0\\u8211{}414.","plainCitation":"Franz Posset, ‘Luther@500: Catholic Interest in Martin Luther’, The Australasian Catholic Record 94, no. 4 (October 2017): 398–414.","noteIndex":11},"citationItems":[{"id":3298,"uris":["http://zotero.org/users/7540819/items/WQWY2C63"],"itemData":{"id":3298,"type":"article-journal","abstract":"Furthermore, a Catholic commemoration would be incomplete if it ignored Luther's Augustinian Order as such, within which Staupitz operated for many years and in which Luther matured in terms of his theology and in then becoming a reformer out of this very order-tradition.\n\n[...]it is significant that the Order of St Augustine (OSA) conducted an international conference in November 2017 at its headquarters in Rome on Luther's Reformation and St Augustine and the Augustinian Order.38 With respect to the numerous exhibitions in connection with the ecumenical commemoration of the 500th anniversary of the Reformation, there is one that stands out as a unique enterprise:\n\nBe that as it may, the leading Catholic ecumenist, Cardinal Walter Kasper (b. 1933), president emeritus of the Pontifical Council for Promoting Christian Unity, having served as its president from 2001 to 2010-being the product of German Catholic scholarship of the twentieth and twenty-first centuries on Luther-made a significant contribution with his booklet (a lecture at Humboldt University in Berlin), Martin Luther: An Ecumenical Perspective,64 which was published in English toward the end of the Luther Decade (in 2016) by the same American, Catholic press that included Luther in its series of the Classics of Western Spirituality at the beginning of that decade.\n\nWhen almost half a century ago, in 1970, Cardinal Willebrands bestowed this title on Luther he made a very courageous move because in the past this very title was reserved for St Thomas Aquinas (1225-1274) as 'the' Doctor Communis of Catholic theology.69 Cardinal Willebrands spoke then not as a private person, but as the president of the Secretariat for Christian Unity.\n\n[...]the historic title Doctor Communis is not simply pointing to the past, but is a signpost directing us to the ecumenical future of 'Our Martin'.\n\n30 May to 1 June 2017, sponsored by the Pontifical Committee of Historical Sciences, the Secretariat for Ecumenical and Interreligious Affairs of the United States Conference of Catholic Bishops, the Catholic University of America, and the Metropolitan Washington, DC, Synod of the Evangelical Lutheran Church in America. 27.","archive":"ProQuest Central","archive_location":"2133762867","container-title":"The Australasian Catholic Record","ISSN":"07273215","issue":"4","language":"English","note":"publisher-place: Stathfield\npublisher: Copyright Agency Limited (Distributor)","page":"398-414","title":"Luther@500: Catholic Interest in Martin Luther","volume":"94","author":[{"family":"Posset","given":"Franz"}],"issued":{"date-parts":[["2017",10]]}}}],"schema":"https://github.com/citation-style-language/schema/raw/master/csl-citation.json"} </w:instrText>
      </w:r>
      <w:r>
        <w:fldChar w:fldCharType="separate"/>
      </w:r>
      <w:r w:rsidRPr="00A83061">
        <w:rPr>
          <w:rFonts w:ascii="Calibri" w:cs="Calibri"/>
        </w:rPr>
        <w:t xml:space="preserve">Franz Posset, ‘Luther@500: Catholic Interest in Martin Luther’, </w:t>
      </w:r>
      <w:r w:rsidRPr="00A83061">
        <w:rPr>
          <w:rFonts w:ascii="Calibri" w:cs="Calibri"/>
          <w:i/>
          <w:iCs/>
        </w:rPr>
        <w:t>The Australasian Catholic Record</w:t>
      </w:r>
      <w:r w:rsidRPr="00A83061">
        <w:rPr>
          <w:rFonts w:ascii="Calibri" w:cs="Calibri"/>
        </w:rPr>
        <w:t xml:space="preserve"> 94, no. 4 (October 2017): 398–414.</w:t>
      </w:r>
      <w:r>
        <w:fldChar w:fldCharType="end"/>
      </w:r>
      <w:r w:rsidR="002B702F">
        <w:t xml:space="preserve">; </w:t>
      </w:r>
      <w:r w:rsidR="00087D2F">
        <w:fldChar w:fldCharType="begin"/>
      </w:r>
      <w:r w:rsidR="00087D2F">
        <w:instrText xml:space="preserve"> ADDIN ZOTERO_TEMP </w:instrText>
      </w:r>
      <w:r w:rsidR="00087D2F">
        <w:fldChar w:fldCharType="separate"/>
      </w:r>
      <w:r w:rsidR="00087D2F" w:rsidRPr="00087D2F">
        <w:rPr>
          <w:rFonts w:ascii="Calibri" w:hAnsi="Calibri" w:cs="Calibri"/>
        </w:rPr>
        <w:t xml:space="preserve">Lohse, </w:t>
      </w:r>
      <w:r w:rsidR="00087D2F" w:rsidRPr="00087D2F">
        <w:rPr>
          <w:rFonts w:ascii="Calibri" w:hAnsi="Calibri" w:cs="Calibri"/>
          <w:i/>
          <w:iCs/>
        </w:rPr>
        <w:t>Martin Luther’s Theology</w:t>
      </w:r>
      <w:r w:rsidR="00F86661">
        <w:rPr>
          <w:rFonts w:ascii="Calibri" w:hAnsi="Calibri" w:cs="Calibri"/>
          <w:i/>
          <w:iCs/>
        </w:rPr>
        <w:t xml:space="preserve">, </w:t>
      </w:r>
      <w:r w:rsidR="00F86661">
        <w:rPr>
          <w:rFonts w:ascii="Calibri" w:hAnsi="Calibri" w:cs="Calibri"/>
        </w:rPr>
        <w:t>3-10</w:t>
      </w:r>
      <w:r w:rsidR="00087D2F" w:rsidRPr="00087D2F">
        <w:rPr>
          <w:rFonts w:ascii="Calibri" w:hAnsi="Calibri" w:cs="Calibri"/>
        </w:rPr>
        <w:t>.</w:t>
      </w:r>
      <w:r w:rsidR="00087D2F">
        <w:fldChar w:fldCharType="end"/>
      </w:r>
      <w:r w:rsidR="005A61D0">
        <w:t xml:space="preserve">; </w:t>
      </w:r>
      <w:r w:rsidR="005A61D0">
        <w:fldChar w:fldCharType="begin"/>
      </w:r>
      <w:r w:rsidR="00733A91">
        <w:instrText xml:space="preserve"> ADDIN ZOTERO_ITEM CSL_CITATION {"citationID":"p2TJcKqx","properties":{"formattedCitation":"Vilmos Vajta, {\\i{}Luther on Worship: An Interpretation} (Fortress Press, 1958).","plainCitation":"Vilmos Vajta, Luther on Worship: An Interpretation (Fortress Press, 1958).","noteIndex":11},"citationItems":[{"id":3285,"uris":["http://zotero.org/users/7540819/items/DZZ8PMB6"],"itemData":{"id":3285,"type":"book","publisher":"Fortress Press","title":"Luther on Worship: An Interpretation","author":[{"family":"Vajta","given":"Vilmos"}],"issued":{"date-parts":[["1958"]]}}}],"schema":"https://github.com/citation-style-language/schema/raw/master/csl-citation.json"} </w:instrText>
      </w:r>
      <w:r w:rsidR="005A61D0">
        <w:fldChar w:fldCharType="separate"/>
      </w:r>
      <w:r w:rsidR="00C27B8F" w:rsidRPr="00C27B8F">
        <w:rPr>
          <w:rFonts w:ascii="Calibri" w:cs="Calibri"/>
        </w:rPr>
        <w:t xml:space="preserve">Vilmos Vajta, </w:t>
      </w:r>
      <w:r w:rsidR="00C27B8F" w:rsidRPr="00C27B8F">
        <w:rPr>
          <w:rFonts w:ascii="Calibri" w:cs="Calibri"/>
          <w:i/>
          <w:iCs/>
        </w:rPr>
        <w:t>Luther on Worship: An Interpretation</w:t>
      </w:r>
      <w:r w:rsidR="00C27B8F" w:rsidRPr="00C27B8F">
        <w:rPr>
          <w:rFonts w:ascii="Calibri" w:cs="Calibri"/>
        </w:rPr>
        <w:t xml:space="preserve"> (Fortress Press, 1958).</w:t>
      </w:r>
      <w:r w:rsidR="005A61D0">
        <w:fldChar w:fldCharType="end"/>
      </w:r>
      <w:r w:rsidR="00D94973">
        <w:t xml:space="preserve">; </w:t>
      </w:r>
      <w:r w:rsidR="00D94973">
        <w:fldChar w:fldCharType="begin"/>
      </w:r>
      <w:r w:rsidR="00733A91">
        <w:instrText xml:space="preserve"> ADDIN ZOTERO_ITEM CSL_CITATION {"citationID":"Vc2iTfDY","properties":{"formattedCitation":"David S. Yeago, \\uc0\\u8216{}\\uc0\\u8220{}A Christian, Holy People\\uc0\\u8221{} Martin Luther on Salvation and the Church\\uc0\\u8217{}, {\\i{}Modern Theology} 13, no. 1 (January 1997): 101\\uc0\\u8211{}20, https://doi.org/10.1111/1468-0025.00033.","plainCitation":"David S. Yeago, ‘“A Christian, Holy People” Martin Luther on Salvation and the Church’, Modern Theology 13, no. 1 (January 1997): 101–20, https://doi.org/10.1111/1468-0025.00033.","dontUpdate":true,"noteIndex":11},"citationItems":[{"id":3273,"uris":["http://zotero.org/users/7540819/items/BBQ759TB"],"itemData":{"id":3273,"type":"article-journal","abstract":"Starting from recent uneasiness with Protestant individualism, this article asks whether Luther’s theological insights might help address the unintended cultural consequences of the Reformation. Luther’s mature thought defines the church as a tangible “Christian, holy people” within history, constituted by distinctive public practices. This church is necessarily institutionalized: the “universal priesthood” is corporate rather than individual, and cannot be fully realized without ministers acting in persona ecclesiae. Ordered ministry and common priesthood are interdependent and mutually constitutive. Finally, following his central principle that God gives spiritual gifts only through public, bodily means, Luther allows no separation of justifying faith from bodily adherence to the Christian people.","container-title":"Modern Theology","DOI":"10.1111/1468-0025.00033","ISSN":"0266-7177, 1468-0025","issue":"1","journalAbbreviation":"Modern Theology","language":"en","license":"http://onlinelibrary.wiley.com/termsAndConditions#vor","page":"101-120","source":"DOI.org (Crossref)","title":"“A Christian, Holy People” Martin Luther on Salvation and the Church","volume":"13","author":[{"family":"Yeago","given":"David S."}],"issued":{"date-parts":[["1997",1]]}}}],"schema":"https://github.com/citation-style-language/schema/raw/master/csl-citation.json"} </w:instrText>
      </w:r>
      <w:r w:rsidR="00D94973">
        <w:fldChar w:fldCharType="separate"/>
      </w:r>
      <w:r w:rsidR="00D94973" w:rsidRPr="00D94973">
        <w:rPr>
          <w:rFonts w:ascii="Calibri" w:cs="Calibri"/>
        </w:rPr>
        <w:t xml:space="preserve">David S. Yeago, ‘“A Christian, Holy People” Martin Luther on Salvation and the Church’, </w:t>
      </w:r>
      <w:r w:rsidR="00D94973" w:rsidRPr="00D94973">
        <w:rPr>
          <w:rFonts w:ascii="Calibri" w:cs="Calibri"/>
          <w:i/>
          <w:iCs/>
        </w:rPr>
        <w:t>Modern Theology</w:t>
      </w:r>
      <w:r w:rsidR="00D94973" w:rsidRPr="00D94973">
        <w:rPr>
          <w:rFonts w:ascii="Calibri" w:cs="Calibri"/>
        </w:rPr>
        <w:t xml:space="preserve"> 13, no. 1 (January 1997): 10</w:t>
      </w:r>
      <w:r w:rsidR="00D94973">
        <w:rPr>
          <w:rFonts w:ascii="Calibri" w:cs="Calibri"/>
        </w:rPr>
        <w:t>8-109</w:t>
      </w:r>
      <w:r w:rsidR="00D94973" w:rsidRPr="00D94973">
        <w:rPr>
          <w:rFonts w:ascii="Calibri" w:cs="Calibri"/>
        </w:rPr>
        <w:t>, https://doi.org/10.1111/1468-0025.00033.</w:t>
      </w:r>
      <w:r w:rsidR="00D94973">
        <w:fldChar w:fldCharType="end"/>
      </w:r>
    </w:p>
  </w:footnote>
  <w:footnote w:id="12">
    <w:p w:rsidR="00025BDB" w:rsidRDefault="00025BDB" w:rsidP="00025BDB">
      <w:pPr>
        <w:pStyle w:val="FootnoteText"/>
      </w:pPr>
      <w:r w:rsidRPr="00AB1AE4">
        <w:rPr>
          <w:rStyle w:val="FootnoteReference"/>
        </w:rPr>
        <w:footnoteRef/>
      </w:r>
      <w:r>
        <w:t xml:space="preserve"> Romans 1:16-17</w:t>
      </w:r>
    </w:p>
  </w:footnote>
  <w:footnote w:id="13">
    <w:p w:rsidR="001A0C16" w:rsidRDefault="001A0C16">
      <w:pPr>
        <w:pStyle w:val="FootnoteText"/>
      </w:pPr>
      <w:r w:rsidRPr="00AB1AE4">
        <w:rPr>
          <w:rStyle w:val="FootnoteReference"/>
        </w:rPr>
        <w:footnoteRef/>
      </w:r>
      <w:r>
        <w:t xml:space="preserve"> </w:t>
      </w:r>
      <w:r>
        <w:fldChar w:fldCharType="begin"/>
      </w:r>
      <w:r w:rsidR="005A3DFD">
        <w:instrText xml:space="preserve"> ADDIN ZOTERO_ITEM CSL_CITATION {"citationID":"5KjReTDb","properties":{"formattedCitation":"David C Steinmetz, \\uc0\\u8216{}THE CATHOLIC LUTHER: A Critical Reappraisal\\uc0\\u8217{}, {\\i{}Theology Today} 61, no. 2 (July 2004): 187\\uc0\\u8211{}201.","plainCitation":"David C Steinmetz, ‘THE CATHOLIC LUTHER: A Critical Reappraisal’, Theology Today 61, no. 2 (July 2004): 187–201.","dontUpdate":true,"noteIndex":13},"citationItems":[{"id":3297,"uris":["http://zotero.org/users/7540819/items/SU6B5FPK"],"itemData":{"id":3297,"type":"article-journal","abstract":"The article traces the changing conceptions of Martin Luther in Protestant and Catholic circles, from the sixteenth century to the present. Catholic theologians first saw Luther as morally flawed, a stubborn heretic whose teaching was in no sense compatible with ancient and medieval Catholic tradition. Though Protestants defended Luther's catholicity, their defense rested in part on a redefinition of what constitutes true catholicity. For modern Catholic theologians, Luther remains both a profound and a problematic figure, but a genuinely Christian voice whose views can edify his Catholic readers, even if his teaching is not fully compatible with the teaching of the Roman Catholic Church. [PUBLICATION ABSTRACT]","archive":"ProQuest Central","archive_location":"208061298","container-title":"Theology Today","ISSN":"00405736","issue":"2","language":"English","note":"publisher-place: Princeton\npublisher: Theology Today","page":"187-201","title":"THE CATHOLIC LUTHER: A Critical Reappraisal","volume":"61","author":[{"family":"Steinmetz","given":"David C"}],"issued":{"date-parts":[["2004",7]]}}}],"schema":"https://github.com/citation-style-language/schema/raw/master/csl-citation.json"} </w:instrText>
      </w:r>
      <w:r>
        <w:fldChar w:fldCharType="separate"/>
      </w:r>
      <w:r w:rsidRPr="001A0C16">
        <w:rPr>
          <w:rFonts w:ascii="Calibri" w:cs="Calibri"/>
        </w:rPr>
        <w:t xml:space="preserve">David C Steinmetz, ‘THE CATHOLIC LUTHER: A Critical Reappraisal’, </w:t>
      </w:r>
      <w:r w:rsidRPr="001A0C16">
        <w:rPr>
          <w:rFonts w:ascii="Calibri" w:cs="Calibri"/>
          <w:i/>
          <w:iCs/>
        </w:rPr>
        <w:t>Theology Today</w:t>
      </w:r>
      <w:r w:rsidRPr="001A0C16">
        <w:rPr>
          <w:rFonts w:ascii="Calibri" w:cs="Calibri"/>
        </w:rPr>
        <w:t xml:space="preserve"> 61, no. 2 (July 2004)</w:t>
      </w:r>
      <w:r>
        <w:rPr>
          <w:rFonts w:ascii="Calibri" w:cs="Calibri"/>
        </w:rPr>
        <w:t>,</w:t>
      </w:r>
      <w:r w:rsidRPr="001A0C16">
        <w:rPr>
          <w:rFonts w:ascii="Calibri" w:cs="Calibri"/>
        </w:rPr>
        <w:t xml:space="preserve"> </w:t>
      </w:r>
      <w:r>
        <w:rPr>
          <w:rFonts w:ascii="Calibri" w:cs="Calibri"/>
        </w:rPr>
        <w:t>190</w:t>
      </w:r>
      <w:r w:rsidRPr="001A0C16">
        <w:rPr>
          <w:rFonts w:ascii="Calibri" w:cs="Calibri"/>
        </w:rPr>
        <w:t>.</w:t>
      </w:r>
      <w:r>
        <w:fldChar w:fldCharType="end"/>
      </w:r>
    </w:p>
  </w:footnote>
  <w:footnote w:id="14">
    <w:p w:rsidR="00BD647F" w:rsidRDefault="00BD647F">
      <w:pPr>
        <w:pStyle w:val="FootnoteText"/>
      </w:pPr>
      <w:r w:rsidRPr="00AB1AE4">
        <w:rPr>
          <w:rStyle w:val="FootnoteReference"/>
        </w:rPr>
        <w:footnoteRef/>
      </w:r>
      <w:r>
        <w:t xml:space="preserve"> </w:t>
      </w:r>
      <w:r>
        <w:fldChar w:fldCharType="begin"/>
      </w:r>
      <w:r w:rsidR="005A3DFD">
        <w:instrText xml:space="preserve"> ADDIN ZOTERO_ITEM CSL_CITATION {"citationID":"ZYCO1PhO","properties":{"formattedCitation":"Carter Lindberg, {\\i{}The European Reformations Sourcebook} (Oxford: Blackwell, 2000).","plainCitation":"Carter Lindberg, The European Reformations Sourcebook (Oxford: Blackwell, 2000).","dontUpdate":true,"noteIndex":14},"citationItems":[{"id":3296,"uris":["http://zotero.org/users/7540819/items/ECF58X9G"],"itemData":{"id":3296,"type":"book","call-number":"93","event-place":"Oxford","ISBN":"978-0-631-21362-8","language":"eng","publisher":"Blackwell","publisher-place":"Oxford","source":"BnF ISBN","title":"The European Reformations sourcebook","author":[{"family":"Lindberg","given":"Carter"}],"issued":{"date-parts":[["2000"]]}}}],"schema":"https://github.com/citation-style-language/schema/raw/master/csl-citation.json"} </w:instrText>
      </w:r>
      <w:r>
        <w:fldChar w:fldCharType="separate"/>
      </w:r>
      <w:r w:rsidRPr="00BD647F">
        <w:rPr>
          <w:rFonts w:ascii="Calibri" w:cs="Calibri"/>
        </w:rPr>
        <w:t xml:space="preserve">Carter Lindberg, </w:t>
      </w:r>
      <w:r w:rsidRPr="00BD647F">
        <w:rPr>
          <w:rFonts w:ascii="Calibri" w:cs="Calibri"/>
          <w:i/>
          <w:iCs/>
        </w:rPr>
        <w:t>The European Reformations Sourcebook</w:t>
      </w:r>
      <w:r w:rsidRPr="00BD647F">
        <w:rPr>
          <w:rFonts w:ascii="Calibri" w:cs="Calibri"/>
        </w:rPr>
        <w:t xml:space="preserve"> (Oxford: Blackwell, 2000)</w:t>
      </w:r>
      <w:r>
        <w:rPr>
          <w:rFonts w:ascii="Calibri" w:cs="Calibri"/>
        </w:rPr>
        <w:t>, 2.2</w:t>
      </w:r>
      <w:r w:rsidRPr="00BD647F">
        <w:rPr>
          <w:rFonts w:ascii="Calibri" w:cs="Calibri"/>
        </w:rPr>
        <w:t>.</w:t>
      </w:r>
      <w:r>
        <w:fldChar w:fldCharType="end"/>
      </w:r>
    </w:p>
  </w:footnote>
  <w:footnote w:id="15">
    <w:p w:rsidR="0096647D" w:rsidRDefault="0096647D">
      <w:pPr>
        <w:pStyle w:val="FootnoteText"/>
      </w:pPr>
      <w:r w:rsidRPr="00AB1AE4">
        <w:rPr>
          <w:rStyle w:val="FootnoteReference"/>
        </w:rPr>
        <w:footnoteRef/>
      </w:r>
      <w:r>
        <w:t xml:space="preserve"> </w:t>
      </w:r>
      <w:r>
        <w:fldChar w:fldCharType="begin"/>
      </w:r>
      <w:r w:rsidR="005A3DFD">
        <w:instrText xml:space="preserve"> ADDIN ZOTERO_ITEM CSL_CITATION {"citationID":"xo8bNPd3","properties":{"formattedCitation":"David P. Daniel, \\uc0\\u8216{}Luther on the Church\\uc0\\u8217{}, in {\\i{}The Oxford Handbook of Martin Luther\\uc0\\u8217{}s Theology}, ed. Robert Kolb, Irene Dingel, and L\\uc0\\u8217{}ubom\\uc0\\u237{}r Batka (Oxford University Press, 2014), 0, https://doi.org/10.1093/oxfordhb/9780199604708.013.037.","plainCitation":"David P. Daniel, ‘Luther on the Church’, in The Oxford Handbook of Martin Luther’s Theology, ed. Robert Kolb, Irene Dingel, and L’ubomír Batka (Oxford University Press, 2014), 0, https://doi.org/10.1093/oxfordhb/9780199604708.013.037.","dontUpdate":true,"noteIndex":15},"citationItems":[{"id":3275,"uris":["http://zotero.org/users/7540819/items/4F47SS2X"],"itemData":{"id":3275,"type":"chapter","abstract":"The one, holy, catholic, apostolic church, according to Luther, is created and sustained by God’s Word. His ecclesiology is not institutional or structural but soteriological and kerygmatic. Christ is the head of the community of the saints, which constitutes the church. Outside his people there is no salvation. All the baptized are given spiritual authority and called to use his Word for others, but these priests call pastors, who lead the ministry of the Word in the congregation. Luther’s ecclesiology and view of the priesthood of believers and the pastoral office remained quite consistent but developed with different emphases within the context of his disputes with Roman Catholics and Anabaptists in five distinct chronological stages.","container-title":"The Oxford Handbook of Martin Luther's Theology","ISBN":"978-0-19-960470-8","note":"DOI: 10.1093/oxfordhb/9780199604708.013.037","page":"0","publisher":"Oxford University Press","title":"Luther on the Church","URL":"https://doi.org/10.1093/oxfordhb/9780199604708.013.037","author":[{"family":"Daniel","given":"David P."}],"editor":[{"family":"Kolb","given":"Robert"},{"family":"Dingel","given":"Irene"},{"family":"Batka","given":"L'ubomír"}],"accessed":{"date-parts":[["2024",4,30]]},"issued":{"date-parts":[["2014",4,1]]}}}],"schema":"https://github.com/citation-style-language/schema/raw/master/csl-citation.json"} </w:instrText>
      </w:r>
      <w:r>
        <w:fldChar w:fldCharType="separate"/>
      </w:r>
      <w:r w:rsidRPr="0096647D">
        <w:rPr>
          <w:rFonts w:ascii="Calibri" w:cs="Calibri"/>
        </w:rPr>
        <w:t xml:space="preserve">David P. Daniel, ‘Luther on the Church’, in </w:t>
      </w:r>
      <w:r w:rsidRPr="0096647D">
        <w:rPr>
          <w:rFonts w:ascii="Calibri" w:cs="Calibri"/>
          <w:i/>
          <w:iCs/>
        </w:rPr>
        <w:t>The Oxford Handbook of Martin Luther’s Theology</w:t>
      </w:r>
      <w:r w:rsidRPr="0096647D">
        <w:rPr>
          <w:rFonts w:ascii="Calibri" w:cs="Calibri"/>
        </w:rPr>
        <w:t xml:space="preserve">, ed. Robert Kolb, Irene Dingel, and L’ubomír Batka (Oxford University Press, 2014), </w:t>
      </w:r>
      <w:r>
        <w:rPr>
          <w:rFonts w:ascii="Calibri" w:cs="Calibri"/>
        </w:rPr>
        <w:t>3</w:t>
      </w:r>
      <w:r w:rsidR="00AB634B">
        <w:rPr>
          <w:rFonts w:ascii="Calibri" w:cs="Calibri"/>
        </w:rPr>
        <w:t>49</w:t>
      </w:r>
      <w:r w:rsidRPr="0096647D">
        <w:rPr>
          <w:rFonts w:ascii="Calibri" w:cs="Calibri"/>
        </w:rPr>
        <w:t>, https://doi.org/10.1093/oxfordhb/9780199604708.013.037.</w:t>
      </w:r>
      <w:r>
        <w:fldChar w:fldCharType="end"/>
      </w:r>
    </w:p>
  </w:footnote>
  <w:footnote w:id="16">
    <w:p w:rsidR="001A0C16" w:rsidRDefault="001A0C16" w:rsidP="001A0C16">
      <w:pPr>
        <w:pStyle w:val="FootnoteText"/>
      </w:pPr>
      <w:r w:rsidRPr="00AB1AE4">
        <w:rPr>
          <w:rStyle w:val="FootnoteReference"/>
        </w:rPr>
        <w:footnoteRef/>
      </w:r>
      <w:r>
        <w:t xml:space="preserve"> </w:t>
      </w:r>
      <w:r>
        <w:fldChar w:fldCharType="begin"/>
      </w:r>
      <w:r w:rsidR="00733A91">
        <w:instrText xml:space="preserve"> ADDIN ZOTERO_ITEM CSL_CITATION {"citationID":"ggAax5uv","properties":{"formattedCitation":"Vajta.","plainCitation":"Vajta.","dontUpdate":true,"noteIndex":16},"citationItems":[{"id":3285,"uris":["http://zotero.org/users/7540819/items/DZZ8PMB6"],"itemData":{"id":3285,"type":"book","publisher":"Fortress Press","title":"Luther on Worship: An Interpretation","author":[{"family":"Vajta","given":"Vilmos"}],"issued":{"date-parts":[["1958"]]}}}],"schema":"https://github.com/citation-style-language/schema/raw/master/csl-citation.json"} </w:instrText>
      </w:r>
      <w:r>
        <w:fldChar w:fldCharType="separate"/>
      </w:r>
      <w:r>
        <w:rPr>
          <w:noProof/>
        </w:rPr>
        <w:t>Vajta, 134.</w:t>
      </w:r>
      <w:r>
        <w:fldChar w:fldCharType="end"/>
      </w:r>
    </w:p>
  </w:footnote>
  <w:footnote w:id="17">
    <w:p w:rsidR="00914D49" w:rsidRDefault="00914D49">
      <w:pPr>
        <w:pStyle w:val="FootnoteText"/>
      </w:pPr>
      <w:r w:rsidRPr="00AB1AE4">
        <w:rPr>
          <w:rStyle w:val="FootnoteReference"/>
        </w:rPr>
        <w:footnoteRef/>
      </w:r>
      <w:r>
        <w:t xml:space="preserve"> </w:t>
      </w:r>
      <w:r>
        <w:fldChar w:fldCharType="begin"/>
      </w:r>
      <w:r w:rsidR="00733A91">
        <w:instrText xml:space="preserve"> ADDIN ZOTERO_ITEM CSL_CITATION {"citationID":"AYcMJW4R","properties":{"formattedCitation":"Paul W. Robinson, \\uc0\\u8216{}Introduction to Volume 3\\uc0\\u8217{}, in {\\i{}The Annotated Luther, Volume 3}, ed. Paul W. Robinson et al., Church and Sacraments (1517 Media, 2016), 1\\uc0\\u8211{}8, https://doi.org/10.2307/j.ctt19qgfvv.6.","plainCitation":"Paul W. Robinson, ‘Introduction to Volume 3’, in The Annotated Luther, Volume 3, ed. Paul W. Robinson et al., Church and Sacraments (1517 Media, 2016), 1–8, https://doi.org/10.2307/j.ctt19qgfvv.6.","dontUpdate":true,"noteIndex":17},"citationItems":[{"id":3259,"uris":["http://zotero.org/users/7540819/items/EWQBPNF3"],"itemData":{"id":3259,"type":"chapter","abstract":"What does the gospel mean for the church, and what is the church? Martin Luther famously asserted, “God be praised, a seven-year-old child knows what the church is: holy believers and ‘the little sheep who hear the voice of their shepherd.’”&lt;sup&gt;&lt;em&gt;a&lt;/em&gt;&lt;/sup&gt; True though that statement might be, it nevertheless belies the complexity and nuance of his body of work on the church and its sacraments. Having rejected a one-sided institutional understanding of church, Luther asserted the primacy of God’s word—both the preached word and the sacramental word—in creating and sustaining believers and thus in forming and sustaining the","collection-title":"Church and Sacraments","container-title":"The Annotated Luther, Volume 3","ISBN":"978-1-4514-6271-5","note":"DOI: 10.2307/j.ctt19qgfvv.6","page":"1-8","publisher":"1517 Media","title":"Introduction to Volume 3","author":[{"family":"Robinson","given":"Paul W."}],"editor":[{"family":"Robinson","given":"Paul W."},{"family":"Hillerbrand","given":"Hans J."},{"family":"Stjerna","given":"Kirsi I."},{"family":"Wengert","given":"Timothy J."}],"issued":{"date-parts":[["2016"]]}}}],"schema":"https://github.com/citation-style-language/schema/raw/master/csl-citation.json"} </w:instrText>
      </w:r>
      <w:r>
        <w:fldChar w:fldCharType="separate"/>
      </w:r>
      <w:r w:rsidRPr="00914D49">
        <w:rPr>
          <w:rFonts w:ascii="Calibri" w:cs="Calibri"/>
        </w:rPr>
        <w:t xml:space="preserve">Paul W. Robinson, ‘Introduction to Volume 3’, in </w:t>
      </w:r>
      <w:r w:rsidRPr="00914D49">
        <w:rPr>
          <w:rFonts w:ascii="Calibri" w:cs="Calibri"/>
          <w:i/>
          <w:iCs/>
        </w:rPr>
        <w:t>The Annotated Luther, Volume 3</w:t>
      </w:r>
      <w:r w:rsidRPr="00914D49">
        <w:rPr>
          <w:rFonts w:ascii="Calibri" w:cs="Calibri"/>
        </w:rPr>
        <w:t xml:space="preserve">, ed. Paul W. Robinson et al., Church and Sacraments (1517 Media, 2016), </w:t>
      </w:r>
      <w:r>
        <w:rPr>
          <w:rFonts w:ascii="Calibri" w:cs="Calibri"/>
        </w:rPr>
        <w:t>2</w:t>
      </w:r>
      <w:r w:rsidRPr="00914D49">
        <w:rPr>
          <w:rFonts w:ascii="Calibri" w:cs="Calibri"/>
        </w:rPr>
        <w:t>, https://doi.org/10.2307/j.ctt19qgfvv.6.</w:t>
      </w:r>
      <w:r>
        <w:fldChar w:fldCharType="end"/>
      </w:r>
    </w:p>
  </w:footnote>
  <w:footnote w:id="18">
    <w:p w:rsidR="00E807D1" w:rsidRDefault="00E807D1">
      <w:pPr>
        <w:pStyle w:val="FootnoteText"/>
      </w:pPr>
      <w:r w:rsidRPr="00AB1AE4">
        <w:rPr>
          <w:rStyle w:val="FootnoteReference"/>
        </w:rPr>
        <w:footnoteRef/>
      </w:r>
      <w:r>
        <w:t xml:space="preserve"> </w:t>
      </w:r>
      <w:r>
        <w:fldChar w:fldCharType="begin"/>
      </w:r>
      <w:r w:rsidR="00733A91">
        <w:instrText xml:space="preserve"> ADDIN ZOTERO_ITEM CSL_CITATION {"citationID":"WqAwkVjS","properties":{"formattedCitation":"Vajta, {\\i{}Luther on Worship: An Interpretation}.","plainCitation":"Vajta, Luther on Worship: An Interpretation.","dontUpdate":true,"noteIndex":18},"citationItems":[{"id":3285,"uris":["http://zotero.org/users/7540819/items/DZZ8PMB6"],"itemData":{"id":3285,"type":"book","publisher":"Fortress Press","title":"Luther on Worship: An Interpretation","author":[{"family":"Vajta","given":"Vilmos"}],"issued":{"date-parts":[["1958"]]}}}],"schema":"https://github.com/citation-style-language/schema/raw/master/csl-citation.json"} </w:instrText>
      </w:r>
      <w:r>
        <w:fldChar w:fldCharType="separate"/>
      </w:r>
      <w:r w:rsidRPr="00E807D1">
        <w:rPr>
          <w:rFonts w:ascii="Calibri" w:cs="Calibri"/>
        </w:rPr>
        <w:t xml:space="preserve">Vajta, </w:t>
      </w:r>
      <w:r w:rsidRPr="00E807D1">
        <w:rPr>
          <w:rFonts w:ascii="Calibri" w:cs="Calibri"/>
          <w:i/>
          <w:iCs/>
        </w:rPr>
        <w:t>Luther on Worship: An Interpretation</w:t>
      </w:r>
      <w:r>
        <w:rPr>
          <w:rFonts w:ascii="Calibri" w:cs="Calibri"/>
          <w:i/>
          <w:iCs/>
        </w:rPr>
        <w:t xml:space="preserve">, </w:t>
      </w:r>
      <w:r>
        <w:rPr>
          <w:rFonts w:ascii="Calibri" w:cs="Calibri"/>
        </w:rPr>
        <w:t>3</w:t>
      </w:r>
      <w:r w:rsidRPr="00E807D1">
        <w:rPr>
          <w:rFonts w:ascii="Calibri" w:cs="Calibri"/>
        </w:rPr>
        <w:t>.</w:t>
      </w:r>
      <w:r>
        <w:fldChar w:fldCharType="end"/>
      </w:r>
    </w:p>
  </w:footnote>
  <w:footnote w:id="19">
    <w:p w:rsidR="00D94973" w:rsidRDefault="00D94973">
      <w:pPr>
        <w:pStyle w:val="FootnoteText"/>
      </w:pPr>
      <w:r w:rsidRPr="00AB1AE4">
        <w:rPr>
          <w:rStyle w:val="FootnoteReference"/>
        </w:rPr>
        <w:footnoteRef/>
      </w:r>
      <w:r>
        <w:t xml:space="preserve"> </w:t>
      </w:r>
      <w:r>
        <w:fldChar w:fldCharType="begin"/>
      </w:r>
      <w:r w:rsidR="00733A91">
        <w:instrText xml:space="preserve"> ADDIN ZOTERO_ITEM CSL_CITATION {"citationID":"F1yDPMmy","properties":{"formattedCitation":"Yeago, \\uc0\\u8216{}\\uc0\\u8220{}A Christian, Holy People\\uc0\\u8221{} Martin Luther on Salvation and the Church\\uc0\\u8217{}.","plainCitation":"Yeago, ‘“A Christian, Holy People” Martin Luther on Salvation and the Church’.","dontUpdate":true,"noteIndex":19},"citationItems":[{"id":3273,"uris":["http://zotero.org/users/7540819/items/BBQ759TB"],"itemData":{"id":3273,"type":"article-journal","abstract":"Starting from recent uneasiness with Protestant individualism, this article asks whether Luther’s theological insights might help address the unintended cultural consequences of the Reformation. Luther’s mature thought defines the church as a tangible “Christian, holy people” within history, constituted by distinctive public practices. This church is necessarily institutionalized: the “universal priesthood” is corporate rather than individual, and cannot be fully realized without ministers acting in persona ecclesiae. Ordered ministry and common priesthood are interdependent and mutually constitutive. Finally, following his central principle that God gives spiritual gifts only through public, bodily means, Luther allows no separation of justifying faith from bodily adherence to the Christian people.","container-title":"Modern Theology","DOI":"10.1111/1468-0025.00033","ISSN":"0266-7177, 1468-0025","issue":"1","journalAbbreviation":"Modern Theology","language":"en","license":"http://onlinelibrary.wiley.com/termsAndConditions#vor","page":"101-120","source":"DOI.org (Crossref)","title":"“A Christian, Holy People” Martin Luther on Salvation and the Church","volume":"13","author":[{"family":"Yeago","given":"David S."}],"issued":{"date-parts":[["1997",1]]}}}],"schema":"https://github.com/citation-style-language/schema/raw/master/csl-citation.json"} </w:instrText>
      </w:r>
      <w:r>
        <w:fldChar w:fldCharType="separate"/>
      </w:r>
      <w:r w:rsidRPr="00D94973">
        <w:rPr>
          <w:rFonts w:ascii="Calibri" w:cs="Calibri"/>
        </w:rPr>
        <w:t>Yeago, ‘“A Christian, Holy People” Martin Luther on Salvation and the Church’</w:t>
      </w:r>
      <w:r>
        <w:rPr>
          <w:rFonts w:ascii="Calibri" w:cs="Calibri"/>
        </w:rPr>
        <w:t xml:space="preserve">, </w:t>
      </w:r>
      <w:r w:rsidR="004634EC">
        <w:rPr>
          <w:rFonts w:ascii="Calibri" w:cs="Calibri"/>
        </w:rPr>
        <w:t>118</w:t>
      </w:r>
      <w:r w:rsidRPr="00D94973">
        <w:rPr>
          <w:rFonts w:ascii="Calibri" w:cs="Calibri"/>
        </w:rPr>
        <w:t>.</w:t>
      </w:r>
      <w:r>
        <w:fldChar w:fldCharType="end"/>
      </w:r>
    </w:p>
  </w:footnote>
  <w:footnote w:id="20">
    <w:p w:rsidR="00AB634B" w:rsidRDefault="00AB634B" w:rsidP="00AB634B">
      <w:pPr>
        <w:pStyle w:val="FootnoteText"/>
      </w:pPr>
      <w:r w:rsidRPr="00AB1AE4">
        <w:rPr>
          <w:rStyle w:val="FootnoteReference"/>
        </w:rPr>
        <w:footnoteRef/>
      </w:r>
      <w:r>
        <w:t xml:space="preserve"> Hereafter referred to as BCC</w:t>
      </w:r>
    </w:p>
  </w:footnote>
  <w:footnote w:id="21">
    <w:p w:rsidR="00AB634B" w:rsidRDefault="00AB634B">
      <w:pPr>
        <w:pStyle w:val="FootnoteText"/>
      </w:pPr>
      <w:r w:rsidRPr="00AB1AE4">
        <w:rPr>
          <w:rStyle w:val="FootnoteReference"/>
        </w:rPr>
        <w:footnoteRef/>
      </w:r>
      <w:r>
        <w:t xml:space="preserve"> </w:t>
      </w:r>
      <w:r>
        <w:fldChar w:fldCharType="begin"/>
      </w:r>
      <w:r w:rsidR="00733A91">
        <w:instrText xml:space="preserve"> ADDIN ZOTERO_ITEM CSL_CITATION {"citationID":"mm7fUTw2","properties":{"formattedCitation":"Robinson, \\uc0\\u8216{}Introduction to Volume 3\\uc0\\u8217{}.","plainCitation":"Robinson, ‘Introduction to Volume 3’.","dontUpdate":true,"noteIndex":21},"citationItems":[{"id":3259,"uris":["http://zotero.org/users/7540819/items/EWQBPNF3"],"itemData":{"id":3259,"type":"chapter","abstract":"What does the gospel mean for the church, and what is the church? Martin Luther famously asserted, “God be praised, a seven-year-old child knows what the church is: holy believers and ‘the little sheep who hear the voice of their shepherd.’”&lt;sup&gt;&lt;em&gt;a&lt;/em&gt;&lt;/sup&gt; True though that statement might be, it nevertheless belies the complexity and nuance of his body of work on the church and its sacraments. Having rejected a one-sided institutional understanding of church, Luther asserted the primacy of God’s word—both the preached word and the sacramental word—in creating and sustaining believers and thus in forming and sustaining the","collection-title":"Church and Sacraments","container-title":"The Annotated Luther, Volume 3","ISBN":"978-1-4514-6271-5","note":"DOI: 10.2307/j.ctt19qgfvv.6","page":"1-8","publisher":"1517 Media","title":"Introduction to Volume 3","author":[{"family":"Robinson","given":"Paul W."}],"editor":[{"family":"Robinson","given":"Paul W."},{"family":"Hillerbrand","given":"Hans J."},{"family":"Stjerna","given":"Kirsi I."},{"family":"Wengert","given":"Timothy J."}],"issued":{"date-parts":[["2016"]]}}}],"schema":"https://github.com/citation-style-language/schema/raw/master/csl-citation.json"} </w:instrText>
      </w:r>
      <w:r>
        <w:fldChar w:fldCharType="separate"/>
      </w:r>
      <w:r w:rsidRPr="00AB634B">
        <w:rPr>
          <w:rFonts w:ascii="Calibri" w:cs="Calibri"/>
        </w:rPr>
        <w:t>Robinson, ‘Introduction to Volume 3’</w:t>
      </w:r>
      <w:r>
        <w:rPr>
          <w:rFonts w:ascii="Calibri" w:cs="Calibri"/>
        </w:rPr>
        <w:t>, 3</w:t>
      </w:r>
      <w:r w:rsidRPr="00AB634B">
        <w:rPr>
          <w:rFonts w:ascii="Calibri" w:cs="Calibri"/>
        </w:rPr>
        <w:t>.</w:t>
      </w:r>
      <w:r>
        <w:fldChar w:fldCharType="end"/>
      </w:r>
    </w:p>
  </w:footnote>
  <w:footnote w:id="22">
    <w:p w:rsidR="00AB634B" w:rsidRDefault="00AB634B" w:rsidP="00AB634B">
      <w:pPr>
        <w:pStyle w:val="FootnoteText"/>
      </w:pPr>
      <w:r w:rsidRPr="00AB1AE4">
        <w:rPr>
          <w:rStyle w:val="FootnoteReference"/>
        </w:rPr>
        <w:footnoteRef/>
      </w:r>
      <w:r>
        <w:t xml:space="preserve"> For example, </w:t>
      </w:r>
      <w:r>
        <w:fldChar w:fldCharType="begin"/>
      </w:r>
      <w:r w:rsidR="00733A91">
        <w:instrText xml:space="preserve"> ADDIN ZOTERO_ITEM CSL_CITATION {"citationID":"m2ZHBpMj","properties":{"formattedCitation":"MARTIN LUTHER, Frederick C. Ahrens, and Abdel Ross Wentz, \\uc0\\u8216{}THE BABYLONIAN CAPTIVITY OF THE CHURCH\\uc0\\u8217{}, in {\\i{}Three Treatises}, trans. A. T. W. Steinh\\uc0\\u228{}user (1517 Media, 1970), 113\\uc0\\u8211{}260, https://doi.org/10.2307/j.ctv1hqdk12.5.","plainCitation":"MARTIN LUTHER, Frederick C. Ahrens, and Abdel Ross Wentz, ‘THE BABYLONIAN CAPTIVITY OF THE CHURCH’, in Three Treatises, trans. A. T. W. Steinhäuser (1517 Media, 1970), 113–260, https://doi.org/10.2307/j.ctv1hqdk12.5.","dontUpdate":true,"noteIndex":22},"citationItems":[{"id":3280,"uris":["http://zotero.org/users/7540819/items/77WGLAEJ"],"itemData":{"id":3280,"type":"chapter","abstract":"The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sidRPr="00077CB8">
        <w:rPr>
          <w:rFonts w:ascii="Calibri" w:cs="Calibri"/>
        </w:rPr>
        <w:t xml:space="preserve">MARTIN LUTHER, Frederick C. Ahrens, and Abdel Ross Wentz, ‘THE BABYLONIAN CAPTIVITY OF THE CHURCH’, in </w:t>
      </w:r>
      <w:r w:rsidRPr="00077CB8">
        <w:rPr>
          <w:rFonts w:ascii="Calibri" w:cs="Calibri"/>
          <w:i/>
          <w:iCs/>
        </w:rPr>
        <w:t>Three Treatises</w:t>
      </w:r>
      <w:r w:rsidRPr="00077CB8">
        <w:rPr>
          <w:rFonts w:ascii="Calibri" w:cs="Calibri"/>
        </w:rPr>
        <w:t xml:space="preserve">, trans. A. T. W. Steinhäuser (1517 Media, 1970), </w:t>
      </w:r>
      <w:r>
        <w:rPr>
          <w:rFonts w:ascii="Calibri" w:cs="Calibri"/>
        </w:rPr>
        <w:t>118</w:t>
      </w:r>
      <w:r w:rsidRPr="00077CB8">
        <w:rPr>
          <w:rFonts w:ascii="Calibri" w:cs="Calibri"/>
        </w:rPr>
        <w:t>, https://doi.org/10.2307/j.ctv1hqdk12.5.</w:t>
      </w:r>
      <w:r>
        <w:fldChar w:fldCharType="end"/>
      </w:r>
    </w:p>
  </w:footnote>
  <w:footnote w:id="23">
    <w:p w:rsidR="00AB634B" w:rsidRDefault="00AB634B" w:rsidP="00AB634B">
      <w:pPr>
        <w:pStyle w:val="FootnoteText"/>
      </w:pPr>
      <w:r w:rsidRPr="00AB1AE4">
        <w:rPr>
          <w:rStyle w:val="FootnoteReference"/>
        </w:rPr>
        <w:footnoteRef/>
      </w:r>
      <w:r>
        <w:t xml:space="preserve"> </w:t>
      </w:r>
      <w:r>
        <w:fldChar w:fldCharType="begin"/>
      </w:r>
      <w:r w:rsidR="00733A91">
        <w:instrText xml:space="preserve"> ADDIN ZOTERO_ITEM CSL_CITATION {"citationID":"fmH6iSfe","properties":{"formattedCitation":"LUTHER, Ahrens, and Wentz.","plainCitation":"LUTHER, Ahrens, and Wentz.","dontUpdate":true,"noteIndex":23},"citationItems":[{"id":3280,"uris":["http://zotero.org/users/7540819/items/77WGLAEJ"],"itemData":{"id":3280,"type":"chapter","abstract":"The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Pr>
          <w:noProof/>
        </w:rPr>
        <w:t>LUTHER, Ahrens, and Wentz, 142-143.</w:t>
      </w:r>
      <w:r>
        <w:fldChar w:fldCharType="end"/>
      </w:r>
    </w:p>
  </w:footnote>
  <w:footnote w:id="24">
    <w:p w:rsidR="00AB634B" w:rsidRDefault="00AB634B" w:rsidP="00AB634B">
      <w:pPr>
        <w:pStyle w:val="FootnoteText"/>
      </w:pPr>
      <w:r w:rsidRPr="00AB1AE4">
        <w:rPr>
          <w:rStyle w:val="FootnoteReference"/>
        </w:rPr>
        <w:footnoteRef/>
      </w:r>
      <w:r>
        <w:t xml:space="preserve"> </w:t>
      </w:r>
      <w:r>
        <w:fldChar w:fldCharType="begin"/>
      </w:r>
      <w:r w:rsidR="00733A91">
        <w:instrText xml:space="preserve"> ADDIN ZOTERO_ITEM CSL_CITATION {"citationID":"AvbzAXmo","properties":{"formattedCitation":"LUTHER, Ahrens, and Wentz.","plainCitation":"LUTHER, Ahrens, and Wentz.","dontUpdate":true,"noteIndex":24},"citationItems":[{"id":3280,"uris":["http://zotero.org/users/7540819/items/77WGLAEJ"],"itemData":{"id":3280,"type":"chapter","abstract":"The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Pr>
          <w:noProof/>
        </w:rPr>
        <w:t>LUTHER, Ahrens, and Wentz, 143-152.</w:t>
      </w:r>
      <w:r>
        <w:fldChar w:fldCharType="end"/>
      </w:r>
    </w:p>
  </w:footnote>
  <w:footnote w:id="25">
    <w:p w:rsidR="00AB634B" w:rsidRDefault="00AB634B" w:rsidP="00AB634B">
      <w:pPr>
        <w:pStyle w:val="FootnoteText"/>
      </w:pPr>
      <w:r w:rsidRPr="00AB1AE4">
        <w:rPr>
          <w:rStyle w:val="FootnoteReference"/>
        </w:rPr>
        <w:footnoteRef/>
      </w:r>
      <w:r>
        <w:t xml:space="preserve"> </w:t>
      </w:r>
      <w:r>
        <w:fldChar w:fldCharType="begin"/>
      </w:r>
      <w:r w:rsidR="00733A91">
        <w:instrText xml:space="preserve"> ADDIN ZOTERO_ITEM CSL_CITATION {"citationID":"De2CA7q4","properties":{"formattedCitation":"LUTHER, Ahrens, and Wentz.","plainCitation":"LUTHER, Ahrens, and Wentz.","dontUpdate":true,"noteIndex":25},"citationItems":[{"id":3280,"uris":["http://zotero.org/users/7540819/items/77WGLAEJ"],"itemData":{"id":3280,"type":"chapter","abstract":"The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Pr>
          <w:noProof/>
        </w:rPr>
        <w:t>LUTHER, Ahrens, and Wentz, 152-178.</w:t>
      </w:r>
      <w:r>
        <w:fldChar w:fldCharType="end"/>
      </w:r>
    </w:p>
  </w:footnote>
  <w:footnote w:id="26">
    <w:p w:rsidR="00A038B7" w:rsidRDefault="00A038B7" w:rsidP="00A038B7">
      <w:pPr>
        <w:pStyle w:val="FootnoteText"/>
      </w:pPr>
      <w:r w:rsidRPr="00AB1AE4">
        <w:rPr>
          <w:rStyle w:val="FootnoteReference"/>
        </w:rPr>
        <w:footnoteRef/>
      </w:r>
      <w:r>
        <w:t xml:space="preserve"> </w:t>
      </w:r>
      <w:r>
        <w:fldChar w:fldCharType="begin"/>
      </w:r>
      <w:r w:rsidR="00733A91">
        <w:instrText xml:space="preserve"> ADDIN ZOTERO_ITEM CSL_CITATION {"citationID":"2zgpuMCY","properties":{"formattedCitation":"LUTHER, Ahrens, and Wentz, \\uc0\\u8216{}THE BABYLONIAN CAPTIVITY OF THE CHURCH\\uc0\\u8217{}.","plainCitation":"LUTHER, Ahrens, and Wentz, ‘THE BABYLONIAN CAPTIVITY OF THE CHURCH’.","dontUpdate":true,"noteIndex":26},"citationItems":[{"id":3280,"uris":["http://zotero.org/users/7540819/items/77WGLAEJ"],"itemData":{"id":3280,"type":"chapter","abstract":"The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sidRPr="00560AD5">
        <w:rPr>
          <w:rFonts w:ascii="Calibri" w:cs="Calibri"/>
        </w:rPr>
        <w:t>LUTHER, Ahrens, and Wentz, ‘THE BABYLONIAN CAPTIVITY OF THE CHURCH’</w:t>
      </w:r>
      <w:r>
        <w:rPr>
          <w:rFonts w:ascii="Calibri" w:cs="Calibri"/>
        </w:rPr>
        <w:t>, 258</w:t>
      </w:r>
      <w:r w:rsidRPr="00560AD5">
        <w:rPr>
          <w:rFonts w:ascii="Calibri" w:cs="Calibri"/>
        </w:rPr>
        <w:t>.</w:t>
      </w:r>
      <w:r>
        <w:fldChar w:fldCharType="end"/>
      </w:r>
    </w:p>
  </w:footnote>
  <w:footnote w:id="27">
    <w:p w:rsidR="009A0CA7" w:rsidRDefault="009A0CA7" w:rsidP="009A0CA7">
      <w:pPr>
        <w:pStyle w:val="FootnoteText"/>
      </w:pPr>
      <w:r w:rsidRPr="00AB1AE4">
        <w:rPr>
          <w:rStyle w:val="FootnoteReference"/>
        </w:rPr>
        <w:footnoteRef/>
      </w:r>
      <w:r>
        <w:t xml:space="preserve"> </w:t>
      </w:r>
      <w:r>
        <w:fldChar w:fldCharType="begin"/>
      </w:r>
      <w:r w:rsidR="00733A91">
        <w:instrText xml:space="preserve"> ADDIN ZOTERO_ITEM CSL_CITATION {"citationID":"Q2wvZdxP","properties":{"formattedCitation":"McGrath, {\\i{}Christian Theology}.","plainCitation":"McGrath, Christian Theology.","dontUpdate":true,"noteIndex":27},"citationItems":[{"id":1923,"uris":["http://zotero.org/users/7540819/items/XY7ZAMH3"],"itemData":{"id":1923,"type":"book","call-number":"BT65 .M34 2001","edition":"3rd ed","event-place":"Oxford ; Malden, MA","ISBN":"978-0-631-22527-0","number-of-pages":"616","publisher":"Blackwell Publishers","publisher-place":"Oxford ; Malden, MA","source":"Library of Congress ISBN","title":"Christian theology: an introduction","title-short":"Christian theology","author":[{"family":"McGrath","given":"Alister E."}],"issued":{"date-parts":[["2001"]]}}}],"schema":"https://github.com/citation-style-language/schema/raw/master/csl-citation.json"} </w:instrText>
      </w:r>
      <w:r>
        <w:fldChar w:fldCharType="separate"/>
      </w:r>
      <w:r w:rsidRPr="00560AD5">
        <w:rPr>
          <w:rFonts w:ascii="Calibri" w:cs="Calibri"/>
        </w:rPr>
        <w:t xml:space="preserve">McGrath, </w:t>
      </w:r>
      <w:r w:rsidRPr="00560AD5">
        <w:rPr>
          <w:rFonts w:ascii="Calibri" w:cs="Calibri"/>
          <w:i/>
          <w:iCs/>
        </w:rPr>
        <w:t>Christian Theology</w:t>
      </w:r>
      <w:r>
        <w:rPr>
          <w:rFonts w:ascii="Calibri" w:cs="Calibri"/>
        </w:rPr>
        <w:t>, 513</w:t>
      </w:r>
      <w:r w:rsidRPr="00560AD5">
        <w:rPr>
          <w:rFonts w:ascii="Calibri" w:cs="Calibri"/>
        </w:rPr>
        <w:t>.</w:t>
      </w:r>
      <w:r>
        <w:fldChar w:fldCharType="end"/>
      </w:r>
    </w:p>
  </w:footnote>
  <w:footnote w:id="28">
    <w:p w:rsidR="00A038B7" w:rsidRDefault="00A038B7" w:rsidP="00A038B7">
      <w:pPr>
        <w:pStyle w:val="FootnoteText"/>
      </w:pPr>
      <w:r w:rsidRPr="00AB1AE4">
        <w:rPr>
          <w:rStyle w:val="FootnoteReference"/>
        </w:rPr>
        <w:footnoteRef/>
      </w:r>
      <w:r>
        <w:t xml:space="preserve"> </w:t>
      </w:r>
      <w:r>
        <w:fldChar w:fldCharType="begin"/>
      </w:r>
      <w:r w:rsidR="00733A91">
        <w:instrText xml:space="preserve"> ADDIN ZOTERO_ITEM CSL_CITATION {"citationID":"HMlVoWRI","properties":{"formattedCitation":"Jaroslav Pelikan, {\\i{}Reformation of Church and Dogma: 1300 - 1700}, Paperback ed. 1985, [Nachdr.], The Christian Tradition\\uc0\\u8239{}: A History of the Development of Doctrine / Jaroslav Pelikan 4 (Chicago, Ill.: Univ. of Chicago Press, 2006).","plainCitation":"Jaroslav Pelikan, Reformation of Church and Dogma: 1300 - 1700, Paperback ed. 1985, [Nachdr.], The Christian Tradition : A History of the Development of Doctrine / Jaroslav Pelikan 4 (Chicago, Ill.: Univ. of Chicago Press, 2006).","dontUpdate":true,"noteIndex":28},"citationItems":[{"id":3274,"uris":["http://zotero.org/users/7540819/items/C4LWCTJC"],"itemData":{"id":3274,"type":"book","collection-number":"4","collection-title":"The Christian tradition : a history of the development of doctrine / Jaroslav Pelikan","edition":"Paperback ed. 1985, [Nachdr.]","event-place":"Chicago, Ill.","ISBN":"978-0-226-65377-8","language":"eng","number-of-pages":"424","publisher":"Univ. of Chicago Press","publisher-place":"Chicago, Ill.","source":"K10plus ISBN","title":"Reformation of church and dogma: 1300 - 1700","title-short":"Reformation of church and dogma","author":[{"family":"Pelikan","given":"Jaroslav"}],"issued":{"date-parts":[["2006"]]}}}],"schema":"https://github.com/citation-style-language/schema/raw/master/csl-citation.json"} </w:instrText>
      </w:r>
      <w:r>
        <w:fldChar w:fldCharType="separate"/>
      </w:r>
      <w:bookmarkStart w:id="3" w:name="OLE_LINK2"/>
      <w:r w:rsidRPr="00077CB8">
        <w:rPr>
          <w:rFonts w:ascii="Calibri" w:cs="Calibri"/>
        </w:rPr>
        <w:t xml:space="preserve">Jaroslav Pelikan, </w:t>
      </w:r>
      <w:r w:rsidRPr="00077CB8">
        <w:rPr>
          <w:rFonts w:ascii="Calibri" w:cs="Calibri"/>
          <w:i/>
          <w:iCs/>
        </w:rPr>
        <w:t>Reformation of Church and Dogma: 1300 - 1700</w:t>
      </w:r>
      <w:r w:rsidRPr="00077CB8">
        <w:rPr>
          <w:rFonts w:ascii="Calibri" w:cs="Calibri"/>
        </w:rPr>
        <w:t>,</w:t>
      </w:r>
      <w:bookmarkEnd w:id="3"/>
      <w:r w:rsidRPr="00077CB8">
        <w:rPr>
          <w:rFonts w:ascii="Calibri" w:cs="Calibri"/>
        </w:rPr>
        <w:t xml:space="preserve"> Paperback ed. 1985, [Nachdr.], </w:t>
      </w:r>
      <w:bookmarkStart w:id="4" w:name="OLE_LINK1"/>
      <w:r w:rsidRPr="00077CB8">
        <w:rPr>
          <w:rFonts w:ascii="Calibri" w:cs="Calibri"/>
        </w:rPr>
        <w:t xml:space="preserve">The Christian Tradition : A History of the Development of Doctrine / Jaroslav Pelikan 4 </w:t>
      </w:r>
      <w:bookmarkEnd w:id="4"/>
      <w:r w:rsidRPr="00077CB8">
        <w:rPr>
          <w:rFonts w:ascii="Calibri" w:cs="Calibri"/>
        </w:rPr>
        <w:t>(Chicago, Ill.: Univ. of Chicago Press, 2006)</w:t>
      </w:r>
      <w:r>
        <w:rPr>
          <w:rFonts w:ascii="Calibri" w:cs="Calibri"/>
        </w:rPr>
        <w:t>, 179</w:t>
      </w:r>
      <w:r w:rsidRPr="00077CB8">
        <w:rPr>
          <w:rFonts w:ascii="Calibri" w:cs="Calibri"/>
        </w:rPr>
        <w:t>.</w:t>
      </w:r>
      <w:r>
        <w:fldChar w:fldCharType="end"/>
      </w:r>
    </w:p>
  </w:footnote>
  <w:footnote w:id="29">
    <w:p w:rsidR="00733A91" w:rsidRDefault="00733A91">
      <w:pPr>
        <w:pStyle w:val="FootnoteText"/>
      </w:pPr>
      <w:r>
        <w:rPr>
          <w:rStyle w:val="FootnoteReference"/>
        </w:rPr>
        <w:footnoteRef/>
      </w:r>
      <w:r>
        <w:t xml:space="preserve"> </w:t>
      </w:r>
      <w:r>
        <w:fldChar w:fldCharType="begin"/>
      </w:r>
      <w:r w:rsidR="005A3DFD">
        <w:instrText xml:space="preserve"> ADDIN ZOTERO_ITEM CSL_CITATION {"citationID":"T8wdumGs","properties":{"formattedCitation":"Migliore, {\\i{}Faith Seeking Understanding}.","plainCitation":"Migliore, Faith Seeking Understanding.","dontUpdate":true,"noteIndex":29},"citationItems":[{"id":2237,"uris":["http://zotero.org/users/7540819/items/ANXYXUU7"],"itemData":{"id":2237,"type":"book","call-number":"BT65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proofErr w:type="spellStart"/>
      <w:r w:rsidRPr="00733A91">
        <w:rPr>
          <w:rFonts w:ascii="Calibri" w:cs="Calibri"/>
        </w:rPr>
        <w:t>Migliore</w:t>
      </w:r>
      <w:proofErr w:type="spellEnd"/>
      <w:r w:rsidRPr="00733A91">
        <w:rPr>
          <w:rFonts w:ascii="Calibri" w:cs="Calibri"/>
        </w:rPr>
        <w:t xml:space="preserve">, </w:t>
      </w:r>
      <w:r w:rsidRPr="00733A91">
        <w:rPr>
          <w:rFonts w:ascii="Calibri" w:cs="Calibri"/>
          <w:i/>
          <w:iCs/>
        </w:rPr>
        <w:t>Faith Seeking Understanding</w:t>
      </w:r>
      <w:r>
        <w:rPr>
          <w:rFonts w:ascii="Calibri" w:cs="Calibri"/>
          <w:i/>
          <w:iCs/>
        </w:rPr>
        <w:t>,</w:t>
      </w:r>
      <w:r>
        <w:rPr>
          <w:rFonts w:ascii="Calibri" w:cs="Calibri"/>
        </w:rPr>
        <w:t xml:space="preserve"> 288</w:t>
      </w:r>
      <w:r w:rsidRPr="00733A91">
        <w:rPr>
          <w:rFonts w:ascii="Calibri" w:cs="Calibri"/>
        </w:rPr>
        <w:t>.</w:t>
      </w:r>
      <w:r>
        <w:fldChar w:fldCharType="end"/>
      </w:r>
    </w:p>
  </w:footnote>
  <w:footnote w:id="30">
    <w:p w:rsidR="00894847" w:rsidRDefault="00894847" w:rsidP="00894847">
      <w:pPr>
        <w:pStyle w:val="FootnoteText"/>
      </w:pPr>
      <w:r w:rsidRPr="00AB1AE4">
        <w:rPr>
          <w:rStyle w:val="FootnoteReference"/>
        </w:rPr>
        <w:footnoteRef/>
      </w:r>
      <w:r>
        <w:t xml:space="preserve"> </w:t>
      </w:r>
      <w:r>
        <w:fldChar w:fldCharType="begin"/>
      </w:r>
      <w:r w:rsidR="005A3DFD">
        <w:instrText xml:space="preserve"> ADDIN ZOTERO_ITEM CSL_CITATION {"citationID":"Pm1Mt8d0","properties":{"formattedCitation":"LUTHER, Ahrens, and Wentz, \\uc0\\u8216{}THE BABYLONIAN CAPTIVITY OF THE CHURCH\\uc0\\u8217{}.","plainCitation":"LUTHER, Ahrens, and Wentz, ‘THE BABYLONIAN CAPTIVITY OF THE CHURCH’.","dontUpdate":true,"noteIndex":30},"citationItems":[{"id":3280,"uris":["http://zotero.org/users/7540819/items/77WGLAEJ"],"itemData":{"id":3280,"type":"chapter","abstract":"The primary importance of this treatise for the present-day reader of Luther lies in its courageous interpretation of the sacraments. But it is important also for its place in Luther’s progressive assault upon the total position of the Romans. In &lt;em&gt;To the Christian Nobility of the German Nation&lt;/em&gt;,¹ Luther demolished the three walls behind which Rome sat entrenched in her spiritual-temporal power. Now in &lt;em&gt;The Babyloniun Captivity of the Church&lt;/em&gt; he enters and takes her central stronghold and sanctuary—the sacramental system by which she accompanied and controlled her members from the cradle to the grave. Only then could he","archive":"JSTOR","container-title":"Three Treatises","ISBN":"978-0-8006-1639-7","note":"DOI: 10.2307/j.ctv1hqdk12.5","page":"113-260","publisher":"1517 Media","title":"THE BABYLONIAN CAPTIVITY OF THE CHURCH","URL":"http://www.jstor.org.ezproxy.uwtsd.ac.uk/stable/j.ctv1hqdk12.5","author":[{"family":"LUTHER","given":"MARTIN"},{"family":"Ahrens","given":"Frederick C."},{"family":"Wentz","given":"Abdel Ross"}],"translator":[{"family":"Steinhäuser","given":"A. T. W."}],"accessed":{"date-parts":[["2024",4,30]]},"issued":{"date-parts":[["1970"]]}}}],"schema":"https://github.com/citation-style-language/schema/raw/master/csl-citation.json"} </w:instrText>
      </w:r>
      <w:r>
        <w:fldChar w:fldCharType="separate"/>
      </w:r>
      <w:r w:rsidRPr="00AF13C9">
        <w:rPr>
          <w:rFonts w:ascii="Calibri" w:cs="Calibri"/>
        </w:rPr>
        <w:t>LUTHER, Ahrens, and Wentz, ‘THE BABYLONIAN CAPTIVITY OF THE CHURCH’</w:t>
      </w:r>
      <w:r>
        <w:rPr>
          <w:rFonts w:ascii="Calibri" w:cs="Calibri"/>
        </w:rPr>
        <w:t>, 259</w:t>
      </w:r>
      <w:r w:rsidRPr="00AF13C9">
        <w:rPr>
          <w:rFonts w:ascii="Calibri" w:cs="Calibri"/>
        </w:rPr>
        <w:t>.</w:t>
      </w:r>
      <w:r>
        <w:fldChar w:fldCharType="end"/>
      </w:r>
    </w:p>
  </w:footnote>
  <w:footnote w:id="31">
    <w:p w:rsidR="003E7C85" w:rsidRDefault="003E7C85">
      <w:pPr>
        <w:pStyle w:val="FootnoteText"/>
      </w:pPr>
      <w:r>
        <w:rPr>
          <w:rStyle w:val="FootnoteReference"/>
        </w:rPr>
        <w:footnoteRef/>
      </w:r>
      <w:r>
        <w:t xml:space="preserve"> Thesis 1 in </w:t>
      </w:r>
      <w:r>
        <w:fldChar w:fldCharType="begin"/>
      </w:r>
      <w:r>
        <w:instrText xml:space="preserve"> ADDIN ZOTERO_ITEM CSL_CITATION {"citationID":"PAwebVjN","properties":{"formattedCitation":"\\uc0\\u8216{}Martin Luther\\uc0\\u8217{}s 95 Theses\\uc0\\u8217{}, accessed 16 May 2024, https://www.luther.de/en/95thesen.html.","plainCitation":"‘Martin Luther’s 95 Theses’, accessed 16 May 2024, https://www.luther.de/en/95thesen.html.","noteIndex":31},"citationItems":[{"id":3363,"uris":["http://zotero.org/users/7540819/items/CHZHZTIJ"],"itemData":{"id":3363,"type":"webpage","title":"Martin Luther's 95 Theses","URL":"https://www.luther.de/en/95thesen.html","accessed":{"date-parts":[["2024",5,16]]}}}],"schema":"https://github.com/citation-style-language/schema/raw/master/csl-citation.json"} </w:instrText>
      </w:r>
      <w:r>
        <w:fldChar w:fldCharType="separate"/>
      </w:r>
      <w:r w:rsidRPr="003E7C85">
        <w:rPr>
          <w:rFonts w:ascii="Calibri" w:cs="Calibri"/>
        </w:rPr>
        <w:t>‘Martin Luther’s 95 Theses’, accessed 16 May 2024, https://www.luther.de/en/95thesen.html.</w:t>
      </w:r>
      <w:r>
        <w:fldChar w:fldCharType="end"/>
      </w:r>
    </w:p>
  </w:footnote>
  <w:footnote w:id="32">
    <w:p w:rsidR="00EE74FD" w:rsidRDefault="00EE74FD">
      <w:pPr>
        <w:pStyle w:val="FootnoteText"/>
      </w:pPr>
      <w:r>
        <w:rPr>
          <w:rStyle w:val="FootnoteReference"/>
        </w:rPr>
        <w:footnoteRef/>
      </w:r>
      <w:r>
        <w:t xml:space="preserve"> See Appendix 1a.</w:t>
      </w:r>
    </w:p>
  </w:footnote>
  <w:footnote w:id="33">
    <w:p w:rsidR="00796D44" w:rsidRDefault="00796D44" w:rsidP="00796D44">
      <w:pPr>
        <w:pStyle w:val="FootnoteText"/>
      </w:pPr>
      <w:r w:rsidRPr="00AB1AE4">
        <w:rPr>
          <w:rStyle w:val="FootnoteReference"/>
        </w:rPr>
        <w:footnoteRef/>
      </w:r>
      <w:r>
        <w:t xml:space="preserve"> </w:t>
      </w:r>
      <w:r>
        <w:fldChar w:fldCharType="begin"/>
      </w:r>
      <w:r w:rsidR="005A3DFD">
        <w:instrText xml:space="preserve"> ADDIN ZOTERO_ITEM CSL_CITATION {"citationID":"F3SI3DdO","properties":{"formattedCitation":"\\uc0\\u8216{}Luther\\uc0\\u8217{}s Small Catechism by Dr. Martin Luther\\uc0\\u8217{}, accessed 20 April 2024, http://catechism.cph.org/sacrament-of-the-altar.html.","plainCitation":"‘Luther’s Small Catechism by Dr. Martin Luther’, accessed 20 April 2024, http://catechism.cph.org/sacrament-of-the-altar.html.","noteIndex":33},"citationItems":[{"id":3241,"uris":["http://zotero.org/users/7540819/items/HFGGLRKE"],"itemData":{"id":3241,"type":"webpage","title":"Luther’s Small Catechism by Dr. Martin Luther","URL":"http://catechism.cph.org/sacrament-of-the-altar.html","accessed":{"date-parts":[["2024",4,20]]}}}],"schema":"https://github.com/citation-style-language/schema/raw/master/csl-citation.json"} </w:instrText>
      </w:r>
      <w:r>
        <w:fldChar w:fldCharType="separate"/>
      </w:r>
      <w:r w:rsidRPr="00F66652">
        <w:rPr>
          <w:rFonts w:ascii="Calibri" w:cs="Calibri"/>
        </w:rPr>
        <w:t>‘Luther’s Small Catechism by Dr. Martin Luther’, accessed 20 April 2024, http://catechism.cph.org/sacrament-of-the-altar.html.</w:t>
      </w:r>
      <w:r>
        <w:fldChar w:fldCharType="end"/>
      </w:r>
    </w:p>
  </w:footnote>
  <w:footnote w:id="34">
    <w:p w:rsidR="00186DDC" w:rsidRDefault="00186DDC" w:rsidP="00186DDC">
      <w:pPr>
        <w:pStyle w:val="FootnoteText"/>
      </w:pPr>
      <w:r w:rsidRPr="00AB1AE4">
        <w:rPr>
          <w:rStyle w:val="FootnoteReference"/>
        </w:rPr>
        <w:footnoteRef/>
      </w:r>
      <w:r>
        <w:t xml:space="preserve"> </w:t>
      </w:r>
      <w:r>
        <w:fldChar w:fldCharType="begin"/>
      </w:r>
      <w:r w:rsidR="003E7C85">
        <w:instrText xml:space="preserve"> ADDIN ZOTERO_ITEM CSL_CITATION {"citationID":"FbINNB4P","properties":{"formattedCitation":"Pelikan.","plainCitation":"Pelikan.","dontUpdate":true,"noteIndex":34},"citationItems":[{"id":3274,"uris":["http://zotero.org/users/7540819/items/C4LWCTJC"],"itemData":{"id":3274,"type":"book","collection-number":"4","collection-title":"The Christian tradition : a history of the development of doctrine / Jaroslav Pelikan","edition":"Paperback ed. 1985, [Nachdr.]","event-place":"Chicago, Ill.","ISBN":"978-0-226-65377-8","language":"eng","number-of-pages":"424","publisher":"Univ. of Chicago Press","publisher-place":"Chicago, Ill.","source":"K10plus ISBN","title":"Reformation of church and dogma: 1300 - 1700","title-short":"Reformation of church and dogma","author":[{"family":"Pelikan","given":"Jaroslav"}],"issued":{"date-parts":[["2006"]]}}}],"schema":"https://github.com/citation-style-language/schema/raw/master/csl-citation.json"} </w:instrText>
      </w:r>
      <w:r>
        <w:fldChar w:fldCharType="separate"/>
      </w:r>
      <w:r>
        <w:rPr>
          <w:noProof/>
        </w:rPr>
        <w:t>Pelikan, 181.</w:t>
      </w:r>
      <w:r>
        <w:fldChar w:fldCharType="end"/>
      </w:r>
    </w:p>
  </w:footnote>
  <w:footnote w:id="35">
    <w:p w:rsidR="00186DDC" w:rsidRDefault="00186DDC" w:rsidP="00186DDC">
      <w:pPr>
        <w:pStyle w:val="FootnoteText"/>
      </w:pPr>
      <w:r w:rsidRPr="00AB1AE4">
        <w:rPr>
          <w:rStyle w:val="FootnoteReference"/>
        </w:rPr>
        <w:footnoteRef/>
      </w:r>
      <w:r>
        <w:t xml:space="preserve"> </w:t>
      </w:r>
      <w:r>
        <w:fldChar w:fldCharType="begin"/>
      </w:r>
      <w:r w:rsidR="003E7C85">
        <w:instrText xml:space="preserve"> ADDIN ZOTERO_ITEM CSL_CITATION {"citationID":"2KbSIOTM","properties":{"formattedCitation":"Gordon A. Jensen, \\uc0\\u8216{}Luther and the Lord\\uc0\\u8217{}s Supper\\uc0\\u8217{}, in {\\i{}The Oxford Handbook of Martin Luther\\uc0\\u8217{}s Theology}, ed. Robert Kolb, Irene Dingel, and L\\uc0\\u8217{}ubom\\uc0\\u237{}r Batka (Oxford University Press, 2014), 0, https://doi.org/10.1093/oxfordhb/9780199604708.013.040.","plainCitation":"Gordon A. Jensen, ‘Luther and the Lord’s Supper’, in The Oxford Handbook of Martin Luther’s Theology, ed. Robert Kolb, Irene Dingel, and L’ubomír Batka (Oxford University Press, 2014), 0, https://doi.org/10.1093/oxfordhb/9780199604708.013.040.","dontUpdate":true,"noteIndex":35},"citationItems":[{"id":3278,"uris":["http://zotero.org/users/7540819/items/UVC5G58J"],"itemData":{"id":3278,"type":"chapter","abstract":"Luther’s understanding of the Lord’s Supper was shaped and sharpened by the challenges he faced, first from Roman Catholic, and then reform-minded theologians. Much of the scholarship in the last century has focused on what Luther meant by ‘real presence’: both in relationship to the Roman Catholic doctrine of transubstantiation, and to the ‘spiritual presence’ held by Karlstadt, Zwingli, Oecolampadius, and others. In response, Luther explored the sacramental presence in terms of sacramental union, while constantly pointing to Christ’s words, ‘This is my body’. Following the impasse at Marburg, Luther’s discussions with Bucer put into place the final pieces of his theology of the Lord’s Supper, leading to the Wittenberg Concord of 1536.","container-title":"The Oxford Handbook of Martin Luther's Theology","ISBN":"978-0-19-960470-8","note":"DOI: 10.1093/oxfordhb/9780199604708.013.040","page":"0","publisher":"Oxford University Press","title":"Luther and the Lord’s Supper","author":[{"family":"Jensen","given":"Gordon A."}],"editor":[{"family":"Kolb","given":"Robert"},{"family":"Dingel","given":"Irene"},{"family":"Batka","given":"L'ubomír"}],"accessed":{"date-parts":[["2024",4,30]]},"issued":{"date-parts":[["2014",4,1]]}}}],"schema":"https://github.com/citation-style-language/schema/raw/master/csl-citation.json"} </w:instrText>
      </w:r>
      <w:r>
        <w:fldChar w:fldCharType="separate"/>
      </w:r>
      <w:r w:rsidRPr="0067153D">
        <w:rPr>
          <w:rFonts w:ascii="Calibri" w:cs="Calibri"/>
        </w:rPr>
        <w:t xml:space="preserve">Gordon A. Jensen, ‘Luther and the Lord’s Supper’, in </w:t>
      </w:r>
      <w:r w:rsidRPr="0067153D">
        <w:rPr>
          <w:rFonts w:ascii="Calibri" w:cs="Calibri"/>
          <w:i/>
          <w:iCs/>
        </w:rPr>
        <w:t>The Oxford Handbook of Martin Luther’s Theology</w:t>
      </w:r>
      <w:r w:rsidRPr="0067153D">
        <w:rPr>
          <w:rFonts w:ascii="Calibri" w:cs="Calibri"/>
        </w:rPr>
        <w:t xml:space="preserve">, ed. Robert Kolb, Irene Dingel, and L’ubomír Batka (Oxford University Press, 2014), </w:t>
      </w:r>
      <w:r>
        <w:rPr>
          <w:rFonts w:ascii="Calibri" w:cs="Calibri"/>
        </w:rPr>
        <w:t>33</w:t>
      </w:r>
      <w:r w:rsidRPr="0067153D">
        <w:rPr>
          <w:rFonts w:ascii="Calibri" w:cs="Calibri"/>
        </w:rPr>
        <w:t>0, https://doi.org/10.1093/oxfordhb/9780199604708.013.040.</w:t>
      </w:r>
      <w:r>
        <w:fldChar w:fldCharType="end"/>
      </w:r>
    </w:p>
  </w:footnote>
  <w:footnote w:id="36">
    <w:p w:rsidR="00D01C1F" w:rsidRDefault="00D01C1F">
      <w:pPr>
        <w:pStyle w:val="FootnoteText"/>
      </w:pPr>
      <w:r w:rsidRPr="00AB1AE4">
        <w:rPr>
          <w:rStyle w:val="FootnoteReference"/>
        </w:rPr>
        <w:footnoteRef/>
      </w:r>
      <w:r>
        <w:t xml:space="preserve"> </w:t>
      </w:r>
      <w:r>
        <w:fldChar w:fldCharType="begin"/>
      </w:r>
      <w:r w:rsidR="003E7C85">
        <w:instrText xml:space="preserve"> ADDIN ZOTERO_ITEM CSL_CITATION {"citationID":"voY1W57v","properties":{"formattedCitation":"Jensen.","plainCitation":"Jensen.","dontUpdate":true,"noteIndex":36},"citationItems":[{"id":3278,"uris":["http://zotero.org/users/7540819/items/UVC5G58J"],"itemData":{"id":3278,"type":"chapter","abstract":"Luther’s understanding of the Lord’s Supper was shaped and sharpened by the challenges he faced, first from Roman Catholic, and then reform-minded theologians. Much of the scholarship in the last century has focused on what Luther meant by ‘real presence’: both in relationship to the Roman Catholic doctrine of transubstantiation, and to the ‘spiritual presence’ held by Karlstadt, Zwingli, Oecolampadius, and others. In response, Luther explored the sacramental presence in terms of sacramental union, while constantly pointing to Christ’s words, ‘This is my body’. Following the impasse at Marburg, Luther’s discussions with Bucer put into place the final pieces of his theology of the Lord’s Supper, leading to the Wittenberg Concord of 1536.","container-title":"The Oxford Handbook of Martin Luther's Theology","ISBN":"978-0-19-960470-8","note":"DOI: 10.1093/oxfordhb/9780199604708.013.040","page":"0","publisher":"Oxford University Press","title":"Luther and the Lord’s Supper","author":[{"family":"Jensen","given":"Gordon A."}],"editor":[{"family":"Kolb","given":"Robert"},{"family":"Dingel","given":"Irene"},{"family":"Batka","given":"L'ubomír"}],"accessed":{"date-parts":[["2024",4,30]]},"issued":{"date-parts":[["2014",4,1]]}}}],"schema":"https://github.com/citation-style-language/schema/raw/master/csl-citation.json"} </w:instrText>
      </w:r>
      <w:r>
        <w:fldChar w:fldCharType="separate"/>
      </w:r>
      <w:r>
        <w:rPr>
          <w:noProof/>
        </w:rPr>
        <w:t>Jensen, 330.</w:t>
      </w:r>
      <w:r>
        <w:fldChar w:fldCharType="end"/>
      </w:r>
    </w:p>
  </w:footnote>
  <w:footnote w:id="37">
    <w:p w:rsidR="00283589" w:rsidRDefault="00283589">
      <w:pPr>
        <w:pStyle w:val="FootnoteText"/>
      </w:pPr>
      <w:r w:rsidRPr="00AB1AE4">
        <w:rPr>
          <w:rStyle w:val="FootnoteReference"/>
        </w:rPr>
        <w:footnoteRef/>
      </w:r>
      <w:r>
        <w:t xml:space="preserve"> </w:t>
      </w:r>
      <w:r>
        <w:fldChar w:fldCharType="begin"/>
      </w:r>
      <w:r w:rsidR="003E7C85">
        <w:instrText xml:space="preserve"> ADDIN ZOTERO_ITEM CSL_CITATION {"citationID":"3RYwBGFy","properties":{"formattedCitation":"Fran\\uc0\\u231{}ois Wendel, {\\i{}Calvin: Origins and Development of His Religious Thought}, trans. Philip Mairet, Fontana Library (London: Collins, 1965).","plainCitation":"François Wendel, Calvin: Origins and Development of His Religious Thought, trans. Philip Mairet, Fontana Library (London: Collins, 1965).","dontUpdate":true,"noteIndex":37},"citationItems":[{"id":3267,"uris":["http://zotero.org/users/7540819/items/RKWJMSID"],"itemData":{"id":3267,"type":"book","call-number":"BX9418 .W383313 1987","edition":"Fontana Library","event-place":"London","language":"eng","number-of-pages":"383","publisher":"Collins","publisher-place":"London","source":"Library of Congress ISBN","title":"Calvin: origins and development of his religious thought","title-short":"Calvin","author":[{"family":"Wendel","given":"François"}],"translator":[{"family":"Mairet","given":"Philip"}],"issued":{"date-parts":[["1965"]]}}}],"schema":"https://github.com/citation-style-language/schema/raw/master/csl-citation.json"} </w:instrText>
      </w:r>
      <w:r>
        <w:fldChar w:fldCharType="separate"/>
      </w:r>
      <w:r w:rsidRPr="00283589">
        <w:rPr>
          <w:rFonts w:ascii="Calibri" w:cs="Calibri"/>
        </w:rPr>
        <w:t xml:space="preserve">François Wendel, </w:t>
      </w:r>
      <w:r w:rsidRPr="00283589">
        <w:rPr>
          <w:rFonts w:ascii="Calibri" w:cs="Calibri"/>
          <w:i/>
          <w:iCs/>
        </w:rPr>
        <w:t>Calvin: Origins and Development of His Religious Thought</w:t>
      </w:r>
      <w:r w:rsidRPr="00283589">
        <w:rPr>
          <w:rFonts w:ascii="Calibri" w:cs="Calibri"/>
        </w:rPr>
        <w:t>, trans. Philip Mairet, Fontana Library (London: Collins, 1965)</w:t>
      </w:r>
      <w:r>
        <w:rPr>
          <w:rFonts w:ascii="Calibri" w:cs="Calibri"/>
        </w:rPr>
        <w:t>, 329</w:t>
      </w:r>
      <w:r w:rsidRPr="00283589">
        <w:rPr>
          <w:rFonts w:ascii="Calibri" w:cs="Calibri"/>
        </w:rPr>
        <w:t>.</w:t>
      </w:r>
      <w:r>
        <w:fldChar w:fldCharType="end"/>
      </w:r>
    </w:p>
  </w:footnote>
  <w:footnote w:id="38">
    <w:p w:rsidR="00D51422" w:rsidRDefault="00D51422">
      <w:pPr>
        <w:pStyle w:val="FootnoteText"/>
      </w:pPr>
      <w:r w:rsidRPr="00AB1AE4">
        <w:rPr>
          <w:rStyle w:val="FootnoteReference"/>
        </w:rPr>
        <w:footnoteRef/>
      </w:r>
      <w:r>
        <w:t xml:space="preserve"> </w:t>
      </w:r>
      <w:r>
        <w:fldChar w:fldCharType="begin"/>
      </w:r>
      <w:r w:rsidR="003E7C85">
        <w:instrText xml:space="preserve"> ADDIN ZOTERO_ITEM CSL_CITATION {"citationID":"UW2gkGwy","properties":{"formattedCitation":"Wendel.","plainCitation":"Wendel.","dontUpdate":true,"noteIndex":38},"citationItems":[{"id":3267,"uris":["http://zotero.org/users/7540819/items/RKWJMSID"],"itemData":{"id":3267,"type":"book","call-number":"BX9418 .W383313 1987","edition":"Fontana Library","event-place":"London","language":"eng","number-of-pages":"383","publisher":"Collins","publisher-place":"London","source":"Library of Congress ISBN","title":"Calvin: origins and development of his religious thought","title-short":"Calvin","author":[{"family":"Wendel","given":"François"}],"translator":[{"family":"Mairet","given":"Philip"}],"issued":{"date-parts":[["1965"]]}}}],"schema":"https://github.com/citation-style-language/schema/raw/master/csl-citation.json"} </w:instrText>
      </w:r>
      <w:r>
        <w:fldChar w:fldCharType="separate"/>
      </w:r>
      <w:r>
        <w:rPr>
          <w:noProof/>
        </w:rPr>
        <w:t>Wendel, 330-332.</w:t>
      </w:r>
      <w:r>
        <w:fldChar w:fldCharType="end"/>
      </w:r>
    </w:p>
  </w:footnote>
  <w:footnote w:id="39">
    <w:p w:rsidR="003E5630" w:rsidRDefault="003E5630">
      <w:pPr>
        <w:pStyle w:val="FootnoteText"/>
      </w:pPr>
      <w:r w:rsidRPr="00AB1AE4">
        <w:rPr>
          <w:rStyle w:val="FootnoteReference"/>
        </w:rPr>
        <w:footnoteRef/>
      </w:r>
      <w:r>
        <w:t xml:space="preserve"> </w:t>
      </w:r>
      <w:r>
        <w:fldChar w:fldCharType="begin"/>
      </w:r>
      <w:r w:rsidR="003E7C85">
        <w:instrText xml:space="preserve"> ADDIN ZOTERO_ITEM CSL_CITATION {"citationID":"bqwNs1WF","properties":{"formattedCitation":"B. A. Gerrish, {\\i{}Grace and Gratitude: The Eucharistic Theology of John Calvin} (Minneapolis: Fortress Press, 1993).","plainCitation":"B. A. Gerrish, Grace and Gratitude: The Eucharistic Theology of John Calvin (Minneapolis: Fortress Press, 1993).","dontUpdate":true,"noteIndex":39},"citationItems":[{"id":3233,"uris":["http://zotero.org/users/7540819/items/JQACZGGW"],"itemData":{"id":3233,"type":"book","call-number":"BX9418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Pr="003E5630">
        <w:rPr>
          <w:rFonts w:ascii="Calibri" w:cs="Calibri"/>
        </w:rPr>
        <w:t xml:space="preserve">B. A. Gerrish, </w:t>
      </w:r>
      <w:r w:rsidRPr="003E5630">
        <w:rPr>
          <w:rFonts w:ascii="Calibri" w:cs="Calibri"/>
          <w:i/>
          <w:iCs/>
        </w:rPr>
        <w:t>Grace and Gratitude: The Eucharistic Theology of John Calvin</w:t>
      </w:r>
      <w:r w:rsidRPr="003E5630">
        <w:rPr>
          <w:rFonts w:ascii="Calibri" w:cs="Calibri"/>
        </w:rPr>
        <w:t xml:space="preserve"> (Minneapolis: Fortress Press, 1993)</w:t>
      </w:r>
      <w:r>
        <w:rPr>
          <w:rFonts w:ascii="Calibri" w:cs="Calibri"/>
        </w:rPr>
        <w:t>, 21-22</w:t>
      </w:r>
      <w:r w:rsidRPr="003E5630">
        <w:rPr>
          <w:rFonts w:ascii="Calibri" w:cs="Calibri"/>
        </w:rPr>
        <w:t>.</w:t>
      </w:r>
      <w:r>
        <w:fldChar w:fldCharType="end"/>
      </w:r>
    </w:p>
  </w:footnote>
  <w:footnote w:id="40">
    <w:p w:rsidR="00D10460" w:rsidRDefault="00D10460">
      <w:pPr>
        <w:pStyle w:val="FootnoteText"/>
      </w:pPr>
      <w:r w:rsidRPr="00AB1AE4">
        <w:rPr>
          <w:rStyle w:val="FootnoteReference"/>
        </w:rPr>
        <w:footnoteRef/>
      </w:r>
      <w:r>
        <w:t xml:space="preserve"> </w:t>
      </w:r>
      <w:r>
        <w:fldChar w:fldCharType="begin"/>
      </w:r>
      <w:r w:rsidR="003E7C85">
        <w:instrText xml:space="preserve"> ADDIN ZOTERO_ITEM CSL_CITATION {"citationID":"ZmOVSnky","properties":{"formattedCitation":"Gerrish.","plainCitation":"Gerrish.","dontUpdate":true,"noteIndex":40},"citationItems":[{"id":3233,"uris":["http://zotero.org/users/7540819/items/JQACZGGW"],"itemData":{"id":3233,"type":"book","call-number":"BX9418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Pr>
          <w:noProof/>
        </w:rPr>
        <w:t>Gerrish, 128.</w:t>
      </w:r>
      <w:r>
        <w:fldChar w:fldCharType="end"/>
      </w:r>
    </w:p>
  </w:footnote>
  <w:footnote w:id="41">
    <w:p w:rsidR="00E37143" w:rsidRDefault="00E37143">
      <w:pPr>
        <w:pStyle w:val="FootnoteText"/>
      </w:pPr>
      <w:r w:rsidRPr="00AB1AE4">
        <w:rPr>
          <w:rStyle w:val="FootnoteReference"/>
        </w:rPr>
        <w:footnoteRef/>
      </w:r>
      <w:r>
        <w:t xml:space="preserve"> </w:t>
      </w:r>
      <w:r>
        <w:fldChar w:fldCharType="begin"/>
      </w:r>
      <w:r w:rsidR="003E7C85">
        <w:instrText xml:space="preserve"> ADDIN ZOTERO_ITEM CSL_CITATION {"citationID":"DRuzVLGH","properties":{"formattedCitation":"Geoffrey Butler, \\uc0\\u8216{}John Calvin\\uc0\\u8217{}s Eucharistic Theology: A Pentecostal Analysis Geoffrey Butler\\uc0\\u8217{}, The Gospel Coalition, accessed 1 May 2024, https://www.thegospelcoalition.org/themelios/article/john-calvins-eucharistic-theology-a-pentecostal-analysis-geoffrey-butler/.","plainCitation":"Geoffrey Butler, ‘John Calvin’s Eucharistic Theology: A Pentecostal Analysis Geoffrey Butler’, The Gospel Coalition, accessed 1 May 2024, https://www.thegospelcoalition.org/themelios/article/john-calvins-eucharistic-theology-a-pentecostal-analysis-geoffrey-butler/.","noteIndex":41},"citationItems":[{"id":3271,"uris":["http://zotero.org/users/7540819/items/YERKQ6W3"],"itemData":{"id":3271,"type":"webpage","abstract":"Few doctrines have evoked more passionate debate than the Lord’s Supper; while virtually all Christian traditions have a theology of the Eucharist, intense debate persists over its meaning, nature, and proper administration. During Reformation era, one only need look at the polemical interactions of Martin Luther, not only with the Roman Catholic Church,1 but even with other Protestants over the presence of Christ in the Supper to get a sense of this tension.2 In his treatise against the Zwinglian position, he labels it a heresy concocted by Satan, claiming that its proponents had made a mockery of the sacrament and...","container-title":"The Gospel Coalition","language":"en-US","title":"John Calvin’s Eucharistic Theology: A Pentecostal Analysis Geoffrey Butler","title-short":"John Calvin’s Eucharistic Theology","URL":"https://www.thegospelcoalition.org/themelios/article/john-calvins-eucharistic-theology-a-pentecostal-analysis-geoffrey-butler/","author":[{"family":"Butler","given":"Geoffrey"}],"accessed":{"date-parts":[["2024",5,1]]}}}],"schema":"https://github.com/citation-style-language/schema/raw/master/csl-citation.json"} </w:instrText>
      </w:r>
      <w:r>
        <w:fldChar w:fldCharType="separate"/>
      </w:r>
      <w:r w:rsidRPr="00E37143">
        <w:rPr>
          <w:rFonts w:ascii="Calibri" w:cs="Calibri"/>
        </w:rPr>
        <w:t>Geoffrey Butler, ‘John Calvin’s Eucharistic Theology: A Pentecostal Analysis Geoffrey Butler’, The Gospel Coalition, accessed 1 May 2024, https://www.thegospelcoalition.org/themelios/article/john-calvins-eucharistic-theology-a-pentecostal-analysis-geoffrey-butler/.</w:t>
      </w:r>
      <w:r>
        <w:fldChar w:fldCharType="end"/>
      </w:r>
    </w:p>
  </w:footnote>
  <w:footnote w:id="42">
    <w:p w:rsidR="00C264AA" w:rsidRDefault="00C264AA">
      <w:pPr>
        <w:pStyle w:val="FootnoteText"/>
      </w:pPr>
      <w:r w:rsidRPr="00AB1AE4">
        <w:rPr>
          <w:rStyle w:val="FootnoteReference"/>
        </w:rPr>
        <w:footnoteRef/>
      </w:r>
      <w:r>
        <w:t xml:space="preserve"> </w:t>
      </w:r>
      <w:r>
        <w:fldChar w:fldCharType="begin"/>
      </w:r>
      <w:r w:rsidR="005A3DFD">
        <w:instrText xml:space="preserve"> ADDIN ZOTERO_ITEM CSL_CITATION {"citationID":"GJnRtw8O","properties":{"formattedCitation":"John Calvin, \\uc0\\u8216{}John Calvin: Institutes of the Christian Religion - Christian Classics Ethereal Library\\uc0\\u8217{}, accessed 29 March 2023, https://www.ccel.org/ccel/calvin/institutes.iv.xvii.html.","plainCitation":"John Calvin, ‘John Calvin: Institutes of the Christian Religion - Christian Classics Ethereal Library’, accessed 29 March 2023, https://www.ccel.org/ccel/calvin/institutes.iv.xvii.html.","dontUpdate":true,"noteIndex":42},"citationItems":[{"id":2564,"uris":["http://zotero.org/users/7540819/items/UZN5KIUX"],"itemData":{"id":2564,"type":"webpage","title":"John Calvin: Institutes of the Christian Religion - Christian Classics Ethereal Library","URL":"https://www.ccel.org/ccel/calvin/institutes.iv.xvii.html","author":[{"family":"Calvin","given":"John"}],"accessed":{"date-parts":[["2023",3,29]]}}}],"schema":"https://github.com/citation-style-language/schema/raw/master/csl-citation.json"} </w:instrText>
      </w:r>
      <w:r>
        <w:fldChar w:fldCharType="separate"/>
      </w:r>
      <w:r w:rsidRPr="00C264AA">
        <w:rPr>
          <w:rFonts w:ascii="Calibri" w:cs="Calibri"/>
        </w:rPr>
        <w:t>John Calvin, ‘John Calvin: Institutes of the Christian Religion - Christian Classics Ethereal Library’</w:t>
      </w:r>
      <w:r>
        <w:rPr>
          <w:rFonts w:ascii="Calibri" w:cs="Calibri"/>
        </w:rPr>
        <w:t>, 4.18.6</w:t>
      </w:r>
      <w:r w:rsidRPr="00C264AA">
        <w:rPr>
          <w:rFonts w:ascii="Calibri" w:cs="Calibri"/>
        </w:rPr>
        <w:t>, accessed 29 March 2023, https://www.ccel.org/ccel/calvin/institutes.iv.xvii.html.</w:t>
      </w:r>
      <w:r>
        <w:fldChar w:fldCharType="end"/>
      </w:r>
    </w:p>
  </w:footnote>
  <w:footnote w:id="43">
    <w:p w:rsidR="0050227E" w:rsidRDefault="0050227E">
      <w:pPr>
        <w:pStyle w:val="FootnoteText"/>
      </w:pPr>
      <w:r w:rsidRPr="00AB1AE4">
        <w:rPr>
          <w:rStyle w:val="FootnoteReference"/>
        </w:rPr>
        <w:footnoteRef/>
      </w:r>
      <w:r>
        <w:t xml:space="preserve"> </w:t>
      </w:r>
      <w:r>
        <w:fldChar w:fldCharType="begin"/>
      </w:r>
      <w:r w:rsidR="003E7C85">
        <w:instrText xml:space="preserve"> ADDIN ZOTERO_ITEM CSL_CITATION {"citationID":"21rylBZW","properties":{"formattedCitation":"Gerrish, {\\i{}Grace and Gratitude}.","plainCitation":"Gerrish, Grace and Gratitude.","dontUpdate":true,"noteIndex":43},"citationItems":[{"id":3233,"uris":["http://zotero.org/users/7540819/items/JQACZGGW"],"itemData":{"id":3233,"type":"book","call-number":"BX9418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Pr="0050227E">
        <w:rPr>
          <w:rFonts w:ascii="Calibri" w:cs="Calibri"/>
        </w:rPr>
        <w:t xml:space="preserve">Gerrish, </w:t>
      </w:r>
      <w:r w:rsidRPr="0050227E">
        <w:rPr>
          <w:rFonts w:ascii="Calibri" w:cs="Calibri"/>
          <w:i/>
          <w:iCs/>
        </w:rPr>
        <w:t>Grace and Gratitude</w:t>
      </w:r>
      <w:r>
        <w:rPr>
          <w:rFonts w:ascii="Calibri" w:cs="Calibri"/>
          <w:i/>
          <w:iCs/>
        </w:rPr>
        <w:t>, 133</w:t>
      </w:r>
      <w:r w:rsidRPr="0050227E">
        <w:rPr>
          <w:rFonts w:ascii="Calibri" w:cs="Calibri"/>
        </w:rPr>
        <w:t>.</w:t>
      </w:r>
      <w:r>
        <w:fldChar w:fldCharType="end"/>
      </w:r>
    </w:p>
  </w:footnote>
  <w:footnote w:id="44">
    <w:p w:rsidR="000651D9" w:rsidRDefault="000651D9">
      <w:pPr>
        <w:pStyle w:val="FootnoteText"/>
      </w:pPr>
      <w:r w:rsidRPr="00AB1AE4">
        <w:rPr>
          <w:rStyle w:val="FootnoteReference"/>
        </w:rPr>
        <w:footnoteRef/>
      </w:r>
      <w:r>
        <w:t xml:space="preserve"> </w:t>
      </w:r>
      <w:r>
        <w:fldChar w:fldCharType="begin"/>
      </w:r>
      <w:r w:rsidR="005A3DFD">
        <w:instrText xml:space="preserve"> ADDIN ZOTERO_ITEM CSL_CITATION {"citationID":"lJjWEFH9","properties":{"formattedCitation":"Calvin.","plainCitation":"Calvin.","dontUpdate":true,"noteIndex":44},"citationItems":[{"id":2564,"uris":["http://zotero.org/users/7540819/items/UZN5KIUX"],"itemData":{"id":2564,"type":"webpage","title":"John Calvin: Institutes of the Christian Religion - Christian Classics Ethereal Library","URL":"https://www.ccel.org/ccel/calvin/institutes.iv.xvii.html","author":[{"family":"Calvin","given":"John"}],"accessed":{"date-parts":[["2023",3,29]]}}}],"schema":"https://github.com/citation-style-language/schema/raw/master/csl-citation.json"} </w:instrText>
      </w:r>
      <w:r>
        <w:fldChar w:fldCharType="separate"/>
      </w:r>
      <w:r>
        <w:rPr>
          <w:noProof/>
        </w:rPr>
        <w:t>Calvin, 4.</w:t>
      </w:r>
      <w:r w:rsidR="000A2A7D">
        <w:rPr>
          <w:noProof/>
        </w:rPr>
        <w:t>18.</w:t>
      </w:r>
      <w:r>
        <w:rPr>
          <w:noProof/>
        </w:rPr>
        <w:t>19.</w:t>
      </w:r>
      <w:r>
        <w:fldChar w:fldCharType="end"/>
      </w:r>
    </w:p>
  </w:footnote>
  <w:footnote w:id="45">
    <w:p w:rsidR="000A2A7D" w:rsidRDefault="000A2A7D">
      <w:pPr>
        <w:pStyle w:val="FootnoteText"/>
      </w:pPr>
      <w:r w:rsidRPr="00AB1AE4">
        <w:rPr>
          <w:rStyle w:val="FootnoteReference"/>
        </w:rPr>
        <w:footnoteRef/>
      </w:r>
      <w:r>
        <w:t xml:space="preserve"> </w:t>
      </w:r>
      <w:r>
        <w:fldChar w:fldCharType="begin"/>
      </w:r>
      <w:r w:rsidR="003E7C85">
        <w:instrText xml:space="preserve"> ADDIN ZOTERO_ITEM CSL_CITATION {"citationID":"tIL0N3an","properties":{"formattedCitation":"Gerrish, {\\i{}Grace and Gratitude}.","plainCitation":"Gerrish, Grace and Gratitude.","dontUpdate":true,"noteIndex":45},"citationItems":[{"id":3233,"uris":["http://zotero.org/users/7540819/items/JQACZGGW"],"itemData":{"id":3233,"type":"book","call-number":"BX9418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Pr="000A2A7D">
        <w:rPr>
          <w:rFonts w:ascii="Calibri" w:cs="Calibri"/>
        </w:rPr>
        <w:t xml:space="preserve">Gerrish, </w:t>
      </w:r>
      <w:r w:rsidRPr="000A2A7D">
        <w:rPr>
          <w:rFonts w:ascii="Calibri" w:cs="Calibri"/>
          <w:i/>
          <w:iCs/>
        </w:rPr>
        <w:t>Grace and Gratitude</w:t>
      </w:r>
      <w:r>
        <w:rPr>
          <w:rFonts w:ascii="Calibri" w:cs="Calibri"/>
          <w:i/>
          <w:iCs/>
        </w:rPr>
        <w:t xml:space="preserve">, </w:t>
      </w:r>
      <w:r w:rsidRPr="000A2A7D">
        <w:rPr>
          <w:rFonts w:ascii="Calibri" w:cs="Calibri"/>
        </w:rPr>
        <w:t>126-127.</w:t>
      </w:r>
      <w:r>
        <w:fldChar w:fldCharType="end"/>
      </w:r>
    </w:p>
  </w:footnote>
  <w:footnote w:id="46">
    <w:p w:rsidR="001624EC" w:rsidRDefault="001624EC">
      <w:pPr>
        <w:pStyle w:val="FootnoteText"/>
      </w:pPr>
      <w:r w:rsidRPr="00AB1AE4">
        <w:rPr>
          <w:rStyle w:val="FootnoteReference"/>
        </w:rPr>
        <w:footnoteRef/>
      </w:r>
      <w:r>
        <w:t xml:space="preserve"> </w:t>
      </w:r>
      <w:r>
        <w:fldChar w:fldCharType="begin"/>
      </w:r>
      <w:r w:rsidR="003E7C85">
        <w:instrText xml:space="preserve"> ADDIN ZOTERO_ITEM CSL_CITATION {"citationID":"oDGArQeb","properties":{"formattedCitation":"Butler, \\uc0\\u8216{}John Calvin\\uc0\\u8217{}s Eucharistic Theology\\uc0\\u8217{}.","plainCitation":"Butler, ‘John Calvin’s Eucharistic Theology’.","dontUpdate":true,"noteIndex":46},"citationItems":[{"id":3271,"uris":["http://zotero.org/users/7540819/items/YERKQ6W3"],"itemData":{"id":3271,"type":"webpage","abstract":"Few doctrines have evoked more passionate debate than the Lord’s Supper; while virtually all Christian traditions have a theology of the Eucharist, intense debate persists over its meaning, nature, and proper administration. During Reformation era, one only need look at the polemical interactions of Martin Luther, not only with the Roman Catholic Church,1 but even with other Protestants over the presence of Christ in the Supper to get a sense of this tension.2 In his treatise against the Zwinglian position, he labels it a heresy concocted by Satan, claiming that its proponents had made a mockery of the sacrament and...","container-title":"The Gospel Coalition","language":"en-US","title":"John Calvin’s Eucharistic Theology: A Pentecostal Analysis Geoffrey Butler","title-short":"John Calvin’s Eucharistic Theology","URL":"https://www.thegospelcoalition.org/themelios/article/john-calvins-eucharistic-theology-a-pentecostal-analysis-geoffrey-butler/","author":[{"family":"Butler","given":"Geoffrey"}],"accessed":{"date-parts":[["2024",5,1]]}}}],"schema":"https://github.com/citation-style-language/schema/raw/master/csl-citation.json"} </w:instrText>
      </w:r>
      <w:r>
        <w:fldChar w:fldCharType="separate"/>
      </w:r>
      <w:r w:rsidRPr="001624EC">
        <w:rPr>
          <w:rFonts w:ascii="Calibri" w:cs="Calibri"/>
        </w:rPr>
        <w:t>Butler, ‘John Calvin’s Eucharistic Theology’</w:t>
      </w:r>
      <w:r>
        <w:rPr>
          <w:rFonts w:ascii="Calibri" w:cs="Calibri"/>
        </w:rPr>
        <w:t>, para 2</w:t>
      </w:r>
      <w:r w:rsidRPr="001624EC">
        <w:rPr>
          <w:rFonts w:ascii="Calibri" w:cs="Calibri"/>
        </w:rPr>
        <w:t>.</w:t>
      </w:r>
      <w:r>
        <w:fldChar w:fldCharType="end"/>
      </w:r>
    </w:p>
  </w:footnote>
  <w:footnote w:id="47">
    <w:p w:rsidR="00B45D99" w:rsidRDefault="00B45D99">
      <w:pPr>
        <w:pStyle w:val="FootnoteText"/>
      </w:pPr>
      <w:r w:rsidRPr="00AB1AE4">
        <w:rPr>
          <w:rStyle w:val="FootnoteReference"/>
        </w:rPr>
        <w:footnoteRef/>
      </w:r>
      <w:r>
        <w:t xml:space="preserve"> </w:t>
      </w:r>
      <w:r>
        <w:fldChar w:fldCharType="begin"/>
      </w:r>
      <w:r w:rsidR="003E7C85">
        <w:instrText xml:space="preserve"> ADDIN ZOTERO_ITEM CSL_CITATION {"citationID":"AhPsOwnr","properties":{"formattedCitation":"Gerrish, {\\i{}Grace and Gratitude}.","plainCitation":"Gerrish, Grace and Gratitude.","dontUpdate":true,"noteIndex":47},"citationItems":[{"id":3233,"uris":["http://zotero.org/users/7540819/items/JQACZGGW"],"itemData":{"id":3233,"type":"book","call-number":"BX9418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Pr="00B45D99">
        <w:rPr>
          <w:rFonts w:ascii="Calibri" w:cs="Calibri"/>
        </w:rPr>
        <w:t xml:space="preserve">Gerrish, </w:t>
      </w:r>
      <w:r w:rsidRPr="00B45D99">
        <w:rPr>
          <w:rFonts w:ascii="Calibri" w:cs="Calibri"/>
          <w:i/>
          <w:iCs/>
        </w:rPr>
        <w:t>Grace and Gratitude</w:t>
      </w:r>
      <w:r>
        <w:rPr>
          <w:rFonts w:ascii="Calibri" w:cs="Calibri"/>
          <w:i/>
          <w:iCs/>
        </w:rPr>
        <w:t xml:space="preserve">, </w:t>
      </w:r>
      <w:r>
        <w:rPr>
          <w:rFonts w:ascii="Calibri" w:cs="Calibri"/>
        </w:rPr>
        <w:t>131</w:t>
      </w:r>
      <w:r w:rsidRPr="00B45D99">
        <w:rPr>
          <w:rFonts w:ascii="Calibri" w:cs="Calibri"/>
        </w:rPr>
        <w:t>.</w:t>
      </w:r>
      <w:r>
        <w:fldChar w:fldCharType="end"/>
      </w:r>
    </w:p>
  </w:footnote>
  <w:footnote w:id="48">
    <w:p w:rsidR="007359D4" w:rsidRDefault="007359D4">
      <w:pPr>
        <w:pStyle w:val="FootnoteText"/>
      </w:pPr>
      <w:r w:rsidRPr="00AB1AE4">
        <w:rPr>
          <w:rStyle w:val="FootnoteReference"/>
        </w:rPr>
        <w:footnoteRef/>
      </w:r>
      <w:r>
        <w:t xml:space="preserve"> Referencing John 6:51</w:t>
      </w:r>
      <w:r w:rsidR="00A354DC">
        <w:t>. Cf.</w:t>
      </w:r>
      <w:r>
        <w:t xml:space="preserve"> </w:t>
      </w:r>
      <w:r>
        <w:fldChar w:fldCharType="begin"/>
      </w:r>
      <w:r w:rsidR="003E7C85">
        <w:instrText xml:space="preserve"> ADDIN ZOTERO_ITEM CSL_CITATION {"citationID":"FKcAvwFZ","properties":{"formattedCitation":"Jean Calvin, {\\i{}Institutes of the Christian Religion}, ed. John Thomas McNeill, trans. Ford Lewis Battles, vol. 2, 2 vols, The Library of Christian Classics (Louisville, Ky. London: Westminster John Knox Press, 1960).","plainCitation":"Jean Calvin, Institutes of the Christian Religion, ed. John Thomas McNeill, trans. Ford Lewis Battles, vol. 2, 2 vols, The Library of Christian Classics (Louisville, Ky. London: Westminster John Knox Press, 1960).","dontUpdate":true,"noteIndex":48},"citationItems":[{"id":3266,"uris":["http://zotero.org/users/7540819/items/TK5LHU63"],"itemData":{"id":3266,"type":"book","collection-title":"The library of Christian classics","event-place":"Louisville, Ky. London","ISBN":"978-0-664-22028-0","language":"eng","number-of-volumes":"2","publisher":"Westminster John Knox Press","publisher-place":"Louisville, Ky. London","source":"K10plus ISBN","title":"Institutes of the Christian religion","volume":"2","author":[{"family":"Calvin","given":"Jean"}],"editor":[{"family":"McNeill","given":"John Thomas"}],"translator":[{"family":"Battles","given":"Ford Lewis"}],"issued":{"date-parts":[["1960"]]}}}],"schema":"https://github.com/citation-style-language/schema/raw/master/csl-citation.json"} </w:instrText>
      </w:r>
      <w:r>
        <w:fldChar w:fldCharType="separate"/>
      </w:r>
      <w:r w:rsidRPr="007359D4">
        <w:rPr>
          <w:rFonts w:ascii="Calibri" w:cs="Calibri"/>
        </w:rPr>
        <w:t xml:space="preserve">Jean Calvin, </w:t>
      </w:r>
      <w:r w:rsidRPr="007359D4">
        <w:rPr>
          <w:rFonts w:ascii="Calibri" w:cs="Calibri"/>
          <w:i/>
          <w:iCs/>
        </w:rPr>
        <w:t>Institutes of the Christian Religion</w:t>
      </w:r>
      <w:r w:rsidRPr="007359D4">
        <w:rPr>
          <w:rFonts w:ascii="Calibri" w:cs="Calibri"/>
        </w:rPr>
        <w:t>, ed. John Thomas McNeill, trans. Ford Lewis Battles, vol. 2, 2 vols, The Library of Christian Classics (Louisville, Ky. London: Westminster John Knox Press, 1960)</w:t>
      </w:r>
      <w:r>
        <w:rPr>
          <w:rFonts w:ascii="Calibri" w:cs="Calibri"/>
        </w:rPr>
        <w:t xml:space="preserve">, </w:t>
      </w:r>
      <w:r w:rsidR="002634D0">
        <w:rPr>
          <w:rFonts w:ascii="Calibri" w:cs="Calibri"/>
        </w:rPr>
        <w:t>4.17.1</w:t>
      </w:r>
      <w:r w:rsidRPr="007359D4">
        <w:rPr>
          <w:rFonts w:ascii="Calibri" w:cs="Calibri"/>
        </w:rPr>
        <w:t>.</w:t>
      </w:r>
      <w:r>
        <w:fldChar w:fldCharType="end"/>
      </w:r>
    </w:p>
  </w:footnote>
  <w:footnote w:id="49">
    <w:p w:rsidR="002634D0" w:rsidRDefault="002634D0">
      <w:pPr>
        <w:pStyle w:val="FootnoteText"/>
      </w:pPr>
      <w:r w:rsidRPr="00AB1AE4">
        <w:rPr>
          <w:rStyle w:val="FootnoteReference"/>
        </w:rPr>
        <w:footnoteRef/>
      </w:r>
      <w:r>
        <w:t xml:space="preserve"> </w:t>
      </w:r>
      <w:r>
        <w:fldChar w:fldCharType="begin"/>
      </w:r>
      <w:r w:rsidR="003E7C85">
        <w:instrText xml:space="preserve"> ADDIN ZOTERO_ITEM CSL_CITATION {"citationID":"FbIlMGdx","properties":{"formattedCitation":"Wendel, {\\i{}Calvin}.","plainCitation":"Wendel, Calvin.","dontUpdate":true,"noteIndex":49},"citationItems":[{"id":3267,"uris":["http://zotero.org/users/7540819/items/RKWJMSID"],"itemData":{"id":3267,"type":"book","call-number":"BX9418 .W383313 1987","edition":"Fontana Library","event-place":"London","language":"eng","number-of-pages":"383","publisher":"Collins","publisher-place":"London","source":"Library of Congress ISBN","title":"Calvin: origins and development of his religious thought","title-short":"Calvin","author":[{"family":"Wendel","given":"François"}],"translator":[{"family":"Mairet","given":"Philip"}],"issued":{"date-parts":[["1965"]]}}}],"schema":"https://github.com/citation-style-language/schema/raw/master/csl-citation.json"} </w:instrText>
      </w:r>
      <w:r>
        <w:fldChar w:fldCharType="separate"/>
      </w:r>
      <w:r w:rsidRPr="002634D0">
        <w:rPr>
          <w:rFonts w:ascii="Calibri" w:cs="Calibri"/>
        </w:rPr>
        <w:t xml:space="preserve">Wendel, </w:t>
      </w:r>
      <w:r w:rsidRPr="002634D0">
        <w:rPr>
          <w:rFonts w:ascii="Calibri" w:cs="Calibri"/>
          <w:i/>
          <w:iCs/>
        </w:rPr>
        <w:t>Calvin</w:t>
      </w:r>
      <w:r>
        <w:rPr>
          <w:rFonts w:ascii="Calibri" w:cs="Calibri"/>
          <w:i/>
          <w:iCs/>
        </w:rPr>
        <w:t xml:space="preserve">, </w:t>
      </w:r>
      <w:r>
        <w:rPr>
          <w:rFonts w:ascii="Calibri" w:cs="Calibri"/>
        </w:rPr>
        <w:t>335</w:t>
      </w:r>
      <w:r w:rsidRPr="002634D0">
        <w:rPr>
          <w:rFonts w:ascii="Calibri" w:cs="Calibri"/>
        </w:rPr>
        <w:t>.</w:t>
      </w:r>
      <w:r>
        <w:fldChar w:fldCharType="end"/>
      </w:r>
    </w:p>
  </w:footnote>
  <w:footnote w:id="50">
    <w:p w:rsidR="005506B6" w:rsidRDefault="005506B6">
      <w:pPr>
        <w:pStyle w:val="FootnoteText"/>
      </w:pPr>
      <w:r w:rsidRPr="00AB1AE4">
        <w:rPr>
          <w:rStyle w:val="FootnoteReference"/>
        </w:rPr>
        <w:footnoteRef/>
      </w:r>
      <w:r>
        <w:t xml:space="preserve"> Cf. </w:t>
      </w:r>
      <w:r>
        <w:fldChar w:fldCharType="begin"/>
      </w:r>
      <w:r w:rsidR="005A3DFD">
        <w:instrText xml:space="preserve"> ADDIN ZOTERO_ITEM CSL_CITATION {"citationID":"IGwaLv7O","properties":{"formattedCitation":"Pelikan, {\\i{}Reformation of Church and Dogma}.","plainCitation":"Pelikan, Reformation of Church and Dogma.","dontUpdate":true,"noteIndex":50},"citationItems":[{"id":3274,"uris":["http://zotero.org/users/7540819/items/C4LWCTJC"],"itemData":{"id":3274,"type":"book","collection-number":"4","collection-title":"The Christian tradition : a history of the development of doctrine / Jaroslav Pelikan","edition":"Paperback ed. 1985, [Nachdr.]","event-place":"Chicago, Ill.","ISBN":"978-0-226-65377-8","language":"eng","number-of-pages":"424","publisher":"Univ. of Chicago Press","publisher-place":"Chicago, Ill.","source":"K10plus ISBN","title":"Reformation of church and dogma: 1300 - 1700","title-short":"Reformation of church and dogma","author":[{"family":"Pelikan","given":"Jaroslav"}],"issued":{"date-parts":[["2006"]]}}}],"schema":"https://github.com/citation-style-language/schema/raw/master/csl-citation.json"} </w:instrText>
      </w:r>
      <w:r>
        <w:fldChar w:fldCharType="separate"/>
      </w:r>
      <w:proofErr w:type="spellStart"/>
      <w:r w:rsidRPr="005506B6">
        <w:rPr>
          <w:rFonts w:ascii="Calibri" w:cs="Calibri"/>
        </w:rPr>
        <w:t>Pelikan</w:t>
      </w:r>
      <w:proofErr w:type="spellEnd"/>
      <w:r w:rsidRPr="005506B6">
        <w:rPr>
          <w:rFonts w:ascii="Calibri" w:cs="Calibri"/>
        </w:rPr>
        <w:t xml:space="preserve">, </w:t>
      </w:r>
      <w:r w:rsidRPr="005506B6">
        <w:rPr>
          <w:rFonts w:ascii="Calibri" w:cs="Calibri"/>
          <w:i/>
          <w:iCs/>
        </w:rPr>
        <w:t>Reformation of Church and Dogma</w:t>
      </w:r>
      <w:r>
        <w:rPr>
          <w:rFonts w:ascii="Calibri" w:cs="Calibri"/>
          <w:i/>
          <w:iCs/>
        </w:rPr>
        <w:t xml:space="preserve">, </w:t>
      </w:r>
      <w:r>
        <w:rPr>
          <w:rFonts w:ascii="Calibri" w:cs="Calibri"/>
        </w:rPr>
        <w:t>189</w:t>
      </w:r>
      <w:r w:rsidRPr="005506B6">
        <w:rPr>
          <w:rFonts w:ascii="Calibri" w:cs="Calibri"/>
        </w:rPr>
        <w:t>.</w:t>
      </w:r>
      <w:r>
        <w:fldChar w:fldCharType="end"/>
      </w:r>
    </w:p>
  </w:footnote>
  <w:footnote w:id="51">
    <w:p w:rsidR="00197FE4" w:rsidRDefault="00197FE4">
      <w:pPr>
        <w:pStyle w:val="FootnoteText"/>
      </w:pPr>
      <w:r w:rsidRPr="00AB1AE4">
        <w:rPr>
          <w:rStyle w:val="FootnoteReference"/>
        </w:rPr>
        <w:footnoteRef/>
      </w:r>
      <w:r>
        <w:t xml:space="preserve"> </w:t>
      </w:r>
      <w:r>
        <w:fldChar w:fldCharType="begin"/>
      </w:r>
      <w:r w:rsidR="005A3DFD">
        <w:instrText xml:space="preserve"> ADDIN ZOTERO_ITEM CSL_CITATION {"citationID":"WkReHOYa","properties":{"formattedCitation":"Calvin, \\uc0\\u8216{}John Calvin: Institutes of the Christian Religion - Christian Classics Ethereal Library\\uc0\\u8217{}.","plainCitation":"Calvin, ‘John Calvin: Institutes of the Christian Religion - Christian Classics Ethereal Library’.","dontUpdate":true,"noteIndex":51},"citationItems":[{"id":2564,"uris":["http://zotero.org/users/7540819/items/UZN5KIUX"],"itemData":{"id":2564,"type":"webpage","title":"John Calvin: Institutes of the Christian Religion - Christian Classics Ethereal Library","URL":"https://www.ccel.org/ccel/calvin/institutes.iv.xvii.html","author":[{"family":"Calvin","given":"John"}],"accessed":{"date-parts":[["2023",3,29]]}}}],"schema":"https://github.com/citation-style-language/schema/raw/master/csl-citation.json"} </w:instrText>
      </w:r>
      <w:r>
        <w:fldChar w:fldCharType="separate"/>
      </w:r>
      <w:r w:rsidRPr="00197FE4">
        <w:rPr>
          <w:rFonts w:ascii="Calibri" w:cs="Calibri"/>
        </w:rPr>
        <w:t>Calvin, ‘John Calvin: Institutes of the Christian Religion - Christian Classics Ethereal Library’</w:t>
      </w:r>
      <w:r>
        <w:rPr>
          <w:rFonts w:ascii="Calibri" w:cs="Calibri"/>
        </w:rPr>
        <w:t>, 4.17 and 4.18</w:t>
      </w:r>
      <w:r w:rsidRPr="00197FE4">
        <w:rPr>
          <w:rFonts w:ascii="Calibri" w:cs="Calibri"/>
        </w:rPr>
        <w:t>.</w:t>
      </w:r>
      <w:r>
        <w:fldChar w:fldCharType="end"/>
      </w:r>
    </w:p>
  </w:footnote>
  <w:footnote w:id="52">
    <w:p w:rsidR="0050227E" w:rsidRDefault="0050227E">
      <w:pPr>
        <w:pStyle w:val="FootnoteText"/>
      </w:pPr>
      <w:r w:rsidRPr="00AB1AE4">
        <w:rPr>
          <w:rStyle w:val="FootnoteReference"/>
        </w:rPr>
        <w:footnoteRef/>
      </w:r>
      <w:r>
        <w:t xml:space="preserve"> </w:t>
      </w:r>
      <w:r>
        <w:fldChar w:fldCharType="begin"/>
      </w:r>
      <w:r w:rsidR="003E7C85">
        <w:instrText xml:space="preserve"> ADDIN ZOTERO_ITEM CSL_CITATION {"citationID":"LgqAvjXm","properties":{"formattedCitation":"Gerrish, {\\i{}Grace and Gratitude}.","plainCitation":"Gerrish, Grace and Gratitude.","dontUpdate":true,"noteIndex":52},"citationItems":[{"id":3233,"uris":["http://zotero.org/users/7540819/items/JQACZGGW"],"itemData":{"id":3233,"type":"book","call-number":"BX9418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00175616" w:rsidRPr="00175616">
        <w:rPr>
          <w:rFonts w:ascii="Calibri" w:cs="Calibri"/>
        </w:rPr>
        <w:t xml:space="preserve">Gerrish, </w:t>
      </w:r>
      <w:r w:rsidR="00175616" w:rsidRPr="00175616">
        <w:rPr>
          <w:rFonts w:ascii="Calibri" w:cs="Calibri"/>
          <w:i/>
          <w:iCs/>
        </w:rPr>
        <w:t>Grace and Gratitude</w:t>
      </w:r>
      <w:r w:rsidR="00175616">
        <w:rPr>
          <w:rFonts w:ascii="Calibri" w:cs="Calibri"/>
          <w:i/>
          <w:iCs/>
        </w:rPr>
        <w:t xml:space="preserve">, </w:t>
      </w:r>
      <w:r w:rsidR="00175616" w:rsidRPr="00175616">
        <w:rPr>
          <w:rFonts w:ascii="Calibri" w:cs="Calibri"/>
        </w:rPr>
        <w:t>134-135.</w:t>
      </w:r>
      <w:r>
        <w:fldChar w:fldCharType="end"/>
      </w:r>
    </w:p>
  </w:footnote>
  <w:footnote w:id="53">
    <w:p w:rsidR="00EB648F" w:rsidRDefault="00EB648F" w:rsidP="00EB648F">
      <w:pPr>
        <w:pStyle w:val="FootnoteText"/>
      </w:pPr>
      <w:r w:rsidRPr="00AB1AE4">
        <w:rPr>
          <w:rStyle w:val="FootnoteReference"/>
        </w:rPr>
        <w:footnoteRef/>
      </w:r>
      <w:r>
        <w:t xml:space="preserve"> </w:t>
      </w:r>
      <w:r>
        <w:fldChar w:fldCharType="begin"/>
      </w:r>
      <w:r w:rsidR="003E7C85">
        <w:instrText xml:space="preserve"> ADDIN ZOTERO_ITEM CSL_CITATION {"citationID":"YtZzdLQZ","properties":{"formattedCitation":"Gerrish.","plainCitation":"Gerrish.","dontUpdate":true,"noteIndex":53},"citationItems":[{"id":3233,"uris":["http://zotero.org/users/7540819/items/JQACZGGW"],"itemData":{"id":3233,"type":"book","call-number":"BX9418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Pr>
          <w:noProof/>
        </w:rPr>
        <w:t>Gerrish, 135-139.</w:t>
      </w:r>
      <w:r>
        <w:fldChar w:fldCharType="end"/>
      </w:r>
    </w:p>
  </w:footnote>
  <w:footnote w:id="54">
    <w:p w:rsidR="00EB648F" w:rsidRDefault="00EB648F">
      <w:pPr>
        <w:pStyle w:val="FootnoteText"/>
      </w:pPr>
      <w:r w:rsidRPr="00AB1AE4">
        <w:rPr>
          <w:rStyle w:val="FootnoteReference"/>
        </w:rPr>
        <w:footnoteRef/>
      </w:r>
      <w:r>
        <w:t xml:space="preserve"> </w:t>
      </w:r>
      <w:r>
        <w:fldChar w:fldCharType="begin"/>
      </w:r>
      <w:r w:rsidR="005A3DFD">
        <w:instrText xml:space="preserve"> ADDIN ZOTERO_ITEM CSL_CITATION {"citationID":"2cHErrHH","properties":{"formattedCitation":"Migliore, {\\i{}Faith Seeking Understanding}.","plainCitation":"Migliore, Faith Seeking Understanding.","dontUpdate":true,"noteIndex":54},"citationItems":[{"id":2237,"uris":["http://zotero.org/users/7540819/items/ANXYXUU7"],"itemData":{"id":2237,"type":"book","call-number":"BT65 .M54 2004","edition":"2nd ed","event-place":"Grand Rapids, Mich","ISBN":"978-0-8028-2787-6","number-of-pages":"439","publisher":"W.B. Eerdmans","publisher-place":"Grand Rapids, Mich","source":"Library of Congress ISBN","title":"Faith seeking understanding: an introduction to Christian theology","title-short":"Faith seeking understanding","author":[{"family":"Migliore","given":"Daniel L."}],"issued":{"date-parts":[["2004"]]}}}],"schema":"https://github.com/citation-style-language/schema/raw/master/csl-citation.json"} </w:instrText>
      </w:r>
      <w:r>
        <w:fldChar w:fldCharType="separate"/>
      </w:r>
      <w:proofErr w:type="spellStart"/>
      <w:r w:rsidRPr="00EB648F">
        <w:rPr>
          <w:rFonts w:ascii="Calibri" w:cs="Calibri"/>
        </w:rPr>
        <w:t>Migliore</w:t>
      </w:r>
      <w:proofErr w:type="spellEnd"/>
      <w:r w:rsidRPr="00EB648F">
        <w:rPr>
          <w:rFonts w:ascii="Calibri" w:cs="Calibri"/>
        </w:rPr>
        <w:t xml:space="preserve">, </w:t>
      </w:r>
      <w:r w:rsidRPr="00EB648F">
        <w:rPr>
          <w:rFonts w:ascii="Calibri" w:cs="Calibri"/>
          <w:i/>
          <w:iCs/>
        </w:rPr>
        <w:t>Faith Seeking Understanding</w:t>
      </w:r>
      <w:r>
        <w:rPr>
          <w:rFonts w:ascii="Calibri" w:cs="Calibri"/>
          <w:i/>
          <w:iCs/>
        </w:rPr>
        <w:t xml:space="preserve">, </w:t>
      </w:r>
      <w:r>
        <w:rPr>
          <w:rFonts w:ascii="Calibri" w:cs="Calibri"/>
        </w:rPr>
        <w:t>290-291</w:t>
      </w:r>
      <w:r w:rsidRPr="00EB648F">
        <w:rPr>
          <w:rFonts w:ascii="Calibri" w:cs="Calibri"/>
        </w:rPr>
        <w:t>.</w:t>
      </w:r>
      <w:r>
        <w:fldChar w:fldCharType="end"/>
      </w:r>
    </w:p>
  </w:footnote>
  <w:footnote w:id="55">
    <w:p w:rsidR="002634D0" w:rsidRDefault="002634D0" w:rsidP="002634D0">
      <w:pPr>
        <w:pStyle w:val="FootnoteText"/>
      </w:pPr>
      <w:r w:rsidRPr="00AB1AE4">
        <w:rPr>
          <w:rStyle w:val="FootnoteReference"/>
        </w:rPr>
        <w:footnoteRef/>
      </w:r>
      <w:r>
        <w:t xml:space="preserve"> </w:t>
      </w:r>
      <w:r>
        <w:fldChar w:fldCharType="begin"/>
      </w:r>
      <w:r w:rsidR="003E7C85">
        <w:instrText xml:space="preserve"> ADDIN ZOTERO_ITEM CSL_CITATION {"citationID":"wClXlsOi","properties":{"formattedCitation":"Gerrish.","plainCitation":"Gerrish.","dontUpdate":true,"noteIndex":55},"citationItems":[{"id":3233,"uris":["http://zotero.org/users/7540819/items/JQACZGGW"],"itemData":{"id":3233,"type":"book","call-number":"BX9418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Pr>
          <w:noProof/>
        </w:rPr>
        <w:t>Gerrish, 139.</w:t>
      </w:r>
      <w:r>
        <w:fldChar w:fldCharType="end"/>
      </w:r>
    </w:p>
  </w:footnote>
  <w:footnote w:id="56">
    <w:p w:rsidR="009F2AFC" w:rsidRDefault="009F2AFC">
      <w:pPr>
        <w:pStyle w:val="FootnoteText"/>
      </w:pPr>
      <w:r w:rsidRPr="00AB1AE4">
        <w:rPr>
          <w:rStyle w:val="FootnoteReference"/>
        </w:rPr>
        <w:footnoteRef/>
      </w:r>
      <w:r>
        <w:t xml:space="preserve"> </w:t>
      </w:r>
      <w:r>
        <w:fldChar w:fldCharType="begin"/>
      </w:r>
      <w:r w:rsidR="003E7C85">
        <w:instrText xml:space="preserve"> ADDIN ZOTERO_ITEM CSL_CITATION {"citationID":"S9iV1Ruj","properties":{"formattedCitation":"Paul Ayris and David Selwyn, eds., {\\i{}Thomas Cranmer: Churchman and Scholar}, Pbk-ed (Woodbridge: Boydell, 1999).","plainCitation":"Paul Ayris and David Selwyn, eds., Thomas Cranmer: Churchman and Scholar, Pbk-ed (Woodbridge: Boydell, 1999).","dontUpdate":true,"noteIndex":56},"citationItems":[{"id":3353,"uris":["http://zotero.org/users/7540819/items/N8UTTVDC"],"itemData":{"id":3353,"type":"book","edition":"Pbk-ed","event-place":"Woodbridge","ISBN":"978-0-85115-549-4","language":"eng","number-of-pages":"360","publisher":"Boydell","publisher-place":"Woodbridge","source":"K10plus ISBN","title":"Thomas Cranmer: churchman and scholar","title-short":"Thomas Cranmer","editor":[{"family":"Ayris","given":"Paul"},{"family":"Selwyn","given":"David"}],"issued":{"date-parts":[["1999"]]}}}],"schema":"https://github.com/citation-style-language/schema/raw/master/csl-citation.json"} </w:instrText>
      </w:r>
      <w:r>
        <w:fldChar w:fldCharType="separate"/>
      </w:r>
      <w:r w:rsidRPr="009F2AFC">
        <w:rPr>
          <w:rFonts w:ascii="Calibri" w:cs="Calibri"/>
        </w:rPr>
        <w:t xml:space="preserve">Paul Ayris and David Selwyn, eds., </w:t>
      </w:r>
      <w:r w:rsidRPr="009F2AFC">
        <w:rPr>
          <w:rFonts w:ascii="Calibri" w:cs="Calibri"/>
          <w:i/>
          <w:iCs/>
        </w:rPr>
        <w:t>Thomas Cranmer: Churchman and Scholar</w:t>
      </w:r>
      <w:r w:rsidRPr="009F2AFC">
        <w:rPr>
          <w:rFonts w:ascii="Calibri" w:cs="Calibri"/>
        </w:rPr>
        <w:t>, Pbk-ed (Woodbridge: Boydell, 1999)</w:t>
      </w:r>
      <w:r>
        <w:rPr>
          <w:rFonts w:ascii="Calibri" w:cs="Calibri"/>
        </w:rPr>
        <w:t>, 258</w:t>
      </w:r>
      <w:r w:rsidRPr="009F2AFC">
        <w:rPr>
          <w:rFonts w:ascii="Calibri" w:cs="Calibri"/>
        </w:rPr>
        <w:t>.</w:t>
      </w:r>
      <w:r>
        <w:fldChar w:fldCharType="end"/>
      </w:r>
    </w:p>
  </w:footnote>
  <w:footnote w:id="57">
    <w:p w:rsidR="000E2C15" w:rsidRDefault="000E2C15">
      <w:pPr>
        <w:pStyle w:val="FootnoteText"/>
      </w:pPr>
      <w:r>
        <w:rPr>
          <w:rStyle w:val="FootnoteReference"/>
        </w:rPr>
        <w:footnoteRef/>
      </w:r>
      <w:r>
        <w:t xml:space="preserve"> See Appendix 1</w:t>
      </w:r>
    </w:p>
  </w:footnote>
  <w:footnote w:id="58">
    <w:p w:rsidR="00B83A18" w:rsidRDefault="00B83A18" w:rsidP="00B83A18">
      <w:pPr>
        <w:pStyle w:val="FootnoteText"/>
      </w:pPr>
      <w:r w:rsidRPr="00AB1AE4">
        <w:rPr>
          <w:rStyle w:val="FootnoteReference"/>
        </w:rPr>
        <w:footnoteRef/>
      </w:r>
      <w:r>
        <w:t xml:space="preserve"> </w:t>
      </w:r>
      <w:r>
        <w:fldChar w:fldCharType="begin"/>
      </w:r>
      <w:r w:rsidR="003E7C85">
        <w:instrText xml:space="preserve"> ADDIN ZOTERO_ITEM CSL_CITATION {"citationID":"i2xwlmSm","properties":{"formattedCitation":"Gerrish.","plainCitation":"Gerrish.","dontUpdate":true,"noteIndex":58},"citationItems":[{"id":3233,"uris":["http://zotero.org/users/7540819/items/JQACZGGW"],"itemData":{"id":3233,"type":"book","call-number":"BX9418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Pr>
          <w:noProof/>
        </w:rPr>
        <w:t>Gerrish, 148-150.</w:t>
      </w:r>
      <w:r>
        <w:fldChar w:fldCharType="end"/>
      </w:r>
    </w:p>
  </w:footnote>
  <w:footnote w:id="59">
    <w:p w:rsidR="005603C1" w:rsidRDefault="005603C1">
      <w:pPr>
        <w:pStyle w:val="FootnoteText"/>
      </w:pPr>
      <w:r w:rsidRPr="00AB1AE4">
        <w:rPr>
          <w:rStyle w:val="FootnoteReference"/>
        </w:rPr>
        <w:footnoteRef/>
      </w:r>
      <w:r>
        <w:t xml:space="preserve"> </w:t>
      </w:r>
      <w:r>
        <w:fldChar w:fldCharType="begin"/>
      </w:r>
      <w:r w:rsidR="003E7C85">
        <w:instrText xml:space="preserve"> ADDIN ZOTERO_ITEM CSL_CITATION {"citationID":"Zt4z9O2r","properties":{"formattedCitation":"Gerrish.","plainCitation":"Gerrish.","dontUpdate":true,"noteIndex":59},"citationItems":[{"id":3233,"uris":["http://zotero.org/users/7540819/items/JQACZGGW"],"itemData":{"id":3233,"type":"book","call-number":"BX9418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Pr>
          <w:noProof/>
        </w:rPr>
        <w:t>Gerrish, 156.</w:t>
      </w:r>
      <w:r>
        <w:fldChar w:fldCharType="end"/>
      </w:r>
    </w:p>
  </w:footnote>
  <w:footnote w:id="60">
    <w:p w:rsidR="00CF33A6" w:rsidRDefault="00CF33A6">
      <w:pPr>
        <w:pStyle w:val="FootnoteText"/>
      </w:pPr>
      <w:r w:rsidRPr="00AB1AE4">
        <w:rPr>
          <w:rStyle w:val="FootnoteReference"/>
        </w:rPr>
        <w:footnoteRef/>
      </w:r>
      <w:r>
        <w:t xml:space="preserve"> </w:t>
      </w:r>
      <w:r>
        <w:fldChar w:fldCharType="begin"/>
      </w:r>
      <w:r w:rsidR="003E7C85">
        <w:instrText xml:space="preserve"> ADDIN ZOTERO_ITEM CSL_CITATION {"citationID":"sahfQYEl","properties":{"formattedCitation":"Calvin, {\\i{}Institutes of the Christian Religion}.","plainCitation":"Calvin, Institutes of the Christian Religion.","dontUpdate":true,"noteIndex":60},"citationItems":[{"id":3266,"uris":["http://zotero.org/users/7540819/items/TK5LHU63"],"itemData":{"id":3266,"type":"book","collection-title":"The library of Christian classics","event-place":"Louisville, Ky. London","ISBN":"978-0-664-22028-0","language":"eng","number-of-volumes":"2","publisher":"Westminster John Knox Press","publisher-place":"Louisville, Ky. London","source":"K10plus ISBN","title":"Institutes of the Christian religion","volume":"2","author":[{"family":"Calvin","given":"Jean"}],"editor":[{"family":"McNeill","given":"John Thomas"}],"translator":[{"family":"Battles","given":"Ford Lewis"}],"issued":{"date-parts":[["1960"]]}}}],"schema":"https://github.com/citation-style-language/schema/raw/master/csl-citation.json"} </w:instrText>
      </w:r>
      <w:r>
        <w:fldChar w:fldCharType="separate"/>
      </w:r>
      <w:r w:rsidRPr="00CF33A6">
        <w:rPr>
          <w:rFonts w:ascii="Calibri" w:cs="Calibri"/>
        </w:rPr>
        <w:t xml:space="preserve">Calvin, </w:t>
      </w:r>
      <w:r w:rsidRPr="00CF33A6">
        <w:rPr>
          <w:rFonts w:ascii="Calibri" w:cs="Calibri"/>
          <w:i/>
          <w:iCs/>
        </w:rPr>
        <w:t>Institutes of the Christian Religion</w:t>
      </w:r>
      <w:r>
        <w:rPr>
          <w:rFonts w:ascii="Calibri" w:cs="Calibri"/>
          <w:i/>
          <w:iCs/>
        </w:rPr>
        <w:t xml:space="preserve">, </w:t>
      </w:r>
      <w:r>
        <w:rPr>
          <w:rFonts w:ascii="Calibri" w:cs="Calibri"/>
        </w:rPr>
        <w:t>4.17.</w:t>
      </w:r>
      <w:r w:rsidR="009C6B60">
        <w:rPr>
          <w:rFonts w:ascii="Calibri" w:cs="Calibri"/>
        </w:rPr>
        <w:t>14</w:t>
      </w:r>
      <w:r w:rsidRPr="00CF33A6">
        <w:rPr>
          <w:rFonts w:ascii="Calibri" w:cs="Calibri"/>
        </w:rPr>
        <w:t>.</w:t>
      </w:r>
      <w:r>
        <w:fldChar w:fldCharType="end"/>
      </w:r>
    </w:p>
  </w:footnote>
  <w:footnote w:id="61">
    <w:p w:rsidR="00B427DF" w:rsidRDefault="00B427DF">
      <w:pPr>
        <w:pStyle w:val="FootnoteText"/>
      </w:pPr>
      <w:r w:rsidRPr="00AB1AE4">
        <w:rPr>
          <w:rStyle w:val="FootnoteReference"/>
        </w:rPr>
        <w:footnoteRef/>
      </w:r>
      <w:r>
        <w:t xml:space="preserve"> </w:t>
      </w:r>
      <w:r>
        <w:fldChar w:fldCharType="begin"/>
      </w:r>
      <w:r w:rsidR="003E7C85">
        <w:instrText xml:space="preserve"> ADDIN ZOTERO_ITEM CSL_CITATION {"citationID":"74cPGxZe","properties":{"formattedCitation":"Wendel, {\\i{}Calvin}.","plainCitation":"Wendel, Calvin.","dontUpdate":true,"noteIndex":61},"citationItems":[{"id":3267,"uris":["http://zotero.org/users/7540819/items/RKWJMSID"],"itemData":{"id":3267,"type":"book","call-number":"BX9418 .W383313 1987","edition":"Fontana Library","event-place":"London","language":"eng","number-of-pages":"383","publisher":"Collins","publisher-place":"London","source":"Library of Congress ISBN","title":"Calvin: origins and development of his religious thought","title-short":"Calvin","author":[{"family":"Wendel","given":"François"}],"translator":[{"family":"Mairet","given":"Philip"}],"issued":{"date-parts":[["1965"]]}}}],"schema":"https://github.com/citation-style-language/schema/raw/master/csl-citation.json"} </w:instrText>
      </w:r>
      <w:r>
        <w:fldChar w:fldCharType="separate"/>
      </w:r>
      <w:r w:rsidRPr="00B427DF">
        <w:rPr>
          <w:rFonts w:ascii="Calibri" w:cs="Calibri"/>
        </w:rPr>
        <w:t xml:space="preserve">Wendel, </w:t>
      </w:r>
      <w:r w:rsidRPr="00B427DF">
        <w:rPr>
          <w:rFonts w:ascii="Calibri" w:cs="Calibri"/>
          <w:i/>
          <w:iCs/>
        </w:rPr>
        <w:t>Calvin</w:t>
      </w:r>
      <w:r>
        <w:rPr>
          <w:rFonts w:ascii="Calibri" w:cs="Calibri"/>
          <w:i/>
          <w:iCs/>
        </w:rPr>
        <w:t xml:space="preserve">, </w:t>
      </w:r>
      <w:r>
        <w:rPr>
          <w:rFonts w:ascii="Calibri" w:cs="Calibri"/>
        </w:rPr>
        <w:t>339-340</w:t>
      </w:r>
      <w:r w:rsidRPr="00B427DF">
        <w:rPr>
          <w:rFonts w:ascii="Calibri" w:cs="Calibri"/>
        </w:rPr>
        <w:t>.</w:t>
      </w:r>
      <w:r>
        <w:fldChar w:fldCharType="end"/>
      </w:r>
    </w:p>
  </w:footnote>
  <w:footnote w:id="62">
    <w:p w:rsidR="00CA27EC" w:rsidRDefault="00CA27EC">
      <w:pPr>
        <w:pStyle w:val="FootnoteText"/>
      </w:pPr>
      <w:r w:rsidRPr="00AB1AE4">
        <w:rPr>
          <w:rStyle w:val="FootnoteReference"/>
        </w:rPr>
        <w:footnoteRef/>
      </w:r>
      <w:r>
        <w:t xml:space="preserve"> </w:t>
      </w:r>
      <w:r>
        <w:fldChar w:fldCharType="begin"/>
      </w:r>
      <w:r w:rsidR="005A3DFD">
        <w:instrText xml:space="preserve"> ADDIN ZOTERO_ITEM CSL_CITATION {"citationID":"2c1vL8ZE","properties":{"formattedCitation":"Pelikan, {\\i{}Reformation of Church and Dogma}.","plainCitation":"Pelikan, Reformation of Church and Dogma.","dontUpdate":true,"noteIndex":62},"citationItems":[{"id":3274,"uris":["http://zotero.org/users/7540819/items/C4LWCTJC"],"itemData":{"id":3274,"type":"book","collection-number":"4","collection-title":"The Christian tradition : a history of the development of doctrine / Jaroslav Pelikan","edition":"Paperback ed. 1985, [Nachdr.]","event-place":"Chicago, Ill.","ISBN":"978-0-226-65377-8","language":"eng","number-of-pages":"424","publisher":"Univ. of Chicago Press","publisher-place":"Chicago, Ill.","source":"K10plus ISBN","title":"Reformation of church and dogma: 1300 - 1700","title-short":"Reformation of church and dogma","author":[{"family":"Pelikan","given":"Jaroslav"}],"issued":{"date-parts":[["2006"]]}}}],"schema":"https://github.com/citation-style-language/schema/raw/master/csl-citation.json"} </w:instrText>
      </w:r>
      <w:r>
        <w:fldChar w:fldCharType="separate"/>
      </w:r>
      <w:proofErr w:type="spellStart"/>
      <w:r w:rsidRPr="00CA27EC">
        <w:rPr>
          <w:rFonts w:ascii="Calibri" w:cs="Calibri"/>
        </w:rPr>
        <w:t>Pelikan</w:t>
      </w:r>
      <w:proofErr w:type="spellEnd"/>
      <w:r w:rsidRPr="00CA27EC">
        <w:rPr>
          <w:rFonts w:ascii="Calibri" w:cs="Calibri"/>
        </w:rPr>
        <w:t xml:space="preserve">, </w:t>
      </w:r>
      <w:r w:rsidRPr="00CA27EC">
        <w:rPr>
          <w:rFonts w:ascii="Calibri" w:cs="Calibri"/>
          <w:i/>
          <w:iCs/>
        </w:rPr>
        <w:t>Reformation of Church and Dogma</w:t>
      </w:r>
      <w:r>
        <w:rPr>
          <w:rFonts w:ascii="Calibri" w:cs="Calibri"/>
          <w:i/>
          <w:iCs/>
        </w:rPr>
        <w:t xml:space="preserve">, </w:t>
      </w:r>
      <w:r>
        <w:rPr>
          <w:rFonts w:ascii="Calibri" w:cs="Calibri"/>
        </w:rPr>
        <w:t>191</w:t>
      </w:r>
      <w:r w:rsidRPr="00CA27EC">
        <w:rPr>
          <w:rFonts w:ascii="Calibri" w:cs="Calibri"/>
        </w:rPr>
        <w:t>.</w:t>
      </w:r>
      <w:r>
        <w:fldChar w:fldCharType="end"/>
      </w:r>
    </w:p>
  </w:footnote>
  <w:footnote w:id="63">
    <w:p w:rsidR="009F2AFC" w:rsidRDefault="009F2AFC">
      <w:pPr>
        <w:pStyle w:val="FootnoteText"/>
      </w:pPr>
      <w:r w:rsidRPr="00AB1AE4">
        <w:rPr>
          <w:rStyle w:val="FootnoteReference"/>
        </w:rPr>
        <w:footnoteRef/>
      </w:r>
      <w:r>
        <w:t xml:space="preserve"> </w:t>
      </w:r>
      <w:r>
        <w:fldChar w:fldCharType="begin"/>
      </w:r>
      <w:r w:rsidR="003E7C85">
        <w:instrText xml:space="preserve"> ADDIN ZOTERO_ITEM CSL_CITATION {"citationID":"yGyok5XS","properties":{"formattedCitation":"Ayris and Selwyn, {\\i{}Thomas Cranmer}.","plainCitation":"Ayris and Selwyn, Thomas Cranmer.","dontUpdate":true,"noteIndex":63},"citationItems":[{"id":3353,"uris":["http://zotero.org/users/7540819/items/N8UTTVDC"],"itemData":{"id":3353,"type":"book","edition":"Pbk-ed","event-place":"Woodbridge","ISBN":"978-0-85115-549-4","language":"eng","number-of-pages":"360","publisher":"Boydell","publisher-place":"Woodbridge","source":"K10plus ISBN","title":"Thomas Cranmer: churchman and scholar","title-short":"Thomas Cranmer","editor":[{"family":"Ayris","given":"Paul"},{"family":"Selwyn","given":"David"}],"issued":{"date-parts":[["1999"]]}}}],"schema":"https://github.com/citation-style-language/schema/raw/master/csl-citation.json"} </w:instrText>
      </w:r>
      <w:r>
        <w:fldChar w:fldCharType="separate"/>
      </w:r>
      <w:r w:rsidRPr="009F2AFC">
        <w:rPr>
          <w:rFonts w:ascii="Calibri" w:cs="Calibri"/>
        </w:rPr>
        <w:t xml:space="preserve">Ayris and Selwyn, </w:t>
      </w:r>
      <w:r w:rsidRPr="009F2AFC">
        <w:rPr>
          <w:rFonts w:ascii="Calibri" w:cs="Calibri"/>
          <w:i/>
          <w:iCs/>
        </w:rPr>
        <w:t>Thomas Cranmer</w:t>
      </w:r>
      <w:r>
        <w:rPr>
          <w:rFonts w:ascii="Calibri" w:cs="Calibri"/>
          <w:i/>
          <w:iCs/>
        </w:rPr>
        <w:t xml:space="preserve">, </w:t>
      </w:r>
      <w:r>
        <w:rPr>
          <w:rFonts w:ascii="Calibri" w:cs="Calibri"/>
        </w:rPr>
        <w:t>258</w:t>
      </w:r>
      <w:r w:rsidRPr="009F2AFC">
        <w:rPr>
          <w:rFonts w:ascii="Calibri" w:cs="Calibri"/>
        </w:rPr>
        <w:t>.</w:t>
      </w:r>
      <w:r>
        <w:fldChar w:fldCharType="end"/>
      </w:r>
    </w:p>
  </w:footnote>
  <w:footnote w:id="64">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{"citationID":"DHwJzHII","properties":{"formattedCitation":"Gordon P. Jeanes, {\\i{}Signs of God\\uc0\\u8217{}s Promise: Thomas Cranmer\\uc0\\u8217{}s Sacramental Theology and the Book of Common Prayer} (London\\uc0\\u8239{}; New York: T &amp; T Clark, 2008).","plainCitation":"Gordon P. Jeanes, Signs of God’s Promise: Thomas Cranmer’s Sacramental Theology and the Book of Common Prayer (London ; New York: T &amp; T Clark, 2008).","dontUpdate":true,"noteIndex":64},"citationItems":[{"id":3352,"uris":["http://zotero.org/users/7540819/items/DAW73KB6"],"itemData":{"id":3352,"type":"book","call-number":"BV823 .J43 2008","event-place":"London ; New York","ISBN":"978-0-567-03188-4","note":"OCLC: ocn182732317","number-of-pages":"305","publisher":"T &amp; T Clark","publisher-place":"London ; New York","source":"Library of Congress ISBN","title":"Signs of God's promise: Thomas Cranmer's sacramental theology and the Book of common prayer","title-short":"Signs of God's promise","author":[{"family":"Jeanes","given":"Gordon P."}],"issued":{"date-parts":[["2008"]]}}}],"schema":"https://github.com/citation-style-language/schema/raw/master/csl-citation.json"} </w:instrText>
      </w:r>
      <w:r>
        <w:fldChar w:fldCharType="separate"/>
      </w:r>
      <w:r w:rsidRPr="00E53DA6">
        <w:rPr>
          <w:rFonts w:ascii="Calibri" w:cs="Calibri"/>
        </w:rPr>
        <w:t xml:space="preserve">Gordon P. Jeanes, </w:t>
      </w:r>
      <w:r w:rsidRPr="00E53DA6">
        <w:rPr>
          <w:rFonts w:ascii="Calibri" w:cs="Calibri"/>
          <w:i/>
          <w:iCs/>
        </w:rPr>
        <w:t>Signs of God’s Promise: Thomas Cranmer’s Sacramental Theology and the Book of Common Prayer</w:t>
      </w:r>
      <w:r w:rsidRPr="00E53DA6">
        <w:rPr>
          <w:rFonts w:ascii="Calibri" w:cs="Calibri"/>
        </w:rPr>
        <w:t xml:space="preserve"> (London ; New York: T &amp; T Clark, 2008)</w:t>
      </w:r>
      <w:r>
        <w:rPr>
          <w:rFonts w:ascii="Calibri" w:cs="Calibri"/>
        </w:rPr>
        <w:t>, 156</w:t>
      </w:r>
      <w:r w:rsidRPr="00E53DA6">
        <w:rPr>
          <w:rFonts w:ascii="Calibri" w:cs="Calibri"/>
        </w:rPr>
        <w:t>.</w:t>
      </w:r>
      <w:r>
        <w:fldChar w:fldCharType="end"/>
      </w:r>
    </w:p>
  </w:footnote>
  <w:footnote w:id="65">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{"citationID":"qAMY7RUX","properties":{"formattedCitation":"John Hunt, \\uc0\\u8216{}ARCHBISHOP CRANMER\\uc0\\u8217{}S THEOLOGY.\\uc0\\u8217{}, {\\i{}The Contemporary Review,  1866-1900} 12 (October 1869): 199\\uc0\\u8211{}212.","plainCitation":"John Hunt, ‘ARCHBISHOP CRANMER’S THEOLOGY.’, The Contemporary Review,  1866-1900 12 (October 1869): 199–212.","dontUpdate":true,"noteIndex":65},"citationItems":[{"id":3302,"uris":["http://zotero.org/users/7540819/items/WUWKQ572"],"itemData":{"id":3302,"type":"article-journal","abstract":"IT has been generally received as a fair mode of proceeding, when we wish to understand the doctrine of the Church of England, to have recourse not only to the Articles and Liturgy, but to the writings of the Reformers. And if there is any difference of opinion as to what an article means in the proper, literal, and natural sense of the words, this, it has been fairly assumed, may be determined by what we know from other sources to have been the doctrine of the men who wrote the Articles.","archive":"British Periodicals","archive_location":"6538987","container-title":"The Contemporary review,  1866-1900","ISSN":"0010-7565","language":"English","note":"publisher-place: London","page":"199-212","title":"ARCHBISHOP CRANMER'S THEOLOGY.","volume":"12","author":[{"family":"Hunt","given":"John"}],"issued":{"date-parts":[["1869",10]]}}}],"schema":"https://github.com/citation-style-language/schema/raw/master/csl-citation.json"} </w:instrText>
      </w:r>
      <w:r>
        <w:fldChar w:fldCharType="separate"/>
      </w:r>
      <w:r w:rsidRPr="004C3341">
        <w:rPr>
          <w:rFonts w:ascii="Calibri" w:cs="Calibri"/>
        </w:rPr>
        <w:t xml:space="preserve">John Hunt, ‘ARCHBISHOP CRANMER’S THEOLOGY.’, </w:t>
      </w:r>
      <w:r w:rsidRPr="004C3341">
        <w:rPr>
          <w:rFonts w:ascii="Calibri" w:cs="Calibri"/>
          <w:i/>
          <w:iCs/>
        </w:rPr>
        <w:t>The Contemporary Review,  1866-1900</w:t>
      </w:r>
      <w:r w:rsidRPr="004C3341">
        <w:rPr>
          <w:rFonts w:ascii="Calibri" w:cs="Calibri"/>
        </w:rPr>
        <w:t xml:space="preserve"> 12 (October 1869): 199.</w:t>
      </w:r>
      <w:r>
        <w:fldChar w:fldCharType="end"/>
      </w:r>
    </w:p>
  </w:footnote>
  <w:footnote w:id="66">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{"citationID":"jABLSV14","properties":{"formattedCitation":"Jeremy Morris, {\\i{}A People\\uc0\\u8217{}s Church: A History of the Church of England} (London: Profile Books Ltd, 2022).","plainCitation":"Jeremy Morris, A People’s Church: A History of the Church of England (London: Profile Books Ltd, 2022).","dontUpdate":true,"noteIndex":66},"citationItems":[{"id":3355,"uris":["http://zotero.org/users/7540819/items/XEECDK9T"],"itemData":{"id":3355,"type":"book","abstract":"\"A richly detailed history of the Church of England from a top historian who is also an Anglican priest. Weaving social, political, and religious history together with church music and architecture, A People's Church is a clear-eyed look at Anglican history through the ages. This history is as tumultuous as it is long. The transformative 1534-1660 period shaped not only the Church of England but the country itself, encompassing the Reformation, the return to Catholicism under Mary, and the Civil War. This was closely followed by the Restoration of the monarchy in 1688, the expulsion of the Dissenters, and the 1689 Bill of Rights. By the time of John Henry Newman and the Industrial Revolution, the church was fragile. How, then, has it endured? And what of its future?\"--Publisher's description","event-place":"London","ISBN":"978-1-78125-249-9","language":"eng","note":"OCLC: 1259509208","publisher":"Profile Books Ltd","publisher-place":"London","source":"Open WorldCat","title":"A people's church: a history of the church of England","title-short":"A people's church","author":[{"family":"Morris","given":"Jeremy"}],"issued":{"date-parts":[["2022"]]}}}],"schema":"https://github.com/citation-style-language/schema/raw/master/csl-citation.json"} </w:instrText>
      </w:r>
      <w:r>
        <w:fldChar w:fldCharType="separate"/>
      </w:r>
      <w:r w:rsidRPr="00370616">
        <w:rPr>
          <w:rFonts w:ascii="Calibri" w:cs="Calibri"/>
        </w:rPr>
        <w:t xml:space="preserve">Jeremy Morris, </w:t>
      </w:r>
      <w:r w:rsidRPr="00370616">
        <w:rPr>
          <w:rFonts w:ascii="Calibri" w:cs="Calibri"/>
          <w:i/>
          <w:iCs/>
        </w:rPr>
        <w:t>A People’s Church: A History of the Church of England</w:t>
      </w:r>
      <w:r w:rsidRPr="00370616">
        <w:rPr>
          <w:rFonts w:ascii="Calibri" w:cs="Calibri"/>
        </w:rPr>
        <w:t xml:space="preserve"> (London: Profile Books Ltd, 2022)</w:t>
      </w:r>
      <w:r>
        <w:rPr>
          <w:rFonts w:ascii="Calibri" w:cs="Calibri"/>
        </w:rPr>
        <w:t>, 35</w:t>
      </w:r>
      <w:r w:rsidRPr="00370616">
        <w:rPr>
          <w:rFonts w:ascii="Calibri" w:cs="Calibri"/>
        </w:rPr>
        <w:t>.</w:t>
      </w:r>
      <w:r>
        <w:fldChar w:fldCharType="end"/>
      </w:r>
    </w:p>
  </w:footnote>
  <w:footnote w:id="67">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{"citationID":"j4X4gCLx","properties":{"formattedCitation":"Morris.","plainCitation":"Morris.","dontUpdate":true,"noteIndex":67},"citationItems":[{"id":3355,"uris":["http://zotero.org/users/7540819/items/XEECDK9T"],"itemData":{"id":3355,"type":"book","abstract":"\"A richly detailed history of the Church of England from a top historian who is also an Anglican priest. Weaving social, political, and religious history together with church music and architecture, A People's Church is a clear-eyed look at Anglican history through the ages. This history is as tumultuous as it is long. The transformative 1534-1660 period shaped not only the Church of England but the country itself, encompassing the Reformation, the return to Catholicism under Mary, and the Civil War. This was closely followed by the Restoration of the monarchy in 1688, the expulsion of the Dissenters, and the 1689 Bill of Rights. By the time of John Henry Newman and the Industrial Revolution, the church was fragile. How, then, has it endured? And what of its future?\"--Publisher's description","event-place":"London","ISBN":"978-1-78125-249-9","language":"eng","note":"OCLC: 1259509208","publisher":"Profile Books Ltd","publisher-place":"London","source":"Open WorldCat","title":"A people's church: a history of the church of England","title-short":"A people's church","author":[{"family":"Morris","given":"Jeremy"}],"issued":{"date-parts":[["2022"]]}}}],"schema":"https://github.com/citation-style-language/schema/raw/master/csl-citation.json"} </w:instrText>
      </w:r>
      <w:r>
        <w:fldChar w:fldCharType="separate"/>
      </w:r>
      <w:r>
        <w:rPr>
          <w:noProof/>
        </w:rPr>
        <w:t>Morris, 28.</w:t>
      </w:r>
      <w:r>
        <w:fldChar w:fldCharType="end"/>
      </w:r>
    </w:p>
  </w:footnote>
  <w:footnote w:id="68">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{"citationID":"kHN9VGLS","properties":{"formattedCitation":"Rudolph W. Heinze, {\\i{}Reform and Conflict: From the Medieval World to the Wars of Religion, A.D. 1350 - 1648}, The Baker History of the Church, v. 4 (Grand Rapids, Mich: Baker Books, 2005).","plainCitation":"Rudolph W. Heinze, Reform and Conflict: From the Medieval World to the Wars of Religion, A.D. 1350 - 1648, The Baker History of the Church, v. 4 (Grand Rapids, Mich: Baker Books, 2005).","dontUpdate":true,"noteIndex":68},"citationItems":[{"id":3263,"uris":["http://zotero.org/users/7540819/items/GITBN2T7"],"itemData":{"id":3263,"type":"book","collection-number":"v. 4","collection-title":"The Baker history of the church","event-place":"Grand Rapids, Mich","ISBN":"978-0-8010-1277-8","language":"eng","number-of-pages":"496","publisher":"Baker Books","publisher-place":"Grand Rapids, Mich","source":"K10plus ISBN","title":"Reform and conflict: from the medieval world to the wars of religion, A.D. 1350 - 1648","title-short":"Reform and conflict","author":[{"family":"Heinze","given":"Rudolph W."}],"issued":{"date-parts":[["2005"]]}}}],"schema":"https://github.com/citation-style-language/schema/raw/master/csl-citation.json"} </w:instrText>
      </w:r>
      <w:r>
        <w:fldChar w:fldCharType="separate"/>
      </w:r>
      <w:r w:rsidRPr="00E623FC">
        <w:rPr>
          <w:rFonts w:ascii="Calibri" w:cs="Calibri"/>
        </w:rPr>
        <w:t xml:space="preserve">Rudolph W. Heinze, </w:t>
      </w:r>
      <w:r w:rsidRPr="00E623FC">
        <w:rPr>
          <w:rFonts w:ascii="Calibri" w:cs="Calibri"/>
          <w:i/>
          <w:iCs/>
        </w:rPr>
        <w:t>Reform and Conflict: From the Medieval World to the Wars of Religion, A.D. 1350 - 1648</w:t>
      </w:r>
      <w:r w:rsidRPr="00E623FC">
        <w:rPr>
          <w:rFonts w:ascii="Calibri" w:cs="Calibri"/>
        </w:rPr>
        <w:t>, The Baker History of the Church, v. 4 (Grand Rapids, Mich: Baker Books, 2005)</w:t>
      </w:r>
      <w:r>
        <w:rPr>
          <w:rFonts w:ascii="Calibri" w:cs="Calibri"/>
        </w:rPr>
        <w:t>, 198</w:t>
      </w:r>
      <w:r w:rsidRPr="00E623FC">
        <w:rPr>
          <w:rFonts w:ascii="Calibri" w:cs="Calibri"/>
        </w:rPr>
        <w:t>.</w:t>
      </w:r>
      <w:r>
        <w:fldChar w:fldCharType="end"/>
      </w:r>
    </w:p>
  </w:footnote>
  <w:footnote w:id="69">
    <w:p w:rsidR="003E7C85" w:rsidRDefault="003E7C85">
      <w:pPr>
        <w:pStyle w:val="FootnoteText"/>
      </w:pPr>
      <w:r>
        <w:rPr>
          <w:rStyle w:val="FootnoteReference"/>
        </w:rPr>
        <w:footnoteRef/>
      </w:r>
      <w:r>
        <w:t xml:space="preserve"> </w:t>
      </w:r>
      <w:r>
        <w:fldChar w:fldCharType="begin"/>
      </w:r>
      <w:r w:rsidR="005A3DFD">
        <w:instrText xml:space="preserve"> ADDIN ZOTERO_ITEM CSL_CITATION {"citationID":"zqgcos0h","properties":{"formattedCitation":"Jeanes, {\\i{}Signs of God\\uc0\\u8217{}s Promise}.","plainCitation":"Jeanes, Signs of God’s Promise.","dontUpdate":true,"noteIndex":69},"citationItems":[{"id":3352,"uris":["http://zotero.org/users/7540819/items/DAW73KB6"],"itemData":{"id":3352,"type":"book","call-number":"BV823 .J43 2008","event-place":"London ; New York","ISBN":"978-0-567-03188-4","note":"OCLC: ocn182732317","number-of-pages":"305","publisher":"T &amp; T Clark","publisher-place":"London ; New York","source":"Library of Congress ISBN","title":"Signs of God's promise: Thomas Cranmer's sacramental theology and the Book of common prayer","title-short":"Signs of God's promise","author":[{"family":"Jeanes","given":"Gordon P."}],"issued":{"date-parts":[["2008"]]}}}],"schema":"https://github.com/citation-style-language/schema/raw/master/csl-citation.json"} </w:instrText>
      </w:r>
      <w:r>
        <w:fldChar w:fldCharType="separate"/>
      </w:r>
      <w:r w:rsidRPr="003E7C85">
        <w:rPr>
          <w:rFonts w:ascii="Calibri" w:cs="Calibri"/>
        </w:rPr>
        <w:t xml:space="preserve">Jeanes, </w:t>
      </w:r>
      <w:r w:rsidRPr="003E7C85">
        <w:rPr>
          <w:rFonts w:ascii="Calibri" w:cs="Calibri"/>
          <w:i/>
          <w:iCs/>
        </w:rPr>
        <w:t>Signs of God’s Promise</w:t>
      </w:r>
      <w:r>
        <w:rPr>
          <w:rFonts w:ascii="Calibri" w:cs="Calibri"/>
          <w:i/>
          <w:iCs/>
        </w:rPr>
        <w:t xml:space="preserve">, </w:t>
      </w:r>
      <w:r>
        <w:rPr>
          <w:rFonts w:ascii="Calibri" w:cs="Calibri"/>
        </w:rPr>
        <w:t>124</w:t>
      </w:r>
      <w:r w:rsidRPr="003E7C85">
        <w:rPr>
          <w:rFonts w:ascii="Calibri" w:cs="Calibri"/>
        </w:rPr>
        <w:t>.</w:t>
      </w:r>
      <w:r>
        <w:fldChar w:fldCharType="end"/>
      </w:r>
    </w:p>
  </w:footnote>
  <w:footnote w:id="70">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{"citationID":"LNqzY7gD","properties":{"formattedCitation":"Morris.","plainCitation":"Morris.","dontUpdate":true,"noteIndex":70},"citationItems":[{"id":3355,"uris":["http://zotero.org/users/7540819/items/XEECDK9T"],"itemData":{"id":3355,"type":"book","abstract":"\"A richly detailed history of the Church of England from a top historian who is also an Anglican priest. Weaving social, political, and religious history together with church music and architecture, A People's Church is a clear-eyed look at Anglican history through the ages. This history is as tumultuous as it is long. The transformative 1534-1660 period shaped not only the Church of England but the country itself, encompassing the Reformation, the return to Catholicism under Mary, and the Civil War. This was closely followed by the Restoration of the monarchy in 1688, the expulsion of the Dissenters, and the 1689 Bill of Rights. By the time of John Henry Newman and the Industrial Revolution, the church was fragile. How, then, has it endured? And what of its future?\"--Publisher's description","event-place":"London","ISBN":"978-1-78125-249-9","language":"eng","note":"OCLC: 1259509208","publisher":"Profile Books Ltd","publisher-place":"London","source":"Open WorldCat","title":"A people's church: a history of the church of England","title-short":"A people's church","author":[{"family":"Morris","given":"Jeremy"}],"issued":{"date-parts":[["2022"]]}}}],"schema":"https://github.com/citation-style-language/schema/raw/master/csl-citation.json"} </w:instrText>
      </w:r>
      <w:r>
        <w:fldChar w:fldCharType="separate"/>
      </w:r>
      <w:r>
        <w:rPr>
          <w:noProof/>
        </w:rPr>
        <w:t>Morris, 77.</w:t>
      </w:r>
      <w:r>
        <w:fldChar w:fldCharType="end"/>
      </w:r>
    </w:p>
  </w:footnote>
  <w:footnote w:id="71">
    <w:p w:rsidR="006375CD" w:rsidRDefault="006375CD" w:rsidP="006375CD">
      <w:pPr>
        <w:pStyle w:val="FootnoteText"/>
      </w:pPr>
      <w:r w:rsidRPr="00AB1AE4">
        <w:rPr>
          <w:rStyle w:val="FootnoteReference"/>
        </w:rPr>
        <w:footnoteRef/>
      </w:r>
      <w:r>
        <w:t xml:space="preserve"> Hereafter abbreviated to ‘BCP’.</w:t>
      </w:r>
    </w:p>
  </w:footnote>
  <w:footnote w:id="72">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{"citationID":"5ZouqjnA","properties":{"formattedCitation":"Ayris and Selwyn.","plainCitation":"Ayris and Selwyn.","dontUpdate":true,"noteIndex":72},"citationItems":[{"id":3353,"uris":["http://zotero.org/users/7540819/items/N8UTTVDC"],"itemData":{"id":3353,"type":"book","edition":"Pbk-ed","event-place":"Woodbridge","ISBN":"978-0-85115-549-4","language":"eng","number-of-pages":"360","publisher":"Boydell","publisher-place":"Woodbridge","source":"K10plus ISBN","title":"Thomas Cranmer: churchman and scholar","title-short":"Thomas Cranmer","editor":[{"family":"Ayris","given":"Paul"},{"family":"Selwyn","given":"David"}],"issued":{"date-parts":[["1999"]]}}}],"schema":"https://github.com/citation-style-language/schema/raw/master/csl-citation.json"} </w:instrText>
      </w:r>
      <w:r>
        <w:fldChar w:fldCharType="separate"/>
      </w:r>
      <w:r>
        <w:rPr>
          <w:noProof/>
        </w:rPr>
        <w:t>Ayris and Selwyn, 3.</w:t>
      </w:r>
      <w:r>
        <w:fldChar w:fldCharType="end"/>
      </w:r>
    </w:p>
  </w:footnote>
  <w:footnote w:id="73">
    <w:p w:rsidR="006375CD" w:rsidRDefault="006375CD" w:rsidP="006375CD">
      <w:pPr>
        <w:pStyle w:val="FootnoteText"/>
      </w:pPr>
      <w:r w:rsidRPr="00AB1AE4">
        <w:rPr>
          <w:rStyle w:val="FootnoteReference"/>
        </w:rPr>
        <w:footnoteRef/>
      </w:r>
      <w:r>
        <w:t xml:space="preserve"> Cf. </w:t>
      </w:r>
      <w:r>
        <w:fldChar w:fldCharType="begin"/>
      </w:r>
      <w:r w:rsidR="005A3DFD">
        <w:instrText xml:space="preserve"> ADDIN ZOTERO_ITEM CSL_CITATION {"citationID":"RWAAX30B","properties":{"formattedCitation":"Daniel Marrs, \\uc0\\u8216{}Real Presence, Spiritual Presence: Assessing Thomas Cranmer\\uc0\\u8217{}s Appropriation of St. Ambrose\\uc0\\u8217{}s Eucharistic Doctrine\\uc0\\u8217{}, {\\i{}Anglican Theological Review} 97, no. 1 (1 December 2015): 53\\uc0\\u8211{}74, https://doi.org/10.1177/000332861509700105.","plainCitation":"Daniel Marrs, ‘Real Presence, Spiritual Presence: Assessing Thomas Cranmer’s Appropriation of St. Ambrose’s Eucharistic Doctrine’, Anglican Theological Review 97, no. 1 (1 December 2015): 53–74, https://doi.org/10.1177/000332861509700105.","dontUpdate":true,"noteIndex":73},"citationItems":[{"id":3264,"uris":["http://zotero.org/users/7540819/items/GS34IWEZ"],"itemData":{"id":3264,"type":"article-journal","abstract":"While Thomas Cranmer's frequent appeals to the church fathers are often noted, focused evaluations of his theological use of particular patristic sources remain lacking. In a manner both historical and theological, the present article assesses the nature and quality of Thomas Cranmer's appropriation of Ambrose of Milan's doctrine of Christ's eucharistic presence. Devoting special attention to Cranmer's A Defence, in which he makes extensive use of Ambrose's De mysteriis and De sacramentis, the author contends that Cranmer's engagement with Ambrose contextualizes and informs his final vision of Christ's presence in the eucharist, and is therefore able to bring greater clarity to the ongoing debates surrounding Cranmer's understanding of eucharistic presence.","container-title":"Anglican Theological Review","DOI":"10.1177/000332861509700105","ISSN":"0003-3286","issue":"1","note":"publisher: SAGE Publications Ltd","page":"53-74","title":"Real Presence, Spiritual Presence: Assessing Thomas Cranmer's Appropriation of St. Ambrose's Eucharistic Doctrine","volume":"97","author":[{"family":"Marrs","given":"Daniel"}],"issued":{"date-parts":[["2015",12,1]]}}}],"schema":"https://github.com/citation-style-language/schema/raw/master/csl-citation.json"} </w:instrText>
      </w:r>
      <w:r>
        <w:fldChar w:fldCharType="separate"/>
      </w:r>
      <w:r w:rsidRPr="00617521">
        <w:rPr>
          <w:rFonts w:ascii="Calibri" w:cs="Calibri"/>
        </w:rPr>
        <w:t xml:space="preserve">Daniel Marrs, ‘Real Presence, Spiritual Presence: Assessing Thomas Cranmer’s Appropriation of St. Ambrose’s Eucharistic Doctrine’, </w:t>
      </w:r>
      <w:r w:rsidRPr="00617521">
        <w:rPr>
          <w:rFonts w:ascii="Calibri" w:cs="Calibri"/>
          <w:i/>
          <w:iCs/>
        </w:rPr>
        <w:t>Anglican Theological Review</w:t>
      </w:r>
      <w:r w:rsidRPr="00617521">
        <w:rPr>
          <w:rFonts w:ascii="Calibri" w:cs="Calibri"/>
        </w:rPr>
        <w:t xml:space="preserve"> 97, no. 1 (1 December 2015): </w:t>
      </w:r>
      <w:r>
        <w:rPr>
          <w:rFonts w:ascii="Calibri" w:cs="Calibri"/>
        </w:rPr>
        <w:t>67-69</w:t>
      </w:r>
      <w:r w:rsidRPr="00617521">
        <w:rPr>
          <w:rFonts w:ascii="Calibri" w:cs="Calibri"/>
        </w:rPr>
        <w:t>, https://doi.org/10.1177/000332861509700105.</w:t>
      </w:r>
      <w:r>
        <w:fldChar w:fldCharType="end"/>
      </w:r>
    </w:p>
  </w:footnote>
  <w:footnote w:id="74">
    <w:p w:rsidR="00B96592" w:rsidRDefault="00B96592">
      <w:pPr>
        <w:pStyle w:val="FootnoteText"/>
      </w:pPr>
      <w:r w:rsidRPr="00AB1AE4">
        <w:rPr>
          <w:rStyle w:val="FootnoteReference"/>
        </w:rPr>
        <w:footnoteRef/>
      </w:r>
      <w:r>
        <w:t xml:space="preserve"> </w:t>
      </w:r>
      <w:r>
        <w:fldChar w:fldCharType="begin"/>
      </w:r>
      <w:r w:rsidR="003E7C85">
        <w:instrText xml:space="preserve"> ADDIN ZOTERO_ITEM CSL_CITATION {"citationID":"VUx7BPM2","properties":{"formattedCitation":"\\uc0\\u8216{}The 1552 Book of Common Prayer: Holy Communion\\uc0\\u8217{}, accessed 15 May 2024, http://justus.anglican.org/resources/bcp/1552/Communion_1552.htm.","plainCitation":"‘The 1552 Book of Common Prayer: Holy Communion’, accessed 15 May 2024, http://justus.anglican.org/resources/bcp/1552/Communion_1552.htm.","noteIndex":74},"citationItems":[{"id":3361,"uris":["http://zotero.org/users/7540819/items/TS4G4PEH"],"itemData":{"id":3361,"type":"webpage","title":"The 1552 Book of Common Prayer: Holy Communion","URL":"http://justus.anglican.org/resources/bcp/1552/Communion_1552.htm","accessed":{"date-parts":[["2024",5,15]]}}}],"schema":"https://github.com/citation-style-language/schema/raw/master/csl-citation.json"} </w:instrText>
      </w:r>
      <w:r>
        <w:fldChar w:fldCharType="separate"/>
      </w:r>
      <w:r w:rsidRPr="00B96592">
        <w:rPr>
          <w:rFonts w:ascii="Calibri" w:cs="Calibri"/>
        </w:rPr>
        <w:t>‘The 1552 Book of Common Prayer: Holy Communion’, accessed 15 May 2024, http://justus.anglican.org/resources/bcp/1552/Communion_1552.htm.</w:t>
      </w:r>
      <w:r>
        <w:fldChar w:fldCharType="end"/>
      </w:r>
    </w:p>
  </w:footnote>
  <w:footnote w:id="75">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{"citationID":"pDw1cYcC","properties":{"formattedCitation":"Hunt, \\uc0\\u8216{}ARCHBISHOP CRANMER\\uc0\\u8217{}S THEOLOGY.\\uc0\\u8217{}","plainCitation":"Hunt, ‘ARCHBISHOP CRANMER’S THEOLOGY.’","dontUpdate":true,"noteIndex":75},"citationItems":[{"id":3302,"uris":["http://zotero.org/users/7540819/items/WUWKQ572"],"itemData":{"id":3302,"type":"article-journal","abstract":"IT has been generally received as a fair mode of proceeding, when we wish to understand the doctrine of the Church of England, to have recourse not only to the Articles and Liturgy, but to the writings of the Reformers. And if there is any difference of opinion as to what an article means in the proper, literal, and natural sense of the words, this, it has been fairly assumed, may be determined by what we know from other sources to have been the doctrine of the men who wrote the Articles.","archive":"British Periodicals","archive_location":"6538987","container-title":"The Contemporary review,  1866-1900","ISSN":"0010-7565","language":"English","note":"publisher-place: London","page":"199-212","title":"ARCHBISHOP CRANMER'S THEOLOGY.","volume":"12","author":[{"family":"Hunt","given":"John"}],"issued":{"date-parts":[["1869",10]]}}}],"schema":"https://github.com/citation-style-language/schema/raw/master/csl-citation.json"} </w:instrText>
      </w:r>
      <w:r>
        <w:fldChar w:fldCharType="separate"/>
      </w:r>
      <w:r w:rsidRPr="00134B54">
        <w:rPr>
          <w:rFonts w:ascii="Calibri" w:cs="Calibri"/>
        </w:rPr>
        <w:t>Hunt, ‘ARCHBISHOP CRANMER’S THEOLOGY</w:t>
      </w:r>
      <w:r>
        <w:rPr>
          <w:rFonts w:ascii="Calibri" w:cs="Calibri"/>
        </w:rPr>
        <w:t>', 202</w:t>
      </w:r>
      <w:r w:rsidRPr="00134B54">
        <w:rPr>
          <w:rFonts w:ascii="Calibri" w:cs="Calibri"/>
        </w:rPr>
        <w:t>.</w:t>
      </w:r>
      <w:r>
        <w:fldChar w:fldCharType="end"/>
      </w:r>
    </w:p>
  </w:footnote>
  <w:footnote w:id="76">
    <w:p w:rsidR="006375CD" w:rsidRDefault="006375CD" w:rsidP="006375CD">
      <w:pPr>
        <w:pStyle w:val="FootnoteText"/>
      </w:pPr>
      <w:r w:rsidRPr="00AB1AE4">
        <w:rPr>
          <w:rStyle w:val="FootnoteReference"/>
        </w:rPr>
        <w:footnoteRef/>
      </w:r>
      <w:r>
        <w:t xml:space="preserve"> </w:t>
      </w:r>
      <w:r>
        <w:fldChar w:fldCharType="begin"/>
      </w:r>
      <w:r w:rsidR="005A3DFD">
        <w:instrText xml:space="preserve"> ADDIN ZOTERO_ITEM CSL_CITATION {"citationID":"t5OAIWJS","properties":{"formattedCitation":"ELIZABETH MALSON-HUDDLE, \\uc0\\u8216{}Anne Askew and the Controversy over the Real Presence\\uc0\\u8217{}, {\\i{}Studies in English Literature, 1500-1900} 50, no. 1 (2010): 1\\uc0\\u8211{}16, https://doi.org/10.1353/sel.0.0085.","plainCitation":"ELIZABETH MALSON-HUDDLE, ‘Anne Askew and the Controversy over the Real Presence’, Studies in English Literature, 1500-1900 50, no. 1 (2010): 1–16, https://doi.org/10.1353/sel.0.0085.","dontUpdate":true,"noteIndex":76},"citationItems":[{"id":3358,"uris":["http://zotero.org/users/7540819/items/5568ZYCG"],"itemData":{"id":3358,"type":"article-journal","abstract":"Anne Askew employs scriptural exegesis in her Examinations to reinterpret the traditional rite of Communion. Scholars have yet to explore the significance of the late-medieval practice of taking the Eucharist annually at Easter in Askew's devotional life. Although she denies the presence of Christ's body in the Eucharist, Askew asserts that taking Communion with fellow Christians is central to her identity as an evangelical Christian. While the crown struggled to suppress Sacramentarianism, reformers such as Askew shifted their focus from Christ's body to the community of believers gathered to remember Christ's sacrifice through the ritual of Communion.","container-title":"Studies in English literature, 1500-1900","DOI":"10.1353/sel.0.0085","ISSN":"0039-3657","issue":"1","note":"publisher-place: Baltimore\npublisher: Johns Hopkins University Press","page":"1-16","title":"Anne Askew and the Controversy over the Real Presence","volume":"50","author":[{"family":"MALSON-HUDDLE","given":"ELIZABETH"}],"issued":{"date-parts":[["2010"]]}}}],"schema":"https://github.com/citation-style-language/schema/raw/master/csl-citation.json"} </w:instrText>
      </w:r>
      <w:r>
        <w:fldChar w:fldCharType="separate"/>
      </w:r>
      <w:r w:rsidRPr="00DC155D">
        <w:rPr>
          <w:rFonts w:ascii="Calibri" w:cs="Calibri"/>
        </w:rPr>
        <w:t xml:space="preserve">ELIZABETH MALSON-HUDDLE, ‘Anne Askew and the Controversy over the Real Presence’, </w:t>
      </w:r>
      <w:r w:rsidRPr="00DC155D">
        <w:rPr>
          <w:rFonts w:ascii="Calibri" w:cs="Calibri"/>
          <w:i/>
          <w:iCs/>
        </w:rPr>
        <w:t>Studies in English Literature, 1500-1900</w:t>
      </w:r>
      <w:r w:rsidRPr="00DC155D">
        <w:rPr>
          <w:rFonts w:ascii="Calibri" w:cs="Calibri"/>
        </w:rPr>
        <w:t xml:space="preserve"> 50, no. 1 (2010): 1–16, https://doi.org/10.1353/sel.0.0085</w:t>
      </w:r>
      <w:r>
        <w:rPr>
          <w:rFonts w:ascii="Calibri" w:cs="Calibri"/>
        </w:rPr>
        <w:t>, 14</w:t>
      </w:r>
      <w:r w:rsidRPr="00DC155D">
        <w:rPr>
          <w:rFonts w:ascii="Calibri" w:cs="Calibri"/>
        </w:rPr>
        <w:t>.</w:t>
      </w:r>
      <w:r>
        <w:fldChar w:fldCharType="end"/>
      </w:r>
    </w:p>
  </w:footnote>
  <w:footnote w:id="77">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{"citationID":"plZELroc","properties":{"formattedCitation":"Ayris and Selwyn.","plainCitation":"Ayris and Selwyn.","dontUpdate":true,"noteIndex":77},"citationItems":[{"id":3353,"uris":["http://zotero.org/users/7540819/items/N8UTTVDC"],"itemData":{"id":3353,"type":"book","edition":"Pbk-ed","event-place":"Woodbridge","ISBN":"978-0-85115-549-4","language":"eng","number-of-pages":"360","publisher":"Boydell","publisher-place":"Woodbridge","source":"K10plus ISBN","title":"Thomas Cranmer: churchman and scholar","title-short":"Thomas Cranmer","editor":[{"family":"Ayris","given":"Paul"},{"family":"Selwyn","given":"David"}],"issued":{"date-parts":[["1999"]]}}}],"schema":"https://github.com/citation-style-language/schema/raw/master/csl-citation.json"} </w:instrText>
      </w:r>
      <w:r>
        <w:fldChar w:fldCharType="separate"/>
      </w:r>
      <w:r>
        <w:rPr>
          <w:noProof/>
        </w:rPr>
        <w:t>Ayris and Selwyn, 223 and footnote 26.</w:t>
      </w:r>
      <w:r>
        <w:fldChar w:fldCharType="end"/>
      </w:r>
    </w:p>
  </w:footnote>
  <w:footnote w:id="78">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{"citationID":"gcLRi0E5","properties":{"formattedCitation":"James P. Hickinbotham, \\uc0\\u8216{}Cranmer and the Evangelical Revival\\uc0\\u8217{}, in {\\i{}Thomas Cranmer: Essays in Commemoration of the 500th Anniversary of His Birth}, ed. Margot Johnson (Durham: Turnstone Ventures, 1990), 190\\uc0\\u8211{}203.","plainCitation":"James P. Hickinbotham, ‘Cranmer and the Evangelical Revival’, in Thomas Cranmer: Essays in Commemoration of the 500th Anniversary of His Birth, ed. Margot Johnson (Durham: Turnstone Ventures, 1990), 190–203.","dontUpdate":true,"noteIndex":78},"citationItems":[{"id":3261,"uris":["http://zotero.org/users/7540819/items/LZHHNT6F"],"itemData":{"id":3261,"type":"chapter","container-title":"Thomas Cranmer: Essays in Commemoration of the 500th Anniversary of his Birth","event-place":"Durham","ISBN":"0-946105-08-1","page":"190-203","publisher":"Turnstone Ventures","publisher-place":"Durham","title":"Cranmer and the Evangelical Revival","author":[{"family":"Hickinbotham","given":"James P."}],"editor":[{"family":"Johnson","given":"Margot"}],"issued":{"date-parts":[["1990"]]}}}],"schema":"https://github.com/citation-style-language/schema/raw/master/csl-citation.json"} </w:instrText>
      </w:r>
      <w:r>
        <w:fldChar w:fldCharType="separate"/>
      </w:r>
      <w:r w:rsidRPr="009B0B5B">
        <w:rPr>
          <w:rFonts w:ascii="Calibri" w:cs="Calibri"/>
        </w:rPr>
        <w:t xml:space="preserve">James P. Hickinbotham, ‘Cranmer and the Evangelical Revival’, in </w:t>
      </w:r>
      <w:r w:rsidRPr="009B0B5B">
        <w:rPr>
          <w:rFonts w:ascii="Calibri" w:cs="Calibri"/>
          <w:i/>
          <w:iCs/>
        </w:rPr>
        <w:t>Thomas Cranmer: Essays in Commemoration of the 500th Anniversary of His Birth</w:t>
      </w:r>
      <w:r w:rsidRPr="009B0B5B">
        <w:rPr>
          <w:rFonts w:ascii="Calibri" w:cs="Calibri"/>
        </w:rPr>
        <w:t>, ed. Margot Johnson (Durham: Turnstone Ventures, 1990), 19</w:t>
      </w:r>
      <w:r>
        <w:rPr>
          <w:rFonts w:ascii="Calibri" w:cs="Calibri"/>
        </w:rPr>
        <w:t>0-192</w:t>
      </w:r>
      <w:r w:rsidRPr="009B0B5B">
        <w:rPr>
          <w:rFonts w:ascii="Calibri" w:cs="Calibri"/>
        </w:rPr>
        <w:t>.</w:t>
      </w:r>
      <w:r>
        <w:fldChar w:fldCharType="end"/>
      </w:r>
    </w:p>
  </w:footnote>
  <w:footnote w:id="79">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ljSLiSfl","properties":{"formattedCitation":"Hickinbotham.","plainCitation":"Hickinbotham.","dontUpdate":true,"noteIndex":79},"citationItems":[{"id":3261,"uris":["http://zotero.org/users/7540819/items/LZHHNT6F"],"itemData":{"id":3261,"type":"chapter","container-title":"Thomas Cranmer: Essays in Commemoration of the 500th Anniversary of his Birth","event-place":"Durham","ISBN":"0-946105-08-1","page":"190-203","publisher":"Turnstone Ventures","publisher-place":"Durham","title":"Cranmer and the Evangelical Revival","author":[{"family":"Hickinbotham","given":"James P."}],"editor":[{"family":"Johnson","given":"Margot"}],"issued":{"date-parts":[["1990"]]}}}],"schema":"https://github.com/citation-style-language/schema/raw/master/csl-citation.json"} </w:instrText>
      </w:r>
      <w:r>
        <w:fldChar w:fldCharType="separate"/>
      </w:r>
      <w:r>
        <w:rPr>
          <w:noProof/>
        </w:rPr>
        <w:t>Hickinbotham, 203.</w:t>
      </w:r>
      <w:r>
        <w:fldChar w:fldCharType="end"/>
      </w:r>
    </w:p>
  </w:footnote>
  <w:footnote w:id="80">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{"citationID":"aCfgkInP","properties":{"formattedCitation":"Heinze, {\\i{}Reform and Conflict}.","plainCitation":"Heinze, Reform and Conflict.","dontUpdate":true,"noteIndex":80},"citationItems":[{"id":3263,"uris":["http://zotero.org/users/7540819/items/GITBN2T7"],"itemData":{"id":3263,"type":"book","collection-number":"v. 4","collection-title":"The Baker history of the church","event-place":"Grand Rapids, Mich","ISBN":"978-0-8010-1277-8","language":"eng","number-of-pages":"496","publisher":"Baker Books","publisher-place":"Grand Rapids, Mich","source":"K10plus ISBN","title":"Reform and conflict: from the medieval world to the wars of religion, A.D. 1350 - 1648","title-short":"Reform and conflict","author":[{"family":"Heinze","given":"Rudolph W."}],"issued":{"date-parts":[["2005"]]}}}],"schema":"https://github.com/citation-style-language/schema/raw/master/csl-citation.json"} </w:instrText>
      </w:r>
      <w:r>
        <w:fldChar w:fldCharType="separate"/>
      </w:r>
      <w:r w:rsidRPr="007600A3">
        <w:rPr>
          <w:rFonts w:ascii="Calibri" w:cs="Calibri"/>
        </w:rPr>
        <w:t xml:space="preserve">Heinze, </w:t>
      </w:r>
      <w:r w:rsidRPr="007600A3">
        <w:rPr>
          <w:rFonts w:ascii="Calibri" w:cs="Calibri"/>
          <w:i/>
          <w:iCs/>
        </w:rPr>
        <w:t>Reform and Conflict</w:t>
      </w:r>
      <w:r>
        <w:rPr>
          <w:rFonts w:ascii="Calibri" w:cs="Calibri"/>
          <w:i/>
          <w:iCs/>
        </w:rPr>
        <w:t xml:space="preserve">, </w:t>
      </w:r>
      <w:r>
        <w:rPr>
          <w:rFonts w:ascii="Calibri" w:cs="Calibri"/>
        </w:rPr>
        <w:t>214</w:t>
      </w:r>
      <w:r w:rsidRPr="007600A3">
        <w:rPr>
          <w:rFonts w:ascii="Calibri" w:cs="Calibri"/>
        </w:rPr>
        <w:t>.</w:t>
      </w:r>
      <w:r>
        <w:fldChar w:fldCharType="end"/>
      </w:r>
    </w:p>
  </w:footnote>
  <w:footnote w:id="81">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{"citationID":"pGJo54yK","properties":{"formattedCitation":"Meyer, {\\i{}Cranmer\\uc0\\u8217{}s Selected Writings}.","plainCitation":"Meyer, Cranmer’s Selected Writings.","dontUpdate":true,"noteIndex":81},"citationItems":[{"id":3265,"uris":["http://zotero.org/users/7540819/items/7I4L23GP"],"itemData":{"id":3265,"type":"book","event-place":"London","publisher":"SPCK","publisher-place":"London","title":"Cranmer's Selected Writings","author":[{"family":"Meyer","given":"Carl S."}],"issued":{"date-parts":[["1961"]]}}}],"schema":"https://github.com/citation-style-language/schema/raw/master/csl-citation.json"} </w:instrText>
      </w:r>
      <w:r>
        <w:fldChar w:fldCharType="separate"/>
      </w:r>
      <w:r w:rsidRPr="00587680">
        <w:rPr>
          <w:rFonts w:ascii="Calibri" w:cs="Calibri"/>
        </w:rPr>
        <w:t xml:space="preserve">Meyer, </w:t>
      </w:r>
      <w:r w:rsidRPr="00587680">
        <w:rPr>
          <w:rFonts w:ascii="Calibri" w:cs="Calibri"/>
          <w:i/>
          <w:iCs/>
        </w:rPr>
        <w:t>Cranmer’s Selected Writings</w:t>
      </w:r>
      <w:r>
        <w:rPr>
          <w:rFonts w:ascii="Calibri" w:cs="Calibri"/>
        </w:rPr>
        <w:t>, 61-62</w:t>
      </w:r>
      <w:r w:rsidRPr="00587680">
        <w:rPr>
          <w:rFonts w:ascii="Calibri" w:cs="Calibri"/>
        </w:rPr>
        <w:t>.</w:t>
      </w:r>
      <w:r>
        <w:fldChar w:fldCharType="end"/>
      </w:r>
    </w:p>
  </w:footnote>
  <w:footnote w:id="82">
    <w:p w:rsidR="003E7C85" w:rsidRDefault="003E7C85">
      <w:pPr>
        <w:pStyle w:val="FootnoteText"/>
      </w:pPr>
      <w:r>
        <w:rPr>
          <w:rStyle w:val="FootnoteReference"/>
        </w:rPr>
        <w:footnoteRef/>
      </w:r>
      <w:r>
        <w:t xml:space="preserve"> </w:t>
      </w:r>
      <w:r>
        <w:fldChar w:fldCharType="begin"/>
      </w:r>
      <w:r w:rsidR="005A3DFD">
        <w:instrText xml:space="preserve"> ADDIN ZOTERO_ITEM CSL_CITATION {"citationID":"BQi1ZUny","properties":{"formattedCitation":"Gerrish, {\\i{}Grace and Gratitude}.","plainCitation":"Gerrish, Grace and Gratitude.","dontUpdate":true,"noteIndex":82},"citationItems":[{"id":3233,"uris":["http://zotero.org/users/7540819/items/JQACZGGW"],"itemData":{"id":3233,"type":"book","call-number":"BX9418 .G477 1993","event-place":"Minneapolis","ISBN":"978-0-8006-2568-9","number-of-pages":"210","publisher":"Fortress Press","publisher-place":"Minneapolis","source":"Library of Congress ISBN","title":"Grace and gratitude: the Eucharistic theology of John Calvin","title-short":"Grace and gratitude","author":[{"family":"Gerrish","given":"B. A."}],"issued":{"date-parts":[["1993"]]}}}],"schema":"https://github.com/citation-style-language/schema/raw/master/csl-citation.json"} </w:instrText>
      </w:r>
      <w:r>
        <w:fldChar w:fldCharType="separate"/>
      </w:r>
      <w:r w:rsidRPr="003E7C85">
        <w:rPr>
          <w:rFonts w:ascii="Calibri" w:cs="Calibri"/>
        </w:rPr>
        <w:t xml:space="preserve">Gerrish, </w:t>
      </w:r>
      <w:r w:rsidRPr="003E7C85">
        <w:rPr>
          <w:rFonts w:ascii="Calibri" w:cs="Calibri"/>
          <w:i/>
          <w:iCs/>
        </w:rPr>
        <w:t>Grace and Gratitude</w:t>
      </w:r>
      <w:r>
        <w:rPr>
          <w:rFonts w:ascii="Calibri" w:cs="Calibri"/>
          <w:i/>
          <w:iCs/>
        </w:rPr>
        <w:t xml:space="preserve">, </w:t>
      </w:r>
      <w:r>
        <w:rPr>
          <w:rFonts w:ascii="Calibri" w:cs="Calibri"/>
        </w:rPr>
        <w:t>166-167</w:t>
      </w:r>
      <w:r w:rsidRPr="003E7C85">
        <w:rPr>
          <w:rFonts w:ascii="Calibri" w:cs="Calibri"/>
        </w:rPr>
        <w:t>.</w:t>
      </w:r>
      <w:r>
        <w:fldChar w:fldCharType="end"/>
      </w:r>
      <w:r>
        <w:t xml:space="preserve"> See also Appendix 3a.</w:t>
      </w:r>
    </w:p>
  </w:footnote>
  <w:footnote w:id="83">
    <w:p w:rsidR="006375CD" w:rsidRDefault="006375CD" w:rsidP="006375CD">
      <w:pPr>
        <w:pStyle w:val="FootnoteText"/>
      </w:pPr>
      <w:r w:rsidRPr="00AB1AE4">
        <w:rPr>
          <w:rStyle w:val="FootnoteReference"/>
        </w:rPr>
        <w:footnoteRef/>
      </w:r>
      <w:r>
        <w:t xml:space="preserve"> </w:t>
      </w:r>
      <w:r>
        <w:fldChar w:fldCharType="begin"/>
      </w:r>
      <w:r w:rsidR="005A3DFD">
        <w:instrText xml:space="preserve"> ADDIN ZOTERO_ITEM CSL_CITATION {"citationID":"NjcBeZVi","properties":{"formattedCitation":"Diarmaid MacCulloch, {\\i{}Thomas Cranmer: A Life} (New Haven (Conn.): Yale university press, 1996).","plainCitation":"Diarmaid MacCulloch, Thomas Cranmer: A Life (New Haven (Conn.): Yale university press, 1996).","dontUpdate":true,"noteIndex":83},"citationItems":[{"id":3357,"uris":["http://zotero.org/users/7540819/items/DJ7W4DLQ"],"itemData":{"id":3357,"type":"book","event-place":"New Haven (Conn.)","ISBN":"978-0-300-06688-3","language":"eng","publisher":"Yale university press","publisher-place":"New Haven (Conn.)","source":"BnF ISBN","title":"Thomas Cranmer: a life","title-short":"Thomas Cranmer","author":[{"family":"MacCulloch","given":"Diarmaid"}],"issued":{"date-parts":[["1996"]]}}}],"schema":"https://github.com/citation-style-language/schema/raw/master/csl-citation.json"} </w:instrText>
      </w:r>
      <w:r>
        <w:fldChar w:fldCharType="separate"/>
      </w:r>
      <w:proofErr w:type="spellStart"/>
      <w:r w:rsidRPr="00D9669D">
        <w:rPr>
          <w:rFonts w:ascii="Calibri" w:cs="Calibri"/>
        </w:rPr>
        <w:t>Diarmaid</w:t>
      </w:r>
      <w:proofErr w:type="spellEnd"/>
      <w:r w:rsidRPr="00D9669D">
        <w:rPr>
          <w:rFonts w:ascii="Calibri" w:cs="Calibri"/>
        </w:rPr>
        <w:t xml:space="preserve"> MacCulloch, </w:t>
      </w:r>
      <w:r w:rsidRPr="00D9669D">
        <w:rPr>
          <w:rFonts w:ascii="Calibri" w:cs="Calibri"/>
          <w:i/>
          <w:iCs/>
        </w:rPr>
        <w:t>Thomas Cranmer: A Life</w:t>
      </w:r>
      <w:r w:rsidRPr="00D9669D">
        <w:rPr>
          <w:rFonts w:ascii="Calibri" w:cs="Calibri"/>
        </w:rPr>
        <w:t xml:space="preserve"> (New Haven (Conn.): Yale university press, 1996)</w:t>
      </w:r>
      <w:r>
        <w:rPr>
          <w:rFonts w:ascii="Calibri" w:cs="Calibri"/>
        </w:rPr>
        <w:t>, 614-615</w:t>
      </w:r>
      <w:r w:rsidRPr="00D9669D">
        <w:rPr>
          <w:rFonts w:ascii="Calibri" w:cs="Calibri"/>
        </w:rPr>
        <w:t>.</w:t>
      </w:r>
      <w:r>
        <w:fldChar w:fldCharType="end"/>
      </w:r>
    </w:p>
  </w:footnote>
  <w:footnote w:id="84">
    <w:p w:rsidR="006375CD" w:rsidRDefault="006375CD" w:rsidP="006375CD">
      <w:pPr>
        <w:pStyle w:val="FootnoteText"/>
      </w:pPr>
      <w:r w:rsidRPr="00AB1AE4">
        <w:rPr>
          <w:rStyle w:val="FootnoteReference"/>
        </w:rPr>
        <w:footnoteRef/>
      </w:r>
      <w:r>
        <w:t xml:space="preserve"> </w:t>
      </w:r>
      <w:r>
        <w:fldChar w:fldCharType="begin"/>
      </w:r>
      <w:r w:rsidR="003E7C85">
        <w:instrText xml:space="preserve"> ADDIN ZOTERO_ITEM CSL_CITATION {"citationID":"LpDQkxDs","properties":{"formattedCitation":"Jeanes, {\\i{}Signs of God\\uc0\\u8217{}s Promise}.","plainCitation":"Jeanes, Signs of God’s Promise.","dontUpdate":true,"noteIndex":84},"citationItems":[{"id":3352,"uris":["http://zotero.org/users/7540819/items/DAW73KB6"],"itemData":{"id":3352,"type":"book","call-number":"BV823 .J43 2008","event-place":"London ; New York","ISBN":"978-0-567-03188-4","note":"OCLC: ocn182732317","number-of-pages":"305","publisher":"T &amp; T Clark","publisher-place":"London ; New York","source":"Library of Congress ISBN","title":"Signs of God's promise: Thomas Cranmer's sacramental theology and the Book of common prayer","title-short":"Signs of God's promise","author":[{"family":"Jeanes","given":"Gordon P."}],"issued":{"date-parts":[["2008"]]}}}],"schema":"https://github.com/citation-style-language/schema/raw/master/csl-citation.json"} </w:instrText>
      </w:r>
      <w:r>
        <w:fldChar w:fldCharType="separate"/>
      </w:r>
      <w:r w:rsidRPr="009875A7">
        <w:rPr>
          <w:rFonts w:ascii="Calibri" w:cs="Calibri"/>
        </w:rPr>
        <w:t xml:space="preserve">Jeanes, </w:t>
      </w:r>
      <w:r w:rsidRPr="009875A7">
        <w:rPr>
          <w:rFonts w:ascii="Calibri" w:cs="Calibri"/>
          <w:i/>
          <w:iCs/>
        </w:rPr>
        <w:t>Signs of God’s Promise</w:t>
      </w:r>
      <w:r>
        <w:rPr>
          <w:rFonts w:ascii="Calibri" w:cs="Calibri"/>
          <w:i/>
          <w:iCs/>
        </w:rPr>
        <w:t xml:space="preserve">, </w:t>
      </w:r>
      <w:r>
        <w:rPr>
          <w:rFonts w:ascii="Calibri" w:cs="Calibri"/>
        </w:rPr>
        <w:t>240</w:t>
      </w:r>
      <w:r w:rsidRPr="009875A7">
        <w:rPr>
          <w:rFonts w:ascii="Calibri" w:cs="Calibri"/>
        </w:rPr>
        <w:t>.</w:t>
      </w:r>
      <w:r>
        <w:fldChar w:fldCharType="end"/>
      </w:r>
    </w:p>
  </w:footnote>
  <w:footnote w:id="85">
    <w:p w:rsidR="00FE1815" w:rsidRDefault="00FE1815" w:rsidP="00FE1815">
      <w:pPr>
        <w:pStyle w:val="FootnoteText"/>
      </w:pPr>
      <w:r w:rsidRPr="00AB1AE4">
        <w:rPr>
          <w:rStyle w:val="FootnoteReference"/>
        </w:rPr>
        <w:footnoteRef/>
      </w:r>
      <w:r>
        <w:t xml:space="preserve"> </w:t>
      </w:r>
      <w:r>
        <w:fldChar w:fldCharType="begin"/>
      </w:r>
      <w:r w:rsidR="005A3DFD">
        <w:instrText xml:space="preserve"> ADDIN ZOTERO_ITEM CSL_CITATION {"citationID":"OZW3meaw","properties":{"formattedCitation":"\\uc0\\u8216{}The 1552 Book of Common Prayer: Holy Communion\\uc0\\u8217{}.","plainCitation":"‘The 1552 Book of Common Prayer: Holy Communion’.","noteIndex":85},"citationItems":[{"id":3361,"uris":["http://zotero.org/users/7540819/items/TS4G4PEH"],"itemData":{"id":3361,"type":"webpage","title":"The 1552 Book of Common Prayer: Holy Communion","URL":"http://justus.anglican.org/resources/bcp/1552/Communion_1552.htm","accessed":{"date-parts":[["2024",5,15]]}}}],"schema":"https://github.com/citation-style-language/schema/raw/master/csl-citation.json"} </w:instrText>
      </w:r>
      <w:r>
        <w:fldChar w:fldCharType="separate"/>
      </w:r>
      <w:r w:rsidRPr="00FE1815">
        <w:rPr>
          <w:rFonts w:ascii="Calibri" w:cs="Calibri"/>
        </w:rPr>
        <w:t>‘The 1552 Book of Common Prayer: Holy Communion’.</w:t>
      </w:r>
      <w:r>
        <w:fldChar w:fldCharType="end"/>
      </w:r>
    </w:p>
  </w:footnote>
  <w:footnote w:id="86">
    <w:p w:rsidR="00FE1815" w:rsidRDefault="00FE1815" w:rsidP="00FE1815">
      <w:pPr>
        <w:pStyle w:val="FootnoteText"/>
      </w:pPr>
      <w:r w:rsidRPr="00AB1AE4">
        <w:rPr>
          <w:rStyle w:val="FootnoteReference"/>
        </w:rPr>
        <w:footnoteRef/>
      </w:r>
      <w:r>
        <w:t xml:space="preserve"> </w:t>
      </w:r>
      <w:r>
        <w:fldChar w:fldCharType="begin"/>
      </w:r>
      <w:r w:rsidR="005A3DFD">
        <w:instrText xml:space="preserve"> ADDIN ZOTERO_ITEM CSL_CITATION {"citationID":"zj2jIh6j","properties":{"formattedCitation":"Katie Badie, \\uc0\\u8216{}The Prayer of Humble Access\\uc0\\u8217{}, {\\i{}Churchman} 120, no. 2 (Summer 2002): 103\\uc0\\u8211{}17.","plainCitation":"Katie Badie, ‘The Prayer of Humble Access’, Churchman 120, no. 2 (Summer 2002): 103–17.","noteIndex":86},"citationItems":[{"id":3360,"uris":["http://zotero.org/users/7540819/items/D7D39VIH"],"itemData":{"id":3360,"type":"article-journal","container-title":"Churchman","issue":"2","journalAbbreviation":"Churchman","language":"en","page":"103-117","source":"Zotero","title":"The Prayer of Humble Access","volume":"120","author":[{"family":"Badie","given":"Katie"}],"issued":{"date-parts":[["2002"]],"season":"Summer"}}}],"schema":"https://github.com/citation-style-language/schema/raw/master/csl-citation.json"} </w:instrText>
      </w:r>
      <w:r>
        <w:fldChar w:fldCharType="separate"/>
      </w:r>
      <w:r w:rsidRPr="00305864">
        <w:rPr>
          <w:rFonts w:ascii="Calibri" w:cs="Calibri"/>
        </w:rPr>
        <w:t xml:space="preserve">Katie </w:t>
      </w:r>
      <w:proofErr w:type="spellStart"/>
      <w:r w:rsidRPr="00305864">
        <w:rPr>
          <w:rFonts w:ascii="Calibri" w:cs="Calibri"/>
        </w:rPr>
        <w:t>Badie</w:t>
      </w:r>
      <w:proofErr w:type="spellEnd"/>
      <w:r w:rsidRPr="00305864">
        <w:rPr>
          <w:rFonts w:ascii="Calibri" w:cs="Calibri"/>
        </w:rPr>
        <w:t xml:space="preserve">, ‘The Prayer of Humble Access’, </w:t>
      </w:r>
      <w:r w:rsidRPr="00305864">
        <w:rPr>
          <w:rFonts w:ascii="Calibri" w:cs="Calibri"/>
          <w:i/>
          <w:iCs/>
        </w:rPr>
        <w:t>Churchman</w:t>
      </w:r>
      <w:r w:rsidRPr="00305864">
        <w:rPr>
          <w:rFonts w:ascii="Calibri" w:cs="Calibri"/>
        </w:rPr>
        <w:t xml:space="preserve"> 120, no. 2 (Summer 2002): 103–17.</w:t>
      </w:r>
      <w:r>
        <w:fldChar w:fldCharType="end"/>
      </w:r>
    </w:p>
  </w:footnote>
  <w:footnote w:id="87">
    <w:p w:rsidR="00FE1815" w:rsidRDefault="00FE1815" w:rsidP="00FE1815">
      <w:pPr>
        <w:pStyle w:val="FootnoteText"/>
      </w:pPr>
      <w:r w:rsidRPr="00AB1AE4">
        <w:rPr>
          <w:rStyle w:val="FootnoteReference"/>
        </w:rPr>
        <w:footnoteRef/>
      </w:r>
      <w:r>
        <w:t xml:space="preserve"> </w:t>
      </w:r>
      <w:r>
        <w:fldChar w:fldCharType="begin"/>
      </w:r>
      <w:r w:rsidR="005A3DFD">
        <w:instrText xml:space="preserve"> ADDIN ZOTERO_ITEM CSL_CITATION {"citationID":"MCtKROu4","properties":{"formattedCitation":"Badie.","plainCitation":"Badie.","dontUpdate":true,"noteIndex":87},"citationItems":[{"id":3360,"uris":["http://zotero.org/users/7540819/items/D7D39VIH"],"itemData":{"id":3360,"type":"article-journal","container-title":"Churchman","issue":"2","journalAbbreviation":"Churchman","language":"en","page":"103-117","source":"Zotero","title":"The Prayer of Humble Access","volume":"120","author":[{"family":"Badie","given":"Katie"}],"issued":{"date-parts":[["2002"]],"season":"Summer"}}}],"schema":"https://github.com/citation-style-language/schema/raw/master/csl-citation.json"} </w:instrText>
      </w:r>
      <w:r>
        <w:fldChar w:fldCharType="separate"/>
      </w:r>
      <w:r>
        <w:rPr>
          <w:noProof/>
        </w:rPr>
        <w:t>Badie, 108.</w:t>
      </w:r>
      <w:r>
        <w:fldChar w:fldCharType="end"/>
      </w:r>
    </w:p>
  </w:footnote>
  <w:footnote w:id="88">
    <w:p w:rsidR="00FE1815" w:rsidRDefault="00FE1815" w:rsidP="00FE1815">
      <w:pPr>
        <w:pStyle w:val="FootnoteText"/>
      </w:pPr>
      <w:r w:rsidRPr="00AB1AE4">
        <w:rPr>
          <w:rStyle w:val="FootnoteReference"/>
        </w:rPr>
        <w:footnoteRef/>
      </w:r>
      <w:r>
        <w:t xml:space="preserve"> </w:t>
      </w:r>
      <w:r>
        <w:fldChar w:fldCharType="begin"/>
      </w:r>
      <w:r w:rsidR="005A3DFD">
        <w:instrText xml:space="preserve"> ADDIN ZOTERO_ITEM CSL_CITATION {"citationID":"cnc2hdmP","properties":{"formattedCitation":"Badie.","plainCitation":"Badie.","dontUpdate":true,"noteIndex":88},"citationItems":[{"id":3360,"uris":["http://zotero.org/users/7540819/items/D7D39VIH"],"itemData":{"id":3360,"type":"article-journal","container-title":"Churchman","issue":"2","journalAbbreviation":"Churchman","language":"en","page":"103-117","source":"Zotero","title":"The Prayer of Humble Access","volume":"120","author":[{"family":"Badie","given":"Katie"}],"issued":{"date-parts":[["2002"]],"season":"Summer"}}}],"schema":"https://github.com/citation-style-language/schema/raw/master/csl-citation.json"} </w:instrText>
      </w:r>
      <w:r>
        <w:fldChar w:fldCharType="separate"/>
      </w:r>
      <w:r>
        <w:rPr>
          <w:noProof/>
        </w:rPr>
        <w:t>Badie, 105.</w:t>
      </w:r>
      <w:r>
        <w:fldChar w:fldCharType="end"/>
      </w:r>
    </w:p>
  </w:footnote>
  <w:footnote w:id="89">
    <w:p w:rsidR="00FE1815" w:rsidRDefault="00FE1815" w:rsidP="00FE1815">
      <w:pPr>
        <w:pStyle w:val="FootnoteText"/>
      </w:pPr>
      <w:r w:rsidRPr="00AB1AE4">
        <w:rPr>
          <w:rStyle w:val="FootnoteReference"/>
        </w:rPr>
        <w:footnoteRef/>
      </w:r>
      <w:r>
        <w:t xml:space="preserve"> </w:t>
      </w:r>
      <w:r>
        <w:fldChar w:fldCharType="begin"/>
      </w:r>
      <w:r w:rsidR="005A3DFD">
        <w:instrText xml:space="preserve"> ADDIN ZOTERO_ITEM CSL_CITATION {"citationID":"lECs3LYJ","properties":{"formattedCitation":"Badie.","plainCitation":"Badie.","dontUpdate":true,"noteIndex":89},"citationItems":[{"id":3360,"uris":["http://zotero.org/users/7540819/items/D7D39VIH"],"itemData":{"id":3360,"type":"article-journal","container-title":"Churchman","issue":"2","journalAbbreviation":"Churchman","language":"en","page":"103-117","source":"Zotero","title":"The Prayer of Humble Access","volume":"120","author":[{"family":"Badie","given":"Katie"}],"issued":{"date-parts":[["2002"]],"season":"Summer"}}}],"schema":"https://github.com/citation-style-language/schema/raw/master/csl-citation.json"} </w:instrText>
      </w:r>
      <w:r>
        <w:fldChar w:fldCharType="separate"/>
      </w:r>
      <w:r>
        <w:rPr>
          <w:noProof/>
        </w:rPr>
        <w:t>Badie, 110-113.</w:t>
      </w:r>
      <w:r>
        <w:fldChar w:fldCharType="end"/>
      </w:r>
    </w:p>
  </w:footnote>
  <w:footnote w:id="90">
    <w:p w:rsidR="00B00CB8" w:rsidRDefault="00B00CB8">
      <w:pPr>
        <w:pStyle w:val="FootnoteText"/>
      </w:pPr>
      <w:r w:rsidRPr="00AB1AE4">
        <w:rPr>
          <w:rStyle w:val="FootnoteReference"/>
        </w:rPr>
        <w:footnoteRef/>
      </w:r>
      <w:r>
        <w:t xml:space="preserve"> </w:t>
      </w:r>
      <w:r>
        <w:fldChar w:fldCharType="begin"/>
      </w:r>
      <w:r w:rsidR="005A3DFD">
        <w:instrText xml:space="preserve"> ADDIN ZOTERO_ITEM CSL_CITATION {"citationID":"A91k3XWW","properties":{"formattedCitation":"\\uc0\\u8216{}Disagreement over Who Stayed, and Why\\uc0\\u8217{}, {\\i{}Church Times}, 10 May 2024, No. 8404 edition.","plainCitation":"‘Disagreement over Who Stayed, and Why’, Church Times, 10 May 2024, No. 8404 edition.","dontUpdate":true,"noteIndex":90},"citationItems":[{"id":3350,"uris":["http://zotero.org/users/7540819/items/XBNA8JW6"],"itemData":{"id":3350,"type":"article-newspaper","container-title":"Church Times","edition":"No. 8404","event-place":"London","publisher-place":"London","title":"Disagreement over who stayed, and why","title-short":"Church Times","contributor":[{"family":"Handley","given":"Paul"}],"issued":{"date-parts":[["2024",5,10]]}}}],"schema":"https://github.com/citation-style-language/schema/raw/master/csl-citation.json"} </w:instrText>
      </w:r>
      <w:r>
        <w:fldChar w:fldCharType="separate"/>
      </w:r>
      <w:r w:rsidRPr="00B00CB8">
        <w:rPr>
          <w:rFonts w:ascii="Calibri" w:cs="Calibri"/>
        </w:rPr>
        <w:t xml:space="preserve">‘Disagreement over Who Stayed, and Why’, </w:t>
      </w:r>
      <w:r w:rsidRPr="00B00CB8">
        <w:rPr>
          <w:rFonts w:ascii="Calibri" w:cs="Calibri"/>
          <w:i/>
          <w:iCs/>
        </w:rPr>
        <w:t>Church Times</w:t>
      </w:r>
      <w:r w:rsidRPr="00B00CB8">
        <w:rPr>
          <w:rFonts w:ascii="Calibri" w:cs="Calibri"/>
        </w:rPr>
        <w:t>, 10 May 2024, No. 8404 edition</w:t>
      </w:r>
      <w:r>
        <w:rPr>
          <w:rFonts w:ascii="Calibri" w:cs="Calibri"/>
        </w:rPr>
        <w:t>, 3</w:t>
      </w:r>
      <w:r w:rsidRPr="00B00CB8">
        <w:rPr>
          <w:rFonts w:ascii="Calibri" w:cs="Calibri"/>
        </w:rPr>
        <w:t>.</w:t>
      </w:r>
      <w:r>
        <w:fldChar w:fldCharType="end"/>
      </w:r>
    </w:p>
  </w:footnote>
  <w:footnote w:id="91">
    <w:p w:rsidR="002B5403" w:rsidRDefault="002B5403">
      <w:pPr>
        <w:pStyle w:val="FootnoteText"/>
      </w:pPr>
      <w:r w:rsidRPr="00AB1AE4">
        <w:rPr>
          <w:rStyle w:val="FootnoteReference"/>
        </w:rPr>
        <w:footnoteRef/>
      </w:r>
      <w:r>
        <w:t xml:space="preserve"> </w:t>
      </w:r>
      <w:r>
        <w:fldChar w:fldCharType="begin"/>
      </w:r>
      <w:r w:rsidR="005A3DFD">
        <w:instrText xml:space="preserve"> ADDIN ZOTERO_ITEM CSL_CITATION {"citationID":"HZeSO8ij","properties":{"formattedCitation":"\\uc0\\u8216{}Editorial\\uc0\\u8217{}, {\\i{}Church Times}, 10 May 2024, No. 8404 edition, sec. Editorial.","plainCitation":"‘Editorial’, Church Times, 10 May 2024, No. 8404 edition, sec. Editorial.","dontUpdate":true,"noteIndex":91},"citationItems":[{"id":3351,"uris":["http://zotero.org/users/7540819/items/AE8B293C"],"itemData":{"id":3351,"type":"article-newspaper","container-title":"Church Times","edition":"No. 8404","event-place":"London","publisher-place":"London","section":"Editorial","title":"Editorial","issued":{"date-parts":[["2024",5,10]]}}}],"schema":"https://github.com/citation-style-language/schema/raw/master/csl-citation.json"} </w:instrText>
      </w:r>
      <w:r>
        <w:fldChar w:fldCharType="separate"/>
      </w:r>
      <w:r w:rsidRPr="002B5403">
        <w:rPr>
          <w:rFonts w:ascii="Calibri" w:cs="Calibri"/>
        </w:rPr>
        <w:t xml:space="preserve">‘Editorial’, </w:t>
      </w:r>
      <w:r w:rsidRPr="002B5403">
        <w:rPr>
          <w:rFonts w:ascii="Calibri" w:cs="Calibri"/>
          <w:i/>
          <w:iCs/>
        </w:rPr>
        <w:t>Church Times</w:t>
      </w:r>
      <w:r w:rsidRPr="002B5403">
        <w:rPr>
          <w:rFonts w:ascii="Calibri" w:cs="Calibri"/>
        </w:rPr>
        <w:t>, 10 May 2024, No. 8404 edition, sec. Editorial</w:t>
      </w:r>
      <w:r>
        <w:rPr>
          <w:rFonts w:ascii="Calibri" w:cs="Calibri"/>
        </w:rPr>
        <w:t>, 14</w:t>
      </w:r>
      <w:r w:rsidRPr="002B5403">
        <w:rPr>
          <w:rFonts w:ascii="Calibri" w:cs="Calibri"/>
        </w:rPr>
        <w:t>.</w:t>
      </w:r>
      <w:r>
        <w:fldChar w:fldCharType="end"/>
      </w:r>
    </w:p>
  </w:footnote>
  <w:footnote w:id="92">
    <w:p w:rsidR="00EE74FD" w:rsidRDefault="00EE74FD" w:rsidP="00EE74FD">
      <w:pPr>
        <w:pStyle w:val="FootnoteText"/>
      </w:pPr>
      <w:r w:rsidRPr="00AB1AE4">
        <w:rPr>
          <w:rStyle w:val="FootnoteReference"/>
        </w:rPr>
        <w:footnoteRef/>
      </w:r>
      <w:r>
        <w:t xml:space="preserve"> </w:t>
      </w:r>
      <w:r>
        <w:fldChar w:fldCharType="begin"/>
      </w:r>
      <w:r w:rsidR="005A3DFD">
        <w:instrText xml:space="preserve"> ADDIN ZOTERO_ITEM CSL_CITATION {"citationID":"pZmBHCGs","properties":{"formattedCitation":"Amy Nelson Burnett, \\uc0\\u8216{}That These Words of Christ, \\uc0\\u8220{}This Is My Body,\\uc0\\u8221{} Etc., Still Stand Firm Against the Fanatics\\uc0\\u8217{}, in {\\i{}The Annotated Luther, Volume 3}, ed. Paul W. Robinson et al., Church and Sacraments (1517 Media, 2016), 163\\uc0\\u8211{}274, https://doi.org/10.2307/j.ctt19qgfvv.9.","plainCitation":"Amy Nelson Burnett, ‘That These Words of Christ, “This Is My Body,” Etc., Still Stand Firm Against the Fanatics’, in The Annotated Luther, Volume 3, ed. Paul W. Robinson et al., Church and Sacraments (1517 Media, 2016), 163–274, https://doi.org/10.2307/j.ctt19qgfvv.9.","dontUpdate":true,"noteIndex":92},"citationItems":[{"id":3349,"uris":["http://zotero.org/users/7540819/items/W3TW3JF7"],"itemData":{"id":3349,"type":"chapter","abstract":"The Evangelical movement was united in its opposition to the Roman church, but by the mid-1520s it was fragmenting as disagreements in theology and practice emerged. None of these disagreements would be more important for the development of Protestantism than the eucharistic controversy that began in the fall of 1524. Underlying that controversy was the question of how Evangelicals defined heresy. Catholics denounced Luther and his followers as heretics from the beginning of the Reformation, but the Evangelicals insisted that their teachings were based on the word of God and so could not be heretical. Evangelicals agreed with their Catholic","archive":"JSTOR","collection-title":"Church and Sacraments","container-title":"The Annotated Luther, Volume 3","ISBN":"978-1-4514-6271-5","note":"DOI: 10.2307/j.ctt19qgfvv.9","page":"163-274","publisher":"1517 Media","title":"That These Words of Christ, “This Is My Body,” etc., Still Stand Firm Against the Fanatics","URL":"http://www.jstor.org.ezproxy.uwtsd.ac.uk/stable/j.ctt19qgfvv.9","author":[{"family":"Burnett","given":"Amy Nelson"}],"editor":[{"family":"Robinson","given":"Paul W."},{"family":"Hillerbrand","given":"Hans J."},{"family":"Stjerna","given":"Kirsi I."},{"family":"Wengert","given":"Timothy J."}],"accessed":{"date-parts":[["2024",5,9]]},"issued":{"date-parts":[["2016"]]}}}],"schema":"https://github.com/citation-style-language/schema/raw/master/csl-citation.json"} </w:instrText>
      </w:r>
      <w:r>
        <w:fldChar w:fldCharType="separate"/>
      </w:r>
      <w:r w:rsidRPr="00BA1D44">
        <w:rPr>
          <w:rFonts w:ascii="Calibri" w:cs="Calibri"/>
        </w:rPr>
        <w:t xml:space="preserve">Amy Nelson Burnett, ‘That These Words of Christ, “This Is My Body,” Etc., Still Stand Firm Against the Fanatics’, in </w:t>
      </w:r>
      <w:r w:rsidRPr="00BA1D44">
        <w:rPr>
          <w:rFonts w:ascii="Calibri" w:cs="Calibri"/>
          <w:i/>
          <w:iCs/>
        </w:rPr>
        <w:t>The Annotated Luther, Volume 3</w:t>
      </w:r>
      <w:r w:rsidRPr="00BA1D44">
        <w:rPr>
          <w:rFonts w:ascii="Calibri" w:cs="Calibri"/>
        </w:rPr>
        <w:t xml:space="preserve">, ed. Paul W. Robinson et al., Church and Sacraments (1517 Media, 2016), </w:t>
      </w:r>
      <w:r>
        <w:rPr>
          <w:rFonts w:ascii="Calibri" w:cs="Calibri"/>
        </w:rPr>
        <w:t>183</w:t>
      </w:r>
      <w:r w:rsidRPr="00BA1D44">
        <w:rPr>
          <w:rFonts w:ascii="Calibri" w:cs="Calibri"/>
        </w:rPr>
        <w:t>, https://doi.org/10.2307/j.ctt19qgfvv.9.</w:t>
      </w:r>
      <w:r>
        <w:fldChar w:fldCharType="end"/>
      </w:r>
    </w:p>
  </w:footnote>
  <w:footnote w:id="93">
    <w:p w:rsidR="008011A0" w:rsidRDefault="008011A0" w:rsidP="008011A0">
      <w:pPr>
        <w:pStyle w:val="FootnoteText"/>
      </w:pPr>
      <w:r w:rsidRPr="00AB1AE4">
        <w:rPr>
          <w:rStyle w:val="FootnoteReference"/>
        </w:rPr>
        <w:footnoteRef/>
      </w:r>
      <w:r>
        <w:t xml:space="preserve"> </w:t>
      </w:r>
      <w:r>
        <w:fldChar w:fldCharType="begin"/>
      </w:r>
      <w:r w:rsidR="003E7C85">
        <w:instrText xml:space="preserve"> ADDIN ZOTERO_ITEM CSL_CITATION {"citationID":"hkMOAZT8","properties":{"formattedCitation":"Calvin, {\\i{}Institutes of the Christian Religion}.","plainCitation":"Calvin, Institutes of the Christian Religion.","dontUpdate":true,"noteIndex":93},"citationItems":[{"id":3266,"uris":["http://zotero.org/users/7540819/items/TK5LHU63"],"itemData":{"id":3266,"type":"book","collection-title":"The library of Christian classics","event-place":"Louisville, Ky. London","ISBN":"978-0-664-22028-0","language":"eng","number-of-volumes":"2","publisher":"Westminster John Knox Press","publisher-place":"Louisville, Ky. London","source":"K10plus ISBN","title":"Institutes of the Christian religion","volume":"2","author":[{"family":"Calvin","given":"Jean"}],"editor":[{"family":"McNeill","given":"John Thomas"}],"translator":[{"family":"Battles","given":"Ford Lewis"}],"issued":{"date-parts":[["1960"]]}}}],"schema":"https://github.com/citation-style-language/schema/raw/master/csl-citation.json"} </w:instrText>
      </w:r>
      <w:r>
        <w:fldChar w:fldCharType="separate"/>
      </w:r>
      <w:r w:rsidRPr="0074383E">
        <w:rPr>
          <w:rFonts w:ascii="Calibri" w:cs="Calibri"/>
        </w:rPr>
        <w:t xml:space="preserve">Calvin, </w:t>
      </w:r>
      <w:r w:rsidRPr="0074383E">
        <w:rPr>
          <w:rFonts w:ascii="Calibri" w:cs="Calibri"/>
          <w:i/>
          <w:iCs/>
        </w:rPr>
        <w:t>Institutes of the Christian Religion</w:t>
      </w:r>
      <w:r>
        <w:rPr>
          <w:rFonts w:ascii="Calibri" w:cs="Calibri"/>
          <w:i/>
          <w:iCs/>
        </w:rPr>
        <w:t xml:space="preserve">, </w:t>
      </w:r>
      <w:r>
        <w:rPr>
          <w:rFonts w:ascii="Calibri" w:cs="Calibri"/>
        </w:rPr>
        <w:t>4.17.32</w:t>
      </w:r>
      <w:r w:rsidRPr="0074383E">
        <w:rPr>
          <w:rFonts w:ascii="Calibri" w:cs="Calibri"/>
        </w:rPr>
        <w:t>.</w:t>
      </w:r>
      <w:r>
        <w:fldChar w:fldCharType="end"/>
      </w:r>
    </w:p>
  </w:footnote>
  <w:footnote w:id="94">
    <w:p w:rsidR="00220184" w:rsidRDefault="00220184" w:rsidP="00220184">
      <w:pPr>
        <w:pStyle w:val="FootnoteText"/>
      </w:pPr>
      <w:r w:rsidRPr="00AB1AE4">
        <w:rPr>
          <w:rStyle w:val="FootnoteReference"/>
        </w:rPr>
        <w:footnoteRef/>
      </w:r>
      <w:r>
        <w:t xml:space="preserve"> See extracts from </w:t>
      </w:r>
      <w:r>
        <w:rPr>
          <w:rFonts w:cstheme="minorHAnsi"/>
          <w:i/>
          <w:iCs/>
        </w:rPr>
        <w:t xml:space="preserve">An Answer Unto a Crafty and </w:t>
      </w:r>
      <w:proofErr w:type="spellStart"/>
      <w:r>
        <w:rPr>
          <w:rFonts w:cstheme="minorHAnsi"/>
          <w:i/>
          <w:iCs/>
        </w:rPr>
        <w:t>Sophistical</w:t>
      </w:r>
      <w:proofErr w:type="spellEnd"/>
      <w:r>
        <w:rPr>
          <w:rFonts w:cstheme="minorHAnsi"/>
          <w:i/>
          <w:iCs/>
        </w:rPr>
        <w:t xml:space="preserve"> Cavillation, Devised by Thomas Gardiner </w:t>
      </w:r>
      <w:r>
        <w:rPr>
          <w:rFonts w:cstheme="minorHAnsi"/>
        </w:rPr>
        <w:t xml:space="preserve">in </w:t>
      </w:r>
      <w:r>
        <w:rPr>
          <w:rFonts w:cstheme="minorHAnsi"/>
        </w:rPr>
        <w:fldChar w:fldCharType="begin"/>
      </w:r>
      <w:r w:rsidR="005A3DFD">
        <w:rPr>
          <w:rFonts w:cstheme="minorHAnsi"/>
        </w:rPr>
        <w:instrText xml:space="preserve"> ADDIN ZOTERO_ITEM CSL_CITATION {"citationID":"pZUeyyCQ","properties":{"formattedCitation":"Meyer, {\\i{}Cranmer\\uc0\\u8217{}s Selected Writings}.","plainCitation":"Meyer, Cranmer’s Selected Writings.","dontUpdate":true,"noteIndex":94},"citationItems":[{"id":3265,"uris":["http://zotero.org/users/7540819/items/7I4L23GP"],"itemData":{"id":3265,"type":"book","event-place":"London","publisher":"SPCK","publisher-place":"London","title":"Cranmer's Selected Writings","author":[{"family":"Meyer","given":"Carl S."}],"issued":{"date-parts":[["1961"]]}}}],"schema":"https://github.com/citation-style-language/schema/raw/master/csl-citation.json"} </w:instrText>
      </w:r>
      <w:r>
        <w:rPr>
          <w:rFonts w:cstheme="minorHAnsi"/>
        </w:rPr>
        <w:fldChar w:fldCharType="separate"/>
      </w:r>
      <w:r w:rsidRPr="00C17005">
        <w:rPr>
          <w:rFonts w:ascii="Calibri" w:cs="Calibri"/>
        </w:rPr>
        <w:t xml:space="preserve">Meyer, </w:t>
      </w:r>
      <w:r w:rsidRPr="00C17005">
        <w:rPr>
          <w:rFonts w:ascii="Calibri" w:cs="Calibri"/>
          <w:i/>
          <w:iCs/>
        </w:rPr>
        <w:t>Cranmer’s Selected Writings</w:t>
      </w:r>
      <w:r>
        <w:rPr>
          <w:rFonts w:ascii="Calibri" w:cs="Calibri"/>
          <w:i/>
          <w:iCs/>
        </w:rPr>
        <w:t xml:space="preserve">, </w:t>
      </w:r>
      <w:r>
        <w:rPr>
          <w:rFonts w:ascii="Calibri" w:cs="Calibri"/>
        </w:rPr>
        <w:t>53</w:t>
      </w:r>
      <w:r w:rsidRPr="00C17005">
        <w:rPr>
          <w:rFonts w:ascii="Calibri" w:cs="Calibri"/>
        </w:rPr>
        <w:t>.</w:t>
      </w:r>
      <w:r>
        <w:rPr>
          <w:rFonts w:cstheme="minorHAnsi"/>
        </w:rPr>
        <w:fldChar w:fldCharType="end"/>
      </w:r>
      <w:r>
        <w:rPr>
          <w:rFonts w:cstheme="minorHAnsi"/>
        </w:rPr>
        <w:t xml:space="preserve"> (my italics)</w:t>
      </w:r>
    </w:p>
  </w:footnote>
  <w:footnote w:id="95">
    <w:p w:rsidR="00220184" w:rsidRDefault="00220184" w:rsidP="00220184">
      <w:pPr>
        <w:pStyle w:val="FootnoteText"/>
      </w:pPr>
      <w:r w:rsidRPr="00AB1AE4">
        <w:rPr>
          <w:rStyle w:val="FootnoteReference"/>
        </w:rPr>
        <w:footnoteRef/>
      </w:r>
      <w:r>
        <w:t xml:space="preserve"> </w:t>
      </w:r>
      <w:r>
        <w:fldChar w:fldCharType="begin"/>
      </w:r>
      <w:r w:rsidR="005A3DFD">
        <w:instrText xml:space="preserve"> ADDIN ZOTERO_ITEM CSL_CITATION {"citationID":"M6CSUGTK","properties":{"formattedCitation":"MacCulloch.","plainCitation":"MacCulloch.","dontUpdate":true,"noteIndex":95},"citationItems":[{"id":3357,"uris":["http://zotero.org/users/7540819/items/DJ7W4DLQ"],"itemData":{"id":3357,"type":"book","event-place":"New Haven (Conn.)","ISBN":"978-0-300-06688-3","language":"eng","publisher":"Yale university press","publisher-place":"New Haven (Conn.)","source":"BnF ISBN","title":"Thomas Cranmer: a life","title-short":"Thomas Cranmer","author":[{"family":"MacCulloch","given":"Diarmaid"}],"issued":{"date-parts":[["1996"]]}}}],"schema":"https://github.com/citation-style-language/schema/raw/master/csl-citation.json"} </w:instrText>
      </w:r>
      <w:r>
        <w:fldChar w:fldCharType="separate"/>
      </w:r>
      <w:r>
        <w:rPr>
          <w:noProof/>
        </w:rPr>
        <w:t>MacCulloch, 615.</w:t>
      </w:r>
      <w:r>
        <w:fldChar w:fldCharType="end"/>
      </w:r>
    </w:p>
  </w:footnote>
  <w:footnote w:id="96">
    <w:p w:rsidR="00A0177F" w:rsidRDefault="00A0177F" w:rsidP="00A0177F">
      <w:pPr>
        <w:pStyle w:val="FootnoteText"/>
      </w:pPr>
      <w:r w:rsidRPr="00AB1AE4">
        <w:rPr>
          <w:rStyle w:val="FootnoteReference"/>
        </w:rPr>
        <w:footnoteRef/>
      </w:r>
      <w:r>
        <w:t xml:space="preserve"> </w:t>
      </w:r>
      <w:r>
        <w:fldChar w:fldCharType="begin"/>
      </w:r>
      <w:r w:rsidR="005A3DFD">
        <w:instrText xml:space="preserve"> ADDIN ZOTERO_ITEM CSL_CITATION {"citationID":"nnSSnpXL","properties":{"formattedCitation":"MacCulloch.","plainCitation":"MacCulloch.","dontUpdate":true,"noteIndex":96},"citationItems":[{"id":3357,"uris":["http://zotero.org/users/7540819/items/DJ7W4DLQ"],"itemData":{"id":3357,"type":"book","event-place":"New Haven (Conn.)","ISBN":"978-0-300-06688-3","language":"eng","publisher":"Yale university press","publisher-place":"New Haven (Conn.)","source":"BnF ISBN","title":"Thomas Cranmer: a life","title-short":"Thomas Cranmer","author":[{"family":"MacCulloch","given":"Diarmaid"}],"issued":{"date-parts":[["1996"]]}}}],"schema":"https://github.com/citation-style-language/schema/raw/master/csl-citation.json"} </w:instrText>
      </w:r>
      <w:r>
        <w:fldChar w:fldCharType="separate"/>
      </w:r>
      <w:r>
        <w:rPr>
          <w:noProof/>
        </w:rPr>
        <w:t>MacCulloch, 615.</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74270" w:rsidRDefault="00E74270" w:rsidP="00E74270">
    <w:pPr>
      <w:pStyle w:val="BodyA"/>
    </w:pPr>
    <w:r>
      <w:t>HPRS70</w:t>
    </w:r>
    <w:r w:rsidR="00A634DD">
      <w:t>20</w:t>
    </w:r>
    <w:r>
      <w:t xml:space="preserve"> Assignment </w:t>
    </w:r>
    <w:r w:rsidR="00706377">
      <w:t>2</w:t>
    </w:r>
    <w:r>
      <w:t xml:space="preserve">: </w:t>
    </w:r>
    <w:r w:rsidR="00706377">
      <w:t>Essay</w:t>
    </w:r>
    <w:r>
      <w:tab/>
    </w:r>
    <w:r>
      <w:tab/>
    </w:r>
    <w:r>
      <w:tab/>
    </w:r>
    <w:r w:rsidR="00706377">
      <w:tab/>
    </w:r>
    <w:r w:rsidR="00706377">
      <w:tab/>
    </w:r>
    <w:r w:rsidR="00706377">
      <w:tab/>
    </w:r>
    <w:r>
      <w:t>Douglas Spenceley</w:t>
    </w:r>
  </w:p>
  <w:p w:rsidR="00E74270" w:rsidRDefault="00E74270" w:rsidP="00E74270">
    <w:pPr>
      <w:pStyle w:val="BodyA"/>
      <w:jc w:val="right"/>
    </w:pPr>
    <w:r>
      <w:t>Student ID: 2026303</w:t>
    </w:r>
  </w:p>
  <w:p w:rsidR="00E74270" w:rsidRPr="000C2EF0" w:rsidRDefault="000C2EF0" w:rsidP="000C2EF0">
    <w:pPr>
      <w:pBdr>
        <w:top w:val="none" w:sz="0" w:space="0" w:color="auto"/>
        <w:left w:val="none" w:sz="0" w:space="0" w:color="auto"/>
        <w:bottom w:val="none" w:sz="0" w:space="0" w:color="auto"/>
        <w:right w:val="none" w:sz="0" w:space="0" w:color="auto"/>
        <w:between w:val="none" w:sz="0" w:space="0" w:color="auto"/>
        <w:bar w:val="none" w:sz="0" w:color="auto"/>
      </w:pBdr>
      <w:ind w:firstLine="426"/>
      <w:jc w:val="center"/>
      <w:rPr>
        <w:rFonts w:asciiTheme="minorHAnsi" w:eastAsia="Times New Roman" w:hAnsiTheme="minorHAnsi" w:cstheme="minorHAnsi"/>
        <w:b/>
        <w:bCs/>
        <w:lang w:eastAsia="en-GB"/>
      </w:rPr>
    </w:pPr>
    <w:r w:rsidRPr="005B6B57">
      <w:rPr>
        <w:rFonts w:asciiTheme="minorHAnsi" w:eastAsia="Times New Roman" w:hAnsiTheme="minorHAnsi" w:cstheme="minorHAnsi"/>
        <w:b/>
        <w:bCs/>
        <w:lang w:eastAsia="en-GB"/>
      </w:rPr>
      <w:t>How does the Church participate in the saving power of Christ’s body through the Eucharist?</w:t>
    </w:r>
    <w:r w:rsidR="001D31C5" w:rsidRPr="005B6B57">
      <w:rPr>
        <w:rFonts w:asciiTheme="minorHAnsi" w:eastAsia="Times New Roman" w:hAnsiTheme="minorHAnsi" w:cstheme="minorHAnsi"/>
        <w:b/>
        <w:bCs/>
        <w:lang w:eastAsia="en-GB"/>
      </w:rPr>
      <w:t xml:space="preserve"> </w:t>
    </w:r>
    <w:r w:rsidR="00981001" w:rsidRPr="005B6B57">
      <w:rPr>
        <w:rFonts w:asciiTheme="minorHAnsi" w:eastAsia="Times New Roman" w:hAnsiTheme="minorHAnsi" w:cstheme="minorHAnsi"/>
        <w:color w:val="1D2125"/>
        <w:lang w:eastAsia="en-GB"/>
      </w:rPr>
      <w:t>Luther, Calvin and Cranmer in the 16</w:t>
    </w:r>
    <w:r w:rsidR="00981001" w:rsidRPr="005B6B57">
      <w:rPr>
        <w:rFonts w:asciiTheme="minorHAnsi" w:eastAsia="Times New Roman" w:hAnsiTheme="minorHAnsi" w:cstheme="minorHAnsi"/>
        <w:color w:val="1D2125"/>
        <w:vertAlign w:val="superscript"/>
        <w:lang w:eastAsia="en-GB"/>
      </w:rPr>
      <w:t>th</w:t>
    </w:r>
    <w:r w:rsidR="00CF51BE" w:rsidRPr="005B6B57">
      <w:rPr>
        <w:rFonts w:asciiTheme="minorHAnsi" w:eastAsia="Times New Roman" w:hAnsiTheme="minorHAnsi" w:cstheme="minorHAnsi"/>
        <w:color w:val="1D2125"/>
        <w:lang w:eastAsia="en-GB"/>
      </w:rPr>
      <w:t xml:space="preserve"> century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7032"/>
    <w:multiLevelType w:val="hybridMultilevel"/>
    <w:tmpl w:val="477E341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FA1896"/>
    <w:multiLevelType w:val="hybridMultilevel"/>
    <w:tmpl w:val="ABE4D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3F596F"/>
    <w:multiLevelType w:val="hybridMultilevel"/>
    <w:tmpl w:val="7A244B92"/>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F75B63"/>
    <w:multiLevelType w:val="hybridMultilevel"/>
    <w:tmpl w:val="69869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865BCE"/>
    <w:multiLevelType w:val="hybridMultilevel"/>
    <w:tmpl w:val="611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F33C1"/>
    <w:multiLevelType w:val="hybridMultilevel"/>
    <w:tmpl w:val="6704A540"/>
    <w:lvl w:ilvl="0" w:tplc="08090001">
      <w:start w:val="1"/>
      <w:numFmt w:val="bullet"/>
      <w:lvlText w:val=""/>
      <w:lvlJc w:val="left"/>
      <w:pPr>
        <w:ind w:left="1134" w:hanging="360"/>
      </w:pPr>
      <w:rPr>
        <w:rFonts w:ascii="Symbol" w:hAnsi="Symbol" w:hint="default"/>
      </w:rPr>
    </w:lvl>
    <w:lvl w:ilvl="1" w:tplc="08090003" w:tentative="1">
      <w:start w:val="1"/>
      <w:numFmt w:val="bullet"/>
      <w:lvlText w:val="o"/>
      <w:lvlJc w:val="left"/>
      <w:pPr>
        <w:ind w:left="1854" w:hanging="360"/>
      </w:pPr>
      <w:rPr>
        <w:rFonts w:ascii="Courier New" w:hAnsi="Courier New" w:cs="Courier New" w:hint="default"/>
      </w:rPr>
    </w:lvl>
    <w:lvl w:ilvl="2" w:tplc="08090005" w:tentative="1">
      <w:start w:val="1"/>
      <w:numFmt w:val="bullet"/>
      <w:lvlText w:val=""/>
      <w:lvlJc w:val="left"/>
      <w:pPr>
        <w:ind w:left="2574" w:hanging="360"/>
      </w:pPr>
      <w:rPr>
        <w:rFonts w:ascii="Wingdings" w:hAnsi="Wingdings" w:hint="default"/>
      </w:rPr>
    </w:lvl>
    <w:lvl w:ilvl="3" w:tplc="08090001" w:tentative="1">
      <w:start w:val="1"/>
      <w:numFmt w:val="bullet"/>
      <w:lvlText w:val=""/>
      <w:lvlJc w:val="left"/>
      <w:pPr>
        <w:ind w:left="3294" w:hanging="360"/>
      </w:pPr>
      <w:rPr>
        <w:rFonts w:ascii="Symbol" w:hAnsi="Symbol" w:hint="default"/>
      </w:rPr>
    </w:lvl>
    <w:lvl w:ilvl="4" w:tplc="08090003" w:tentative="1">
      <w:start w:val="1"/>
      <w:numFmt w:val="bullet"/>
      <w:lvlText w:val="o"/>
      <w:lvlJc w:val="left"/>
      <w:pPr>
        <w:ind w:left="4014" w:hanging="360"/>
      </w:pPr>
      <w:rPr>
        <w:rFonts w:ascii="Courier New" w:hAnsi="Courier New" w:cs="Courier New" w:hint="default"/>
      </w:rPr>
    </w:lvl>
    <w:lvl w:ilvl="5" w:tplc="08090005" w:tentative="1">
      <w:start w:val="1"/>
      <w:numFmt w:val="bullet"/>
      <w:lvlText w:val=""/>
      <w:lvlJc w:val="left"/>
      <w:pPr>
        <w:ind w:left="4734" w:hanging="360"/>
      </w:pPr>
      <w:rPr>
        <w:rFonts w:ascii="Wingdings" w:hAnsi="Wingdings" w:hint="default"/>
      </w:rPr>
    </w:lvl>
    <w:lvl w:ilvl="6" w:tplc="08090001" w:tentative="1">
      <w:start w:val="1"/>
      <w:numFmt w:val="bullet"/>
      <w:lvlText w:val=""/>
      <w:lvlJc w:val="left"/>
      <w:pPr>
        <w:ind w:left="5454" w:hanging="360"/>
      </w:pPr>
      <w:rPr>
        <w:rFonts w:ascii="Symbol" w:hAnsi="Symbol" w:hint="default"/>
      </w:rPr>
    </w:lvl>
    <w:lvl w:ilvl="7" w:tplc="08090003" w:tentative="1">
      <w:start w:val="1"/>
      <w:numFmt w:val="bullet"/>
      <w:lvlText w:val="o"/>
      <w:lvlJc w:val="left"/>
      <w:pPr>
        <w:ind w:left="6174" w:hanging="360"/>
      </w:pPr>
      <w:rPr>
        <w:rFonts w:ascii="Courier New" w:hAnsi="Courier New" w:cs="Courier New" w:hint="default"/>
      </w:rPr>
    </w:lvl>
    <w:lvl w:ilvl="8" w:tplc="08090005" w:tentative="1">
      <w:start w:val="1"/>
      <w:numFmt w:val="bullet"/>
      <w:lvlText w:val=""/>
      <w:lvlJc w:val="left"/>
      <w:pPr>
        <w:ind w:left="6894" w:hanging="360"/>
      </w:pPr>
      <w:rPr>
        <w:rFonts w:ascii="Wingdings" w:hAnsi="Wingdings" w:hint="default"/>
      </w:rPr>
    </w:lvl>
  </w:abstractNum>
  <w:abstractNum w:abstractNumId="6" w15:restartNumberingAfterBreak="0">
    <w:nsid w:val="2F0C1972"/>
    <w:multiLevelType w:val="hybridMultilevel"/>
    <w:tmpl w:val="69EE3D20"/>
    <w:lvl w:ilvl="0" w:tplc="0D1423E4">
      <w:start w:val="1"/>
      <w:numFmt w:val="lowerLetter"/>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4C36513"/>
    <w:multiLevelType w:val="hybridMultilevel"/>
    <w:tmpl w:val="FC980384"/>
    <w:lvl w:ilvl="0" w:tplc="2D268D0E">
      <w:start w:val="405"/>
      <w:numFmt w:val="decimal"/>
      <w:lvlText w:val="(%1"/>
      <w:lvlJc w:val="left"/>
      <w:pPr>
        <w:ind w:left="906" w:hanging="48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52D86BA2"/>
    <w:multiLevelType w:val="hybridMultilevel"/>
    <w:tmpl w:val="3A52B076"/>
    <w:lvl w:ilvl="0" w:tplc="E4B44AA0">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533C6E2D"/>
    <w:multiLevelType w:val="hybridMultilevel"/>
    <w:tmpl w:val="12E88FA8"/>
    <w:lvl w:ilvl="0" w:tplc="306E59A2">
      <w:start w:val="1"/>
      <w:numFmt w:val="lowerLetter"/>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57F51949"/>
    <w:multiLevelType w:val="hybridMultilevel"/>
    <w:tmpl w:val="72349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A1566B"/>
    <w:multiLevelType w:val="hybridMultilevel"/>
    <w:tmpl w:val="38A457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8B00D94"/>
    <w:multiLevelType w:val="hybridMultilevel"/>
    <w:tmpl w:val="7222045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965A59"/>
    <w:multiLevelType w:val="hybridMultilevel"/>
    <w:tmpl w:val="ADC6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97513F"/>
    <w:multiLevelType w:val="hybridMultilevel"/>
    <w:tmpl w:val="42DEA390"/>
    <w:lvl w:ilvl="0" w:tplc="08090001">
      <w:start w:val="1"/>
      <w:numFmt w:val="bullet"/>
      <w:lvlText w:val=""/>
      <w:lvlJc w:val="left"/>
      <w:pPr>
        <w:ind w:left="1429" w:hanging="360"/>
      </w:pPr>
      <w:rPr>
        <w:rFonts w:ascii="Symbol" w:hAnsi="Symbol" w:hint="default"/>
      </w:rPr>
    </w:lvl>
    <w:lvl w:ilvl="1" w:tplc="08090003">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6BCC4973"/>
    <w:multiLevelType w:val="hybridMultilevel"/>
    <w:tmpl w:val="F2DEE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8F7698"/>
    <w:multiLevelType w:val="hybridMultilevel"/>
    <w:tmpl w:val="D4E4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D2425E"/>
    <w:multiLevelType w:val="hybridMultilevel"/>
    <w:tmpl w:val="41443590"/>
    <w:lvl w:ilvl="0" w:tplc="B4D02EC2">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8" w15:restartNumberingAfterBreak="0">
    <w:nsid w:val="7EB2359C"/>
    <w:multiLevelType w:val="multilevel"/>
    <w:tmpl w:val="E5D23C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458381">
    <w:abstractNumId w:val="16"/>
  </w:num>
  <w:num w:numId="2" w16cid:durableId="1139037611">
    <w:abstractNumId w:val="10"/>
  </w:num>
  <w:num w:numId="3" w16cid:durableId="1831481594">
    <w:abstractNumId w:val="0"/>
  </w:num>
  <w:num w:numId="4" w16cid:durableId="564032410">
    <w:abstractNumId w:val="4"/>
  </w:num>
  <w:num w:numId="5" w16cid:durableId="474832035">
    <w:abstractNumId w:val="3"/>
  </w:num>
  <w:num w:numId="6" w16cid:durableId="612714511">
    <w:abstractNumId w:val="5"/>
  </w:num>
  <w:num w:numId="7" w16cid:durableId="1320113860">
    <w:abstractNumId w:val="14"/>
  </w:num>
  <w:num w:numId="8" w16cid:durableId="252975362">
    <w:abstractNumId w:val="9"/>
  </w:num>
  <w:num w:numId="9" w16cid:durableId="1213736754">
    <w:abstractNumId w:val="17"/>
  </w:num>
  <w:num w:numId="10" w16cid:durableId="653729000">
    <w:abstractNumId w:val="18"/>
  </w:num>
  <w:num w:numId="11" w16cid:durableId="60567476">
    <w:abstractNumId w:val="2"/>
  </w:num>
  <w:num w:numId="12" w16cid:durableId="75055776">
    <w:abstractNumId w:val="12"/>
  </w:num>
  <w:num w:numId="13" w16cid:durableId="140120371">
    <w:abstractNumId w:val="6"/>
  </w:num>
  <w:num w:numId="14" w16cid:durableId="375206273">
    <w:abstractNumId w:val="13"/>
  </w:num>
  <w:num w:numId="15" w16cid:durableId="733742105">
    <w:abstractNumId w:val="15"/>
  </w:num>
  <w:num w:numId="16" w16cid:durableId="245192759">
    <w:abstractNumId w:val="8"/>
  </w:num>
  <w:num w:numId="17" w16cid:durableId="1780181674">
    <w:abstractNumId w:val="11"/>
  </w:num>
  <w:num w:numId="18" w16cid:durableId="1301182121">
    <w:abstractNumId w:val="1"/>
  </w:num>
  <w:num w:numId="19" w16cid:durableId="20432845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74"/>
    <w:rsid w:val="00000DE0"/>
    <w:rsid w:val="00002762"/>
    <w:rsid w:val="000075A5"/>
    <w:rsid w:val="00007C01"/>
    <w:rsid w:val="00007EB2"/>
    <w:rsid w:val="00010560"/>
    <w:rsid w:val="00013BE6"/>
    <w:rsid w:val="00013DAB"/>
    <w:rsid w:val="00017954"/>
    <w:rsid w:val="00017EDF"/>
    <w:rsid w:val="000204F8"/>
    <w:rsid w:val="00020CE1"/>
    <w:rsid w:val="000250C1"/>
    <w:rsid w:val="00025BDB"/>
    <w:rsid w:val="00031CB6"/>
    <w:rsid w:val="00032253"/>
    <w:rsid w:val="00042BF0"/>
    <w:rsid w:val="000437CE"/>
    <w:rsid w:val="000442F0"/>
    <w:rsid w:val="000449BA"/>
    <w:rsid w:val="000450E1"/>
    <w:rsid w:val="00046D78"/>
    <w:rsid w:val="000575F0"/>
    <w:rsid w:val="00063A63"/>
    <w:rsid w:val="000651D9"/>
    <w:rsid w:val="00071AB2"/>
    <w:rsid w:val="000763CF"/>
    <w:rsid w:val="00077CB8"/>
    <w:rsid w:val="00080005"/>
    <w:rsid w:val="00082079"/>
    <w:rsid w:val="00083CA0"/>
    <w:rsid w:val="00084905"/>
    <w:rsid w:val="00084C9F"/>
    <w:rsid w:val="000860F5"/>
    <w:rsid w:val="00087147"/>
    <w:rsid w:val="00087D2F"/>
    <w:rsid w:val="00093CE8"/>
    <w:rsid w:val="000A11CD"/>
    <w:rsid w:val="000A1917"/>
    <w:rsid w:val="000A2375"/>
    <w:rsid w:val="000A2A7D"/>
    <w:rsid w:val="000A47F9"/>
    <w:rsid w:val="000A54A1"/>
    <w:rsid w:val="000A5951"/>
    <w:rsid w:val="000B1B75"/>
    <w:rsid w:val="000B273B"/>
    <w:rsid w:val="000B3156"/>
    <w:rsid w:val="000B44A3"/>
    <w:rsid w:val="000B69D9"/>
    <w:rsid w:val="000C2EF0"/>
    <w:rsid w:val="000C3C02"/>
    <w:rsid w:val="000D0816"/>
    <w:rsid w:val="000D1D2D"/>
    <w:rsid w:val="000D20C3"/>
    <w:rsid w:val="000D32D4"/>
    <w:rsid w:val="000D3559"/>
    <w:rsid w:val="000D438B"/>
    <w:rsid w:val="000D6EB0"/>
    <w:rsid w:val="000E0182"/>
    <w:rsid w:val="000E1E7A"/>
    <w:rsid w:val="000E2C15"/>
    <w:rsid w:val="000E790D"/>
    <w:rsid w:val="000F0C51"/>
    <w:rsid w:val="000F3D01"/>
    <w:rsid w:val="000F4598"/>
    <w:rsid w:val="000F547D"/>
    <w:rsid w:val="000F7737"/>
    <w:rsid w:val="00100FDF"/>
    <w:rsid w:val="00102969"/>
    <w:rsid w:val="00102D3B"/>
    <w:rsid w:val="00103D86"/>
    <w:rsid w:val="00105086"/>
    <w:rsid w:val="00106319"/>
    <w:rsid w:val="00112144"/>
    <w:rsid w:val="00113124"/>
    <w:rsid w:val="00115974"/>
    <w:rsid w:val="0012010A"/>
    <w:rsid w:val="0012073D"/>
    <w:rsid w:val="0012307C"/>
    <w:rsid w:val="00124CD5"/>
    <w:rsid w:val="001254D0"/>
    <w:rsid w:val="00125F2E"/>
    <w:rsid w:val="00126338"/>
    <w:rsid w:val="00130D8F"/>
    <w:rsid w:val="00131A86"/>
    <w:rsid w:val="00136236"/>
    <w:rsid w:val="00142A8D"/>
    <w:rsid w:val="00144090"/>
    <w:rsid w:val="00145873"/>
    <w:rsid w:val="00150990"/>
    <w:rsid w:val="0015142A"/>
    <w:rsid w:val="00151504"/>
    <w:rsid w:val="0015451E"/>
    <w:rsid w:val="00154908"/>
    <w:rsid w:val="00155026"/>
    <w:rsid w:val="00160537"/>
    <w:rsid w:val="001624EC"/>
    <w:rsid w:val="0016300D"/>
    <w:rsid w:val="00163887"/>
    <w:rsid w:val="001702CE"/>
    <w:rsid w:val="00170906"/>
    <w:rsid w:val="00171A5C"/>
    <w:rsid w:val="00171D67"/>
    <w:rsid w:val="00171FD8"/>
    <w:rsid w:val="0017263A"/>
    <w:rsid w:val="00172B7E"/>
    <w:rsid w:val="001743FF"/>
    <w:rsid w:val="00175616"/>
    <w:rsid w:val="001764B2"/>
    <w:rsid w:val="001826F1"/>
    <w:rsid w:val="00185296"/>
    <w:rsid w:val="00186DDC"/>
    <w:rsid w:val="0019081E"/>
    <w:rsid w:val="001916B1"/>
    <w:rsid w:val="00193CC0"/>
    <w:rsid w:val="0019415A"/>
    <w:rsid w:val="0019482B"/>
    <w:rsid w:val="0019500F"/>
    <w:rsid w:val="00195E14"/>
    <w:rsid w:val="00197FE4"/>
    <w:rsid w:val="001A0C16"/>
    <w:rsid w:val="001A5D07"/>
    <w:rsid w:val="001A7994"/>
    <w:rsid w:val="001B365E"/>
    <w:rsid w:val="001B3B60"/>
    <w:rsid w:val="001B4084"/>
    <w:rsid w:val="001B59D3"/>
    <w:rsid w:val="001B5B91"/>
    <w:rsid w:val="001B70B3"/>
    <w:rsid w:val="001B7DD4"/>
    <w:rsid w:val="001C06D6"/>
    <w:rsid w:val="001C555C"/>
    <w:rsid w:val="001C6DF8"/>
    <w:rsid w:val="001C7B11"/>
    <w:rsid w:val="001D22AD"/>
    <w:rsid w:val="001D31C5"/>
    <w:rsid w:val="001D3DD1"/>
    <w:rsid w:val="001D60AF"/>
    <w:rsid w:val="001D7756"/>
    <w:rsid w:val="001E1FDA"/>
    <w:rsid w:val="001E2225"/>
    <w:rsid w:val="001E4DCB"/>
    <w:rsid w:val="001E4DDF"/>
    <w:rsid w:val="001E554C"/>
    <w:rsid w:val="001E7DFD"/>
    <w:rsid w:val="001F1A26"/>
    <w:rsid w:val="001F240B"/>
    <w:rsid w:val="001F3483"/>
    <w:rsid w:val="001F3CCD"/>
    <w:rsid w:val="001F3E44"/>
    <w:rsid w:val="001F4A6E"/>
    <w:rsid w:val="001F4F08"/>
    <w:rsid w:val="001F514A"/>
    <w:rsid w:val="001F5A74"/>
    <w:rsid w:val="00200A85"/>
    <w:rsid w:val="0020244E"/>
    <w:rsid w:val="002061C4"/>
    <w:rsid w:val="00206243"/>
    <w:rsid w:val="002118DB"/>
    <w:rsid w:val="0021273C"/>
    <w:rsid w:val="00212765"/>
    <w:rsid w:val="002160AE"/>
    <w:rsid w:val="002175B0"/>
    <w:rsid w:val="00220184"/>
    <w:rsid w:val="00220B39"/>
    <w:rsid w:val="00223E63"/>
    <w:rsid w:val="0022437D"/>
    <w:rsid w:val="002303BE"/>
    <w:rsid w:val="002321F2"/>
    <w:rsid w:val="002349D5"/>
    <w:rsid w:val="00235CE5"/>
    <w:rsid w:val="0023793C"/>
    <w:rsid w:val="00242B75"/>
    <w:rsid w:val="002442FB"/>
    <w:rsid w:val="0024526E"/>
    <w:rsid w:val="002452BD"/>
    <w:rsid w:val="00246B69"/>
    <w:rsid w:val="002540CE"/>
    <w:rsid w:val="00255386"/>
    <w:rsid w:val="002634D0"/>
    <w:rsid w:val="0026452C"/>
    <w:rsid w:val="00267B1A"/>
    <w:rsid w:val="00270F18"/>
    <w:rsid w:val="0027273D"/>
    <w:rsid w:val="00272DF4"/>
    <w:rsid w:val="0027600B"/>
    <w:rsid w:val="002769ED"/>
    <w:rsid w:val="00277512"/>
    <w:rsid w:val="00283506"/>
    <w:rsid w:val="00283589"/>
    <w:rsid w:val="002837F9"/>
    <w:rsid w:val="002843ED"/>
    <w:rsid w:val="00287401"/>
    <w:rsid w:val="0029137D"/>
    <w:rsid w:val="002A001E"/>
    <w:rsid w:val="002A17BF"/>
    <w:rsid w:val="002A4356"/>
    <w:rsid w:val="002A5F73"/>
    <w:rsid w:val="002A76D3"/>
    <w:rsid w:val="002B0AA9"/>
    <w:rsid w:val="002B5403"/>
    <w:rsid w:val="002B55FA"/>
    <w:rsid w:val="002B5831"/>
    <w:rsid w:val="002B702F"/>
    <w:rsid w:val="002B7A82"/>
    <w:rsid w:val="002B7DB4"/>
    <w:rsid w:val="002C3154"/>
    <w:rsid w:val="002C35DE"/>
    <w:rsid w:val="002C78C3"/>
    <w:rsid w:val="002D6A80"/>
    <w:rsid w:val="002D746A"/>
    <w:rsid w:val="002E18F3"/>
    <w:rsid w:val="002E224D"/>
    <w:rsid w:val="002E2771"/>
    <w:rsid w:val="002E34FC"/>
    <w:rsid w:val="002E500B"/>
    <w:rsid w:val="002E5E7F"/>
    <w:rsid w:val="002E75D5"/>
    <w:rsid w:val="002E79A0"/>
    <w:rsid w:val="002F384B"/>
    <w:rsid w:val="003020D0"/>
    <w:rsid w:val="003027D0"/>
    <w:rsid w:val="00303716"/>
    <w:rsid w:val="00303E85"/>
    <w:rsid w:val="003062A4"/>
    <w:rsid w:val="00310118"/>
    <w:rsid w:val="00310A75"/>
    <w:rsid w:val="003114B7"/>
    <w:rsid w:val="00312828"/>
    <w:rsid w:val="0031315E"/>
    <w:rsid w:val="00320F02"/>
    <w:rsid w:val="003222C3"/>
    <w:rsid w:val="0032277C"/>
    <w:rsid w:val="0032382C"/>
    <w:rsid w:val="00323C4B"/>
    <w:rsid w:val="00324125"/>
    <w:rsid w:val="00324F50"/>
    <w:rsid w:val="00325700"/>
    <w:rsid w:val="00325E0E"/>
    <w:rsid w:val="00331A03"/>
    <w:rsid w:val="00331DD4"/>
    <w:rsid w:val="00332462"/>
    <w:rsid w:val="003365F4"/>
    <w:rsid w:val="00336BB3"/>
    <w:rsid w:val="0033713F"/>
    <w:rsid w:val="00337FA8"/>
    <w:rsid w:val="003407E5"/>
    <w:rsid w:val="00341B3B"/>
    <w:rsid w:val="00342712"/>
    <w:rsid w:val="00342BEE"/>
    <w:rsid w:val="00344651"/>
    <w:rsid w:val="00351397"/>
    <w:rsid w:val="00351ACF"/>
    <w:rsid w:val="00357B25"/>
    <w:rsid w:val="00357CF6"/>
    <w:rsid w:val="003602C3"/>
    <w:rsid w:val="00362A2E"/>
    <w:rsid w:val="003648F4"/>
    <w:rsid w:val="00364F17"/>
    <w:rsid w:val="003657AF"/>
    <w:rsid w:val="00365920"/>
    <w:rsid w:val="0036702F"/>
    <w:rsid w:val="00372BE7"/>
    <w:rsid w:val="00374006"/>
    <w:rsid w:val="00374958"/>
    <w:rsid w:val="00374A6E"/>
    <w:rsid w:val="00375B67"/>
    <w:rsid w:val="003769DB"/>
    <w:rsid w:val="00377531"/>
    <w:rsid w:val="00381545"/>
    <w:rsid w:val="003822E3"/>
    <w:rsid w:val="00384001"/>
    <w:rsid w:val="00386B11"/>
    <w:rsid w:val="003875C2"/>
    <w:rsid w:val="00390570"/>
    <w:rsid w:val="003908D9"/>
    <w:rsid w:val="00391AE5"/>
    <w:rsid w:val="003925D7"/>
    <w:rsid w:val="00392C99"/>
    <w:rsid w:val="003931A6"/>
    <w:rsid w:val="003A30E2"/>
    <w:rsid w:val="003B0E21"/>
    <w:rsid w:val="003B35A7"/>
    <w:rsid w:val="003B3C92"/>
    <w:rsid w:val="003B59A0"/>
    <w:rsid w:val="003B6E8A"/>
    <w:rsid w:val="003B7318"/>
    <w:rsid w:val="003C0CAF"/>
    <w:rsid w:val="003C38E9"/>
    <w:rsid w:val="003C5517"/>
    <w:rsid w:val="003D4104"/>
    <w:rsid w:val="003D4770"/>
    <w:rsid w:val="003D7E7F"/>
    <w:rsid w:val="003E03FE"/>
    <w:rsid w:val="003E25F1"/>
    <w:rsid w:val="003E39F1"/>
    <w:rsid w:val="003E5630"/>
    <w:rsid w:val="003E59E2"/>
    <w:rsid w:val="003E7C85"/>
    <w:rsid w:val="003F1345"/>
    <w:rsid w:val="003F46BA"/>
    <w:rsid w:val="003F544C"/>
    <w:rsid w:val="003F64EC"/>
    <w:rsid w:val="003F698D"/>
    <w:rsid w:val="003F7B74"/>
    <w:rsid w:val="004002A0"/>
    <w:rsid w:val="004016CF"/>
    <w:rsid w:val="00401E95"/>
    <w:rsid w:val="00412483"/>
    <w:rsid w:val="004136FF"/>
    <w:rsid w:val="00413BA3"/>
    <w:rsid w:val="00422CAB"/>
    <w:rsid w:val="00423AC0"/>
    <w:rsid w:val="00424CF5"/>
    <w:rsid w:val="00427175"/>
    <w:rsid w:val="00431277"/>
    <w:rsid w:val="00435381"/>
    <w:rsid w:val="00437C81"/>
    <w:rsid w:val="00441AB7"/>
    <w:rsid w:val="00441F51"/>
    <w:rsid w:val="00443707"/>
    <w:rsid w:val="00443982"/>
    <w:rsid w:val="00445562"/>
    <w:rsid w:val="00446034"/>
    <w:rsid w:val="0044674A"/>
    <w:rsid w:val="00447C23"/>
    <w:rsid w:val="00450FD7"/>
    <w:rsid w:val="004521D6"/>
    <w:rsid w:val="00454C8B"/>
    <w:rsid w:val="00455A07"/>
    <w:rsid w:val="004634D6"/>
    <w:rsid w:val="004634EC"/>
    <w:rsid w:val="004635E7"/>
    <w:rsid w:val="0046463C"/>
    <w:rsid w:val="00465FAB"/>
    <w:rsid w:val="00470563"/>
    <w:rsid w:val="00470BE6"/>
    <w:rsid w:val="00472723"/>
    <w:rsid w:val="00473287"/>
    <w:rsid w:val="00474D7D"/>
    <w:rsid w:val="00476A44"/>
    <w:rsid w:val="00481644"/>
    <w:rsid w:val="00481B11"/>
    <w:rsid w:val="00484D97"/>
    <w:rsid w:val="00486352"/>
    <w:rsid w:val="00486D53"/>
    <w:rsid w:val="00487AA1"/>
    <w:rsid w:val="00487E1A"/>
    <w:rsid w:val="004910D9"/>
    <w:rsid w:val="0049248F"/>
    <w:rsid w:val="004926B6"/>
    <w:rsid w:val="004944A7"/>
    <w:rsid w:val="00495676"/>
    <w:rsid w:val="004971A8"/>
    <w:rsid w:val="00497539"/>
    <w:rsid w:val="00497996"/>
    <w:rsid w:val="00497FC3"/>
    <w:rsid w:val="004A07C4"/>
    <w:rsid w:val="004A3508"/>
    <w:rsid w:val="004A6F13"/>
    <w:rsid w:val="004A746D"/>
    <w:rsid w:val="004A778E"/>
    <w:rsid w:val="004B16D7"/>
    <w:rsid w:val="004B18F3"/>
    <w:rsid w:val="004B1944"/>
    <w:rsid w:val="004B27EC"/>
    <w:rsid w:val="004B37E2"/>
    <w:rsid w:val="004B3DFF"/>
    <w:rsid w:val="004B516A"/>
    <w:rsid w:val="004B6170"/>
    <w:rsid w:val="004B6A51"/>
    <w:rsid w:val="004C0144"/>
    <w:rsid w:val="004C3341"/>
    <w:rsid w:val="004C4BA2"/>
    <w:rsid w:val="004C5A2D"/>
    <w:rsid w:val="004D0C43"/>
    <w:rsid w:val="004D3491"/>
    <w:rsid w:val="004D353F"/>
    <w:rsid w:val="004D35A1"/>
    <w:rsid w:val="004E2106"/>
    <w:rsid w:val="004E2196"/>
    <w:rsid w:val="004E2E83"/>
    <w:rsid w:val="004E5702"/>
    <w:rsid w:val="004F105F"/>
    <w:rsid w:val="004F153A"/>
    <w:rsid w:val="004F44B2"/>
    <w:rsid w:val="004F53A1"/>
    <w:rsid w:val="004F54E7"/>
    <w:rsid w:val="00500EBF"/>
    <w:rsid w:val="0050227E"/>
    <w:rsid w:val="00503B8E"/>
    <w:rsid w:val="0050734E"/>
    <w:rsid w:val="00507679"/>
    <w:rsid w:val="00511B96"/>
    <w:rsid w:val="00512002"/>
    <w:rsid w:val="00512CE4"/>
    <w:rsid w:val="005135B8"/>
    <w:rsid w:val="00520D4E"/>
    <w:rsid w:val="0052162D"/>
    <w:rsid w:val="00522C50"/>
    <w:rsid w:val="0052440E"/>
    <w:rsid w:val="00525644"/>
    <w:rsid w:val="00527B1B"/>
    <w:rsid w:val="00530BFA"/>
    <w:rsid w:val="005324C2"/>
    <w:rsid w:val="00533247"/>
    <w:rsid w:val="005359D8"/>
    <w:rsid w:val="00541A15"/>
    <w:rsid w:val="00543F2D"/>
    <w:rsid w:val="005506B6"/>
    <w:rsid w:val="00552FA4"/>
    <w:rsid w:val="00556B21"/>
    <w:rsid w:val="005603C1"/>
    <w:rsid w:val="00560AD5"/>
    <w:rsid w:val="00562B52"/>
    <w:rsid w:val="005653F6"/>
    <w:rsid w:val="00567F7F"/>
    <w:rsid w:val="00570945"/>
    <w:rsid w:val="0057124E"/>
    <w:rsid w:val="005729FD"/>
    <w:rsid w:val="0058034C"/>
    <w:rsid w:val="005816A7"/>
    <w:rsid w:val="005853F6"/>
    <w:rsid w:val="00586DBE"/>
    <w:rsid w:val="00587680"/>
    <w:rsid w:val="005957E7"/>
    <w:rsid w:val="0059657D"/>
    <w:rsid w:val="00596778"/>
    <w:rsid w:val="005A1359"/>
    <w:rsid w:val="005A25D9"/>
    <w:rsid w:val="005A33F7"/>
    <w:rsid w:val="005A3406"/>
    <w:rsid w:val="005A3DFD"/>
    <w:rsid w:val="005A4288"/>
    <w:rsid w:val="005A4326"/>
    <w:rsid w:val="005A5888"/>
    <w:rsid w:val="005A61D0"/>
    <w:rsid w:val="005A627A"/>
    <w:rsid w:val="005B029E"/>
    <w:rsid w:val="005B10D1"/>
    <w:rsid w:val="005B25FB"/>
    <w:rsid w:val="005B4A8E"/>
    <w:rsid w:val="005B6B57"/>
    <w:rsid w:val="005C221E"/>
    <w:rsid w:val="005C30F6"/>
    <w:rsid w:val="005C4AED"/>
    <w:rsid w:val="005C54C6"/>
    <w:rsid w:val="005C7AFB"/>
    <w:rsid w:val="005D12C0"/>
    <w:rsid w:val="005D1C9E"/>
    <w:rsid w:val="005D3483"/>
    <w:rsid w:val="005D3CC1"/>
    <w:rsid w:val="005D3E4B"/>
    <w:rsid w:val="005D752E"/>
    <w:rsid w:val="005E12F3"/>
    <w:rsid w:val="005E306E"/>
    <w:rsid w:val="005E5124"/>
    <w:rsid w:val="005E58D2"/>
    <w:rsid w:val="005E5C0B"/>
    <w:rsid w:val="005E6D3D"/>
    <w:rsid w:val="005F372D"/>
    <w:rsid w:val="005F4B3A"/>
    <w:rsid w:val="005F5DCA"/>
    <w:rsid w:val="005F7809"/>
    <w:rsid w:val="0060083B"/>
    <w:rsid w:val="006015BC"/>
    <w:rsid w:val="00606FB9"/>
    <w:rsid w:val="006110D6"/>
    <w:rsid w:val="00611BC4"/>
    <w:rsid w:val="00620082"/>
    <w:rsid w:val="006206DE"/>
    <w:rsid w:val="0062145F"/>
    <w:rsid w:val="00622196"/>
    <w:rsid w:val="006223A2"/>
    <w:rsid w:val="00622934"/>
    <w:rsid w:val="00624F63"/>
    <w:rsid w:val="006344FC"/>
    <w:rsid w:val="006375CD"/>
    <w:rsid w:val="0064276E"/>
    <w:rsid w:val="006478B7"/>
    <w:rsid w:val="00647E9C"/>
    <w:rsid w:val="00656FC3"/>
    <w:rsid w:val="006575D7"/>
    <w:rsid w:val="0065774B"/>
    <w:rsid w:val="006612F0"/>
    <w:rsid w:val="00664C2B"/>
    <w:rsid w:val="0067153D"/>
    <w:rsid w:val="00672B84"/>
    <w:rsid w:val="006732F1"/>
    <w:rsid w:val="0067445D"/>
    <w:rsid w:val="0067487F"/>
    <w:rsid w:val="0067735E"/>
    <w:rsid w:val="00677979"/>
    <w:rsid w:val="00680779"/>
    <w:rsid w:val="00683102"/>
    <w:rsid w:val="006831BF"/>
    <w:rsid w:val="006834A5"/>
    <w:rsid w:val="00686812"/>
    <w:rsid w:val="00693F9B"/>
    <w:rsid w:val="006947B7"/>
    <w:rsid w:val="0069504C"/>
    <w:rsid w:val="006962D3"/>
    <w:rsid w:val="0069647E"/>
    <w:rsid w:val="00696DE3"/>
    <w:rsid w:val="006974BE"/>
    <w:rsid w:val="00697E7A"/>
    <w:rsid w:val="006A13B5"/>
    <w:rsid w:val="006A30DA"/>
    <w:rsid w:val="006B134E"/>
    <w:rsid w:val="006B213B"/>
    <w:rsid w:val="006B293A"/>
    <w:rsid w:val="006B724C"/>
    <w:rsid w:val="006C14A1"/>
    <w:rsid w:val="006C16C4"/>
    <w:rsid w:val="006C4432"/>
    <w:rsid w:val="006C65A5"/>
    <w:rsid w:val="006C682D"/>
    <w:rsid w:val="006C70E9"/>
    <w:rsid w:val="006D02FC"/>
    <w:rsid w:val="006E014F"/>
    <w:rsid w:val="006E0FB9"/>
    <w:rsid w:val="006E36DD"/>
    <w:rsid w:val="006E4AC8"/>
    <w:rsid w:val="006E5D3E"/>
    <w:rsid w:val="006F07F1"/>
    <w:rsid w:val="006F0939"/>
    <w:rsid w:val="006F096D"/>
    <w:rsid w:val="006F1595"/>
    <w:rsid w:val="006F30D1"/>
    <w:rsid w:val="006F3654"/>
    <w:rsid w:val="006F4E8F"/>
    <w:rsid w:val="006F501F"/>
    <w:rsid w:val="006F5F19"/>
    <w:rsid w:val="006F61CE"/>
    <w:rsid w:val="006F7A97"/>
    <w:rsid w:val="0070045F"/>
    <w:rsid w:val="00706377"/>
    <w:rsid w:val="00706F43"/>
    <w:rsid w:val="0070704E"/>
    <w:rsid w:val="007100AA"/>
    <w:rsid w:val="007103BD"/>
    <w:rsid w:val="00712929"/>
    <w:rsid w:val="00713B09"/>
    <w:rsid w:val="007141B8"/>
    <w:rsid w:val="00716896"/>
    <w:rsid w:val="0071696D"/>
    <w:rsid w:val="00716E62"/>
    <w:rsid w:val="00717ACD"/>
    <w:rsid w:val="00721B1B"/>
    <w:rsid w:val="00722BCE"/>
    <w:rsid w:val="00725337"/>
    <w:rsid w:val="00726209"/>
    <w:rsid w:val="00726D7F"/>
    <w:rsid w:val="00727A56"/>
    <w:rsid w:val="007302EF"/>
    <w:rsid w:val="00732784"/>
    <w:rsid w:val="00733A91"/>
    <w:rsid w:val="007359D4"/>
    <w:rsid w:val="007369B1"/>
    <w:rsid w:val="00736B15"/>
    <w:rsid w:val="00741C2A"/>
    <w:rsid w:val="00742AED"/>
    <w:rsid w:val="0074383E"/>
    <w:rsid w:val="00744112"/>
    <w:rsid w:val="00744C9F"/>
    <w:rsid w:val="007454A8"/>
    <w:rsid w:val="00746461"/>
    <w:rsid w:val="007511A1"/>
    <w:rsid w:val="00751792"/>
    <w:rsid w:val="007526A0"/>
    <w:rsid w:val="007534F6"/>
    <w:rsid w:val="00753612"/>
    <w:rsid w:val="00753E5D"/>
    <w:rsid w:val="00756155"/>
    <w:rsid w:val="00756E47"/>
    <w:rsid w:val="007600A3"/>
    <w:rsid w:val="0076142E"/>
    <w:rsid w:val="007647B7"/>
    <w:rsid w:val="007674F3"/>
    <w:rsid w:val="00770791"/>
    <w:rsid w:val="00770E8B"/>
    <w:rsid w:val="00771252"/>
    <w:rsid w:val="0077447F"/>
    <w:rsid w:val="007745FD"/>
    <w:rsid w:val="00775C6E"/>
    <w:rsid w:val="00776780"/>
    <w:rsid w:val="0077680E"/>
    <w:rsid w:val="007776BB"/>
    <w:rsid w:val="007827CA"/>
    <w:rsid w:val="00783D1A"/>
    <w:rsid w:val="007847BD"/>
    <w:rsid w:val="00786771"/>
    <w:rsid w:val="00786928"/>
    <w:rsid w:val="007874FD"/>
    <w:rsid w:val="00791AAF"/>
    <w:rsid w:val="00792CAB"/>
    <w:rsid w:val="00795972"/>
    <w:rsid w:val="00796D44"/>
    <w:rsid w:val="007A0B21"/>
    <w:rsid w:val="007A337F"/>
    <w:rsid w:val="007A4631"/>
    <w:rsid w:val="007A5146"/>
    <w:rsid w:val="007A5F5E"/>
    <w:rsid w:val="007B288E"/>
    <w:rsid w:val="007B3B41"/>
    <w:rsid w:val="007B3B77"/>
    <w:rsid w:val="007B50C4"/>
    <w:rsid w:val="007B65B5"/>
    <w:rsid w:val="007B69AD"/>
    <w:rsid w:val="007C0033"/>
    <w:rsid w:val="007C0394"/>
    <w:rsid w:val="007C0500"/>
    <w:rsid w:val="007C1B83"/>
    <w:rsid w:val="007C26BB"/>
    <w:rsid w:val="007C3121"/>
    <w:rsid w:val="007C3929"/>
    <w:rsid w:val="007C5F73"/>
    <w:rsid w:val="007C7FB7"/>
    <w:rsid w:val="007D1BA7"/>
    <w:rsid w:val="007D2145"/>
    <w:rsid w:val="007D4173"/>
    <w:rsid w:val="007D512D"/>
    <w:rsid w:val="007E55BD"/>
    <w:rsid w:val="007E5FEB"/>
    <w:rsid w:val="007E76D7"/>
    <w:rsid w:val="007E7838"/>
    <w:rsid w:val="007F0A52"/>
    <w:rsid w:val="007F10EA"/>
    <w:rsid w:val="007F2CE9"/>
    <w:rsid w:val="007F3724"/>
    <w:rsid w:val="007F52FD"/>
    <w:rsid w:val="007F7746"/>
    <w:rsid w:val="008002C9"/>
    <w:rsid w:val="00800784"/>
    <w:rsid w:val="008011A0"/>
    <w:rsid w:val="00802B70"/>
    <w:rsid w:val="00804E52"/>
    <w:rsid w:val="00807FBA"/>
    <w:rsid w:val="0081297A"/>
    <w:rsid w:val="0081708C"/>
    <w:rsid w:val="00820EAA"/>
    <w:rsid w:val="008239B5"/>
    <w:rsid w:val="00823ACA"/>
    <w:rsid w:val="00824715"/>
    <w:rsid w:val="00824B5A"/>
    <w:rsid w:val="0082526B"/>
    <w:rsid w:val="00826CD7"/>
    <w:rsid w:val="008275F5"/>
    <w:rsid w:val="00833E4D"/>
    <w:rsid w:val="00834F4E"/>
    <w:rsid w:val="0083545A"/>
    <w:rsid w:val="008357EC"/>
    <w:rsid w:val="008379B4"/>
    <w:rsid w:val="008404EF"/>
    <w:rsid w:val="00840A7B"/>
    <w:rsid w:val="00844649"/>
    <w:rsid w:val="00846031"/>
    <w:rsid w:val="008460F8"/>
    <w:rsid w:val="008523B0"/>
    <w:rsid w:val="00852E10"/>
    <w:rsid w:val="0085620D"/>
    <w:rsid w:val="008568BA"/>
    <w:rsid w:val="00861568"/>
    <w:rsid w:val="00864A65"/>
    <w:rsid w:val="00866DBB"/>
    <w:rsid w:val="00872C8D"/>
    <w:rsid w:val="00873C35"/>
    <w:rsid w:val="008753E9"/>
    <w:rsid w:val="00881FB2"/>
    <w:rsid w:val="00885569"/>
    <w:rsid w:val="00885B57"/>
    <w:rsid w:val="0088619F"/>
    <w:rsid w:val="00887162"/>
    <w:rsid w:val="00891A8F"/>
    <w:rsid w:val="00892371"/>
    <w:rsid w:val="00894847"/>
    <w:rsid w:val="00896CC0"/>
    <w:rsid w:val="008A116E"/>
    <w:rsid w:val="008A183A"/>
    <w:rsid w:val="008A5A7E"/>
    <w:rsid w:val="008A5FA1"/>
    <w:rsid w:val="008A61B7"/>
    <w:rsid w:val="008B5202"/>
    <w:rsid w:val="008C3E8D"/>
    <w:rsid w:val="008D0FA8"/>
    <w:rsid w:val="008D0FD2"/>
    <w:rsid w:val="008D12BD"/>
    <w:rsid w:val="008D12E2"/>
    <w:rsid w:val="008D442B"/>
    <w:rsid w:val="008D6879"/>
    <w:rsid w:val="008D7983"/>
    <w:rsid w:val="008E2479"/>
    <w:rsid w:val="008E4A7C"/>
    <w:rsid w:val="008E6990"/>
    <w:rsid w:val="008F19A1"/>
    <w:rsid w:val="008F26E9"/>
    <w:rsid w:val="008F74AF"/>
    <w:rsid w:val="009010B9"/>
    <w:rsid w:val="00906C23"/>
    <w:rsid w:val="00911991"/>
    <w:rsid w:val="00911CA5"/>
    <w:rsid w:val="0091204F"/>
    <w:rsid w:val="00912761"/>
    <w:rsid w:val="009128CC"/>
    <w:rsid w:val="00914596"/>
    <w:rsid w:val="00914D49"/>
    <w:rsid w:val="00915CD5"/>
    <w:rsid w:val="00916B68"/>
    <w:rsid w:val="00925269"/>
    <w:rsid w:val="00925741"/>
    <w:rsid w:val="00936C15"/>
    <w:rsid w:val="009371EB"/>
    <w:rsid w:val="00942281"/>
    <w:rsid w:val="00942842"/>
    <w:rsid w:val="009442C3"/>
    <w:rsid w:val="00944767"/>
    <w:rsid w:val="00951587"/>
    <w:rsid w:val="00951641"/>
    <w:rsid w:val="0095378E"/>
    <w:rsid w:val="00956B10"/>
    <w:rsid w:val="00957A6F"/>
    <w:rsid w:val="00960A05"/>
    <w:rsid w:val="0096228B"/>
    <w:rsid w:val="00963F6A"/>
    <w:rsid w:val="00965EF0"/>
    <w:rsid w:val="0096647D"/>
    <w:rsid w:val="00971156"/>
    <w:rsid w:val="00972648"/>
    <w:rsid w:val="00981001"/>
    <w:rsid w:val="00982D8D"/>
    <w:rsid w:val="00984289"/>
    <w:rsid w:val="00984A1F"/>
    <w:rsid w:val="00984DA2"/>
    <w:rsid w:val="00986F1C"/>
    <w:rsid w:val="00990994"/>
    <w:rsid w:val="00992835"/>
    <w:rsid w:val="0099657A"/>
    <w:rsid w:val="009974BA"/>
    <w:rsid w:val="009A0CA7"/>
    <w:rsid w:val="009A0D05"/>
    <w:rsid w:val="009A4F33"/>
    <w:rsid w:val="009A506A"/>
    <w:rsid w:val="009A6076"/>
    <w:rsid w:val="009A63F8"/>
    <w:rsid w:val="009A68EB"/>
    <w:rsid w:val="009B0A4B"/>
    <w:rsid w:val="009B0B5B"/>
    <w:rsid w:val="009B1420"/>
    <w:rsid w:val="009B35F6"/>
    <w:rsid w:val="009B50F3"/>
    <w:rsid w:val="009B76BC"/>
    <w:rsid w:val="009C0B1C"/>
    <w:rsid w:val="009C3FC7"/>
    <w:rsid w:val="009C50E7"/>
    <w:rsid w:val="009C6B60"/>
    <w:rsid w:val="009D0A73"/>
    <w:rsid w:val="009D2377"/>
    <w:rsid w:val="009D4525"/>
    <w:rsid w:val="009E21C2"/>
    <w:rsid w:val="009E3A8C"/>
    <w:rsid w:val="009E49BF"/>
    <w:rsid w:val="009E65E6"/>
    <w:rsid w:val="009E79D8"/>
    <w:rsid w:val="009F05F9"/>
    <w:rsid w:val="009F2AFC"/>
    <w:rsid w:val="009F2E6C"/>
    <w:rsid w:val="009F7838"/>
    <w:rsid w:val="00A0003C"/>
    <w:rsid w:val="00A0177F"/>
    <w:rsid w:val="00A03288"/>
    <w:rsid w:val="00A038B7"/>
    <w:rsid w:val="00A03977"/>
    <w:rsid w:val="00A0418A"/>
    <w:rsid w:val="00A048BE"/>
    <w:rsid w:val="00A050B0"/>
    <w:rsid w:val="00A1148E"/>
    <w:rsid w:val="00A114C1"/>
    <w:rsid w:val="00A11AB8"/>
    <w:rsid w:val="00A1496A"/>
    <w:rsid w:val="00A15647"/>
    <w:rsid w:val="00A15F42"/>
    <w:rsid w:val="00A178FD"/>
    <w:rsid w:val="00A21DAE"/>
    <w:rsid w:val="00A22517"/>
    <w:rsid w:val="00A242DA"/>
    <w:rsid w:val="00A258DD"/>
    <w:rsid w:val="00A265C6"/>
    <w:rsid w:val="00A27F17"/>
    <w:rsid w:val="00A3015D"/>
    <w:rsid w:val="00A301FC"/>
    <w:rsid w:val="00A31813"/>
    <w:rsid w:val="00A31AF9"/>
    <w:rsid w:val="00A32356"/>
    <w:rsid w:val="00A330D7"/>
    <w:rsid w:val="00A354DC"/>
    <w:rsid w:val="00A406BB"/>
    <w:rsid w:val="00A416D8"/>
    <w:rsid w:val="00A41DDD"/>
    <w:rsid w:val="00A43A82"/>
    <w:rsid w:val="00A447FF"/>
    <w:rsid w:val="00A453ED"/>
    <w:rsid w:val="00A625E9"/>
    <w:rsid w:val="00A62DF3"/>
    <w:rsid w:val="00A634DD"/>
    <w:rsid w:val="00A67639"/>
    <w:rsid w:val="00A678C8"/>
    <w:rsid w:val="00A7054D"/>
    <w:rsid w:val="00A720C6"/>
    <w:rsid w:val="00A746F7"/>
    <w:rsid w:val="00A760D5"/>
    <w:rsid w:val="00A83061"/>
    <w:rsid w:val="00A83EE6"/>
    <w:rsid w:val="00A862F0"/>
    <w:rsid w:val="00A87EDE"/>
    <w:rsid w:val="00A87F16"/>
    <w:rsid w:val="00A93B25"/>
    <w:rsid w:val="00A95340"/>
    <w:rsid w:val="00A95790"/>
    <w:rsid w:val="00AA018E"/>
    <w:rsid w:val="00AA1784"/>
    <w:rsid w:val="00AA2810"/>
    <w:rsid w:val="00AA35F3"/>
    <w:rsid w:val="00AA3B29"/>
    <w:rsid w:val="00AA58CF"/>
    <w:rsid w:val="00AA59C9"/>
    <w:rsid w:val="00AB1AE4"/>
    <w:rsid w:val="00AB401B"/>
    <w:rsid w:val="00AB4CA8"/>
    <w:rsid w:val="00AB634B"/>
    <w:rsid w:val="00AC16BD"/>
    <w:rsid w:val="00AC30FC"/>
    <w:rsid w:val="00AC35C5"/>
    <w:rsid w:val="00AD1202"/>
    <w:rsid w:val="00AD19BF"/>
    <w:rsid w:val="00AD1D25"/>
    <w:rsid w:val="00AD6A92"/>
    <w:rsid w:val="00AE1312"/>
    <w:rsid w:val="00AE19A5"/>
    <w:rsid w:val="00AE1E14"/>
    <w:rsid w:val="00AE21C6"/>
    <w:rsid w:val="00AE2627"/>
    <w:rsid w:val="00AE2AF2"/>
    <w:rsid w:val="00AE7548"/>
    <w:rsid w:val="00AE78FB"/>
    <w:rsid w:val="00AF0AF6"/>
    <w:rsid w:val="00AF13C9"/>
    <w:rsid w:val="00AF30FE"/>
    <w:rsid w:val="00AF31DC"/>
    <w:rsid w:val="00AF5D67"/>
    <w:rsid w:val="00AF6FA6"/>
    <w:rsid w:val="00AF712B"/>
    <w:rsid w:val="00AF7E55"/>
    <w:rsid w:val="00B002A8"/>
    <w:rsid w:val="00B00CB8"/>
    <w:rsid w:val="00B00D95"/>
    <w:rsid w:val="00B10319"/>
    <w:rsid w:val="00B14808"/>
    <w:rsid w:val="00B15312"/>
    <w:rsid w:val="00B168E4"/>
    <w:rsid w:val="00B20E2C"/>
    <w:rsid w:val="00B23AE2"/>
    <w:rsid w:val="00B24CF4"/>
    <w:rsid w:val="00B26217"/>
    <w:rsid w:val="00B26AEB"/>
    <w:rsid w:val="00B30905"/>
    <w:rsid w:val="00B316C6"/>
    <w:rsid w:val="00B32680"/>
    <w:rsid w:val="00B34246"/>
    <w:rsid w:val="00B4076E"/>
    <w:rsid w:val="00B427DF"/>
    <w:rsid w:val="00B42AD0"/>
    <w:rsid w:val="00B440EE"/>
    <w:rsid w:val="00B44D71"/>
    <w:rsid w:val="00B453C2"/>
    <w:rsid w:val="00B453FA"/>
    <w:rsid w:val="00B45D99"/>
    <w:rsid w:val="00B500C6"/>
    <w:rsid w:val="00B52834"/>
    <w:rsid w:val="00B53958"/>
    <w:rsid w:val="00B54878"/>
    <w:rsid w:val="00B56298"/>
    <w:rsid w:val="00B60C24"/>
    <w:rsid w:val="00B6399B"/>
    <w:rsid w:val="00B678AA"/>
    <w:rsid w:val="00B67C03"/>
    <w:rsid w:val="00B71A2B"/>
    <w:rsid w:val="00B71BF6"/>
    <w:rsid w:val="00B73FA8"/>
    <w:rsid w:val="00B743F7"/>
    <w:rsid w:val="00B751D5"/>
    <w:rsid w:val="00B76B15"/>
    <w:rsid w:val="00B77C0C"/>
    <w:rsid w:val="00B77D21"/>
    <w:rsid w:val="00B8302F"/>
    <w:rsid w:val="00B83A18"/>
    <w:rsid w:val="00B83EE9"/>
    <w:rsid w:val="00B84B07"/>
    <w:rsid w:val="00B857B8"/>
    <w:rsid w:val="00B85B30"/>
    <w:rsid w:val="00B92433"/>
    <w:rsid w:val="00B93184"/>
    <w:rsid w:val="00B93951"/>
    <w:rsid w:val="00B96592"/>
    <w:rsid w:val="00BA1D44"/>
    <w:rsid w:val="00BA3EC5"/>
    <w:rsid w:val="00BA4121"/>
    <w:rsid w:val="00BA5E19"/>
    <w:rsid w:val="00BA7754"/>
    <w:rsid w:val="00BA7B60"/>
    <w:rsid w:val="00BB10D0"/>
    <w:rsid w:val="00BB1357"/>
    <w:rsid w:val="00BB19B9"/>
    <w:rsid w:val="00BB4F21"/>
    <w:rsid w:val="00BB50D8"/>
    <w:rsid w:val="00BB76F3"/>
    <w:rsid w:val="00BC01CA"/>
    <w:rsid w:val="00BC0BF1"/>
    <w:rsid w:val="00BC107B"/>
    <w:rsid w:val="00BC188F"/>
    <w:rsid w:val="00BC29C8"/>
    <w:rsid w:val="00BC3D20"/>
    <w:rsid w:val="00BC71DE"/>
    <w:rsid w:val="00BD0603"/>
    <w:rsid w:val="00BD4C49"/>
    <w:rsid w:val="00BD647F"/>
    <w:rsid w:val="00BD7428"/>
    <w:rsid w:val="00BD78DC"/>
    <w:rsid w:val="00BE085C"/>
    <w:rsid w:val="00BE09B9"/>
    <w:rsid w:val="00BE5E0C"/>
    <w:rsid w:val="00BE64EE"/>
    <w:rsid w:val="00BE74D3"/>
    <w:rsid w:val="00BF0508"/>
    <w:rsid w:val="00BF1338"/>
    <w:rsid w:val="00BF3681"/>
    <w:rsid w:val="00BF5632"/>
    <w:rsid w:val="00BF6731"/>
    <w:rsid w:val="00C016A6"/>
    <w:rsid w:val="00C024EC"/>
    <w:rsid w:val="00C026FD"/>
    <w:rsid w:val="00C0351E"/>
    <w:rsid w:val="00C03A60"/>
    <w:rsid w:val="00C065D5"/>
    <w:rsid w:val="00C132DE"/>
    <w:rsid w:val="00C13C65"/>
    <w:rsid w:val="00C17005"/>
    <w:rsid w:val="00C17C96"/>
    <w:rsid w:val="00C20F98"/>
    <w:rsid w:val="00C23E65"/>
    <w:rsid w:val="00C264AA"/>
    <w:rsid w:val="00C272FA"/>
    <w:rsid w:val="00C27694"/>
    <w:rsid w:val="00C27864"/>
    <w:rsid w:val="00C27B8F"/>
    <w:rsid w:val="00C30C2A"/>
    <w:rsid w:val="00C32314"/>
    <w:rsid w:val="00C33200"/>
    <w:rsid w:val="00C345E0"/>
    <w:rsid w:val="00C35CA4"/>
    <w:rsid w:val="00C3759D"/>
    <w:rsid w:val="00C37812"/>
    <w:rsid w:val="00C42662"/>
    <w:rsid w:val="00C45DD8"/>
    <w:rsid w:val="00C47272"/>
    <w:rsid w:val="00C517E6"/>
    <w:rsid w:val="00C52A7A"/>
    <w:rsid w:val="00C546D9"/>
    <w:rsid w:val="00C5639E"/>
    <w:rsid w:val="00C56D55"/>
    <w:rsid w:val="00C60FA4"/>
    <w:rsid w:val="00C61860"/>
    <w:rsid w:val="00C629D2"/>
    <w:rsid w:val="00C67986"/>
    <w:rsid w:val="00C70D1F"/>
    <w:rsid w:val="00C71B3B"/>
    <w:rsid w:val="00C72101"/>
    <w:rsid w:val="00C72D35"/>
    <w:rsid w:val="00C743E8"/>
    <w:rsid w:val="00C748F7"/>
    <w:rsid w:val="00C80E4D"/>
    <w:rsid w:val="00C81588"/>
    <w:rsid w:val="00C8380B"/>
    <w:rsid w:val="00C86B07"/>
    <w:rsid w:val="00C87B3C"/>
    <w:rsid w:val="00C901CF"/>
    <w:rsid w:val="00C90A85"/>
    <w:rsid w:val="00C92485"/>
    <w:rsid w:val="00C9480D"/>
    <w:rsid w:val="00CA02BB"/>
    <w:rsid w:val="00CA068D"/>
    <w:rsid w:val="00CA1248"/>
    <w:rsid w:val="00CA27EC"/>
    <w:rsid w:val="00CA3AA6"/>
    <w:rsid w:val="00CA4A32"/>
    <w:rsid w:val="00CA4BA4"/>
    <w:rsid w:val="00CA778E"/>
    <w:rsid w:val="00CB0C7F"/>
    <w:rsid w:val="00CB0F3D"/>
    <w:rsid w:val="00CB14C0"/>
    <w:rsid w:val="00CB3835"/>
    <w:rsid w:val="00CB5925"/>
    <w:rsid w:val="00CB709A"/>
    <w:rsid w:val="00CB7D45"/>
    <w:rsid w:val="00CC100A"/>
    <w:rsid w:val="00CC24D4"/>
    <w:rsid w:val="00CC699C"/>
    <w:rsid w:val="00CC69B0"/>
    <w:rsid w:val="00CC6DA1"/>
    <w:rsid w:val="00CC727D"/>
    <w:rsid w:val="00CC754C"/>
    <w:rsid w:val="00CC77F8"/>
    <w:rsid w:val="00CD2168"/>
    <w:rsid w:val="00CD347E"/>
    <w:rsid w:val="00CD752B"/>
    <w:rsid w:val="00CD7AF7"/>
    <w:rsid w:val="00CE0BE2"/>
    <w:rsid w:val="00CE130C"/>
    <w:rsid w:val="00CE2934"/>
    <w:rsid w:val="00CE2AC7"/>
    <w:rsid w:val="00CE34CB"/>
    <w:rsid w:val="00CE6518"/>
    <w:rsid w:val="00CE7982"/>
    <w:rsid w:val="00CE7CC3"/>
    <w:rsid w:val="00CF33A6"/>
    <w:rsid w:val="00CF51BE"/>
    <w:rsid w:val="00CF6835"/>
    <w:rsid w:val="00CF72CC"/>
    <w:rsid w:val="00D00066"/>
    <w:rsid w:val="00D01C1F"/>
    <w:rsid w:val="00D02441"/>
    <w:rsid w:val="00D04170"/>
    <w:rsid w:val="00D06407"/>
    <w:rsid w:val="00D06943"/>
    <w:rsid w:val="00D10460"/>
    <w:rsid w:val="00D105CD"/>
    <w:rsid w:val="00D10BE6"/>
    <w:rsid w:val="00D149E7"/>
    <w:rsid w:val="00D16AFB"/>
    <w:rsid w:val="00D17A12"/>
    <w:rsid w:val="00D20313"/>
    <w:rsid w:val="00D20978"/>
    <w:rsid w:val="00D21B01"/>
    <w:rsid w:val="00D21DBA"/>
    <w:rsid w:val="00D240BA"/>
    <w:rsid w:val="00D26A31"/>
    <w:rsid w:val="00D273F3"/>
    <w:rsid w:val="00D30571"/>
    <w:rsid w:val="00D30E22"/>
    <w:rsid w:val="00D32FF4"/>
    <w:rsid w:val="00D335B0"/>
    <w:rsid w:val="00D341B3"/>
    <w:rsid w:val="00D34F86"/>
    <w:rsid w:val="00D355CA"/>
    <w:rsid w:val="00D36CF1"/>
    <w:rsid w:val="00D37CAF"/>
    <w:rsid w:val="00D400C2"/>
    <w:rsid w:val="00D43E5A"/>
    <w:rsid w:val="00D50C6F"/>
    <w:rsid w:val="00D50E99"/>
    <w:rsid w:val="00D51422"/>
    <w:rsid w:val="00D53781"/>
    <w:rsid w:val="00D558BA"/>
    <w:rsid w:val="00D57E64"/>
    <w:rsid w:val="00D614F1"/>
    <w:rsid w:val="00D61624"/>
    <w:rsid w:val="00D618AC"/>
    <w:rsid w:val="00D61BD4"/>
    <w:rsid w:val="00D622BE"/>
    <w:rsid w:val="00D63318"/>
    <w:rsid w:val="00D63AAF"/>
    <w:rsid w:val="00D66742"/>
    <w:rsid w:val="00D708E5"/>
    <w:rsid w:val="00D71ECD"/>
    <w:rsid w:val="00D72CB4"/>
    <w:rsid w:val="00D746D8"/>
    <w:rsid w:val="00D758AE"/>
    <w:rsid w:val="00D80C37"/>
    <w:rsid w:val="00D84B88"/>
    <w:rsid w:val="00D91F03"/>
    <w:rsid w:val="00D92542"/>
    <w:rsid w:val="00D92EB9"/>
    <w:rsid w:val="00D933DB"/>
    <w:rsid w:val="00D94973"/>
    <w:rsid w:val="00D96222"/>
    <w:rsid w:val="00D96CC3"/>
    <w:rsid w:val="00D974D9"/>
    <w:rsid w:val="00D978EF"/>
    <w:rsid w:val="00DA12E3"/>
    <w:rsid w:val="00DA271B"/>
    <w:rsid w:val="00DA302A"/>
    <w:rsid w:val="00DA3A32"/>
    <w:rsid w:val="00DA5CFB"/>
    <w:rsid w:val="00DA64BC"/>
    <w:rsid w:val="00DA74FB"/>
    <w:rsid w:val="00DB25CB"/>
    <w:rsid w:val="00DB2B83"/>
    <w:rsid w:val="00DB2D6C"/>
    <w:rsid w:val="00DB2FE8"/>
    <w:rsid w:val="00DB56C0"/>
    <w:rsid w:val="00DB6894"/>
    <w:rsid w:val="00DB7A54"/>
    <w:rsid w:val="00DC05F3"/>
    <w:rsid w:val="00DC0FF7"/>
    <w:rsid w:val="00DC257A"/>
    <w:rsid w:val="00DD033E"/>
    <w:rsid w:val="00DD3252"/>
    <w:rsid w:val="00DD4644"/>
    <w:rsid w:val="00DD4A44"/>
    <w:rsid w:val="00DD6119"/>
    <w:rsid w:val="00DD6E10"/>
    <w:rsid w:val="00DE2E18"/>
    <w:rsid w:val="00DE3CAB"/>
    <w:rsid w:val="00DE6DAA"/>
    <w:rsid w:val="00DE7031"/>
    <w:rsid w:val="00DF049C"/>
    <w:rsid w:val="00DF1A86"/>
    <w:rsid w:val="00DF43AD"/>
    <w:rsid w:val="00DF4D06"/>
    <w:rsid w:val="00DF6B6B"/>
    <w:rsid w:val="00DF7B83"/>
    <w:rsid w:val="00E04631"/>
    <w:rsid w:val="00E065C7"/>
    <w:rsid w:val="00E065F0"/>
    <w:rsid w:val="00E068E3"/>
    <w:rsid w:val="00E072E5"/>
    <w:rsid w:val="00E1185A"/>
    <w:rsid w:val="00E13E9B"/>
    <w:rsid w:val="00E14645"/>
    <w:rsid w:val="00E158DF"/>
    <w:rsid w:val="00E20AAC"/>
    <w:rsid w:val="00E2120A"/>
    <w:rsid w:val="00E24856"/>
    <w:rsid w:val="00E31BE0"/>
    <w:rsid w:val="00E31CDC"/>
    <w:rsid w:val="00E31F9B"/>
    <w:rsid w:val="00E32505"/>
    <w:rsid w:val="00E341B9"/>
    <w:rsid w:val="00E36424"/>
    <w:rsid w:val="00E36B4F"/>
    <w:rsid w:val="00E37143"/>
    <w:rsid w:val="00E375E1"/>
    <w:rsid w:val="00E41A14"/>
    <w:rsid w:val="00E43772"/>
    <w:rsid w:val="00E448E9"/>
    <w:rsid w:val="00E44DF6"/>
    <w:rsid w:val="00E46F99"/>
    <w:rsid w:val="00E4758F"/>
    <w:rsid w:val="00E47DB4"/>
    <w:rsid w:val="00E5107B"/>
    <w:rsid w:val="00E51889"/>
    <w:rsid w:val="00E52377"/>
    <w:rsid w:val="00E5254E"/>
    <w:rsid w:val="00E55F89"/>
    <w:rsid w:val="00E5680D"/>
    <w:rsid w:val="00E5725C"/>
    <w:rsid w:val="00E609DB"/>
    <w:rsid w:val="00E61494"/>
    <w:rsid w:val="00E64D44"/>
    <w:rsid w:val="00E6533A"/>
    <w:rsid w:val="00E65968"/>
    <w:rsid w:val="00E700B9"/>
    <w:rsid w:val="00E74270"/>
    <w:rsid w:val="00E77340"/>
    <w:rsid w:val="00E77596"/>
    <w:rsid w:val="00E807D1"/>
    <w:rsid w:val="00E817AE"/>
    <w:rsid w:val="00E95731"/>
    <w:rsid w:val="00E96939"/>
    <w:rsid w:val="00EA7248"/>
    <w:rsid w:val="00EB1AFB"/>
    <w:rsid w:val="00EB416B"/>
    <w:rsid w:val="00EB648F"/>
    <w:rsid w:val="00EC3A40"/>
    <w:rsid w:val="00EC4453"/>
    <w:rsid w:val="00EC4CF8"/>
    <w:rsid w:val="00ED078C"/>
    <w:rsid w:val="00ED3FC2"/>
    <w:rsid w:val="00ED5E1C"/>
    <w:rsid w:val="00ED7564"/>
    <w:rsid w:val="00ED7F1C"/>
    <w:rsid w:val="00ED7FA6"/>
    <w:rsid w:val="00EE634F"/>
    <w:rsid w:val="00EE74FD"/>
    <w:rsid w:val="00EE762F"/>
    <w:rsid w:val="00EF3226"/>
    <w:rsid w:val="00EF38E1"/>
    <w:rsid w:val="00EF5C67"/>
    <w:rsid w:val="00EF7AEF"/>
    <w:rsid w:val="00F00EF7"/>
    <w:rsid w:val="00F0154A"/>
    <w:rsid w:val="00F01FFE"/>
    <w:rsid w:val="00F05CC8"/>
    <w:rsid w:val="00F05E25"/>
    <w:rsid w:val="00F0660C"/>
    <w:rsid w:val="00F072D5"/>
    <w:rsid w:val="00F12CE5"/>
    <w:rsid w:val="00F1349D"/>
    <w:rsid w:val="00F14400"/>
    <w:rsid w:val="00F148DF"/>
    <w:rsid w:val="00F1584D"/>
    <w:rsid w:val="00F15A0A"/>
    <w:rsid w:val="00F1642F"/>
    <w:rsid w:val="00F176EF"/>
    <w:rsid w:val="00F1784A"/>
    <w:rsid w:val="00F211B5"/>
    <w:rsid w:val="00F22024"/>
    <w:rsid w:val="00F249C1"/>
    <w:rsid w:val="00F25168"/>
    <w:rsid w:val="00F2726C"/>
    <w:rsid w:val="00F3008A"/>
    <w:rsid w:val="00F31673"/>
    <w:rsid w:val="00F359B4"/>
    <w:rsid w:val="00F37AFC"/>
    <w:rsid w:val="00F411FD"/>
    <w:rsid w:val="00F4524D"/>
    <w:rsid w:val="00F5251C"/>
    <w:rsid w:val="00F5500B"/>
    <w:rsid w:val="00F56C4A"/>
    <w:rsid w:val="00F56EEF"/>
    <w:rsid w:val="00F60D5D"/>
    <w:rsid w:val="00F64C6C"/>
    <w:rsid w:val="00F65DA5"/>
    <w:rsid w:val="00F66499"/>
    <w:rsid w:val="00F67691"/>
    <w:rsid w:val="00F67D88"/>
    <w:rsid w:val="00F71BCC"/>
    <w:rsid w:val="00F722E9"/>
    <w:rsid w:val="00F73EB7"/>
    <w:rsid w:val="00F81333"/>
    <w:rsid w:val="00F82B80"/>
    <w:rsid w:val="00F86661"/>
    <w:rsid w:val="00F87AE5"/>
    <w:rsid w:val="00F921CA"/>
    <w:rsid w:val="00F92C34"/>
    <w:rsid w:val="00F93DF2"/>
    <w:rsid w:val="00F9632A"/>
    <w:rsid w:val="00FA0B6B"/>
    <w:rsid w:val="00FA31A2"/>
    <w:rsid w:val="00FA7302"/>
    <w:rsid w:val="00FA79AC"/>
    <w:rsid w:val="00FB06AD"/>
    <w:rsid w:val="00FB263E"/>
    <w:rsid w:val="00FB26FE"/>
    <w:rsid w:val="00FB3D00"/>
    <w:rsid w:val="00FB46BB"/>
    <w:rsid w:val="00FC54EC"/>
    <w:rsid w:val="00FC6606"/>
    <w:rsid w:val="00FC6C79"/>
    <w:rsid w:val="00FD0A1A"/>
    <w:rsid w:val="00FD0CFB"/>
    <w:rsid w:val="00FD200A"/>
    <w:rsid w:val="00FD4FE8"/>
    <w:rsid w:val="00FD5610"/>
    <w:rsid w:val="00FD6197"/>
    <w:rsid w:val="00FD6836"/>
    <w:rsid w:val="00FD7A8F"/>
    <w:rsid w:val="00FE165C"/>
    <w:rsid w:val="00FE1815"/>
    <w:rsid w:val="00FE31F4"/>
    <w:rsid w:val="00FE4D90"/>
    <w:rsid w:val="00FE5444"/>
    <w:rsid w:val="00FE61CC"/>
    <w:rsid w:val="00FF0213"/>
    <w:rsid w:val="00FF0956"/>
    <w:rsid w:val="00FF0BFF"/>
    <w:rsid w:val="00FF11A5"/>
    <w:rsid w:val="00FF3251"/>
    <w:rsid w:val="00FF4618"/>
    <w:rsid w:val="00FF5561"/>
    <w:rsid w:val="00FF6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FEE559C"/>
  <w15:chartTrackingRefBased/>
  <w15:docId w15:val="{BEE99D53-D952-BA4C-A31F-AF2DB29E1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62F0"/>
    <w:pPr>
      <w:pBdr>
        <w:top w:val="nil"/>
        <w:left w:val="nil"/>
        <w:bottom w:val="nil"/>
        <w:right w:val="nil"/>
        <w:between w:val="nil"/>
        <w:bar w:val="nil"/>
      </w:pBdr>
    </w:pPr>
    <w:rPr>
      <w:rFonts w:ascii="Times New Roman" w:eastAsia="Arial Unicode MS" w:hAnsi="Times New Roman" w:cs="Times New Roman"/>
      <w:kern w:val="0"/>
      <w:bdr w:val="nil"/>
      <w14:ligatures w14:val="none"/>
    </w:rPr>
  </w:style>
  <w:style w:type="paragraph" w:styleId="Heading1">
    <w:name w:val="heading 1"/>
    <w:basedOn w:val="Normal"/>
    <w:next w:val="Normal"/>
    <w:link w:val="Heading1Char"/>
    <w:uiPriority w:val="9"/>
    <w:qFormat/>
    <w:rsid w:val="00D0640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640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606FB9"/>
    <w:pPr>
      <w:tabs>
        <w:tab w:val="right" w:leader="dot" w:pos="9010"/>
      </w:tabs>
      <w:spacing w:before="120"/>
    </w:pPr>
    <w:rPr>
      <w:rFonts w:asciiTheme="minorHAnsi" w:hAnsiTheme="minorHAnsi" w:cstheme="minorHAnsi"/>
      <w:noProof/>
    </w:rPr>
  </w:style>
  <w:style w:type="character" w:customStyle="1" w:styleId="apple-converted-space">
    <w:name w:val="apple-converted-space"/>
    <w:basedOn w:val="DefaultParagraphFont"/>
    <w:rsid w:val="003F7B74"/>
  </w:style>
  <w:style w:type="paragraph" w:styleId="NormalWeb">
    <w:name w:val="Normal (Web)"/>
    <w:basedOn w:val="Normal"/>
    <w:uiPriority w:val="99"/>
    <w:unhideWhenUsed/>
    <w:rsid w:val="003F7B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paragraph" w:styleId="FootnoteText">
    <w:name w:val="footnote text"/>
    <w:basedOn w:val="Normal"/>
    <w:link w:val="FootnoteTextChar"/>
    <w:uiPriority w:val="99"/>
    <w:unhideWhenUsed/>
    <w:rsid w:val="00512CE4"/>
    <w:rPr>
      <w:rFonts w:asciiTheme="minorHAnsi" w:hAnsiTheme="minorHAnsi"/>
      <w:sz w:val="20"/>
      <w:szCs w:val="20"/>
    </w:rPr>
  </w:style>
  <w:style w:type="character" w:customStyle="1" w:styleId="FootnoteTextChar">
    <w:name w:val="Footnote Text Char"/>
    <w:basedOn w:val="DefaultParagraphFont"/>
    <w:link w:val="FootnoteText"/>
    <w:uiPriority w:val="99"/>
    <w:rsid w:val="00512CE4"/>
    <w:rPr>
      <w:rFonts w:eastAsia="Arial Unicode MS" w:cs="Times New Roman"/>
      <w:kern w:val="0"/>
      <w:sz w:val="20"/>
      <w:szCs w:val="20"/>
      <w:bdr w:val="nil"/>
      <w14:ligatures w14:val="none"/>
    </w:rPr>
  </w:style>
  <w:style w:type="character" w:styleId="FootnoteReference">
    <w:name w:val="footnote reference"/>
    <w:basedOn w:val="DefaultParagraphFont"/>
    <w:uiPriority w:val="99"/>
    <w:semiHidden/>
    <w:unhideWhenUsed/>
    <w:rsid w:val="00F65DA5"/>
    <w:rPr>
      <w:vertAlign w:val="superscript"/>
    </w:rPr>
  </w:style>
  <w:style w:type="character" w:styleId="Hyperlink">
    <w:name w:val="Hyperlink"/>
    <w:basedOn w:val="DefaultParagraphFont"/>
    <w:uiPriority w:val="99"/>
    <w:unhideWhenUsed/>
    <w:rsid w:val="006F3654"/>
    <w:rPr>
      <w:color w:val="0000FF"/>
      <w:u w:val="single"/>
    </w:rPr>
  </w:style>
  <w:style w:type="character" w:styleId="EndnoteReference">
    <w:name w:val="endnote reference"/>
    <w:basedOn w:val="DefaultParagraphFont"/>
    <w:uiPriority w:val="99"/>
    <w:semiHidden/>
    <w:unhideWhenUsed/>
    <w:rsid w:val="00F15A0A"/>
    <w:rPr>
      <w:vertAlign w:val="superscript"/>
    </w:rPr>
  </w:style>
  <w:style w:type="paragraph" w:styleId="ListParagraph">
    <w:name w:val="List Paragraph"/>
    <w:basedOn w:val="Normal"/>
    <w:uiPriority w:val="34"/>
    <w:qFormat/>
    <w:rsid w:val="006F501F"/>
    <w:pPr>
      <w:ind w:left="720"/>
      <w:contextualSpacing/>
    </w:pPr>
  </w:style>
  <w:style w:type="character" w:customStyle="1" w:styleId="Heading1Char">
    <w:name w:val="Heading 1 Char"/>
    <w:basedOn w:val="DefaultParagraphFont"/>
    <w:link w:val="Heading1"/>
    <w:uiPriority w:val="9"/>
    <w:rsid w:val="00D06407"/>
    <w:rPr>
      <w:rFonts w:asciiTheme="majorHAnsi" w:eastAsiaTheme="majorEastAsia" w:hAnsiTheme="majorHAnsi" w:cstheme="majorBidi"/>
      <w:color w:val="2F5496" w:themeColor="accent1" w:themeShade="BF"/>
      <w:kern w:val="0"/>
      <w:sz w:val="32"/>
      <w:szCs w:val="32"/>
      <w:bdr w:val="nil"/>
      <w14:ligatures w14:val="none"/>
    </w:rPr>
  </w:style>
  <w:style w:type="character" w:customStyle="1" w:styleId="Heading2Char">
    <w:name w:val="Heading 2 Char"/>
    <w:basedOn w:val="DefaultParagraphFont"/>
    <w:link w:val="Heading2"/>
    <w:uiPriority w:val="9"/>
    <w:rsid w:val="00D06407"/>
    <w:rPr>
      <w:rFonts w:asciiTheme="majorHAnsi" w:eastAsiaTheme="majorEastAsia" w:hAnsiTheme="majorHAnsi" w:cstheme="majorBidi"/>
      <w:color w:val="2F5496" w:themeColor="accent1" w:themeShade="BF"/>
      <w:kern w:val="0"/>
      <w:sz w:val="26"/>
      <w:szCs w:val="26"/>
      <w:bdr w:val="nil"/>
      <w14:ligatures w14:val="none"/>
    </w:rPr>
  </w:style>
  <w:style w:type="paragraph" w:styleId="TOCHeading">
    <w:name w:val="TOC Heading"/>
    <w:basedOn w:val="Heading1"/>
    <w:next w:val="Normal"/>
    <w:uiPriority w:val="39"/>
    <w:unhideWhenUsed/>
    <w:qFormat/>
    <w:rsid w:val="00D06407"/>
    <w:pPr>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9"/>
    </w:pPr>
    <w:rPr>
      <w:b/>
      <w:bCs/>
      <w:sz w:val="28"/>
      <w:szCs w:val="28"/>
      <w:bdr w:val="none" w:sz="0" w:space="0" w:color="auto"/>
      <w:lang w:val="en-US"/>
    </w:rPr>
  </w:style>
  <w:style w:type="paragraph" w:styleId="TOC2">
    <w:name w:val="toc 2"/>
    <w:basedOn w:val="Normal"/>
    <w:next w:val="Normal"/>
    <w:autoRedefine/>
    <w:uiPriority w:val="39"/>
    <w:unhideWhenUsed/>
    <w:rsid w:val="00D0640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0640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0640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0640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0640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0640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0640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06407"/>
    <w:pPr>
      <w:ind w:left="1920"/>
    </w:pPr>
    <w:rPr>
      <w:rFonts w:asciiTheme="minorHAnsi" w:hAnsiTheme="minorHAnsi" w:cstheme="minorHAnsi"/>
      <w:sz w:val="20"/>
      <w:szCs w:val="20"/>
    </w:rPr>
  </w:style>
  <w:style w:type="character" w:customStyle="1" w:styleId="text">
    <w:name w:val="text"/>
    <w:basedOn w:val="DefaultParagraphFont"/>
    <w:rsid w:val="00DE7031"/>
  </w:style>
  <w:style w:type="character" w:customStyle="1" w:styleId="indent-1-breaks">
    <w:name w:val="indent-1-breaks"/>
    <w:basedOn w:val="DefaultParagraphFont"/>
    <w:rsid w:val="00495676"/>
  </w:style>
  <w:style w:type="paragraph" w:styleId="Header">
    <w:name w:val="header"/>
    <w:basedOn w:val="Normal"/>
    <w:link w:val="HeaderChar"/>
    <w:uiPriority w:val="99"/>
    <w:unhideWhenUsed/>
    <w:rsid w:val="00E74270"/>
    <w:pPr>
      <w:tabs>
        <w:tab w:val="center" w:pos="4513"/>
        <w:tab w:val="right" w:pos="9026"/>
      </w:tabs>
    </w:pPr>
  </w:style>
  <w:style w:type="character" w:customStyle="1" w:styleId="HeaderChar">
    <w:name w:val="Header Char"/>
    <w:basedOn w:val="DefaultParagraphFont"/>
    <w:link w:val="Header"/>
    <w:uiPriority w:val="99"/>
    <w:rsid w:val="00E74270"/>
    <w:rPr>
      <w:rFonts w:ascii="Times New Roman" w:eastAsia="Arial Unicode MS" w:hAnsi="Times New Roman" w:cs="Times New Roman"/>
      <w:kern w:val="0"/>
      <w:bdr w:val="nil"/>
      <w14:ligatures w14:val="none"/>
    </w:rPr>
  </w:style>
  <w:style w:type="paragraph" w:styleId="Footer">
    <w:name w:val="footer"/>
    <w:basedOn w:val="Normal"/>
    <w:link w:val="FooterChar"/>
    <w:uiPriority w:val="99"/>
    <w:unhideWhenUsed/>
    <w:rsid w:val="00E74270"/>
    <w:pPr>
      <w:tabs>
        <w:tab w:val="center" w:pos="4513"/>
        <w:tab w:val="right" w:pos="9026"/>
      </w:tabs>
    </w:pPr>
  </w:style>
  <w:style w:type="character" w:customStyle="1" w:styleId="FooterChar">
    <w:name w:val="Footer Char"/>
    <w:basedOn w:val="DefaultParagraphFont"/>
    <w:link w:val="Footer"/>
    <w:uiPriority w:val="99"/>
    <w:rsid w:val="00E74270"/>
    <w:rPr>
      <w:rFonts w:ascii="Times New Roman" w:eastAsia="Arial Unicode MS" w:hAnsi="Times New Roman" w:cs="Times New Roman"/>
      <w:kern w:val="0"/>
      <w:bdr w:val="nil"/>
      <w14:ligatures w14:val="none"/>
    </w:rPr>
  </w:style>
  <w:style w:type="paragraph" w:customStyle="1" w:styleId="BodyA">
    <w:name w:val="Body A"/>
    <w:rsid w:val="00E74270"/>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14:ligatures w14:val="none"/>
    </w:rPr>
  </w:style>
  <w:style w:type="paragraph" w:styleId="Bibliography">
    <w:name w:val="Bibliography"/>
    <w:basedOn w:val="Normal"/>
    <w:next w:val="Normal"/>
    <w:uiPriority w:val="37"/>
    <w:unhideWhenUsed/>
    <w:rsid w:val="00FC6606"/>
    <w:pPr>
      <w:ind w:left="720" w:hanging="720"/>
    </w:pPr>
  </w:style>
  <w:style w:type="table" w:styleId="TableGrid">
    <w:name w:val="Table Grid"/>
    <w:basedOn w:val="TableNormal"/>
    <w:uiPriority w:val="39"/>
    <w:rsid w:val="00332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154908"/>
    <w:rPr>
      <w:i/>
      <w:iCs/>
    </w:rPr>
  </w:style>
  <w:style w:type="paragraph" w:customStyle="1" w:styleId="vlrubric">
    <w:name w:val="vlrubric"/>
    <w:basedOn w:val="Normal"/>
    <w:rsid w:val="00A87F1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paragraph" w:customStyle="1" w:styleId="vlnormal">
    <w:name w:val="vlnormal"/>
    <w:basedOn w:val="Normal"/>
    <w:rsid w:val="00A87F1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eastAsia="en-GB"/>
    </w:rPr>
  </w:style>
  <w:style w:type="character" w:customStyle="1" w:styleId="vlcaps">
    <w:name w:val="vlcaps"/>
    <w:basedOn w:val="DefaultParagraphFont"/>
    <w:rsid w:val="00A87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2276">
      <w:bodyDiv w:val="1"/>
      <w:marLeft w:val="0"/>
      <w:marRight w:val="0"/>
      <w:marTop w:val="0"/>
      <w:marBottom w:val="0"/>
      <w:divBdr>
        <w:top w:val="none" w:sz="0" w:space="0" w:color="auto"/>
        <w:left w:val="none" w:sz="0" w:space="0" w:color="auto"/>
        <w:bottom w:val="none" w:sz="0" w:space="0" w:color="auto"/>
        <w:right w:val="none" w:sz="0" w:space="0" w:color="auto"/>
      </w:divBdr>
      <w:divsChild>
        <w:div w:id="1542787907">
          <w:marLeft w:val="0"/>
          <w:marRight w:val="0"/>
          <w:marTop w:val="0"/>
          <w:marBottom w:val="0"/>
          <w:divBdr>
            <w:top w:val="none" w:sz="0" w:space="0" w:color="auto"/>
            <w:left w:val="none" w:sz="0" w:space="0" w:color="auto"/>
            <w:bottom w:val="none" w:sz="0" w:space="0" w:color="auto"/>
            <w:right w:val="none" w:sz="0" w:space="0" w:color="auto"/>
          </w:divBdr>
          <w:divsChild>
            <w:div w:id="88627746">
              <w:marLeft w:val="0"/>
              <w:marRight w:val="0"/>
              <w:marTop w:val="0"/>
              <w:marBottom w:val="0"/>
              <w:divBdr>
                <w:top w:val="none" w:sz="0" w:space="0" w:color="auto"/>
                <w:left w:val="none" w:sz="0" w:space="0" w:color="auto"/>
                <w:bottom w:val="none" w:sz="0" w:space="0" w:color="auto"/>
                <w:right w:val="none" w:sz="0" w:space="0" w:color="auto"/>
              </w:divBdr>
              <w:divsChild>
                <w:div w:id="1586185671">
                  <w:marLeft w:val="0"/>
                  <w:marRight w:val="0"/>
                  <w:marTop w:val="0"/>
                  <w:marBottom w:val="0"/>
                  <w:divBdr>
                    <w:top w:val="none" w:sz="0" w:space="0" w:color="auto"/>
                    <w:left w:val="none" w:sz="0" w:space="0" w:color="auto"/>
                    <w:bottom w:val="none" w:sz="0" w:space="0" w:color="auto"/>
                    <w:right w:val="none" w:sz="0" w:space="0" w:color="auto"/>
                  </w:divBdr>
                  <w:divsChild>
                    <w:div w:id="35418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57049">
      <w:bodyDiv w:val="1"/>
      <w:marLeft w:val="0"/>
      <w:marRight w:val="0"/>
      <w:marTop w:val="0"/>
      <w:marBottom w:val="0"/>
      <w:divBdr>
        <w:top w:val="none" w:sz="0" w:space="0" w:color="auto"/>
        <w:left w:val="none" w:sz="0" w:space="0" w:color="auto"/>
        <w:bottom w:val="none" w:sz="0" w:space="0" w:color="auto"/>
        <w:right w:val="none" w:sz="0" w:space="0" w:color="auto"/>
      </w:divBdr>
      <w:divsChild>
        <w:div w:id="901675010">
          <w:marLeft w:val="0"/>
          <w:marRight w:val="0"/>
          <w:marTop w:val="0"/>
          <w:marBottom w:val="0"/>
          <w:divBdr>
            <w:top w:val="none" w:sz="0" w:space="0" w:color="auto"/>
            <w:left w:val="none" w:sz="0" w:space="0" w:color="auto"/>
            <w:bottom w:val="none" w:sz="0" w:space="0" w:color="auto"/>
            <w:right w:val="none" w:sz="0" w:space="0" w:color="auto"/>
          </w:divBdr>
          <w:divsChild>
            <w:div w:id="614866604">
              <w:marLeft w:val="0"/>
              <w:marRight w:val="0"/>
              <w:marTop w:val="0"/>
              <w:marBottom w:val="0"/>
              <w:divBdr>
                <w:top w:val="none" w:sz="0" w:space="0" w:color="auto"/>
                <w:left w:val="none" w:sz="0" w:space="0" w:color="auto"/>
                <w:bottom w:val="none" w:sz="0" w:space="0" w:color="auto"/>
                <w:right w:val="none" w:sz="0" w:space="0" w:color="auto"/>
              </w:divBdr>
              <w:divsChild>
                <w:div w:id="692733471">
                  <w:marLeft w:val="0"/>
                  <w:marRight w:val="0"/>
                  <w:marTop w:val="0"/>
                  <w:marBottom w:val="0"/>
                  <w:divBdr>
                    <w:top w:val="none" w:sz="0" w:space="0" w:color="auto"/>
                    <w:left w:val="none" w:sz="0" w:space="0" w:color="auto"/>
                    <w:bottom w:val="none" w:sz="0" w:space="0" w:color="auto"/>
                    <w:right w:val="none" w:sz="0" w:space="0" w:color="auto"/>
                  </w:divBdr>
                  <w:divsChild>
                    <w:div w:id="46859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507280">
      <w:bodyDiv w:val="1"/>
      <w:marLeft w:val="0"/>
      <w:marRight w:val="0"/>
      <w:marTop w:val="0"/>
      <w:marBottom w:val="0"/>
      <w:divBdr>
        <w:top w:val="none" w:sz="0" w:space="0" w:color="auto"/>
        <w:left w:val="none" w:sz="0" w:space="0" w:color="auto"/>
        <w:bottom w:val="none" w:sz="0" w:space="0" w:color="auto"/>
        <w:right w:val="none" w:sz="0" w:space="0" w:color="auto"/>
      </w:divBdr>
      <w:divsChild>
        <w:div w:id="1281499569">
          <w:marLeft w:val="0"/>
          <w:marRight w:val="0"/>
          <w:marTop w:val="0"/>
          <w:marBottom w:val="0"/>
          <w:divBdr>
            <w:top w:val="none" w:sz="0" w:space="0" w:color="auto"/>
            <w:left w:val="none" w:sz="0" w:space="0" w:color="auto"/>
            <w:bottom w:val="none" w:sz="0" w:space="0" w:color="auto"/>
            <w:right w:val="none" w:sz="0" w:space="0" w:color="auto"/>
          </w:divBdr>
          <w:divsChild>
            <w:div w:id="695622040">
              <w:marLeft w:val="0"/>
              <w:marRight w:val="0"/>
              <w:marTop w:val="0"/>
              <w:marBottom w:val="0"/>
              <w:divBdr>
                <w:top w:val="none" w:sz="0" w:space="0" w:color="auto"/>
                <w:left w:val="none" w:sz="0" w:space="0" w:color="auto"/>
                <w:bottom w:val="none" w:sz="0" w:space="0" w:color="auto"/>
                <w:right w:val="none" w:sz="0" w:space="0" w:color="auto"/>
              </w:divBdr>
              <w:divsChild>
                <w:div w:id="96620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77804">
      <w:bodyDiv w:val="1"/>
      <w:marLeft w:val="0"/>
      <w:marRight w:val="0"/>
      <w:marTop w:val="0"/>
      <w:marBottom w:val="0"/>
      <w:divBdr>
        <w:top w:val="none" w:sz="0" w:space="0" w:color="auto"/>
        <w:left w:val="none" w:sz="0" w:space="0" w:color="auto"/>
        <w:bottom w:val="none" w:sz="0" w:space="0" w:color="auto"/>
        <w:right w:val="none" w:sz="0" w:space="0" w:color="auto"/>
      </w:divBdr>
      <w:divsChild>
        <w:div w:id="378628324">
          <w:marLeft w:val="0"/>
          <w:marRight w:val="0"/>
          <w:marTop w:val="0"/>
          <w:marBottom w:val="0"/>
          <w:divBdr>
            <w:top w:val="none" w:sz="0" w:space="0" w:color="auto"/>
            <w:left w:val="none" w:sz="0" w:space="0" w:color="auto"/>
            <w:bottom w:val="none" w:sz="0" w:space="0" w:color="auto"/>
            <w:right w:val="none" w:sz="0" w:space="0" w:color="auto"/>
          </w:divBdr>
          <w:divsChild>
            <w:div w:id="1635870754">
              <w:marLeft w:val="0"/>
              <w:marRight w:val="0"/>
              <w:marTop w:val="0"/>
              <w:marBottom w:val="0"/>
              <w:divBdr>
                <w:top w:val="none" w:sz="0" w:space="0" w:color="auto"/>
                <w:left w:val="none" w:sz="0" w:space="0" w:color="auto"/>
                <w:bottom w:val="none" w:sz="0" w:space="0" w:color="auto"/>
                <w:right w:val="none" w:sz="0" w:space="0" w:color="auto"/>
              </w:divBdr>
              <w:divsChild>
                <w:div w:id="125674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45288">
      <w:bodyDiv w:val="1"/>
      <w:marLeft w:val="0"/>
      <w:marRight w:val="0"/>
      <w:marTop w:val="0"/>
      <w:marBottom w:val="0"/>
      <w:divBdr>
        <w:top w:val="none" w:sz="0" w:space="0" w:color="auto"/>
        <w:left w:val="none" w:sz="0" w:space="0" w:color="auto"/>
        <w:bottom w:val="none" w:sz="0" w:space="0" w:color="auto"/>
        <w:right w:val="none" w:sz="0" w:space="0" w:color="auto"/>
      </w:divBdr>
      <w:divsChild>
        <w:div w:id="742221328">
          <w:marLeft w:val="0"/>
          <w:marRight w:val="0"/>
          <w:marTop w:val="0"/>
          <w:marBottom w:val="0"/>
          <w:divBdr>
            <w:top w:val="none" w:sz="0" w:space="0" w:color="auto"/>
            <w:left w:val="none" w:sz="0" w:space="0" w:color="auto"/>
            <w:bottom w:val="none" w:sz="0" w:space="0" w:color="auto"/>
            <w:right w:val="none" w:sz="0" w:space="0" w:color="auto"/>
          </w:divBdr>
          <w:divsChild>
            <w:div w:id="1720589615">
              <w:marLeft w:val="0"/>
              <w:marRight w:val="0"/>
              <w:marTop w:val="0"/>
              <w:marBottom w:val="0"/>
              <w:divBdr>
                <w:top w:val="none" w:sz="0" w:space="0" w:color="auto"/>
                <w:left w:val="none" w:sz="0" w:space="0" w:color="auto"/>
                <w:bottom w:val="none" w:sz="0" w:space="0" w:color="auto"/>
                <w:right w:val="none" w:sz="0" w:space="0" w:color="auto"/>
              </w:divBdr>
              <w:divsChild>
                <w:div w:id="12820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993638">
      <w:bodyDiv w:val="1"/>
      <w:marLeft w:val="0"/>
      <w:marRight w:val="0"/>
      <w:marTop w:val="0"/>
      <w:marBottom w:val="0"/>
      <w:divBdr>
        <w:top w:val="none" w:sz="0" w:space="0" w:color="auto"/>
        <w:left w:val="none" w:sz="0" w:space="0" w:color="auto"/>
        <w:bottom w:val="none" w:sz="0" w:space="0" w:color="auto"/>
        <w:right w:val="none" w:sz="0" w:space="0" w:color="auto"/>
      </w:divBdr>
      <w:divsChild>
        <w:div w:id="1187788948">
          <w:marLeft w:val="0"/>
          <w:marRight w:val="0"/>
          <w:marTop w:val="0"/>
          <w:marBottom w:val="0"/>
          <w:divBdr>
            <w:top w:val="none" w:sz="0" w:space="0" w:color="auto"/>
            <w:left w:val="none" w:sz="0" w:space="0" w:color="auto"/>
            <w:bottom w:val="none" w:sz="0" w:space="0" w:color="auto"/>
            <w:right w:val="none" w:sz="0" w:space="0" w:color="auto"/>
          </w:divBdr>
          <w:divsChild>
            <w:div w:id="1327856867">
              <w:marLeft w:val="0"/>
              <w:marRight w:val="0"/>
              <w:marTop w:val="0"/>
              <w:marBottom w:val="0"/>
              <w:divBdr>
                <w:top w:val="none" w:sz="0" w:space="0" w:color="auto"/>
                <w:left w:val="none" w:sz="0" w:space="0" w:color="auto"/>
                <w:bottom w:val="none" w:sz="0" w:space="0" w:color="auto"/>
                <w:right w:val="none" w:sz="0" w:space="0" w:color="auto"/>
              </w:divBdr>
              <w:divsChild>
                <w:div w:id="204532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133711">
      <w:bodyDiv w:val="1"/>
      <w:marLeft w:val="0"/>
      <w:marRight w:val="0"/>
      <w:marTop w:val="0"/>
      <w:marBottom w:val="0"/>
      <w:divBdr>
        <w:top w:val="none" w:sz="0" w:space="0" w:color="auto"/>
        <w:left w:val="none" w:sz="0" w:space="0" w:color="auto"/>
        <w:bottom w:val="none" w:sz="0" w:space="0" w:color="auto"/>
        <w:right w:val="none" w:sz="0" w:space="0" w:color="auto"/>
      </w:divBdr>
      <w:divsChild>
        <w:div w:id="349575794">
          <w:marLeft w:val="0"/>
          <w:marRight w:val="0"/>
          <w:marTop w:val="0"/>
          <w:marBottom w:val="0"/>
          <w:divBdr>
            <w:top w:val="none" w:sz="0" w:space="0" w:color="auto"/>
            <w:left w:val="none" w:sz="0" w:space="0" w:color="auto"/>
            <w:bottom w:val="none" w:sz="0" w:space="0" w:color="auto"/>
            <w:right w:val="none" w:sz="0" w:space="0" w:color="auto"/>
          </w:divBdr>
          <w:divsChild>
            <w:div w:id="453869437">
              <w:marLeft w:val="0"/>
              <w:marRight w:val="0"/>
              <w:marTop w:val="0"/>
              <w:marBottom w:val="0"/>
              <w:divBdr>
                <w:top w:val="none" w:sz="0" w:space="0" w:color="auto"/>
                <w:left w:val="none" w:sz="0" w:space="0" w:color="auto"/>
                <w:bottom w:val="none" w:sz="0" w:space="0" w:color="auto"/>
                <w:right w:val="none" w:sz="0" w:space="0" w:color="auto"/>
              </w:divBdr>
              <w:divsChild>
                <w:div w:id="1375085024">
                  <w:marLeft w:val="0"/>
                  <w:marRight w:val="0"/>
                  <w:marTop w:val="0"/>
                  <w:marBottom w:val="0"/>
                  <w:divBdr>
                    <w:top w:val="none" w:sz="0" w:space="0" w:color="auto"/>
                    <w:left w:val="none" w:sz="0" w:space="0" w:color="auto"/>
                    <w:bottom w:val="none" w:sz="0" w:space="0" w:color="auto"/>
                    <w:right w:val="none" w:sz="0" w:space="0" w:color="auto"/>
                  </w:divBdr>
                  <w:divsChild>
                    <w:div w:id="124742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343275">
      <w:bodyDiv w:val="1"/>
      <w:marLeft w:val="0"/>
      <w:marRight w:val="0"/>
      <w:marTop w:val="0"/>
      <w:marBottom w:val="0"/>
      <w:divBdr>
        <w:top w:val="none" w:sz="0" w:space="0" w:color="auto"/>
        <w:left w:val="none" w:sz="0" w:space="0" w:color="auto"/>
        <w:bottom w:val="none" w:sz="0" w:space="0" w:color="auto"/>
        <w:right w:val="none" w:sz="0" w:space="0" w:color="auto"/>
      </w:divBdr>
      <w:divsChild>
        <w:div w:id="1357005686">
          <w:marLeft w:val="0"/>
          <w:marRight w:val="0"/>
          <w:marTop w:val="0"/>
          <w:marBottom w:val="0"/>
          <w:divBdr>
            <w:top w:val="none" w:sz="0" w:space="0" w:color="auto"/>
            <w:left w:val="none" w:sz="0" w:space="0" w:color="auto"/>
            <w:bottom w:val="none" w:sz="0" w:space="0" w:color="auto"/>
            <w:right w:val="none" w:sz="0" w:space="0" w:color="auto"/>
          </w:divBdr>
          <w:divsChild>
            <w:div w:id="611011231">
              <w:marLeft w:val="0"/>
              <w:marRight w:val="0"/>
              <w:marTop w:val="0"/>
              <w:marBottom w:val="0"/>
              <w:divBdr>
                <w:top w:val="none" w:sz="0" w:space="0" w:color="auto"/>
                <w:left w:val="none" w:sz="0" w:space="0" w:color="auto"/>
                <w:bottom w:val="none" w:sz="0" w:space="0" w:color="auto"/>
                <w:right w:val="none" w:sz="0" w:space="0" w:color="auto"/>
              </w:divBdr>
              <w:divsChild>
                <w:div w:id="82073674">
                  <w:marLeft w:val="0"/>
                  <w:marRight w:val="0"/>
                  <w:marTop w:val="0"/>
                  <w:marBottom w:val="0"/>
                  <w:divBdr>
                    <w:top w:val="none" w:sz="0" w:space="0" w:color="auto"/>
                    <w:left w:val="none" w:sz="0" w:space="0" w:color="auto"/>
                    <w:bottom w:val="none" w:sz="0" w:space="0" w:color="auto"/>
                    <w:right w:val="none" w:sz="0" w:space="0" w:color="auto"/>
                  </w:divBdr>
                  <w:divsChild>
                    <w:div w:id="30239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250646">
      <w:bodyDiv w:val="1"/>
      <w:marLeft w:val="0"/>
      <w:marRight w:val="0"/>
      <w:marTop w:val="0"/>
      <w:marBottom w:val="0"/>
      <w:divBdr>
        <w:top w:val="none" w:sz="0" w:space="0" w:color="auto"/>
        <w:left w:val="none" w:sz="0" w:space="0" w:color="auto"/>
        <w:bottom w:val="none" w:sz="0" w:space="0" w:color="auto"/>
        <w:right w:val="none" w:sz="0" w:space="0" w:color="auto"/>
      </w:divBdr>
      <w:divsChild>
        <w:div w:id="81414003">
          <w:marLeft w:val="0"/>
          <w:marRight w:val="0"/>
          <w:marTop w:val="0"/>
          <w:marBottom w:val="0"/>
          <w:divBdr>
            <w:top w:val="none" w:sz="0" w:space="0" w:color="auto"/>
            <w:left w:val="none" w:sz="0" w:space="0" w:color="auto"/>
            <w:bottom w:val="none" w:sz="0" w:space="0" w:color="auto"/>
            <w:right w:val="none" w:sz="0" w:space="0" w:color="auto"/>
          </w:divBdr>
          <w:divsChild>
            <w:div w:id="1863519830">
              <w:marLeft w:val="0"/>
              <w:marRight w:val="0"/>
              <w:marTop w:val="0"/>
              <w:marBottom w:val="0"/>
              <w:divBdr>
                <w:top w:val="none" w:sz="0" w:space="0" w:color="auto"/>
                <w:left w:val="none" w:sz="0" w:space="0" w:color="auto"/>
                <w:bottom w:val="none" w:sz="0" w:space="0" w:color="auto"/>
                <w:right w:val="none" w:sz="0" w:space="0" w:color="auto"/>
              </w:divBdr>
              <w:divsChild>
                <w:div w:id="1296835859">
                  <w:marLeft w:val="0"/>
                  <w:marRight w:val="0"/>
                  <w:marTop w:val="0"/>
                  <w:marBottom w:val="0"/>
                  <w:divBdr>
                    <w:top w:val="none" w:sz="0" w:space="0" w:color="auto"/>
                    <w:left w:val="none" w:sz="0" w:space="0" w:color="auto"/>
                    <w:bottom w:val="none" w:sz="0" w:space="0" w:color="auto"/>
                    <w:right w:val="none" w:sz="0" w:space="0" w:color="auto"/>
                  </w:divBdr>
                  <w:divsChild>
                    <w:div w:id="3442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547700">
      <w:bodyDiv w:val="1"/>
      <w:marLeft w:val="0"/>
      <w:marRight w:val="0"/>
      <w:marTop w:val="0"/>
      <w:marBottom w:val="0"/>
      <w:divBdr>
        <w:top w:val="none" w:sz="0" w:space="0" w:color="auto"/>
        <w:left w:val="none" w:sz="0" w:space="0" w:color="auto"/>
        <w:bottom w:val="none" w:sz="0" w:space="0" w:color="auto"/>
        <w:right w:val="none" w:sz="0" w:space="0" w:color="auto"/>
      </w:divBdr>
      <w:divsChild>
        <w:div w:id="58746045">
          <w:marLeft w:val="0"/>
          <w:marRight w:val="0"/>
          <w:marTop w:val="0"/>
          <w:marBottom w:val="0"/>
          <w:divBdr>
            <w:top w:val="none" w:sz="0" w:space="0" w:color="auto"/>
            <w:left w:val="none" w:sz="0" w:space="0" w:color="auto"/>
            <w:bottom w:val="none" w:sz="0" w:space="0" w:color="auto"/>
            <w:right w:val="none" w:sz="0" w:space="0" w:color="auto"/>
          </w:divBdr>
          <w:divsChild>
            <w:div w:id="1785154175">
              <w:marLeft w:val="0"/>
              <w:marRight w:val="0"/>
              <w:marTop w:val="0"/>
              <w:marBottom w:val="0"/>
              <w:divBdr>
                <w:top w:val="none" w:sz="0" w:space="0" w:color="auto"/>
                <w:left w:val="none" w:sz="0" w:space="0" w:color="auto"/>
                <w:bottom w:val="none" w:sz="0" w:space="0" w:color="auto"/>
                <w:right w:val="none" w:sz="0" w:space="0" w:color="auto"/>
              </w:divBdr>
              <w:divsChild>
                <w:div w:id="1984307318">
                  <w:marLeft w:val="0"/>
                  <w:marRight w:val="0"/>
                  <w:marTop w:val="0"/>
                  <w:marBottom w:val="0"/>
                  <w:divBdr>
                    <w:top w:val="none" w:sz="0" w:space="0" w:color="auto"/>
                    <w:left w:val="none" w:sz="0" w:space="0" w:color="auto"/>
                    <w:bottom w:val="none" w:sz="0" w:space="0" w:color="auto"/>
                    <w:right w:val="none" w:sz="0" w:space="0" w:color="auto"/>
                  </w:divBdr>
                  <w:divsChild>
                    <w:div w:id="894314532">
                      <w:marLeft w:val="0"/>
                      <w:marRight w:val="0"/>
                      <w:marTop w:val="0"/>
                      <w:marBottom w:val="0"/>
                      <w:divBdr>
                        <w:top w:val="none" w:sz="0" w:space="0" w:color="auto"/>
                        <w:left w:val="none" w:sz="0" w:space="0" w:color="auto"/>
                        <w:bottom w:val="none" w:sz="0" w:space="0" w:color="auto"/>
                        <w:right w:val="none" w:sz="0" w:space="0" w:color="auto"/>
                      </w:divBdr>
                    </w:div>
                  </w:divsChild>
                </w:div>
                <w:div w:id="135535755">
                  <w:marLeft w:val="0"/>
                  <w:marRight w:val="0"/>
                  <w:marTop w:val="0"/>
                  <w:marBottom w:val="0"/>
                  <w:divBdr>
                    <w:top w:val="none" w:sz="0" w:space="0" w:color="auto"/>
                    <w:left w:val="none" w:sz="0" w:space="0" w:color="auto"/>
                    <w:bottom w:val="none" w:sz="0" w:space="0" w:color="auto"/>
                    <w:right w:val="none" w:sz="0" w:space="0" w:color="auto"/>
                  </w:divBdr>
                  <w:divsChild>
                    <w:div w:id="1937014573">
                      <w:marLeft w:val="0"/>
                      <w:marRight w:val="0"/>
                      <w:marTop w:val="0"/>
                      <w:marBottom w:val="0"/>
                      <w:divBdr>
                        <w:top w:val="none" w:sz="0" w:space="0" w:color="auto"/>
                        <w:left w:val="none" w:sz="0" w:space="0" w:color="auto"/>
                        <w:bottom w:val="none" w:sz="0" w:space="0" w:color="auto"/>
                        <w:right w:val="none" w:sz="0" w:space="0" w:color="auto"/>
                      </w:divBdr>
                    </w:div>
                  </w:divsChild>
                </w:div>
                <w:div w:id="598099869">
                  <w:marLeft w:val="0"/>
                  <w:marRight w:val="0"/>
                  <w:marTop w:val="0"/>
                  <w:marBottom w:val="0"/>
                  <w:divBdr>
                    <w:top w:val="none" w:sz="0" w:space="0" w:color="auto"/>
                    <w:left w:val="none" w:sz="0" w:space="0" w:color="auto"/>
                    <w:bottom w:val="none" w:sz="0" w:space="0" w:color="auto"/>
                    <w:right w:val="none" w:sz="0" w:space="0" w:color="auto"/>
                  </w:divBdr>
                  <w:divsChild>
                    <w:div w:id="1048265517">
                      <w:marLeft w:val="0"/>
                      <w:marRight w:val="0"/>
                      <w:marTop w:val="0"/>
                      <w:marBottom w:val="0"/>
                      <w:divBdr>
                        <w:top w:val="none" w:sz="0" w:space="0" w:color="auto"/>
                        <w:left w:val="none" w:sz="0" w:space="0" w:color="auto"/>
                        <w:bottom w:val="none" w:sz="0" w:space="0" w:color="auto"/>
                        <w:right w:val="none" w:sz="0" w:space="0" w:color="auto"/>
                      </w:divBdr>
                      <w:divsChild>
                        <w:div w:id="2737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758509">
          <w:marLeft w:val="0"/>
          <w:marRight w:val="0"/>
          <w:marTop w:val="0"/>
          <w:marBottom w:val="0"/>
          <w:divBdr>
            <w:top w:val="none" w:sz="0" w:space="0" w:color="auto"/>
            <w:left w:val="none" w:sz="0" w:space="0" w:color="auto"/>
            <w:bottom w:val="none" w:sz="0" w:space="0" w:color="auto"/>
            <w:right w:val="none" w:sz="0" w:space="0" w:color="auto"/>
          </w:divBdr>
          <w:divsChild>
            <w:div w:id="1440028525">
              <w:marLeft w:val="0"/>
              <w:marRight w:val="0"/>
              <w:marTop w:val="0"/>
              <w:marBottom w:val="0"/>
              <w:divBdr>
                <w:top w:val="none" w:sz="0" w:space="0" w:color="auto"/>
                <w:left w:val="none" w:sz="0" w:space="0" w:color="auto"/>
                <w:bottom w:val="none" w:sz="0" w:space="0" w:color="auto"/>
                <w:right w:val="none" w:sz="0" w:space="0" w:color="auto"/>
              </w:divBdr>
              <w:divsChild>
                <w:div w:id="1262450959">
                  <w:marLeft w:val="0"/>
                  <w:marRight w:val="0"/>
                  <w:marTop w:val="0"/>
                  <w:marBottom w:val="0"/>
                  <w:divBdr>
                    <w:top w:val="none" w:sz="0" w:space="0" w:color="auto"/>
                    <w:left w:val="none" w:sz="0" w:space="0" w:color="auto"/>
                    <w:bottom w:val="none" w:sz="0" w:space="0" w:color="auto"/>
                    <w:right w:val="none" w:sz="0" w:space="0" w:color="auto"/>
                  </w:divBdr>
                  <w:divsChild>
                    <w:div w:id="121786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897760">
      <w:bodyDiv w:val="1"/>
      <w:marLeft w:val="0"/>
      <w:marRight w:val="0"/>
      <w:marTop w:val="0"/>
      <w:marBottom w:val="0"/>
      <w:divBdr>
        <w:top w:val="none" w:sz="0" w:space="0" w:color="auto"/>
        <w:left w:val="none" w:sz="0" w:space="0" w:color="auto"/>
        <w:bottom w:val="none" w:sz="0" w:space="0" w:color="auto"/>
        <w:right w:val="none" w:sz="0" w:space="0" w:color="auto"/>
      </w:divBdr>
      <w:divsChild>
        <w:div w:id="698314323">
          <w:marLeft w:val="480"/>
          <w:marRight w:val="0"/>
          <w:marTop w:val="0"/>
          <w:marBottom w:val="0"/>
          <w:divBdr>
            <w:top w:val="none" w:sz="0" w:space="0" w:color="auto"/>
            <w:left w:val="none" w:sz="0" w:space="0" w:color="auto"/>
            <w:bottom w:val="none" w:sz="0" w:space="0" w:color="auto"/>
            <w:right w:val="none" w:sz="0" w:space="0" w:color="auto"/>
          </w:divBdr>
          <w:divsChild>
            <w:div w:id="23567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614665">
      <w:bodyDiv w:val="1"/>
      <w:marLeft w:val="0"/>
      <w:marRight w:val="0"/>
      <w:marTop w:val="0"/>
      <w:marBottom w:val="0"/>
      <w:divBdr>
        <w:top w:val="none" w:sz="0" w:space="0" w:color="auto"/>
        <w:left w:val="none" w:sz="0" w:space="0" w:color="auto"/>
        <w:bottom w:val="none" w:sz="0" w:space="0" w:color="auto"/>
        <w:right w:val="none" w:sz="0" w:space="0" w:color="auto"/>
      </w:divBdr>
      <w:divsChild>
        <w:div w:id="480463591">
          <w:marLeft w:val="480"/>
          <w:marRight w:val="0"/>
          <w:marTop w:val="0"/>
          <w:marBottom w:val="0"/>
          <w:divBdr>
            <w:top w:val="none" w:sz="0" w:space="0" w:color="auto"/>
            <w:left w:val="none" w:sz="0" w:space="0" w:color="auto"/>
            <w:bottom w:val="none" w:sz="0" w:space="0" w:color="auto"/>
            <w:right w:val="none" w:sz="0" w:space="0" w:color="auto"/>
          </w:divBdr>
          <w:divsChild>
            <w:div w:id="20516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47837">
      <w:bodyDiv w:val="1"/>
      <w:marLeft w:val="0"/>
      <w:marRight w:val="0"/>
      <w:marTop w:val="0"/>
      <w:marBottom w:val="0"/>
      <w:divBdr>
        <w:top w:val="none" w:sz="0" w:space="0" w:color="auto"/>
        <w:left w:val="none" w:sz="0" w:space="0" w:color="auto"/>
        <w:bottom w:val="none" w:sz="0" w:space="0" w:color="auto"/>
        <w:right w:val="none" w:sz="0" w:space="0" w:color="auto"/>
      </w:divBdr>
      <w:divsChild>
        <w:div w:id="1291091137">
          <w:marLeft w:val="0"/>
          <w:marRight w:val="0"/>
          <w:marTop w:val="0"/>
          <w:marBottom w:val="0"/>
          <w:divBdr>
            <w:top w:val="none" w:sz="0" w:space="0" w:color="auto"/>
            <w:left w:val="none" w:sz="0" w:space="0" w:color="auto"/>
            <w:bottom w:val="none" w:sz="0" w:space="0" w:color="auto"/>
            <w:right w:val="none" w:sz="0" w:space="0" w:color="auto"/>
          </w:divBdr>
          <w:divsChild>
            <w:div w:id="1016349422">
              <w:marLeft w:val="0"/>
              <w:marRight w:val="0"/>
              <w:marTop w:val="0"/>
              <w:marBottom w:val="0"/>
              <w:divBdr>
                <w:top w:val="none" w:sz="0" w:space="0" w:color="auto"/>
                <w:left w:val="none" w:sz="0" w:space="0" w:color="auto"/>
                <w:bottom w:val="none" w:sz="0" w:space="0" w:color="auto"/>
                <w:right w:val="none" w:sz="0" w:space="0" w:color="auto"/>
              </w:divBdr>
              <w:divsChild>
                <w:div w:id="180047062">
                  <w:marLeft w:val="0"/>
                  <w:marRight w:val="0"/>
                  <w:marTop w:val="0"/>
                  <w:marBottom w:val="0"/>
                  <w:divBdr>
                    <w:top w:val="none" w:sz="0" w:space="0" w:color="auto"/>
                    <w:left w:val="none" w:sz="0" w:space="0" w:color="auto"/>
                    <w:bottom w:val="none" w:sz="0" w:space="0" w:color="auto"/>
                    <w:right w:val="none" w:sz="0" w:space="0" w:color="auto"/>
                  </w:divBdr>
                  <w:divsChild>
                    <w:div w:id="136736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808371">
      <w:bodyDiv w:val="1"/>
      <w:marLeft w:val="0"/>
      <w:marRight w:val="0"/>
      <w:marTop w:val="0"/>
      <w:marBottom w:val="0"/>
      <w:divBdr>
        <w:top w:val="none" w:sz="0" w:space="0" w:color="auto"/>
        <w:left w:val="none" w:sz="0" w:space="0" w:color="auto"/>
        <w:bottom w:val="none" w:sz="0" w:space="0" w:color="auto"/>
        <w:right w:val="none" w:sz="0" w:space="0" w:color="auto"/>
      </w:divBdr>
      <w:divsChild>
        <w:div w:id="1215893072">
          <w:marLeft w:val="0"/>
          <w:marRight w:val="0"/>
          <w:marTop w:val="0"/>
          <w:marBottom w:val="0"/>
          <w:divBdr>
            <w:top w:val="none" w:sz="0" w:space="0" w:color="auto"/>
            <w:left w:val="none" w:sz="0" w:space="0" w:color="auto"/>
            <w:bottom w:val="none" w:sz="0" w:space="0" w:color="auto"/>
            <w:right w:val="none" w:sz="0" w:space="0" w:color="auto"/>
          </w:divBdr>
          <w:divsChild>
            <w:div w:id="1397128783">
              <w:marLeft w:val="0"/>
              <w:marRight w:val="0"/>
              <w:marTop w:val="0"/>
              <w:marBottom w:val="0"/>
              <w:divBdr>
                <w:top w:val="none" w:sz="0" w:space="0" w:color="auto"/>
                <w:left w:val="none" w:sz="0" w:space="0" w:color="auto"/>
                <w:bottom w:val="none" w:sz="0" w:space="0" w:color="auto"/>
                <w:right w:val="none" w:sz="0" w:space="0" w:color="auto"/>
              </w:divBdr>
              <w:divsChild>
                <w:div w:id="11010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98244">
      <w:bodyDiv w:val="1"/>
      <w:marLeft w:val="0"/>
      <w:marRight w:val="0"/>
      <w:marTop w:val="0"/>
      <w:marBottom w:val="0"/>
      <w:divBdr>
        <w:top w:val="none" w:sz="0" w:space="0" w:color="auto"/>
        <w:left w:val="none" w:sz="0" w:space="0" w:color="auto"/>
        <w:bottom w:val="none" w:sz="0" w:space="0" w:color="auto"/>
        <w:right w:val="none" w:sz="0" w:space="0" w:color="auto"/>
      </w:divBdr>
      <w:divsChild>
        <w:div w:id="1757052294">
          <w:marLeft w:val="0"/>
          <w:marRight w:val="0"/>
          <w:marTop w:val="0"/>
          <w:marBottom w:val="0"/>
          <w:divBdr>
            <w:top w:val="none" w:sz="0" w:space="0" w:color="auto"/>
            <w:left w:val="none" w:sz="0" w:space="0" w:color="auto"/>
            <w:bottom w:val="none" w:sz="0" w:space="0" w:color="auto"/>
            <w:right w:val="none" w:sz="0" w:space="0" w:color="auto"/>
          </w:divBdr>
          <w:divsChild>
            <w:div w:id="1354456784">
              <w:marLeft w:val="0"/>
              <w:marRight w:val="0"/>
              <w:marTop w:val="0"/>
              <w:marBottom w:val="0"/>
              <w:divBdr>
                <w:top w:val="none" w:sz="0" w:space="0" w:color="auto"/>
                <w:left w:val="none" w:sz="0" w:space="0" w:color="auto"/>
                <w:bottom w:val="none" w:sz="0" w:space="0" w:color="auto"/>
                <w:right w:val="none" w:sz="0" w:space="0" w:color="auto"/>
              </w:divBdr>
              <w:divsChild>
                <w:div w:id="1182164364">
                  <w:marLeft w:val="0"/>
                  <w:marRight w:val="0"/>
                  <w:marTop w:val="0"/>
                  <w:marBottom w:val="0"/>
                  <w:divBdr>
                    <w:top w:val="none" w:sz="0" w:space="0" w:color="auto"/>
                    <w:left w:val="none" w:sz="0" w:space="0" w:color="auto"/>
                    <w:bottom w:val="none" w:sz="0" w:space="0" w:color="auto"/>
                    <w:right w:val="none" w:sz="0" w:space="0" w:color="auto"/>
                  </w:divBdr>
                  <w:divsChild>
                    <w:div w:id="124094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543633">
      <w:bodyDiv w:val="1"/>
      <w:marLeft w:val="0"/>
      <w:marRight w:val="0"/>
      <w:marTop w:val="0"/>
      <w:marBottom w:val="0"/>
      <w:divBdr>
        <w:top w:val="none" w:sz="0" w:space="0" w:color="auto"/>
        <w:left w:val="none" w:sz="0" w:space="0" w:color="auto"/>
        <w:bottom w:val="none" w:sz="0" w:space="0" w:color="auto"/>
        <w:right w:val="none" w:sz="0" w:space="0" w:color="auto"/>
      </w:divBdr>
      <w:divsChild>
        <w:div w:id="2075812912">
          <w:marLeft w:val="0"/>
          <w:marRight w:val="0"/>
          <w:marTop w:val="0"/>
          <w:marBottom w:val="0"/>
          <w:divBdr>
            <w:top w:val="none" w:sz="0" w:space="0" w:color="auto"/>
            <w:left w:val="none" w:sz="0" w:space="0" w:color="auto"/>
            <w:bottom w:val="none" w:sz="0" w:space="0" w:color="auto"/>
            <w:right w:val="none" w:sz="0" w:space="0" w:color="auto"/>
          </w:divBdr>
          <w:divsChild>
            <w:div w:id="1786341473">
              <w:marLeft w:val="0"/>
              <w:marRight w:val="0"/>
              <w:marTop w:val="0"/>
              <w:marBottom w:val="0"/>
              <w:divBdr>
                <w:top w:val="none" w:sz="0" w:space="0" w:color="auto"/>
                <w:left w:val="none" w:sz="0" w:space="0" w:color="auto"/>
                <w:bottom w:val="none" w:sz="0" w:space="0" w:color="auto"/>
                <w:right w:val="none" w:sz="0" w:space="0" w:color="auto"/>
              </w:divBdr>
              <w:divsChild>
                <w:div w:id="131290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0827">
      <w:bodyDiv w:val="1"/>
      <w:marLeft w:val="0"/>
      <w:marRight w:val="0"/>
      <w:marTop w:val="0"/>
      <w:marBottom w:val="0"/>
      <w:divBdr>
        <w:top w:val="none" w:sz="0" w:space="0" w:color="auto"/>
        <w:left w:val="none" w:sz="0" w:space="0" w:color="auto"/>
        <w:bottom w:val="none" w:sz="0" w:space="0" w:color="auto"/>
        <w:right w:val="none" w:sz="0" w:space="0" w:color="auto"/>
      </w:divBdr>
      <w:divsChild>
        <w:div w:id="680549894">
          <w:marLeft w:val="480"/>
          <w:marRight w:val="0"/>
          <w:marTop w:val="0"/>
          <w:marBottom w:val="0"/>
          <w:divBdr>
            <w:top w:val="none" w:sz="0" w:space="0" w:color="auto"/>
            <w:left w:val="none" w:sz="0" w:space="0" w:color="auto"/>
            <w:bottom w:val="none" w:sz="0" w:space="0" w:color="auto"/>
            <w:right w:val="none" w:sz="0" w:space="0" w:color="auto"/>
          </w:divBdr>
          <w:divsChild>
            <w:div w:id="14208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500785">
      <w:bodyDiv w:val="1"/>
      <w:marLeft w:val="0"/>
      <w:marRight w:val="0"/>
      <w:marTop w:val="0"/>
      <w:marBottom w:val="0"/>
      <w:divBdr>
        <w:top w:val="none" w:sz="0" w:space="0" w:color="auto"/>
        <w:left w:val="none" w:sz="0" w:space="0" w:color="auto"/>
        <w:bottom w:val="none" w:sz="0" w:space="0" w:color="auto"/>
        <w:right w:val="none" w:sz="0" w:space="0" w:color="auto"/>
      </w:divBdr>
      <w:divsChild>
        <w:div w:id="1761172895">
          <w:marLeft w:val="480"/>
          <w:marRight w:val="0"/>
          <w:marTop w:val="0"/>
          <w:marBottom w:val="0"/>
          <w:divBdr>
            <w:top w:val="none" w:sz="0" w:space="0" w:color="auto"/>
            <w:left w:val="none" w:sz="0" w:space="0" w:color="auto"/>
            <w:bottom w:val="none" w:sz="0" w:space="0" w:color="auto"/>
            <w:right w:val="none" w:sz="0" w:space="0" w:color="auto"/>
          </w:divBdr>
          <w:divsChild>
            <w:div w:id="17217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50066">
      <w:bodyDiv w:val="1"/>
      <w:marLeft w:val="0"/>
      <w:marRight w:val="0"/>
      <w:marTop w:val="0"/>
      <w:marBottom w:val="0"/>
      <w:divBdr>
        <w:top w:val="none" w:sz="0" w:space="0" w:color="auto"/>
        <w:left w:val="none" w:sz="0" w:space="0" w:color="auto"/>
        <w:bottom w:val="none" w:sz="0" w:space="0" w:color="auto"/>
        <w:right w:val="none" w:sz="0" w:space="0" w:color="auto"/>
      </w:divBdr>
      <w:divsChild>
        <w:div w:id="1351759027">
          <w:marLeft w:val="0"/>
          <w:marRight w:val="0"/>
          <w:marTop w:val="0"/>
          <w:marBottom w:val="0"/>
          <w:divBdr>
            <w:top w:val="none" w:sz="0" w:space="0" w:color="auto"/>
            <w:left w:val="none" w:sz="0" w:space="0" w:color="auto"/>
            <w:bottom w:val="none" w:sz="0" w:space="0" w:color="auto"/>
            <w:right w:val="none" w:sz="0" w:space="0" w:color="auto"/>
          </w:divBdr>
          <w:divsChild>
            <w:div w:id="1759790674">
              <w:marLeft w:val="0"/>
              <w:marRight w:val="0"/>
              <w:marTop w:val="0"/>
              <w:marBottom w:val="0"/>
              <w:divBdr>
                <w:top w:val="none" w:sz="0" w:space="0" w:color="auto"/>
                <w:left w:val="none" w:sz="0" w:space="0" w:color="auto"/>
                <w:bottom w:val="none" w:sz="0" w:space="0" w:color="auto"/>
                <w:right w:val="none" w:sz="0" w:space="0" w:color="auto"/>
              </w:divBdr>
              <w:divsChild>
                <w:div w:id="795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157388">
      <w:bodyDiv w:val="1"/>
      <w:marLeft w:val="0"/>
      <w:marRight w:val="0"/>
      <w:marTop w:val="0"/>
      <w:marBottom w:val="0"/>
      <w:divBdr>
        <w:top w:val="none" w:sz="0" w:space="0" w:color="auto"/>
        <w:left w:val="none" w:sz="0" w:space="0" w:color="auto"/>
        <w:bottom w:val="none" w:sz="0" w:space="0" w:color="auto"/>
        <w:right w:val="none" w:sz="0" w:space="0" w:color="auto"/>
      </w:divBdr>
      <w:divsChild>
        <w:div w:id="1719208993">
          <w:marLeft w:val="0"/>
          <w:marRight w:val="0"/>
          <w:marTop w:val="0"/>
          <w:marBottom w:val="0"/>
          <w:divBdr>
            <w:top w:val="none" w:sz="0" w:space="0" w:color="auto"/>
            <w:left w:val="none" w:sz="0" w:space="0" w:color="auto"/>
            <w:bottom w:val="none" w:sz="0" w:space="0" w:color="auto"/>
            <w:right w:val="none" w:sz="0" w:space="0" w:color="auto"/>
          </w:divBdr>
          <w:divsChild>
            <w:div w:id="1907295225">
              <w:marLeft w:val="0"/>
              <w:marRight w:val="0"/>
              <w:marTop w:val="0"/>
              <w:marBottom w:val="0"/>
              <w:divBdr>
                <w:top w:val="none" w:sz="0" w:space="0" w:color="auto"/>
                <w:left w:val="none" w:sz="0" w:space="0" w:color="auto"/>
                <w:bottom w:val="none" w:sz="0" w:space="0" w:color="auto"/>
                <w:right w:val="none" w:sz="0" w:space="0" w:color="auto"/>
              </w:divBdr>
              <w:divsChild>
                <w:div w:id="150316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257081">
      <w:bodyDiv w:val="1"/>
      <w:marLeft w:val="0"/>
      <w:marRight w:val="0"/>
      <w:marTop w:val="0"/>
      <w:marBottom w:val="0"/>
      <w:divBdr>
        <w:top w:val="none" w:sz="0" w:space="0" w:color="auto"/>
        <w:left w:val="none" w:sz="0" w:space="0" w:color="auto"/>
        <w:bottom w:val="none" w:sz="0" w:space="0" w:color="auto"/>
        <w:right w:val="none" w:sz="0" w:space="0" w:color="auto"/>
      </w:divBdr>
      <w:divsChild>
        <w:div w:id="1373265812">
          <w:marLeft w:val="0"/>
          <w:marRight w:val="0"/>
          <w:marTop w:val="0"/>
          <w:marBottom w:val="0"/>
          <w:divBdr>
            <w:top w:val="none" w:sz="0" w:space="0" w:color="auto"/>
            <w:left w:val="none" w:sz="0" w:space="0" w:color="auto"/>
            <w:bottom w:val="none" w:sz="0" w:space="0" w:color="auto"/>
            <w:right w:val="none" w:sz="0" w:space="0" w:color="auto"/>
          </w:divBdr>
          <w:divsChild>
            <w:div w:id="1033924591">
              <w:marLeft w:val="0"/>
              <w:marRight w:val="0"/>
              <w:marTop w:val="0"/>
              <w:marBottom w:val="0"/>
              <w:divBdr>
                <w:top w:val="none" w:sz="0" w:space="0" w:color="auto"/>
                <w:left w:val="none" w:sz="0" w:space="0" w:color="auto"/>
                <w:bottom w:val="none" w:sz="0" w:space="0" w:color="auto"/>
                <w:right w:val="none" w:sz="0" w:space="0" w:color="auto"/>
              </w:divBdr>
              <w:divsChild>
                <w:div w:id="190271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858619">
      <w:bodyDiv w:val="1"/>
      <w:marLeft w:val="0"/>
      <w:marRight w:val="0"/>
      <w:marTop w:val="0"/>
      <w:marBottom w:val="0"/>
      <w:divBdr>
        <w:top w:val="none" w:sz="0" w:space="0" w:color="auto"/>
        <w:left w:val="none" w:sz="0" w:space="0" w:color="auto"/>
        <w:bottom w:val="none" w:sz="0" w:space="0" w:color="auto"/>
        <w:right w:val="none" w:sz="0" w:space="0" w:color="auto"/>
      </w:divBdr>
      <w:divsChild>
        <w:div w:id="1982539787">
          <w:marLeft w:val="0"/>
          <w:marRight w:val="0"/>
          <w:marTop w:val="0"/>
          <w:marBottom w:val="0"/>
          <w:divBdr>
            <w:top w:val="none" w:sz="0" w:space="0" w:color="auto"/>
            <w:left w:val="none" w:sz="0" w:space="0" w:color="auto"/>
            <w:bottom w:val="none" w:sz="0" w:space="0" w:color="auto"/>
            <w:right w:val="none" w:sz="0" w:space="0" w:color="auto"/>
          </w:divBdr>
          <w:divsChild>
            <w:div w:id="1700937182">
              <w:marLeft w:val="0"/>
              <w:marRight w:val="0"/>
              <w:marTop w:val="0"/>
              <w:marBottom w:val="0"/>
              <w:divBdr>
                <w:top w:val="none" w:sz="0" w:space="0" w:color="auto"/>
                <w:left w:val="none" w:sz="0" w:space="0" w:color="auto"/>
                <w:bottom w:val="none" w:sz="0" w:space="0" w:color="auto"/>
                <w:right w:val="none" w:sz="0" w:space="0" w:color="auto"/>
              </w:divBdr>
              <w:divsChild>
                <w:div w:id="888765581">
                  <w:marLeft w:val="0"/>
                  <w:marRight w:val="0"/>
                  <w:marTop w:val="0"/>
                  <w:marBottom w:val="0"/>
                  <w:divBdr>
                    <w:top w:val="none" w:sz="0" w:space="0" w:color="auto"/>
                    <w:left w:val="none" w:sz="0" w:space="0" w:color="auto"/>
                    <w:bottom w:val="none" w:sz="0" w:space="0" w:color="auto"/>
                    <w:right w:val="none" w:sz="0" w:space="0" w:color="auto"/>
                  </w:divBdr>
                  <w:divsChild>
                    <w:div w:id="1050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14745">
      <w:bodyDiv w:val="1"/>
      <w:marLeft w:val="0"/>
      <w:marRight w:val="0"/>
      <w:marTop w:val="0"/>
      <w:marBottom w:val="0"/>
      <w:divBdr>
        <w:top w:val="none" w:sz="0" w:space="0" w:color="auto"/>
        <w:left w:val="none" w:sz="0" w:space="0" w:color="auto"/>
        <w:bottom w:val="none" w:sz="0" w:space="0" w:color="auto"/>
        <w:right w:val="none" w:sz="0" w:space="0" w:color="auto"/>
      </w:divBdr>
      <w:divsChild>
        <w:div w:id="755906983">
          <w:marLeft w:val="480"/>
          <w:marRight w:val="0"/>
          <w:marTop w:val="0"/>
          <w:marBottom w:val="0"/>
          <w:divBdr>
            <w:top w:val="none" w:sz="0" w:space="0" w:color="auto"/>
            <w:left w:val="none" w:sz="0" w:space="0" w:color="auto"/>
            <w:bottom w:val="none" w:sz="0" w:space="0" w:color="auto"/>
            <w:right w:val="none" w:sz="0" w:space="0" w:color="auto"/>
          </w:divBdr>
          <w:divsChild>
            <w:div w:id="167791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785168">
      <w:bodyDiv w:val="1"/>
      <w:marLeft w:val="0"/>
      <w:marRight w:val="0"/>
      <w:marTop w:val="0"/>
      <w:marBottom w:val="0"/>
      <w:divBdr>
        <w:top w:val="none" w:sz="0" w:space="0" w:color="auto"/>
        <w:left w:val="none" w:sz="0" w:space="0" w:color="auto"/>
        <w:bottom w:val="none" w:sz="0" w:space="0" w:color="auto"/>
        <w:right w:val="none" w:sz="0" w:space="0" w:color="auto"/>
      </w:divBdr>
      <w:divsChild>
        <w:div w:id="904025944">
          <w:marLeft w:val="0"/>
          <w:marRight w:val="0"/>
          <w:marTop w:val="0"/>
          <w:marBottom w:val="0"/>
          <w:divBdr>
            <w:top w:val="none" w:sz="0" w:space="0" w:color="auto"/>
            <w:left w:val="none" w:sz="0" w:space="0" w:color="auto"/>
            <w:bottom w:val="none" w:sz="0" w:space="0" w:color="auto"/>
            <w:right w:val="none" w:sz="0" w:space="0" w:color="auto"/>
          </w:divBdr>
          <w:divsChild>
            <w:div w:id="1937008425">
              <w:marLeft w:val="0"/>
              <w:marRight w:val="0"/>
              <w:marTop w:val="0"/>
              <w:marBottom w:val="0"/>
              <w:divBdr>
                <w:top w:val="none" w:sz="0" w:space="0" w:color="auto"/>
                <w:left w:val="none" w:sz="0" w:space="0" w:color="auto"/>
                <w:bottom w:val="none" w:sz="0" w:space="0" w:color="auto"/>
                <w:right w:val="none" w:sz="0" w:space="0" w:color="auto"/>
              </w:divBdr>
              <w:divsChild>
                <w:div w:id="1456409697">
                  <w:marLeft w:val="0"/>
                  <w:marRight w:val="0"/>
                  <w:marTop w:val="0"/>
                  <w:marBottom w:val="0"/>
                  <w:divBdr>
                    <w:top w:val="none" w:sz="0" w:space="0" w:color="auto"/>
                    <w:left w:val="none" w:sz="0" w:space="0" w:color="auto"/>
                    <w:bottom w:val="none" w:sz="0" w:space="0" w:color="auto"/>
                    <w:right w:val="none" w:sz="0" w:space="0" w:color="auto"/>
                  </w:divBdr>
                  <w:divsChild>
                    <w:div w:id="205222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03515">
      <w:bodyDiv w:val="1"/>
      <w:marLeft w:val="0"/>
      <w:marRight w:val="0"/>
      <w:marTop w:val="0"/>
      <w:marBottom w:val="0"/>
      <w:divBdr>
        <w:top w:val="none" w:sz="0" w:space="0" w:color="auto"/>
        <w:left w:val="none" w:sz="0" w:space="0" w:color="auto"/>
        <w:bottom w:val="none" w:sz="0" w:space="0" w:color="auto"/>
        <w:right w:val="none" w:sz="0" w:space="0" w:color="auto"/>
      </w:divBdr>
      <w:divsChild>
        <w:div w:id="218831176">
          <w:marLeft w:val="0"/>
          <w:marRight w:val="0"/>
          <w:marTop w:val="0"/>
          <w:marBottom w:val="0"/>
          <w:divBdr>
            <w:top w:val="none" w:sz="0" w:space="0" w:color="auto"/>
            <w:left w:val="none" w:sz="0" w:space="0" w:color="auto"/>
            <w:bottom w:val="none" w:sz="0" w:space="0" w:color="auto"/>
            <w:right w:val="none" w:sz="0" w:space="0" w:color="auto"/>
          </w:divBdr>
          <w:divsChild>
            <w:div w:id="198472349">
              <w:marLeft w:val="0"/>
              <w:marRight w:val="0"/>
              <w:marTop w:val="0"/>
              <w:marBottom w:val="0"/>
              <w:divBdr>
                <w:top w:val="none" w:sz="0" w:space="0" w:color="auto"/>
                <w:left w:val="none" w:sz="0" w:space="0" w:color="auto"/>
                <w:bottom w:val="none" w:sz="0" w:space="0" w:color="auto"/>
                <w:right w:val="none" w:sz="0" w:space="0" w:color="auto"/>
              </w:divBdr>
              <w:divsChild>
                <w:div w:id="1654871690">
                  <w:marLeft w:val="0"/>
                  <w:marRight w:val="0"/>
                  <w:marTop w:val="0"/>
                  <w:marBottom w:val="0"/>
                  <w:divBdr>
                    <w:top w:val="none" w:sz="0" w:space="0" w:color="auto"/>
                    <w:left w:val="none" w:sz="0" w:space="0" w:color="auto"/>
                    <w:bottom w:val="none" w:sz="0" w:space="0" w:color="auto"/>
                    <w:right w:val="none" w:sz="0" w:space="0" w:color="auto"/>
                  </w:divBdr>
                  <w:divsChild>
                    <w:div w:id="136887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17370">
      <w:bodyDiv w:val="1"/>
      <w:marLeft w:val="0"/>
      <w:marRight w:val="0"/>
      <w:marTop w:val="0"/>
      <w:marBottom w:val="0"/>
      <w:divBdr>
        <w:top w:val="none" w:sz="0" w:space="0" w:color="auto"/>
        <w:left w:val="none" w:sz="0" w:space="0" w:color="auto"/>
        <w:bottom w:val="none" w:sz="0" w:space="0" w:color="auto"/>
        <w:right w:val="none" w:sz="0" w:space="0" w:color="auto"/>
      </w:divBdr>
      <w:divsChild>
        <w:div w:id="2013945752">
          <w:marLeft w:val="480"/>
          <w:marRight w:val="0"/>
          <w:marTop w:val="0"/>
          <w:marBottom w:val="0"/>
          <w:divBdr>
            <w:top w:val="none" w:sz="0" w:space="0" w:color="auto"/>
            <w:left w:val="none" w:sz="0" w:space="0" w:color="auto"/>
            <w:bottom w:val="none" w:sz="0" w:space="0" w:color="auto"/>
            <w:right w:val="none" w:sz="0" w:space="0" w:color="auto"/>
          </w:divBdr>
          <w:divsChild>
            <w:div w:id="71580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77145">
      <w:bodyDiv w:val="1"/>
      <w:marLeft w:val="0"/>
      <w:marRight w:val="0"/>
      <w:marTop w:val="0"/>
      <w:marBottom w:val="0"/>
      <w:divBdr>
        <w:top w:val="none" w:sz="0" w:space="0" w:color="auto"/>
        <w:left w:val="none" w:sz="0" w:space="0" w:color="auto"/>
        <w:bottom w:val="none" w:sz="0" w:space="0" w:color="auto"/>
        <w:right w:val="none" w:sz="0" w:space="0" w:color="auto"/>
      </w:divBdr>
      <w:divsChild>
        <w:div w:id="1932464943">
          <w:marLeft w:val="0"/>
          <w:marRight w:val="0"/>
          <w:marTop w:val="0"/>
          <w:marBottom w:val="0"/>
          <w:divBdr>
            <w:top w:val="none" w:sz="0" w:space="0" w:color="auto"/>
            <w:left w:val="none" w:sz="0" w:space="0" w:color="auto"/>
            <w:bottom w:val="none" w:sz="0" w:space="0" w:color="auto"/>
            <w:right w:val="none" w:sz="0" w:space="0" w:color="auto"/>
          </w:divBdr>
          <w:divsChild>
            <w:div w:id="1157569254">
              <w:marLeft w:val="0"/>
              <w:marRight w:val="0"/>
              <w:marTop w:val="0"/>
              <w:marBottom w:val="0"/>
              <w:divBdr>
                <w:top w:val="none" w:sz="0" w:space="0" w:color="auto"/>
                <w:left w:val="none" w:sz="0" w:space="0" w:color="auto"/>
                <w:bottom w:val="none" w:sz="0" w:space="0" w:color="auto"/>
                <w:right w:val="none" w:sz="0" w:space="0" w:color="auto"/>
              </w:divBdr>
              <w:divsChild>
                <w:div w:id="1861972762">
                  <w:marLeft w:val="0"/>
                  <w:marRight w:val="0"/>
                  <w:marTop w:val="0"/>
                  <w:marBottom w:val="0"/>
                  <w:divBdr>
                    <w:top w:val="none" w:sz="0" w:space="0" w:color="auto"/>
                    <w:left w:val="none" w:sz="0" w:space="0" w:color="auto"/>
                    <w:bottom w:val="none" w:sz="0" w:space="0" w:color="auto"/>
                    <w:right w:val="none" w:sz="0" w:space="0" w:color="auto"/>
                  </w:divBdr>
                  <w:divsChild>
                    <w:div w:id="146184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913480">
      <w:bodyDiv w:val="1"/>
      <w:marLeft w:val="0"/>
      <w:marRight w:val="0"/>
      <w:marTop w:val="0"/>
      <w:marBottom w:val="0"/>
      <w:divBdr>
        <w:top w:val="none" w:sz="0" w:space="0" w:color="auto"/>
        <w:left w:val="none" w:sz="0" w:space="0" w:color="auto"/>
        <w:bottom w:val="none" w:sz="0" w:space="0" w:color="auto"/>
        <w:right w:val="none" w:sz="0" w:space="0" w:color="auto"/>
      </w:divBdr>
      <w:divsChild>
        <w:div w:id="1902329656">
          <w:marLeft w:val="0"/>
          <w:marRight w:val="0"/>
          <w:marTop w:val="0"/>
          <w:marBottom w:val="0"/>
          <w:divBdr>
            <w:top w:val="none" w:sz="0" w:space="0" w:color="auto"/>
            <w:left w:val="none" w:sz="0" w:space="0" w:color="auto"/>
            <w:bottom w:val="none" w:sz="0" w:space="0" w:color="auto"/>
            <w:right w:val="none" w:sz="0" w:space="0" w:color="auto"/>
          </w:divBdr>
          <w:divsChild>
            <w:div w:id="1785929052">
              <w:marLeft w:val="0"/>
              <w:marRight w:val="0"/>
              <w:marTop w:val="0"/>
              <w:marBottom w:val="0"/>
              <w:divBdr>
                <w:top w:val="none" w:sz="0" w:space="0" w:color="auto"/>
                <w:left w:val="none" w:sz="0" w:space="0" w:color="auto"/>
                <w:bottom w:val="none" w:sz="0" w:space="0" w:color="auto"/>
                <w:right w:val="none" w:sz="0" w:space="0" w:color="auto"/>
              </w:divBdr>
              <w:divsChild>
                <w:div w:id="199799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359824">
      <w:bodyDiv w:val="1"/>
      <w:marLeft w:val="0"/>
      <w:marRight w:val="0"/>
      <w:marTop w:val="0"/>
      <w:marBottom w:val="0"/>
      <w:divBdr>
        <w:top w:val="none" w:sz="0" w:space="0" w:color="auto"/>
        <w:left w:val="none" w:sz="0" w:space="0" w:color="auto"/>
        <w:bottom w:val="none" w:sz="0" w:space="0" w:color="auto"/>
        <w:right w:val="none" w:sz="0" w:space="0" w:color="auto"/>
      </w:divBdr>
      <w:divsChild>
        <w:div w:id="864055277">
          <w:marLeft w:val="480"/>
          <w:marRight w:val="0"/>
          <w:marTop w:val="0"/>
          <w:marBottom w:val="0"/>
          <w:divBdr>
            <w:top w:val="none" w:sz="0" w:space="0" w:color="auto"/>
            <w:left w:val="none" w:sz="0" w:space="0" w:color="auto"/>
            <w:bottom w:val="none" w:sz="0" w:space="0" w:color="auto"/>
            <w:right w:val="none" w:sz="0" w:space="0" w:color="auto"/>
          </w:divBdr>
          <w:divsChild>
            <w:div w:id="160800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11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S1740355319000019" TargetMode="External"/><Relationship Id="rId13" Type="http://schemas.openxmlformats.org/officeDocument/2006/relationships/hyperlink" Target="https://www.thegospelcoalition.org/blogs/trevin-wax/luther-vs-zwingli-2-luther-on-the-lords-supp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2478/v10154-012-0006-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102/ids.v51i1.227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93/oxfordhb/9780195170498.003.12" TargetMode="External"/><Relationship Id="rId4" Type="http://schemas.openxmlformats.org/officeDocument/2006/relationships/settings" Target="settings.xml"/><Relationship Id="rId9" Type="http://schemas.openxmlformats.org/officeDocument/2006/relationships/hyperlink" Target="https://doi.org/10.1093/acprof:oso/9780198270218.001.000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24C35-3AF7-BC44-862C-3FBA8BA2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25</Pages>
  <Words>6292</Words>
  <Characters>33919</Characters>
  <Application>Microsoft Office Word</Application>
  <DocSecurity>0</DocSecurity>
  <Lines>605</Lines>
  <Paragraphs>148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40063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Spenceley</dc:creator>
  <cp:keywords/>
  <dc:description/>
  <cp:lastModifiedBy>Douglas Spenceley (2026303)</cp:lastModifiedBy>
  <cp:revision>7</cp:revision>
  <cp:lastPrinted>2024-05-15T15:24:00Z</cp:lastPrinted>
  <dcterms:created xsi:type="dcterms:W3CDTF">2024-05-16T12:52:00Z</dcterms:created>
  <dcterms:modified xsi:type="dcterms:W3CDTF">2024-05-16T13:19:00Z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zotero-version="6.0.37"&gt;&lt;session id="L07RbXbA"/&gt;&lt;style id="http://www.zotero.org/styles/chicago-fullnote-bibliography" locale="en-GB" hasBibliography="1" bibliographyStyleHasBeenSet="1"/&gt;&lt;prefs&gt;&lt;pref name="fieldType" value="Field"/&gt;</vt:lpwstr>
  </property>
  <property fmtid="{D5CDD505-2E9C-101B-9397-08002B2CF9AE}" pid="3" name="ZOTERO_PREF_2">
    <vt:lpwstr>&lt;pref name="noteType" value="1"/&gt;&lt;/prefs&gt;&lt;/data&gt;</vt:lpwstr>
  </property>
</Properties>
</file>