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35C66" w14:textId="3EA4DE39" w:rsidR="00CF13E0" w:rsidRDefault="0036706D">
      <w:r>
        <w:t>HPP6015-Essay One- Daoist Body Philosophy.</w:t>
      </w:r>
    </w:p>
    <w:p w14:paraId="55EDF86A" w14:textId="546CDF16" w:rsidR="0036706D" w:rsidRDefault="0036706D">
      <w:r w:rsidRPr="0011026A">
        <w:rPr>
          <w:b/>
          <w:bCs/>
          <w:u w:val="single"/>
        </w:rPr>
        <w:t xml:space="preserve">Explain the concept </w:t>
      </w:r>
      <w:r w:rsidR="00C57902" w:rsidRPr="0011026A">
        <w:rPr>
          <w:b/>
          <w:bCs/>
          <w:u w:val="single"/>
        </w:rPr>
        <w:t>o</w:t>
      </w:r>
      <w:r w:rsidRPr="0011026A">
        <w:rPr>
          <w:b/>
          <w:bCs/>
          <w:u w:val="single"/>
        </w:rPr>
        <w:t>f Yin-Yang in Daoist Philosophy in relation to the concept</w:t>
      </w:r>
      <w:r w:rsidR="00C57902" w:rsidRPr="0011026A">
        <w:rPr>
          <w:b/>
          <w:bCs/>
          <w:u w:val="single"/>
        </w:rPr>
        <w:t>s</w:t>
      </w:r>
      <w:r w:rsidRPr="0011026A">
        <w:rPr>
          <w:b/>
          <w:bCs/>
          <w:u w:val="single"/>
        </w:rPr>
        <w:t xml:space="preserve"> and mytholog</w:t>
      </w:r>
      <w:r w:rsidR="00C57902" w:rsidRPr="0011026A">
        <w:rPr>
          <w:b/>
          <w:bCs/>
          <w:u w:val="single"/>
        </w:rPr>
        <w:t>ies</w:t>
      </w:r>
      <w:r w:rsidRPr="0011026A">
        <w:rPr>
          <w:b/>
          <w:bCs/>
          <w:u w:val="single"/>
        </w:rPr>
        <w:t xml:space="preserve"> of </w:t>
      </w:r>
      <w:r w:rsidR="00C57902" w:rsidRPr="0011026A">
        <w:rPr>
          <w:b/>
          <w:bCs/>
          <w:u w:val="single"/>
        </w:rPr>
        <w:t xml:space="preserve">Nuwa and Fuxi and their counterparts in Theology </w:t>
      </w:r>
      <w:r w:rsidRPr="0011026A">
        <w:rPr>
          <w:b/>
          <w:bCs/>
          <w:u w:val="single"/>
        </w:rPr>
        <w:t>Adam and Eve</w:t>
      </w:r>
      <w:r w:rsidR="00C57902">
        <w:t>.</w:t>
      </w:r>
    </w:p>
    <w:p w14:paraId="64B4B197" w14:textId="07142E00" w:rsidR="0036706D" w:rsidRDefault="00D62CD1">
      <w:r>
        <w:t>“Huang Di said “The law of Yin and Yang is the natural order of the universe, the foundation of all things, mother of all changes, the root of life and death.”</w:t>
      </w:r>
      <w:r>
        <w:rPr>
          <w:rStyle w:val="FootnoteReference"/>
        </w:rPr>
        <w:footnoteReference w:id="1"/>
      </w:r>
    </w:p>
    <w:p w14:paraId="4322E44B" w14:textId="59446A0A" w:rsidR="0036706D" w:rsidRDefault="00DD6A63">
      <w:r>
        <w:t>Darkside of the Moon – Sunnyside of the Mountain</w:t>
      </w:r>
    </w:p>
    <w:p w14:paraId="67BCBBA5" w14:textId="5ED0B6D3" w:rsidR="00793A90" w:rsidRDefault="00DD6A63">
      <w:r>
        <w:t>The Natural world when viewed as interconnected</w:t>
      </w:r>
      <w:r w:rsidR="002606F3">
        <w:t xml:space="preserve"> and</w:t>
      </w:r>
      <w:r>
        <w:t xml:space="preserve"> in a holistic system in continual flux, shows patterns within the process of change. We observe the seasons as one emerges into the next, we see day become nigh</w:t>
      </w:r>
      <w:r w:rsidR="002606F3">
        <w:t>t</w:t>
      </w:r>
      <w:r>
        <w:t>, and witness these transformations in a relationship aligned with celestial phenomena: “This understanding of natural change is embodied in t</w:t>
      </w:r>
      <w:r w:rsidR="00793A90">
        <w:t>he traditional Chinese metaphors of</w:t>
      </w:r>
      <w:r w:rsidR="00793A90" w:rsidRPr="00793A90">
        <w:rPr>
          <w:i/>
          <w:iCs/>
        </w:rPr>
        <w:t xml:space="preserve"> Yin</w:t>
      </w:r>
      <w:r w:rsidR="00793A90">
        <w:t xml:space="preserve"> and</w:t>
      </w:r>
      <w:r w:rsidR="00793A90" w:rsidRPr="00793A90">
        <w:rPr>
          <w:i/>
          <w:iCs/>
        </w:rPr>
        <w:t xml:space="preserve"> Yang</w:t>
      </w:r>
      <w:r w:rsidR="00793A90">
        <w:t>, the names for the northern and southern slopes of the mountain.”</w:t>
      </w:r>
      <w:r w:rsidR="00793A90">
        <w:rPr>
          <w:rStyle w:val="FootnoteReference"/>
        </w:rPr>
        <w:footnoteReference w:id="2"/>
      </w:r>
      <w:r w:rsidR="002606F3">
        <w:t xml:space="preserve"> </w:t>
      </w:r>
      <w:r w:rsidR="00793A90">
        <w:t xml:space="preserve">It is observed that the aspect of a mountain which faces the sun tends to be warmer, dryer and brighter; whilst the </w:t>
      </w:r>
      <w:r w:rsidR="00C57902">
        <w:t xml:space="preserve">aspect of </w:t>
      </w:r>
      <w:r w:rsidR="00793A90">
        <w:t>opposite side of the mountain is shaded, darker and colder. Yang is the translation of the brighter side and Yin is the translation of the side which is in shade.</w:t>
      </w:r>
      <w:r w:rsidR="003A0693">
        <w:t xml:space="preserve"> Yin and Yang have come to express the direct or indirect qualities which are associated with these two distinct aspects of the mountain.</w:t>
      </w:r>
      <w:r w:rsidR="003A0693">
        <w:rPr>
          <w:rStyle w:val="FootnoteReference"/>
        </w:rPr>
        <w:footnoteReference w:id="3"/>
      </w:r>
      <w:r w:rsidR="003A0693">
        <w:t xml:space="preserve"> The connotations of Yin are of the cool side of the mountain, where the morning mist sits and transforms to rain, producing streams which encourage the growth of plant life, and therefore encouraging a habitat for animal life. Yin is associated with the moon, winter and night. The connotations of Yang are associated with the sunny side of the mountain, which is an arid atmosphere where the soil is firmer, </w:t>
      </w:r>
      <w:r w:rsidR="0062532E">
        <w:t>Yang is affiliated with the sun, day and summer. This firm bright aspect of Yang denotes a forceful, firm, strong energy of fulness, a sense of movement and progression; in a complementary opposition Yin denotes a soft, dark and still energy, a sense of resting, releasing and restoring.</w:t>
      </w:r>
      <w:r w:rsidR="0026470D">
        <w:rPr>
          <w:rStyle w:val="FootnoteReference"/>
        </w:rPr>
        <w:footnoteReference w:id="4"/>
      </w:r>
      <w:r w:rsidR="0026470D">
        <w:t xml:space="preserve"> The qualities of these forces are also associated with Male and Female: we can recognise the stereotypical Masculine in Yang with its associations with leadership and a forceful strength; and the </w:t>
      </w:r>
      <w:r w:rsidR="00290228">
        <w:t xml:space="preserve">stereotypical </w:t>
      </w:r>
      <w:r w:rsidR="0026470D">
        <w:t xml:space="preserve">role of the Feminine in </w:t>
      </w:r>
      <w:r w:rsidR="00290228">
        <w:t xml:space="preserve">Yin, with a nurturing gentle yielding association.  Coutinho </w:t>
      </w:r>
      <w:r w:rsidR="00C57902">
        <w:t>supports when own views when</w:t>
      </w:r>
      <w:r w:rsidR="00290228">
        <w:t xml:space="preserve"> he posits that: “</w:t>
      </w:r>
      <w:r w:rsidR="002606F3">
        <w:t>[T]</w:t>
      </w:r>
      <w:proofErr w:type="spellStart"/>
      <w:r w:rsidR="00290228" w:rsidRPr="00290228">
        <w:rPr>
          <w:sz w:val="24"/>
          <w:szCs w:val="24"/>
        </w:rPr>
        <w:t>hese</w:t>
      </w:r>
      <w:proofErr w:type="spellEnd"/>
      <w:r w:rsidR="00290228">
        <w:t xml:space="preserve"> are not strictly biological terms, since all things and all people are supposed to have both qualities in an appropriate balance”</w:t>
      </w:r>
      <w:r w:rsidR="00290228">
        <w:rPr>
          <w:rStyle w:val="FootnoteReference"/>
        </w:rPr>
        <w:footnoteReference w:id="5"/>
      </w:r>
      <w:r w:rsidR="00290228">
        <w:t xml:space="preserve"> All humans and animals are made from both male and female biological processes</w:t>
      </w:r>
      <w:r w:rsidR="002606F3">
        <w:t xml:space="preserve"> </w:t>
      </w:r>
      <w:r w:rsidR="00290228">
        <w:t xml:space="preserve">and the light cannot be seen without the dark, without death there would not be life; this is not just a matter of </w:t>
      </w:r>
      <w:r w:rsidR="00445605">
        <w:t>linguistics</w:t>
      </w:r>
      <w:r w:rsidR="00290228">
        <w:t xml:space="preserve">, </w:t>
      </w:r>
      <w:r w:rsidR="00445605">
        <w:t>it is understood</w:t>
      </w:r>
      <w:r w:rsidR="00290228">
        <w:t xml:space="preserve"> from the empirica</w:t>
      </w:r>
      <w:r w:rsidR="00445605">
        <w:t>l and scientific</w:t>
      </w:r>
      <w:r w:rsidR="00290228">
        <w:t xml:space="preserve"> evidence we gather </w:t>
      </w:r>
      <w:r w:rsidR="00445605">
        <w:t xml:space="preserve">from the beings we are in this natural world of which we are part </w:t>
      </w:r>
      <w:proofErr w:type="gramStart"/>
      <w:r w:rsidR="00445605">
        <w:t>of</w:t>
      </w:r>
      <w:r w:rsidR="00C57902">
        <w:t>,</w:t>
      </w:r>
      <w:proofErr w:type="gramEnd"/>
      <w:r w:rsidR="00C57902">
        <w:t xml:space="preserve"> it</w:t>
      </w:r>
      <w:r w:rsidR="00445605">
        <w:t xml:space="preserve"> is </w:t>
      </w:r>
      <w:r w:rsidR="00C57902">
        <w:t xml:space="preserve">an </w:t>
      </w:r>
      <w:r w:rsidR="00445605">
        <w:t>essential</w:t>
      </w:r>
      <w:r w:rsidR="00C57902">
        <w:t xml:space="preserve"> part o</w:t>
      </w:r>
      <w:r w:rsidR="00445605">
        <w:t>f our very existence.</w:t>
      </w:r>
    </w:p>
    <w:p w14:paraId="28416DBE" w14:textId="1A8D4002" w:rsidR="00445605" w:rsidRDefault="00445605">
      <w:r>
        <w:t>A Complexity of No Boundaries</w:t>
      </w:r>
      <w:r w:rsidR="003B299F">
        <w:t xml:space="preserve"> and No Contrasts</w:t>
      </w:r>
    </w:p>
    <w:p w14:paraId="5775DE2C" w14:textId="6456172F" w:rsidR="00445605" w:rsidRDefault="00445605">
      <w:r>
        <w:t xml:space="preserve">Metaphorically Yin and Yang can be viewed in association with other contrasting aspects: dark and light, death and growth. Yang’s association with Spring, growth and the light and Yin’s association with the Autumn, death and </w:t>
      </w:r>
      <w:r w:rsidR="00E843CD">
        <w:t>the dark. However, Yin is also associated with fertility and flexibility, whilst Yang is associated with death and aridity</w:t>
      </w:r>
      <w:r w:rsidR="002606F3">
        <w:t>:</w:t>
      </w:r>
      <w:r w:rsidR="00E843CD">
        <w:t xml:space="preserve"> “Thus, Yin and Yang are complex enough for each to contain elements of the other.”</w:t>
      </w:r>
      <w:r w:rsidR="00E843CD">
        <w:rPr>
          <w:rStyle w:val="FootnoteReference"/>
        </w:rPr>
        <w:footnoteReference w:id="6"/>
      </w:r>
      <w:r w:rsidR="00E843CD">
        <w:t xml:space="preserve"> </w:t>
      </w:r>
      <w:r w:rsidR="00D62CD1">
        <w:t xml:space="preserve">Although we recognise elements of Yin and Yang in certain forces, </w:t>
      </w:r>
      <w:r w:rsidR="00D62CD1">
        <w:lastRenderedPageBreak/>
        <w:t>they will not be in equal parts; the sun may hold elements of Yang in greater quantity, and the moon may hold elements of Yin in greater quantity</w:t>
      </w:r>
      <w:r w:rsidR="003B299F">
        <w:t xml:space="preserve">. Both the sun and the moon will hold elements of both Yin and Yang, with </w:t>
      </w:r>
      <w:r w:rsidR="004441E2">
        <w:t>less</w:t>
      </w:r>
      <w:r w:rsidR="003B299F">
        <w:t xml:space="preserve"> </w:t>
      </w:r>
      <w:r w:rsidR="004441E2">
        <w:t xml:space="preserve">of the element of </w:t>
      </w:r>
      <w:r w:rsidR="003B299F">
        <w:t xml:space="preserve">Yang in the moon and </w:t>
      </w:r>
      <w:r w:rsidR="004441E2">
        <w:t xml:space="preserve">less of the element of </w:t>
      </w:r>
      <w:r w:rsidR="003B299F">
        <w:t>Yin in the sun.</w:t>
      </w:r>
      <w:r w:rsidR="004441E2">
        <w:t xml:space="preserve"> In these aspects of Yin and Yang we do not perceive contrast</w:t>
      </w:r>
      <w:r w:rsidR="002606F3">
        <w:t xml:space="preserve"> the same as is</w:t>
      </w:r>
      <w:r w:rsidR="004441E2">
        <w:t xml:space="preserve"> recognised in western philosophy, </w:t>
      </w:r>
      <w:r w:rsidR="00EB3C7D">
        <w:t>i.e., T</w:t>
      </w:r>
      <w:r w:rsidR="004441E2">
        <w:t>he Plato</w:t>
      </w:r>
      <w:r w:rsidR="00EB3C7D">
        <w:t>nic</w:t>
      </w:r>
      <w:r w:rsidR="004441E2">
        <w:t xml:space="preserve"> ideal of opposing forces </w:t>
      </w:r>
      <w:r w:rsidR="008413BB">
        <w:t>and</w:t>
      </w:r>
      <w:r w:rsidR="004441E2">
        <w:t xml:space="preserve"> Aristotle’s ideal of a mean between two opposi</w:t>
      </w:r>
      <w:r w:rsidR="002606F3">
        <w:t>tes</w:t>
      </w:r>
      <w:r w:rsidR="00EB3C7D">
        <w:t xml:space="preserve"> </w:t>
      </w:r>
      <w:r w:rsidR="008413BB">
        <w:t>or</w:t>
      </w:r>
      <w:r w:rsidR="00EB3C7D">
        <w:t xml:space="preserve"> Cartesian Dualism</w:t>
      </w:r>
      <w:r w:rsidR="008413BB">
        <w:t xml:space="preserve"> of mind and body</w:t>
      </w:r>
      <w:r w:rsidR="00EB3C7D">
        <w:t xml:space="preserve">; I can recognise aspect of the concept of Yin and Yang in the philosophies of </w:t>
      </w:r>
      <w:r w:rsidR="00A47DA2">
        <w:t xml:space="preserve">Heraclitus’ idea that all is in flux and later in </w:t>
      </w:r>
      <w:r w:rsidR="00EB3C7D">
        <w:t>Spinoza</w:t>
      </w:r>
      <w:r w:rsidR="008413BB">
        <w:t>’s ideal of one substance, all is nature or God</w:t>
      </w:r>
      <w:r w:rsidR="00EB3C7D">
        <w:t xml:space="preserve"> and Anne Conway</w:t>
      </w:r>
      <w:r w:rsidR="008413BB">
        <w:t>’s ideal of three substances the immutable</w:t>
      </w:r>
      <w:r w:rsidR="00C57902">
        <w:t xml:space="preserve"> -</w:t>
      </w:r>
      <w:r w:rsidR="008413BB">
        <w:t xml:space="preserve"> God, and the mutable</w:t>
      </w:r>
      <w:r w:rsidR="00C57902">
        <w:t xml:space="preserve"> -</w:t>
      </w:r>
      <w:r w:rsidR="008413BB">
        <w:t xml:space="preserve"> all else that exists and that which has both</w:t>
      </w:r>
      <w:r w:rsidR="00C57902">
        <w:t xml:space="preserve"> -</w:t>
      </w:r>
      <w:r w:rsidR="008413BB">
        <w:t xml:space="preserve"> Logos and Christ. H</w:t>
      </w:r>
      <w:r w:rsidR="00EB3C7D">
        <w:t>owever, for the purposes of this essay I will agree with Coutinho that the common understanding of western philosophy is one of a dualistic and antagonistic nature in relation to life and death, which are antagonistic opposites</w:t>
      </w:r>
      <w:r w:rsidR="006A140E">
        <w:t>;</w:t>
      </w:r>
      <w:r w:rsidR="008413BB">
        <w:t xml:space="preserve"> where opposite</w:t>
      </w:r>
      <w:r w:rsidR="006A140E">
        <w:t>s</w:t>
      </w:r>
      <w:r w:rsidR="008413BB">
        <w:t xml:space="preserve"> </w:t>
      </w:r>
      <w:r w:rsidR="006A140E">
        <w:t>are</w:t>
      </w:r>
      <w:r w:rsidR="008413BB">
        <w:t xml:space="preserve"> viewed as the enemy: death as the enemy of life. In this view relegation, subordination and boundaries are in place – one is either in or out; as phases go through chan</w:t>
      </w:r>
      <w:r w:rsidR="00A47DA2">
        <w:t xml:space="preserve">ge the previous phase is relegated subordinate to the next, in the example of a child as she becomes subordinate to adulthood. Life and death have clear boundaries, non-existence becomes existence then returns to </w:t>
      </w:r>
      <w:r w:rsidR="006E7AF8">
        <w:t>non-</w:t>
      </w:r>
      <w:r w:rsidR="00A47DA2">
        <w:t>existence.</w:t>
      </w:r>
      <w:r w:rsidR="00820355">
        <w:rPr>
          <w:rStyle w:val="FootnoteReference"/>
        </w:rPr>
        <w:footnoteReference w:id="7"/>
      </w:r>
      <w:r w:rsidR="00A47DA2">
        <w:t xml:space="preserve"> In the concept of Yin-Yang we see that the realms of existence are constantly in flux, and if we </w:t>
      </w:r>
      <w:r w:rsidR="00CC699C">
        <w:t>agree</w:t>
      </w:r>
      <w:r w:rsidR="00A47DA2">
        <w:t xml:space="preserve"> with Heraclitus</w:t>
      </w:r>
      <w:r w:rsidR="00CC699C">
        <w:t xml:space="preserve"> (</w:t>
      </w:r>
      <w:r w:rsidR="00820355">
        <w:t xml:space="preserve">as I </w:t>
      </w:r>
      <w:r w:rsidR="00CC699C">
        <w:t>do)</w:t>
      </w:r>
      <w:r w:rsidR="00820355">
        <w:t xml:space="preserve"> that all is in a state of flux: moving constantly flowing into one phase from another in equality, a clearer picture of the eastern concept of Yin Yang dawns upon my western eyes</w:t>
      </w:r>
      <w:r w:rsidR="006E7AF8">
        <w:t>; however, a concept of death as part of this continual movement of phases is also to be considered</w:t>
      </w:r>
      <w:r w:rsidR="00820355">
        <w:t xml:space="preserve">. I have never seen the antagonistic boundaries of a Platonist view </w:t>
      </w:r>
      <w:r w:rsidR="006E7AF8">
        <w:t>or</w:t>
      </w:r>
      <w:r w:rsidR="00820355">
        <w:t xml:space="preserve"> the dualism of the </w:t>
      </w:r>
      <w:r w:rsidR="002F3862">
        <w:t>Cartesian but</w:t>
      </w:r>
      <w:r w:rsidR="00820355">
        <w:t xml:space="preserve"> have found revelation in the Heraclitan concept of never being able to step in the same river twice</w:t>
      </w:r>
      <w:r w:rsidR="002F3862">
        <w:t xml:space="preserve">. </w:t>
      </w:r>
      <w:r w:rsidR="00CC699C">
        <w:t>Credence</w:t>
      </w:r>
      <w:r w:rsidR="002F3862">
        <w:t xml:space="preserve"> must be given to the understanding that there are differences in some aspects of substances, as night is different from day and a mountain </w:t>
      </w:r>
      <w:r w:rsidR="001E3394">
        <w:t>differs</w:t>
      </w:r>
      <w:r w:rsidR="002F3862">
        <w:t xml:space="preserve"> from a river. In the analogy of the mountain and the river we can </w:t>
      </w:r>
      <w:r w:rsidR="001E3394">
        <w:t>acknowledge</w:t>
      </w:r>
      <w:r w:rsidR="002F3862">
        <w:t xml:space="preserve"> boundaries</w:t>
      </w:r>
      <w:r w:rsidR="001E3394">
        <w:t xml:space="preserve"> as </w:t>
      </w:r>
      <w:r w:rsidR="002F3862">
        <w:t xml:space="preserve">we </w:t>
      </w:r>
      <w:r w:rsidR="001E3394">
        <w:t>observe</w:t>
      </w:r>
      <w:r w:rsidR="002F3862">
        <w:t xml:space="preserve"> the side of a riverbank which holds the flowing </w:t>
      </w:r>
      <w:r w:rsidR="008802FF">
        <w:t>water;</w:t>
      </w:r>
      <w:r w:rsidR="002F3862">
        <w:t xml:space="preserve"> however</w:t>
      </w:r>
      <w:r w:rsidR="008802FF">
        <w:t>,</w:t>
      </w:r>
      <w:r w:rsidR="002F3862">
        <w:t xml:space="preserve"> it is the mountains solidity which supports the </w:t>
      </w:r>
      <w:r w:rsidR="008802FF">
        <w:t>river, and</w:t>
      </w:r>
      <w:r w:rsidR="002F3862">
        <w:t xml:space="preserve"> as the river eats into the mountain by its continuous flow so the mountain is absorbed into the river</w:t>
      </w:r>
      <w:r w:rsidR="001E3394">
        <w:t>,</w:t>
      </w:r>
      <w:r w:rsidR="002F3862">
        <w:t xml:space="preserve"> as simultaneously the </w:t>
      </w:r>
      <w:r w:rsidR="008802FF">
        <w:t>mountain absorbs the river. In the analogy of day and night, we observe the gradual process as the light softens and yields to the darkness.</w:t>
      </w:r>
      <w:r w:rsidR="002F3862">
        <w:t xml:space="preserve"> </w:t>
      </w:r>
      <w:r w:rsidR="008802FF">
        <w:t xml:space="preserve">As Coutinho </w:t>
      </w:r>
      <w:r w:rsidR="00CC699C">
        <w:t>rightly and eloquently explains:</w:t>
      </w:r>
      <w:r w:rsidR="008802FF">
        <w:t xml:space="preserve"> “[</w:t>
      </w:r>
      <w:r w:rsidR="001E3394">
        <w:t>W</w:t>
      </w:r>
      <w:r w:rsidR="008802FF">
        <w:t xml:space="preserve">]e </w:t>
      </w:r>
      <w:proofErr w:type="gramStart"/>
      <w:r w:rsidR="008802FF">
        <w:t>infer</w:t>
      </w:r>
      <w:proofErr w:type="gramEnd"/>
      <w:r w:rsidR="008802FF">
        <w:t xml:space="preserve"> no more than that all things transform into their counter parts through a continuous process that</w:t>
      </w:r>
      <w:r w:rsidR="00CC699C">
        <w:t xml:space="preserve"> preserves difference while lacking determinate boundaries.”</w:t>
      </w:r>
      <w:r w:rsidR="00CC699C">
        <w:rPr>
          <w:rStyle w:val="FootnoteReference"/>
        </w:rPr>
        <w:footnoteReference w:id="8"/>
      </w:r>
      <w:r w:rsidR="00CC699C">
        <w:t xml:space="preserve"> Whilst th</w:t>
      </w:r>
      <w:r w:rsidR="006E7AF8">
        <w:t>is</w:t>
      </w:r>
      <w:r w:rsidR="00CC699C">
        <w:t xml:space="preserve"> is closer to my world view</w:t>
      </w:r>
      <w:r w:rsidR="000F6C0B">
        <w:t>:</w:t>
      </w:r>
      <w:r w:rsidR="00CC699C">
        <w:t xml:space="preserve"> that one thing may flo</w:t>
      </w:r>
      <w:r w:rsidR="000F6C0B">
        <w:t>w</w:t>
      </w:r>
      <w:r w:rsidR="00CC699C">
        <w:t xml:space="preserve"> through a process of change into another and become the opposite of a thing</w:t>
      </w:r>
      <w:r w:rsidR="001E3394">
        <w:t>,</w:t>
      </w:r>
      <w:r w:rsidR="000F6C0B">
        <w:t xml:space="preserve"> this process </w:t>
      </w:r>
      <w:r w:rsidR="006A140E">
        <w:t>is supported and</w:t>
      </w:r>
      <w:r w:rsidR="001E3394">
        <w:t xml:space="preserve"> observed continually </w:t>
      </w:r>
      <w:r w:rsidR="000F6C0B">
        <w:t>in the natural world</w:t>
      </w:r>
      <w:r w:rsidR="001E3394">
        <w:t>.</w:t>
      </w:r>
      <w:r w:rsidR="006E7AF8">
        <w:t xml:space="preserve"> I must first</w:t>
      </w:r>
      <w:r w:rsidR="000F6C0B">
        <w:t xml:space="preserve"> give voice to the argument of opposing forces of Stoics and Platonist, there is a place in our world for acknowledging the relevance of opposing forces in order that we may be aware of the harmfulness of extremes. ‘Temperance in all things’ is a common conception, both Aristotle and Confucius recognised the ‘mean’ (the middle way) as instruction on how to live a better and harmonious life. An additional argument is one that there are instances when one must be completely in a particular phase to be better equipped to deal with certain aspects of life: Only when in a complete state of darkness </w:t>
      </w:r>
      <w:r w:rsidR="00E0481F">
        <w:t>may one fully rest and restore. From the Daoist perspective in nature, the production of something may rely on the destruction of another thing, the two things are dependent upon each other, entwined in a circle of beginning and end, end and beginning. A wise person</w:t>
      </w:r>
      <w:r w:rsidR="001E3394">
        <w:t xml:space="preserve"> that</w:t>
      </w:r>
      <w:r w:rsidR="00E0481F">
        <w:t xml:space="preserve"> will identify with one phase only does not hold any sympathy or understanding of the other, and </w:t>
      </w:r>
      <w:r w:rsidR="001E3394">
        <w:t>this will</w:t>
      </w:r>
      <w:r w:rsidR="00E0481F">
        <w:t xml:space="preserve"> cause conflict</w:t>
      </w:r>
      <w:r w:rsidR="001E3394">
        <w:t xml:space="preserve">; </w:t>
      </w:r>
      <w:r w:rsidR="00E0481F">
        <w:t>not to recognise the cyclical significance of the process from one to the other is to be in the dark and blinded by the light of a subjective perspective.</w:t>
      </w:r>
      <w:r w:rsidR="00611AC1">
        <w:t xml:space="preserve"> “[T]he </w:t>
      </w:r>
      <w:r w:rsidR="001E3394">
        <w:t>S</w:t>
      </w:r>
      <w:r w:rsidR="00611AC1">
        <w:t xml:space="preserve">age lets go of all the exchanging </w:t>
      </w:r>
      <w:r w:rsidR="00611AC1">
        <w:lastRenderedPageBreak/>
        <w:t>counterparts and draws in the centre</w:t>
      </w:r>
      <w:r w:rsidR="00101137">
        <w:t>,</w:t>
      </w:r>
      <w:r w:rsidR="00101137" w:rsidRPr="00101137">
        <w:rPr>
          <w:i/>
          <w:iCs/>
        </w:rPr>
        <w:t xml:space="preserve"> daoshu</w:t>
      </w:r>
      <w:r w:rsidR="00101137">
        <w:t>, the axis of the way, a point of emotional balance.”</w:t>
      </w:r>
      <w:r w:rsidR="00101137">
        <w:rPr>
          <w:rStyle w:val="FootnoteReference"/>
        </w:rPr>
        <w:footnoteReference w:id="9"/>
      </w:r>
      <w:r w:rsidR="00513FB4">
        <w:t xml:space="preserve"> From a central perspective both sides are equally close, one does not give credence to one side at the expense of the other.</w:t>
      </w:r>
      <w:r w:rsidR="006E7AF8">
        <w:t xml:space="preserve"> The view of subordinance is demonstrated in the mythology of creation which I will demonstrate in the analysis of stories of </w:t>
      </w:r>
      <w:proofErr w:type="spellStart"/>
      <w:r w:rsidR="006E7AF8">
        <w:t>Nuwa</w:t>
      </w:r>
      <w:proofErr w:type="spellEnd"/>
      <w:r w:rsidR="006E7AF8">
        <w:t xml:space="preserve"> and Fuxi and Adam and Eve</w:t>
      </w:r>
      <w:r w:rsidR="0078114A">
        <w:t>.</w:t>
      </w:r>
    </w:p>
    <w:p w14:paraId="68FC72EB" w14:textId="0E704320" w:rsidR="001E3394" w:rsidRDefault="00380202">
      <w:r>
        <w:t>Nuwa and Fuxi, Adam and Eve</w:t>
      </w:r>
      <w:r w:rsidR="003871E6">
        <w:t xml:space="preserve"> in </w:t>
      </w:r>
      <w:r w:rsidR="006F2819">
        <w:t xml:space="preserve">The </w:t>
      </w:r>
      <w:r w:rsidR="003871E6">
        <w:t>C</w:t>
      </w:r>
      <w:r w:rsidR="006F2819">
        <w:t>reation of Two</w:t>
      </w:r>
      <w:r w:rsidR="003871E6">
        <w:t xml:space="preserve"> from One</w:t>
      </w:r>
    </w:p>
    <w:p w14:paraId="03CBD5CE" w14:textId="5ADBB0F5" w:rsidR="00735C62" w:rsidRDefault="00735C62">
      <w:r>
        <w:t>Nuwa and Fuxi</w:t>
      </w:r>
    </w:p>
    <w:p w14:paraId="39207DB2" w14:textId="54574BD7" w:rsidR="00F57ADD" w:rsidRDefault="006D4BC5">
      <w:r>
        <w:rPr>
          <w:noProof/>
        </w:rPr>
        <w:drawing>
          <wp:inline distT="0" distB="0" distL="0" distR="0" wp14:anchorId="49A1E925" wp14:editId="637A1C43">
            <wp:extent cx="2537460" cy="484632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460" cy="4846320"/>
                    </a:xfrm>
                    <a:prstGeom prst="rect">
                      <a:avLst/>
                    </a:prstGeom>
                    <a:noFill/>
                    <a:ln>
                      <a:noFill/>
                    </a:ln>
                  </pic:spPr>
                </pic:pic>
              </a:graphicData>
            </a:graphic>
          </wp:inline>
        </w:drawing>
      </w:r>
      <w:r>
        <w:t>Fig.1</w:t>
      </w:r>
      <w:r>
        <w:rPr>
          <w:rStyle w:val="FootnoteReference"/>
        </w:rPr>
        <w:footnoteReference w:id="10"/>
      </w:r>
    </w:p>
    <w:p w14:paraId="7B27D02C" w14:textId="77777777" w:rsidR="00735C62" w:rsidRDefault="00735C62"/>
    <w:p w14:paraId="3AF05450" w14:textId="507C796E" w:rsidR="00380202" w:rsidRDefault="00380202">
      <w:r>
        <w:t xml:space="preserve">The role of Nuwa and Fuxi is told in the book of </w:t>
      </w:r>
      <w:proofErr w:type="spellStart"/>
      <w:r>
        <w:t>Huanzi</w:t>
      </w:r>
      <w:proofErr w:type="spellEnd"/>
      <w:r>
        <w:t>, chapters one and two, and reveals the mythology of the beginning of Yin Yang</w:t>
      </w:r>
      <w:r w:rsidR="006A140E">
        <w:t xml:space="preserve">. </w:t>
      </w:r>
      <w:r w:rsidR="006A140E">
        <w:rPr>
          <w:rStyle w:val="FootnoteReference"/>
        </w:rPr>
        <w:footnoteReference w:id="11"/>
      </w:r>
      <w:r>
        <w:t xml:space="preserve"> </w:t>
      </w:r>
      <w:r w:rsidR="006A140E">
        <w:t>The story of Nuwa</w:t>
      </w:r>
      <w:r w:rsidR="00F579AC">
        <w:t>, as a feminine deity,</w:t>
      </w:r>
      <w:r w:rsidR="006A140E">
        <w:t xml:space="preserve"> first appeared in</w:t>
      </w:r>
      <w:r w:rsidR="00F579AC">
        <w:t xml:space="preserve"> 475 – 221 BCE in the </w:t>
      </w:r>
      <w:proofErr w:type="spellStart"/>
      <w:r w:rsidR="00F579AC">
        <w:t>Leizi</w:t>
      </w:r>
      <w:proofErr w:type="spellEnd"/>
      <w:r w:rsidR="00F579AC">
        <w:t xml:space="preserve"> written by </w:t>
      </w:r>
      <w:proofErr w:type="spellStart"/>
      <w:r w:rsidR="00F579AC">
        <w:t>Zie</w:t>
      </w:r>
      <w:proofErr w:type="spellEnd"/>
      <w:r w:rsidR="00F579AC">
        <w:t xml:space="preserve"> Yukon; and tells of the creation of human beings</w:t>
      </w:r>
      <w:r w:rsidR="00863F82">
        <w:t xml:space="preserve">, and how Nuwa moulded them from clay. </w:t>
      </w:r>
      <w:r w:rsidR="006D4BC5">
        <w:rPr>
          <w:rStyle w:val="FootnoteReference"/>
        </w:rPr>
        <w:footnoteReference w:id="12"/>
      </w:r>
      <w:r w:rsidR="00863F82">
        <w:t>Nuwa also completed other great feats, as in the repairing of the pillars of heaven and fixing the corners of the earth, which were broken.</w:t>
      </w:r>
      <w:r w:rsidR="00863F82">
        <w:rPr>
          <w:rStyle w:val="FootnoteReference"/>
        </w:rPr>
        <w:footnoteReference w:id="13"/>
      </w:r>
      <w:r w:rsidR="00863F82">
        <w:t xml:space="preserve"> This is not a demure, </w:t>
      </w:r>
      <w:r w:rsidR="00863F82">
        <w:lastRenderedPageBreak/>
        <w:t xml:space="preserve">subordinate figure of creation akin to Eve; Nuwa’s mythological story shows a female character with great strength and ability, </w:t>
      </w:r>
      <w:r w:rsidR="00B61E17">
        <w:t>in a role of reversal akin to that of Eve</w:t>
      </w:r>
      <w:r w:rsidR="00863F82">
        <w:t>, the feminine character is responsible for the creation of human beings and all other creatures.</w:t>
      </w:r>
      <w:r w:rsidR="00B61E17">
        <w:t xml:space="preserve"> Nuwa’s male counterpart, Fuxi, does not appear</w:t>
      </w:r>
      <w:r w:rsidR="0078114A">
        <w:t xml:space="preserve"> in mythology</w:t>
      </w:r>
      <w:r w:rsidR="00B61E17">
        <w:t xml:space="preserve"> until 200 </w:t>
      </w:r>
      <w:r w:rsidR="00735C62">
        <w:t>y</w:t>
      </w:r>
      <w:r w:rsidR="00B61E17">
        <w:t>ears later.</w:t>
      </w:r>
      <w:r w:rsidR="00735C62">
        <w:rPr>
          <w:rStyle w:val="FootnoteReference"/>
        </w:rPr>
        <w:footnoteReference w:id="14"/>
      </w:r>
      <w:r w:rsidR="00B61E17">
        <w:t xml:space="preserve"> Both Nuwa and Fuxi are depicted as hybrids, the upper body is human whilst the lower part is that of a snake, as seen in fig 1. </w:t>
      </w:r>
      <w:r w:rsidR="00735C62">
        <w:t>(</w:t>
      </w:r>
      <w:r w:rsidR="00B61E17">
        <w:t>The resemblance of a snake is also seen in the Garden of Eden</w:t>
      </w:r>
      <w:r w:rsidR="00863F82">
        <w:t xml:space="preserve"> </w:t>
      </w:r>
      <w:r w:rsidR="00B61E17">
        <w:t>and in quite a different role.</w:t>
      </w:r>
      <w:r w:rsidR="00735C62">
        <w:t xml:space="preserve">) </w:t>
      </w:r>
      <w:r w:rsidR="00B61E17">
        <w:t>From this imagery the two appear permanently entwined as the parents of humanity</w:t>
      </w:r>
      <w:r w:rsidR="00735C62">
        <w:t>;</w:t>
      </w:r>
      <w:r w:rsidR="00B61E17">
        <w:t xml:space="preserve"> the lower parts of their </w:t>
      </w:r>
      <w:r w:rsidR="00735C62">
        <w:t>snake like bodies</w:t>
      </w:r>
      <w:r w:rsidR="00B61E17">
        <w:t xml:space="preserve"> reflect the double </w:t>
      </w:r>
      <w:r w:rsidR="00735C62">
        <w:t>helix; the genetic coding of human beings appears in the myth of the creation of humankind.</w:t>
      </w:r>
      <w:r w:rsidR="00F579AC">
        <w:t xml:space="preserve"> </w:t>
      </w:r>
      <w:r>
        <w:t xml:space="preserve"> The mythology of Nuwa and Fuxi is revealed thus: Nuwa and Fuxi were the two August lords of high antiquity</w:t>
      </w:r>
      <w:r w:rsidR="006F2819">
        <w:t>. They “grasped the handle of the way and so were established in the centre.</w:t>
      </w:r>
      <w:r w:rsidR="00735C62">
        <w:rPr>
          <w:rStyle w:val="FootnoteReference"/>
        </w:rPr>
        <w:footnoteReference w:id="15"/>
      </w:r>
      <w:r w:rsidR="006F2819">
        <w:t xml:space="preserve"> Th</w:t>
      </w:r>
      <w:r w:rsidR="0078114A">
        <w:t>is</w:t>
      </w:r>
      <w:r w:rsidR="006F2819">
        <w:t xml:space="preserve"> has resonance with the concept in the </w:t>
      </w:r>
      <w:r w:rsidR="00F579AC">
        <w:t>above</w:t>
      </w:r>
      <w:r w:rsidR="006F2819">
        <w:t xml:space="preserve"> quote which speaks of </w:t>
      </w:r>
      <w:r w:rsidR="006F2819" w:rsidRPr="006F2819">
        <w:t>the</w:t>
      </w:r>
      <w:r w:rsidR="006F2819" w:rsidRPr="006F2819">
        <w:rPr>
          <w:i/>
          <w:iCs/>
        </w:rPr>
        <w:t xml:space="preserve"> daoshu</w:t>
      </w:r>
      <w:r w:rsidR="006F2819">
        <w:rPr>
          <w:i/>
          <w:iCs/>
        </w:rPr>
        <w:t xml:space="preserve"> </w:t>
      </w:r>
      <w:r w:rsidR="006F2819">
        <w:t xml:space="preserve">as the axis of the way, and we have a sense of being at this </w:t>
      </w:r>
      <w:r w:rsidR="0078114A">
        <w:t xml:space="preserve">central </w:t>
      </w:r>
      <w:r w:rsidR="006F2819">
        <w:t>point is to be in balance</w:t>
      </w:r>
      <w:r w:rsidR="0078114A">
        <w:t>,</w:t>
      </w:r>
      <w:r w:rsidR="006F2819">
        <w:t xml:space="preserve"> and th</w:t>
      </w:r>
      <w:r w:rsidR="0078114A">
        <w:t>at to</w:t>
      </w:r>
      <w:r w:rsidR="006F2819">
        <w:t xml:space="preserve"> stand at the centre</w:t>
      </w:r>
      <w:r w:rsidR="0078114A">
        <w:t xml:space="preserve"> </w:t>
      </w:r>
      <w:r w:rsidR="006F2819">
        <w:t>see both sides</w:t>
      </w:r>
      <w:r w:rsidR="0078114A">
        <w:t xml:space="preserve"> may be viewed equally</w:t>
      </w:r>
      <w:r w:rsidR="006F2819">
        <w:t>. “Hence they could revolve like the Heavens and stand still like the Earth.</w:t>
      </w:r>
      <w:r w:rsidR="00735C62">
        <w:t>”</w:t>
      </w:r>
      <w:r w:rsidR="00735C62">
        <w:rPr>
          <w:rStyle w:val="FootnoteReference"/>
        </w:rPr>
        <w:footnoteReference w:id="16"/>
      </w:r>
      <w:r w:rsidR="006F2819">
        <w:t xml:space="preserve">This understanding reflects the concepts of ancient times: that the earth stood still and all else revolved around it. </w:t>
      </w:r>
    </w:p>
    <w:p w14:paraId="2379E747" w14:textId="6DE78A28" w:rsidR="003871E6" w:rsidRDefault="003871E6">
      <w:r>
        <w:t>Reflected in this myth is the nature of Yin Yang and reflects a harmony of the combined, mixed and intertwined and the understanding that nothing in the universe is comprised solely of Yin or Yang, but both; Yang is partially yin and visa versa. Yin and Yang both play roles in the formation and alignment of both Heaven and Earth.</w:t>
      </w:r>
    </w:p>
    <w:p w14:paraId="66AC10EC" w14:textId="72FD0BCA" w:rsidR="0078114A" w:rsidRDefault="0078114A">
      <w:r>
        <w:t>Adam and Eve</w:t>
      </w:r>
    </w:p>
    <w:p w14:paraId="23B4B86A" w14:textId="40838C72" w:rsidR="003871E6" w:rsidRDefault="0078114A">
      <w:r>
        <w:rPr>
          <w:noProof/>
        </w:rPr>
        <w:drawing>
          <wp:inline distT="0" distB="0" distL="0" distR="0" wp14:anchorId="1CEC2230" wp14:editId="1B662CD5">
            <wp:extent cx="2537460" cy="4015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460" cy="4015740"/>
                    </a:xfrm>
                    <a:prstGeom prst="rect">
                      <a:avLst/>
                    </a:prstGeom>
                    <a:noFill/>
                    <a:ln>
                      <a:noFill/>
                    </a:ln>
                  </pic:spPr>
                </pic:pic>
              </a:graphicData>
            </a:graphic>
          </wp:inline>
        </w:drawing>
      </w:r>
      <w:r w:rsidR="005664FD">
        <w:t>Fig 2</w:t>
      </w:r>
    </w:p>
    <w:p w14:paraId="29554479" w14:textId="24855C97" w:rsidR="00D746AB" w:rsidRDefault="00B96E3F">
      <w:r>
        <w:lastRenderedPageBreak/>
        <w:t>Fig 2</w:t>
      </w:r>
      <w:r>
        <w:rPr>
          <w:rStyle w:val="FootnoteReference"/>
        </w:rPr>
        <w:footnoteReference w:id="17"/>
      </w:r>
    </w:p>
    <w:p w14:paraId="022393D0" w14:textId="0C9C81A5" w:rsidR="006D4BC5" w:rsidRDefault="00572996">
      <w:r>
        <w:t>The Plight of Eve</w:t>
      </w:r>
    </w:p>
    <w:p w14:paraId="49F86452" w14:textId="066EF300" w:rsidR="00784FCD" w:rsidRDefault="00784FCD">
      <w:r>
        <w:t>Hildegard of Bingen</w:t>
      </w:r>
      <w:r w:rsidR="00B96E3F">
        <w:t>, a Benedictine Abbess of the 12</w:t>
      </w:r>
      <w:r w:rsidR="00B96E3F" w:rsidRPr="00B96E3F">
        <w:rPr>
          <w:vertAlign w:val="superscript"/>
        </w:rPr>
        <w:t>th</w:t>
      </w:r>
      <w:r w:rsidR="00B96E3F">
        <w:t xml:space="preserve"> Century, writes a letter </w:t>
      </w:r>
      <w:r w:rsidR="00CB5397">
        <w:t xml:space="preserve">to some nuns, </w:t>
      </w:r>
      <w:r w:rsidR="00B96E3F">
        <w:t>in which she posits the cosmic significance of the life of a nun and relays the narration of purity and the danger of Woman</w:t>
      </w:r>
      <w:r w:rsidR="00121109">
        <w:t xml:space="preserve">; </w:t>
      </w:r>
      <w:r w:rsidR="00572996">
        <w:t>Hildegard’s words reflect the plight of the female in relation to Eve: “[W]</w:t>
      </w:r>
      <w:proofErr w:type="spellStart"/>
      <w:r w:rsidR="00572996">
        <w:t>oman</w:t>
      </w:r>
      <w:proofErr w:type="spellEnd"/>
      <w:r w:rsidR="00572996">
        <w:t xml:space="preserve"> entered death through a hole that the ancient traitor opened up. O Grief, O Sorrow, O Woe for those who were </w:t>
      </w:r>
      <w:r w:rsidR="00CB5397">
        <w:t>formed in Woman.”</w:t>
      </w:r>
      <w:r w:rsidR="00CB5397">
        <w:rPr>
          <w:rStyle w:val="FootnoteReference"/>
        </w:rPr>
        <w:footnoteReference w:id="18"/>
      </w:r>
      <w:r w:rsidR="00CB5397">
        <w:t xml:space="preserve"> Hildegard’s reference to ‘ancient traitor’ gives an understanding of the concept that Eve was betrayed by Adam, and the recognition that since the beginning of time a woman’s lot </w:t>
      </w:r>
      <w:r w:rsidR="00B61E0D">
        <w:t xml:space="preserve">is one of grief, sorrow and woe; that Woman entered an eternal death of </w:t>
      </w:r>
      <w:proofErr w:type="gramStart"/>
      <w:r w:rsidR="00B61E0D">
        <w:t>her Self</w:t>
      </w:r>
      <w:proofErr w:type="gramEnd"/>
      <w:r w:rsidR="00B61E0D">
        <w:t xml:space="preserve"> through the actions of Man. As bleak as this sounds Hildegard goes on to speak of the feminine form in these words: “[H]ow great you are, for might life arouse in you, and death will never choke it off,”</w:t>
      </w:r>
      <w:r w:rsidR="00121109">
        <w:rPr>
          <w:rStyle w:val="FootnoteReference"/>
        </w:rPr>
        <w:footnoteReference w:id="19"/>
      </w:r>
      <w:r w:rsidR="00121109">
        <w:t xml:space="preserve"> The feminine lives on as an eternal force, the bringer of life despite the betrayal, the feminine continues to give life in defiance of the hole leading to death opened by treachery. In the fourth verse of Hildegard’s ensuing poem, we see a reflection of Yin in the concept of water as the bringer of life: </w:t>
      </w:r>
    </w:p>
    <w:p w14:paraId="696D026A" w14:textId="30EECBC5" w:rsidR="00121109" w:rsidRDefault="00121109">
      <w:r>
        <w:tab/>
        <w:t>Then the Heavens poured dew upon the grass</w:t>
      </w:r>
    </w:p>
    <w:p w14:paraId="540C19D5" w14:textId="1B9D3F35" w:rsidR="00121109" w:rsidRDefault="00121109">
      <w:r>
        <w:tab/>
        <w:t>and all the earth rejoiced,</w:t>
      </w:r>
    </w:p>
    <w:p w14:paraId="20D33C59" w14:textId="7F8C7C1C" w:rsidR="00121109" w:rsidRDefault="00121109">
      <w:r>
        <w:tab/>
        <w:t>because her womb produced grain,</w:t>
      </w:r>
    </w:p>
    <w:p w14:paraId="188DC6BC" w14:textId="67DF8638" w:rsidR="00121109" w:rsidRDefault="00121109">
      <w:r>
        <w:tab/>
        <w:t>and the birds of the air</w:t>
      </w:r>
      <w:r w:rsidR="00B231B4">
        <w:t xml:space="preserve"> </w:t>
      </w:r>
    </w:p>
    <w:p w14:paraId="052CF806" w14:textId="5C55C011" w:rsidR="00B231B4" w:rsidRDefault="00B231B4">
      <w:r>
        <w:tab/>
        <w:t>made their nests in that bough.</w:t>
      </w:r>
    </w:p>
    <w:p w14:paraId="60B631B4" w14:textId="01BF3297" w:rsidR="00B231B4" w:rsidRDefault="0078114A">
      <w:r>
        <w:t>We</w:t>
      </w:r>
      <w:r w:rsidR="00B231B4">
        <w:t xml:space="preserve"> see in these poetic words the analogy of the water on the dark side of the mountain pouring forth as rivers and giving life, then the creatures of the sky settle and find shelter on the earth. Thus, creating a cycle, and dependence of the Earth to Heaven and </w:t>
      </w:r>
      <w:r w:rsidR="00B231B4" w:rsidRPr="00B231B4">
        <w:rPr>
          <w:i/>
          <w:iCs/>
        </w:rPr>
        <w:t>visa versa</w:t>
      </w:r>
      <w:r w:rsidR="00B231B4">
        <w:rPr>
          <w:i/>
          <w:iCs/>
        </w:rPr>
        <w:t xml:space="preserve">. </w:t>
      </w:r>
      <w:r w:rsidR="00B231B4">
        <w:t xml:space="preserve">In this we see similar cosmology to the concept of Yin energy in creation.  </w:t>
      </w:r>
    </w:p>
    <w:p w14:paraId="1337D417" w14:textId="4100C6E6" w:rsidR="00F30914" w:rsidRDefault="009418A8">
      <w:r>
        <w:t>The Medieval Philosopher and Theologian Thomas Aquinas, in agreement with his predecessor of 5</w:t>
      </w:r>
      <w:r w:rsidRPr="009418A8">
        <w:rPr>
          <w:vertAlign w:val="superscript"/>
        </w:rPr>
        <w:t>th</w:t>
      </w:r>
      <w:r>
        <w:t xml:space="preserve"> century St. Augustine in that: “for Man is the beginning and end of Woman, as God is the beginning and end of every creature.”</w:t>
      </w:r>
      <w:r>
        <w:rPr>
          <w:rStyle w:val="FootnoteReference"/>
        </w:rPr>
        <w:footnoteReference w:id="20"/>
      </w:r>
      <w:r>
        <w:t xml:space="preserve">These words </w:t>
      </w:r>
      <w:proofErr w:type="spellStart"/>
      <w:r>
        <w:t>echoe</w:t>
      </w:r>
      <w:proofErr w:type="spellEnd"/>
      <w:r>
        <w:t xml:space="preserve"> those of Hildegard and emphasise Woman’s subordination to Man as all creatures are subordinate to God; as God created Adam, </w:t>
      </w:r>
      <w:r w:rsidR="00F30914">
        <w:t>Eve was created from Adam’s rib; the feminine was created from the masculine and as such the feminine is subordinate, separate</w:t>
      </w:r>
      <w:r w:rsidR="00F363D1">
        <w:t>,</w:t>
      </w:r>
      <w:r w:rsidR="00F30914">
        <w:t xml:space="preserve"> opposing to and dependent on the masculine. There is no imagery of </w:t>
      </w:r>
      <w:r w:rsidR="00F363D1">
        <w:t xml:space="preserve">equal, communal </w:t>
      </w:r>
      <w:r w:rsidR="00F30914">
        <w:t xml:space="preserve">entwinement here as there is with </w:t>
      </w:r>
      <w:proofErr w:type="spellStart"/>
      <w:r w:rsidR="00F30914">
        <w:t>Nuwa</w:t>
      </w:r>
      <w:proofErr w:type="spellEnd"/>
      <w:r w:rsidR="00F30914">
        <w:t xml:space="preserve"> and Fuxi.</w:t>
      </w:r>
    </w:p>
    <w:p w14:paraId="55DB2F6F" w14:textId="530F3430" w:rsidR="0011026A" w:rsidRDefault="0011026A">
      <w:r>
        <w:t>A Story of Love</w:t>
      </w:r>
    </w:p>
    <w:p w14:paraId="47C203E0" w14:textId="0951E577" w:rsidR="009418A8" w:rsidRDefault="00F30914">
      <w:r>
        <w:t>A Love story is depicted in the 17</w:t>
      </w:r>
      <w:r w:rsidRPr="00F30914">
        <w:rPr>
          <w:vertAlign w:val="superscript"/>
        </w:rPr>
        <w:t>th</w:t>
      </w:r>
      <w:r>
        <w:t xml:space="preserve"> century by the Philosopher Anne Conway in relation to the creation of Eve from Adam’s rib: “for she was taken out of him, and was part of him, and therefore he loved her.”</w:t>
      </w:r>
      <w:r>
        <w:rPr>
          <w:rStyle w:val="FootnoteReference"/>
        </w:rPr>
        <w:footnoteReference w:id="21"/>
      </w:r>
      <w:r w:rsidR="00A27144">
        <w:t xml:space="preserve">The story of Adam and Eve is the original love story as it is brought to us in Genesis, </w:t>
      </w:r>
      <w:r w:rsidR="00A27144">
        <w:lastRenderedPageBreak/>
        <w:t>though it may have a bias to the masculine. However</w:t>
      </w:r>
      <w:r w:rsidR="00A30B6F">
        <w:t>,</w:t>
      </w:r>
      <w:r w:rsidR="00A27144">
        <w:t xml:space="preserve"> Conway does mention that Eve was created by Adam because he could not find conversation among the other creatures any conversation, depicting the idea that Eve was created as Adam’s equal. </w:t>
      </w:r>
      <w:r w:rsidR="00A30B6F">
        <w:t>Conway recognises that in all species there is love, and the love between the Male and Female with its procreation is not ‘monstrous or against Nature’ but is the unity of nature in a mutual respect.</w:t>
      </w:r>
      <w:r w:rsidR="00A30B6F">
        <w:rPr>
          <w:rStyle w:val="FootnoteReference"/>
        </w:rPr>
        <w:footnoteReference w:id="22"/>
      </w:r>
    </w:p>
    <w:p w14:paraId="25DCB969" w14:textId="12347F4A" w:rsidR="0011026A" w:rsidRPr="006F2819" w:rsidRDefault="0011026A">
      <w:r>
        <w:t>Dualism and Daoism</w:t>
      </w:r>
    </w:p>
    <w:p w14:paraId="4DFE9141" w14:textId="7EACDB20" w:rsidR="00B746FD" w:rsidRDefault="00285CF2">
      <w:r>
        <w:t>Descartes, another, but more</w:t>
      </w:r>
      <w:r w:rsidR="00F363D1">
        <w:t xml:space="preserve"> well</w:t>
      </w:r>
      <w:r>
        <w:t xml:space="preserve"> known, 17</w:t>
      </w:r>
      <w:r w:rsidRPr="00285CF2">
        <w:rPr>
          <w:vertAlign w:val="superscript"/>
        </w:rPr>
        <w:t>th</w:t>
      </w:r>
      <w:r>
        <w:t xml:space="preserve"> century Philosopher, recognises the desire for a mate as a reflection of something within ourselves:</w:t>
      </w:r>
      <w:r w:rsidR="007B13E6">
        <w:t xml:space="preserve"> “the most powerful attraction comes from the perfections we imaging in a person we think may become another self;”</w:t>
      </w:r>
      <w:r w:rsidR="007B13E6">
        <w:rPr>
          <w:rStyle w:val="FootnoteReference"/>
        </w:rPr>
        <w:footnoteReference w:id="23"/>
      </w:r>
      <w:r w:rsidR="007B13E6">
        <w:t>and goes on to say that it is the nature of all creatures on reaching puberty that we think of ourselves as insufficient and incomplete: “as if we were merely the half of a whole of which a person of the opposite sex should be the other half</w:t>
      </w:r>
      <w:r w:rsidR="00146CFD">
        <w:t>”</w:t>
      </w:r>
      <w:r w:rsidR="00146CFD">
        <w:rPr>
          <w:rStyle w:val="FootnoteReference"/>
        </w:rPr>
        <w:footnoteReference w:id="24"/>
      </w:r>
      <w:r w:rsidR="007B13E6">
        <w:t xml:space="preserve"> and that the recognition of nature </w:t>
      </w:r>
      <w:r w:rsidR="00146CFD">
        <w:t xml:space="preserve">leads to the confusion that this is what is good for us. </w:t>
      </w:r>
      <w:r w:rsidR="005F395D">
        <w:t>This emphasises</w:t>
      </w:r>
      <w:r w:rsidR="00146CFD">
        <w:t xml:space="preserve"> Descartes dualistic perspective</w:t>
      </w:r>
      <w:r w:rsidR="005F395D">
        <w:t xml:space="preserve">. When we consider ourselves as one thing which opposes another (as a view that Male is the opposition of Female or Yin as the opposition of Yang) an individual will always consider themselves as lacking and in search of the fulfilment of that lack from </w:t>
      </w:r>
      <w:r w:rsidR="00AC6653">
        <w:t>another</w:t>
      </w:r>
      <w:r w:rsidR="005F395D">
        <w:t xml:space="preserve"> as Adam sought to be fulfilled </w:t>
      </w:r>
      <w:r w:rsidR="00F363D1">
        <w:t xml:space="preserve">by </w:t>
      </w:r>
      <w:r w:rsidR="005F395D">
        <w:t>Eve</w:t>
      </w:r>
      <w:r w:rsidR="00AC6653">
        <w:t xml:space="preserve">. We term this as the ticking of our biological clock, our instinctive nature to reproduce. </w:t>
      </w:r>
      <w:r w:rsidR="00A97930">
        <w:t>Adopting a narrative resulting from a clear understanding of creation from Yin Yang perspective</w:t>
      </w:r>
      <w:r w:rsidR="00D158FA">
        <w:t xml:space="preserve"> diminishes the idea of fulfilment from a force outside of ourselves. This is derived from the understanding that we have within our being both energies; that we are light and dark, we hold both heaven and earth. Equal amounts of both are not necessary for fulfilment and a flourishing life; that both sides are equally important and beneficial; one is never subordinate to the other. In all transitions there are p</w:t>
      </w:r>
      <w:r w:rsidR="00B746FD">
        <w:t xml:space="preserve">oints at which one phase is not equal to another as there is </w:t>
      </w:r>
      <w:proofErr w:type="gramStart"/>
      <w:r w:rsidR="00B746FD">
        <w:t>more dark</w:t>
      </w:r>
      <w:proofErr w:type="gramEnd"/>
      <w:r w:rsidR="00B746FD">
        <w:t xml:space="preserve"> in night than in day; as we transition from one phase to the next the importance lies in that one phase support and </w:t>
      </w:r>
      <w:r w:rsidR="00F363D1">
        <w:t>yields harmoniously</w:t>
      </w:r>
      <w:r w:rsidR="00B746FD">
        <w:t xml:space="preserve"> to the next.</w:t>
      </w:r>
    </w:p>
    <w:p w14:paraId="4AE91ABF" w14:textId="6BB3E8AE" w:rsidR="0011026A" w:rsidRDefault="00B746FD">
      <w:r>
        <w:t xml:space="preserve">Daoism is a nature centred philosophy with an emphasis on the Female, with </w:t>
      </w:r>
      <w:proofErr w:type="spellStart"/>
      <w:r>
        <w:t>Nuwa</w:t>
      </w:r>
      <w:proofErr w:type="spellEnd"/>
      <w:r>
        <w:t xml:space="preserve"> as the creator of humanity at the centre of its mythology. Theology is a human centred philosophy with an emphasis on the Male, with Adam as the creator of Eve and humanity at the centre of its mythology. In the Daoist cosmo</w:t>
      </w:r>
      <w:r w:rsidR="00986DFE">
        <w:t>genesis theory, the Dao is not only the original cause but also an unseparated chaotic void which brings into being the one – Qi.</w:t>
      </w:r>
      <w:r w:rsidR="00986DFE">
        <w:rPr>
          <w:rStyle w:val="FootnoteReference"/>
        </w:rPr>
        <w:footnoteReference w:id="25"/>
      </w:r>
      <w:r w:rsidR="00986DFE">
        <w:t xml:space="preserve"> In Theology the original cause is God, who is separate from his creations, and brings order to chaos and with this concept giving superiority to order.  In Daoism the one, Qi, brings into being the two – Yin Yang (Male Female, Heaven and Earth) The two then give birth to the three, which gives birth to the rest of creation</w:t>
      </w:r>
      <w:r w:rsidR="002D01AE">
        <w:t>.</w:t>
      </w:r>
    </w:p>
    <w:p w14:paraId="6FF23D24" w14:textId="0DB4BE70" w:rsidR="0011026A" w:rsidRDefault="0011026A">
      <w:r>
        <w:t>Conclusion</w:t>
      </w:r>
    </w:p>
    <w:p w14:paraId="4FE42C9D" w14:textId="1862BE6D" w:rsidR="00B746FD" w:rsidRDefault="002D01AE">
      <w:r>
        <w:t xml:space="preserve"> It is my conclusion that the mythology of </w:t>
      </w:r>
      <w:proofErr w:type="spellStart"/>
      <w:r>
        <w:t>Nuwa</w:t>
      </w:r>
      <w:proofErr w:type="spellEnd"/>
      <w:r>
        <w:t xml:space="preserve"> and Fuxi relays a balanced picture of creation where all has equality and one thing is in support </w:t>
      </w:r>
      <w:r w:rsidR="008077BA">
        <w:t xml:space="preserve">of </w:t>
      </w:r>
      <w:r>
        <w:t xml:space="preserve">the other, and where humankind serves nature. The mythology of Adam and Eve relays imbalance and lack in our being, with subordination and antagonisms at its core, where nature serves humankind. In support of this conclusion, I reference the following </w:t>
      </w:r>
      <w:r w:rsidR="0011026A">
        <w:t xml:space="preserve">quotations, the first is the argument of Chang </w:t>
      </w:r>
      <w:proofErr w:type="spellStart"/>
      <w:r w:rsidR="0011026A">
        <w:t>Chieh</w:t>
      </w:r>
      <w:proofErr w:type="spellEnd"/>
      <w:r w:rsidR="0011026A">
        <w:t>-pin, an author of the medieval perio</w:t>
      </w:r>
      <w:r w:rsidR="00EC0CEF">
        <w:t>d:</w:t>
      </w:r>
    </w:p>
    <w:p w14:paraId="1ED57818" w14:textId="232504A2" w:rsidR="002D01AE" w:rsidRDefault="002D01AE" w:rsidP="008077BA">
      <w:pPr>
        <w:ind w:left="720"/>
      </w:pPr>
      <w:r>
        <w:lastRenderedPageBreak/>
        <w:t xml:space="preserve">The influences that flow through the body from the Yang component, while the structure of the body itself </w:t>
      </w:r>
      <w:r w:rsidR="008077BA">
        <w:t xml:space="preserve">constitutes the Yin component. Yin Yang dualism requires that the Yin component cannot exist without a yang component and </w:t>
      </w:r>
      <w:r w:rsidR="008077BA" w:rsidRPr="008077BA">
        <w:rPr>
          <w:i/>
          <w:iCs/>
        </w:rPr>
        <w:t>vi</w:t>
      </w:r>
      <w:r w:rsidR="008077BA">
        <w:rPr>
          <w:i/>
          <w:iCs/>
        </w:rPr>
        <w:t>c</w:t>
      </w:r>
      <w:r w:rsidR="008077BA" w:rsidRPr="008077BA">
        <w:rPr>
          <w:i/>
          <w:iCs/>
        </w:rPr>
        <w:t>e versa</w:t>
      </w:r>
      <w:r w:rsidR="008077BA">
        <w:rPr>
          <w:i/>
          <w:iCs/>
        </w:rPr>
        <w:t>.</w:t>
      </w:r>
      <w:r w:rsidR="008077BA">
        <w:rPr>
          <w:rStyle w:val="FootnoteReference"/>
          <w:i/>
          <w:iCs/>
        </w:rPr>
        <w:footnoteReference w:id="26"/>
      </w:r>
    </w:p>
    <w:p w14:paraId="5E2F8AA6" w14:textId="53D2047C" w:rsidR="008077BA" w:rsidRDefault="008077BA" w:rsidP="008077BA">
      <w:r>
        <w:t>And the last wor</w:t>
      </w:r>
      <w:r w:rsidR="00F363D1">
        <w:t>d</w:t>
      </w:r>
      <w:r>
        <w:t xml:space="preserve"> to Laozi</w:t>
      </w:r>
      <w:r w:rsidR="00DE0969">
        <w:t>,</w:t>
      </w:r>
      <w:r>
        <w:t xml:space="preserve"> demonstrating gentleness as strength and supporting the </w:t>
      </w:r>
      <w:r w:rsidR="00F363D1">
        <w:t>i</w:t>
      </w:r>
      <w:r>
        <w:t xml:space="preserve">deal that </w:t>
      </w:r>
      <w:r w:rsidR="00F363D1">
        <w:t>forcefulness</w:t>
      </w:r>
      <w:r>
        <w:t xml:space="preserve"> and domination teaches us nothing of our true nature.</w:t>
      </w:r>
    </w:p>
    <w:p w14:paraId="1D5BE7E3" w14:textId="77777777" w:rsidR="00DE0969" w:rsidRDefault="00DE0969" w:rsidP="008077BA"/>
    <w:p w14:paraId="33698D88" w14:textId="69DBA08A" w:rsidR="008077BA" w:rsidRDefault="008077BA" w:rsidP="008077BA">
      <w:r>
        <w:tab/>
        <w:t xml:space="preserve">What </w:t>
      </w:r>
      <w:proofErr w:type="gramStart"/>
      <w:r>
        <w:t>more gentle</w:t>
      </w:r>
      <w:proofErr w:type="gramEnd"/>
      <w:r>
        <w:t xml:space="preserve"> </w:t>
      </w:r>
      <w:r w:rsidR="00DE0969">
        <w:t>in this world than water?</w:t>
      </w:r>
    </w:p>
    <w:p w14:paraId="29AACD5D" w14:textId="65427CDD" w:rsidR="00DE0969" w:rsidRDefault="00DE0969" w:rsidP="008077BA">
      <w:r>
        <w:tab/>
        <w:t>Yet nothing better conquers hard and strong.</w:t>
      </w:r>
    </w:p>
    <w:p w14:paraId="42BD1A87" w14:textId="67C31277" w:rsidR="00DE0969" w:rsidRDefault="00DE0969" w:rsidP="008077BA">
      <w:r>
        <w:tab/>
        <w:t>What else could take its place?</w:t>
      </w:r>
    </w:p>
    <w:p w14:paraId="41A85DA2" w14:textId="7BB24E82" w:rsidR="00DE0969" w:rsidRDefault="00DE0969" w:rsidP="008077BA">
      <w:r>
        <w:tab/>
        <w:t>Gentle conquers stron</w:t>
      </w:r>
      <w:r w:rsidR="00F363D1">
        <w:t>g</w:t>
      </w:r>
      <w:r>
        <w:t>, and tender hard.</w:t>
      </w:r>
      <w:r>
        <w:rPr>
          <w:rStyle w:val="FootnoteReference"/>
        </w:rPr>
        <w:footnoteReference w:id="27"/>
      </w:r>
    </w:p>
    <w:p w14:paraId="1AE8D3C2" w14:textId="77777777" w:rsidR="00DE0969" w:rsidRPr="008077BA" w:rsidRDefault="00DE0969" w:rsidP="008077BA"/>
    <w:p w14:paraId="228AB5A0" w14:textId="49229017" w:rsidR="0036706D" w:rsidRDefault="00D158FA">
      <w:r>
        <w:t xml:space="preserve"> </w:t>
      </w:r>
    </w:p>
    <w:p w14:paraId="66F39631" w14:textId="77777777" w:rsidR="005F395D" w:rsidRDefault="005F395D"/>
    <w:p w14:paraId="19B0259E" w14:textId="77777777" w:rsidR="007B13E6" w:rsidRDefault="007B13E6"/>
    <w:sectPr w:rsidR="007B13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D9F55" w14:textId="77777777" w:rsidR="00204C66" w:rsidRDefault="00204C66" w:rsidP="00793A90">
      <w:pPr>
        <w:spacing w:after="0" w:line="240" w:lineRule="auto"/>
      </w:pPr>
      <w:r>
        <w:separator/>
      </w:r>
    </w:p>
  </w:endnote>
  <w:endnote w:type="continuationSeparator" w:id="0">
    <w:p w14:paraId="684F6379" w14:textId="77777777" w:rsidR="00204C66" w:rsidRDefault="00204C66" w:rsidP="00793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86423" w14:textId="77777777" w:rsidR="00204C66" w:rsidRDefault="00204C66" w:rsidP="00793A90">
      <w:pPr>
        <w:spacing w:after="0" w:line="240" w:lineRule="auto"/>
      </w:pPr>
      <w:r>
        <w:separator/>
      </w:r>
    </w:p>
  </w:footnote>
  <w:footnote w:type="continuationSeparator" w:id="0">
    <w:p w14:paraId="0494AF54" w14:textId="77777777" w:rsidR="00204C66" w:rsidRDefault="00204C66" w:rsidP="00793A90">
      <w:pPr>
        <w:spacing w:after="0" w:line="240" w:lineRule="auto"/>
      </w:pPr>
      <w:r>
        <w:continuationSeparator/>
      </w:r>
    </w:p>
  </w:footnote>
  <w:footnote w:id="1">
    <w:p w14:paraId="2C355925" w14:textId="7CB46582" w:rsidR="00D62CD1" w:rsidRDefault="00D62CD1">
      <w:pPr>
        <w:pStyle w:val="FootnoteText"/>
      </w:pPr>
      <w:r>
        <w:rPr>
          <w:rStyle w:val="FootnoteReference"/>
        </w:rPr>
        <w:footnoteRef/>
      </w:r>
      <w:r>
        <w:t xml:space="preserve"> </w:t>
      </w:r>
      <w:proofErr w:type="spellStart"/>
      <w:r>
        <w:t>Maoshing</w:t>
      </w:r>
      <w:proofErr w:type="spellEnd"/>
      <w:r>
        <w:t xml:space="preserve"> NI, </w:t>
      </w:r>
      <w:r w:rsidRPr="00D62CD1">
        <w:rPr>
          <w:i/>
          <w:iCs/>
        </w:rPr>
        <w:t>The Yellow Emperor’s Classic of Medicine,</w:t>
      </w:r>
      <w:r>
        <w:t xml:space="preserve"> (Massachusetts: Shambala Publications, 1995) p16</w:t>
      </w:r>
    </w:p>
  </w:footnote>
  <w:footnote w:id="2">
    <w:p w14:paraId="00CFE748" w14:textId="0E54C7EA" w:rsidR="00793A90" w:rsidRDefault="00793A90">
      <w:pPr>
        <w:pStyle w:val="FootnoteText"/>
      </w:pPr>
      <w:r>
        <w:rPr>
          <w:rStyle w:val="FootnoteReference"/>
        </w:rPr>
        <w:footnoteRef/>
      </w:r>
      <w:r>
        <w:t xml:space="preserve"> Steve </w:t>
      </w:r>
      <w:bookmarkStart w:id="0" w:name="_Hlk70509184"/>
      <w:r>
        <w:t xml:space="preserve">Coutinho, </w:t>
      </w:r>
      <w:r w:rsidRPr="00E843CD">
        <w:rPr>
          <w:i/>
          <w:iCs/>
        </w:rPr>
        <w:t>An Introduction to Daoist Philosophy,</w:t>
      </w:r>
      <w:r>
        <w:t xml:space="preserve"> (New York: Columbia Press, 2013)</w:t>
      </w:r>
      <w:bookmarkEnd w:id="0"/>
      <w:r w:rsidR="003A0693">
        <w:t xml:space="preserve"> </w:t>
      </w:r>
      <w:r>
        <w:t>p40</w:t>
      </w:r>
    </w:p>
  </w:footnote>
  <w:footnote w:id="3">
    <w:p w14:paraId="59BA4F12" w14:textId="71B6D6A1" w:rsidR="003A0693" w:rsidRDefault="003A0693">
      <w:pPr>
        <w:pStyle w:val="FootnoteText"/>
      </w:pPr>
      <w:r>
        <w:rPr>
          <w:rStyle w:val="FootnoteReference"/>
        </w:rPr>
        <w:footnoteRef/>
      </w:r>
      <w:r>
        <w:t xml:space="preserve"> Ibid p41</w:t>
      </w:r>
    </w:p>
  </w:footnote>
  <w:footnote w:id="4">
    <w:p w14:paraId="1E9AC8DB" w14:textId="3415421B" w:rsidR="0026470D" w:rsidRDefault="0026470D">
      <w:pPr>
        <w:pStyle w:val="FootnoteText"/>
      </w:pPr>
      <w:r>
        <w:rPr>
          <w:rStyle w:val="FootnoteReference"/>
        </w:rPr>
        <w:footnoteRef/>
      </w:r>
      <w:r>
        <w:t xml:space="preserve"> ibid</w:t>
      </w:r>
    </w:p>
  </w:footnote>
  <w:footnote w:id="5">
    <w:p w14:paraId="240AA149" w14:textId="2F5DCCA2" w:rsidR="00290228" w:rsidRDefault="00290228">
      <w:pPr>
        <w:pStyle w:val="FootnoteText"/>
      </w:pPr>
      <w:r>
        <w:rPr>
          <w:rStyle w:val="FootnoteReference"/>
        </w:rPr>
        <w:footnoteRef/>
      </w:r>
      <w:r>
        <w:t xml:space="preserve"> Ibid </w:t>
      </w:r>
    </w:p>
  </w:footnote>
  <w:footnote w:id="6">
    <w:p w14:paraId="6837FD0D" w14:textId="7182D759" w:rsidR="00E843CD" w:rsidRDefault="00E843CD">
      <w:pPr>
        <w:pStyle w:val="FootnoteText"/>
      </w:pPr>
      <w:r>
        <w:rPr>
          <w:rStyle w:val="FootnoteReference"/>
        </w:rPr>
        <w:footnoteRef/>
      </w:r>
      <w:r>
        <w:t xml:space="preserve"> Ibid p42</w:t>
      </w:r>
    </w:p>
  </w:footnote>
  <w:footnote w:id="7">
    <w:p w14:paraId="645F6D23" w14:textId="73F27106" w:rsidR="00820355" w:rsidRDefault="00820355">
      <w:pPr>
        <w:pStyle w:val="FootnoteText"/>
      </w:pPr>
      <w:r>
        <w:rPr>
          <w:rStyle w:val="FootnoteReference"/>
        </w:rPr>
        <w:footnoteRef/>
      </w:r>
      <w:r>
        <w:t xml:space="preserve"> ibid</w:t>
      </w:r>
    </w:p>
  </w:footnote>
  <w:footnote w:id="8">
    <w:p w14:paraId="1AF4454B" w14:textId="7BD3BEBB" w:rsidR="00CC699C" w:rsidRDefault="00CC699C">
      <w:pPr>
        <w:pStyle w:val="FootnoteText"/>
      </w:pPr>
      <w:r>
        <w:rPr>
          <w:rStyle w:val="FootnoteReference"/>
        </w:rPr>
        <w:footnoteRef/>
      </w:r>
      <w:r>
        <w:t xml:space="preserve"> Ibid p90</w:t>
      </w:r>
    </w:p>
  </w:footnote>
  <w:footnote w:id="9">
    <w:p w14:paraId="639ED598" w14:textId="467A9D0A" w:rsidR="00042145" w:rsidRDefault="00101137">
      <w:pPr>
        <w:pStyle w:val="FootnoteText"/>
      </w:pPr>
      <w:r>
        <w:rPr>
          <w:rStyle w:val="FootnoteReference"/>
        </w:rPr>
        <w:footnoteRef/>
      </w:r>
      <w:r>
        <w:t xml:space="preserve"> Ibid p 91</w:t>
      </w:r>
    </w:p>
  </w:footnote>
  <w:footnote w:id="10">
    <w:p w14:paraId="340563E7" w14:textId="2EDF9B2F" w:rsidR="006D4BC5" w:rsidRDefault="006D4BC5">
      <w:pPr>
        <w:pStyle w:val="FootnoteText"/>
      </w:pPr>
      <w:r>
        <w:rPr>
          <w:rStyle w:val="FootnoteReference"/>
        </w:rPr>
        <w:footnoteRef/>
      </w:r>
      <w:r>
        <w:t xml:space="preserve"> </w:t>
      </w:r>
      <w:bookmarkStart w:id="1" w:name="_Hlk70509661"/>
      <w:r w:rsidR="00043B6E">
        <w:fldChar w:fldCharType="begin"/>
      </w:r>
      <w:r w:rsidR="00043B6E">
        <w:instrText xml:space="preserve"> HYPERLINK "file:///C:/Users/Student/Downloads/nuwa%20and%20fuxi%20-%20Bing%20images.html" </w:instrText>
      </w:r>
      <w:r w:rsidR="00043B6E">
        <w:fldChar w:fldCharType="separate"/>
      </w:r>
      <w:r w:rsidRPr="000B6D20">
        <w:rPr>
          <w:rStyle w:val="Hyperlink"/>
        </w:rPr>
        <w:t>file:///C:/Users/Student/Downloads/nuwa%20and%20fuxi%20-%20Bing%20images.html</w:t>
      </w:r>
      <w:r w:rsidR="00043B6E">
        <w:rPr>
          <w:rStyle w:val="Hyperlink"/>
        </w:rPr>
        <w:fldChar w:fldCharType="end"/>
      </w:r>
      <w:r>
        <w:t xml:space="preserve"> </w:t>
      </w:r>
      <w:bookmarkEnd w:id="1"/>
      <w:r>
        <w:t>accessed 26.4.2021</w:t>
      </w:r>
    </w:p>
  </w:footnote>
  <w:footnote w:id="11">
    <w:p w14:paraId="06F4EFAA" w14:textId="56A84E2A" w:rsidR="006A140E" w:rsidRDefault="006A140E">
      <w:pPr>
        <w:pStyle w:val="FootnoteText"/>
      </w:pPr>
      <w:r>
        <w:rPr>
          <w:rStyle w:val="FootnoteReference"/>
        </w:rPr>
        <w:footnoteRef/>
      </w:r>
      <w:r>
        <w:t xml:space="preserve"> </w:t>
      </w:r>
      <w:bookmarkStart w:id="2" w:name="_Hlk70509539"/>
      <w:r w:rsidR="00043B6E">
        <w:fldChar w:fldCharType="begin"/>
      </w:r>
      <w:r w:rsidR="00043B6E">
        <w:instrText xml:space="preserve"> HYPERLINK "https://www.ancient-origins.net/myths-legends-asia/creation-0013397" </w:instrText>
      </w:r>
      <w:r w:rsidR="00043B6E">
        <w:fldChar w:fldCharType="separate"/>
      </w:r>
      <w:r w:rsidRPr="006A140E">
        <w:rPr>
          <w:color w:val="0000FF"/>
          <w:sz w:val="22"/>
          <w:szCs w:val="22"/>
          <w:u w:val="single"/>
        </w:rPr>
        <w:t xml:space="preserve">Fuxi, </w:t>
      </w:r>
      <w:proofErr w:type="spellStart"/>
      <w:r w:rsidRPr="006A140E">
        <w:rPr>
          <w:color w:val="0000FF"/>
          <w:sz w:val="22"/>
          <w:szCs w:val="22"/>
          <w:u w:val="single"/>
        </w:rPr>
        <w:t>Nuwa</w:t>
      </w:r>
      <w:proofErr w:type="spellEnd"/>
      <w:r w:rsidRPr="006A140E">
        <w:rPr>
          <w:color w:val="0000FF"/>
          <w:sz w:val="22"/>
          <w:szCs w:val="22"/>
          <w:u w:val="single"/>
        </w:rPr>
        <w:t>, and the Creation of Humanity | Ancient Origins (ancient-origins.net)</w:t>
      </w:r>
      <w:r w:rsidR="00043B6E">
        <w:rPr>
          <w:color w:val="0000FF"/>
          <w:sz w:val="22"/>
          <w:szCs w:val="22"/>
          <w:u w:val="single"/>
        </w:rPr>
        <w:fldChar w:fldCharType="end"/>
      </w:r>
      <w:r>
        <w:rPr>
          <w:sz w:val="22"/>
          <w:szCs w:val="22"/>
        </w:rPr>
        <w:t xml:space="preserve">accessed </w:t>
      </w:r>
      <w:bookmarkEnd w:id="2"/>
      <w:r>
        <w:rPr>
          <w:sz w:val="22"/>
          <w:szCs w:val="22"/>
        </w:rPr>
        <w:t>26.4.2021</w:t>
      </w:r>
    </w:p>
  </w:footnote>
  <w:footnote w:id="12">
    <w:p w14:paraId="693DC915" w14:textId="25D6C5AA" w:rsidR="006D4BC5" w:rsidRDefault="006D4BC5">
      <w:pPr>
        <w:pStyle w:val="FootnoteText"/>
      </w:pPr>
      <w:r>
        <w:rPr>
          <w:rStyle w:val="FootnoteReference"/>
        </w:rPr>
        <w:footnoteRef/>
      </w:r>
      <w:r>
        <w:t xml:space="preserve"> ibid</w:t>
      </w:r>
    </w:p>
  </w:footnote>
  <w:footnote w:id="13">
    <w:p w14:paraId="5675D42D" w14:textId="623B63B1" w:rsidR="00863F82" w:rsidRDefault="00863F82">
      <w:pPr>
        <w:pStyle w:val="FootnoteText"/>
      </w:pPr>
      <w:r>
        <w:rPr>
          <w:rStyle w:val="FootnoteReference"/>
        </w:rPr>
        <w:footnoteRef/>
      </w:r>
      <w:r>
        <w:t xml:space="preserve"> Lectures by Professor </w:t>
      </w:r>
      <w:proofErr w:type="spellStart"/>
      <w:r>
        <w:t>Yanxia</w:t>
      </w:r>
      <w:proofErr w:type="spellEnd"/>
      <w:r>
        <w:t xml:space="preserve"> Zhao</w:t>
      </w:r>
    </w:p>
  </w:footnote>
  <w:footnote w:id="14">
    <w:p w14:paraId="2BB580D7" w14:textId="6E7E4005" w:rsidR="0078114A" w:rsidRDefault="00735C62">
      <w:pPr>
        <w:pStyle w:val="FootnoteText"/>
      </w:pPr>
      <w:r>
        <w:rPr>
          <w:rStyle w:val="FootnoteReference"/>
        </w:rPr>
        <w:footnoteRef/>
      </w:r>
      <w:r>
        <w:t xml:space="preserve"> </w:t>
      </w:r>
      <w:r w:rsidR="0078114A">
        <w:t>I</w:t>
      </w:r>
      <w:r>
        <w:t>bid</w:t>
      </w:r>
    </w:p>
  </w:footnote>
  <w:footnote w:id="15">
    <w:p w14:paraId="740E629B" w14:textId="0B350C5D" w:rsidR="00735C62" w:rsidRDefault="00735C62">
      <w:pPr>
        <w:pStyle w:val="FootnoteText"/>
      </w:pPr>
      <w:r>
        <w:rPr>
          <w:rStyle w:val="FootnoteReference"/>
        </w:rPr>
        <w:footnoteRef/>
      </w:r>
      <w:r>
        <w:t xml:space="preserve"> ibid</w:t>
      </w:r>
    </w:p>
  </w:footnote>
  <w:footnote w:id="16">
    <w:p w14:paraId="3C0DF9BB" w14:textId="15BA9805" w:rsidR="00735C62" w:rsidRDefault="00735C62">
      <w:pPr>
        <w:pStyle w:val="FootnoteText"/>
      </w:pPr>
      <w:r>
        <w:rPr>
          <w:rStyle w:val="FootnoteReference"/>
        </w:rPr>
        <w:footnoteRef/>
      </w:r>
      <w:r>
        <w:t xml:space="preserve"> ibid</w:t>
      </w:r>
    </w:p>
  </w:footnote>
  <w:footnote w:id="17">
    <w:p w14:paraId="30921F00" w14:textId="77777777" w:rsidR="00B96E3F" w:rsidRPr="00B96E3F" w:rsidRDefault="00B96E3F" w:rsidP="00B96E3F">
      <w:pPr>
        <w:pStyle w:val="FootnoteText"/>
      </w:pPr>
      <w:r>
        <w:rPr>
          <w:rStyle w:val="FootnoteReference"/>
        </w:rPr>
        <w:footnoteRef/>
      </w:r>
      <w:r>
        <w:t xml:space="preserve"> </w:t>
      </w:r>
      <w:hyperlink r:id="rId1" w:history="1">
        <w:proofErr w:type="spellStart"/>
        <w:r w:rsidRPr="00B96E3F">
          <w:rPr>
            <w:rStyle w:val="Hyperlink"/>
          </w:rPr>
          <w:t>adam</w:t>
        </w:r>
        <w:proofErr w:type="spellEnd"/>
      </w:hyperlink>
      <w:hyperlink r:id="rId2" w:history="1">
        <w:r w:rsidRPr="00B96E3F">
          <w:rPr>
            <w:rStyle w:val="Hyperlink"/>
          </w:rPr>
          <w:t xml:space="preserve"> and eve - Google Search</w:t>
        </w:r>
      </w:hyperlink>
      <w:r w:rsidRPr="00B96E3F">
        <w:t xml:space="preserve"> accessed 20.2.21</w:t>
      </w:r>
    </w:p>
    <w:p w14:paraId="7B4FDA9B" w14:textId="70BC10D9" w:rsidR="00B96E3F" w:rsidRDefault="00B96E3F">
      <w:pPr>
        <w:pStyle w:val="FootnoteText"/>
      </w:pPr>
    </w:p>
  </w:footnote>
  <w:footnote w:id="18">
    <w:p w14:paraId="374E1576" w14:textId="4F903B2F" w:rsidR="00CB5397" w:rsidRDefault="00CB5397">
      <w:pPr>
        <w:pStyle w:val="FootnoteText"/>
      </w:pPr>
      <w:r>
        <w:rPr>
          <w:rStyle w:val="FootnoteReference"/>
        </w:rPr>
        <w:footnoteRef/>
      </w:r>
      <w:r>
        <w:t xml:space="preserve"> </w:t>
      </w:r>
      <w:bookmarkStart w:id="3" w:name="_Hlk70509294"/>
      <w:r>
        <w:t xml:space="preserve">Mark Larrimore ed., </w:t>
      </w:r>
      <w:r w:rsidRPr="00CB5397">
        <w:rPr>
          <w:i/>
          <w:iCs/>
        </w:rPr>
        <w:t>The Problem of Evil</w:t>
      </w:r>
      <w:r>
        <w:rPr>
          <w:i/>
          <w:iCs/>
        </w:rPr>
        <w:t>,</w:t>
      </w:r>
      <w:r>
        <w:t xml:space="preserve"> (Oxford: Blackwell, 2010) </w:t>
      </w:r>
      <w:bookmarkEnd w:id="3"/>
      <w:r>
        <w:t>p82</w:t>
      </w:r>
      <w:r>
        <w:rPr>
          <w:i/>
          <w:iCs/>
        </w:rPr>
        <w:t xml:space="preserve"> </w:t>
      </w:r>
    </w:p>
  </w:footnote>
  <w:footnote w:id="19">
    <w:p w14:paraId="568B1100" w14:textId="51A24A87" w:rsidR="00121109" w:rsidRDefault="00121109">
      <w:pPr>
        <w:pStyle w:val="FootnoteText"/>
      </w:pPr>
      <w:r>
        <w:rPr>
          <w:rStyle w:val="FootnoteReference"/>
        </w:rPr>
        <w:footnoteRef/>
      </w:r>
      <w:r>
        <w:t xml:space="preserve"> ibid</w:t>
      </w:r>
    </w:p>
  </w:footnote>
  <w:footnote w:id="20">
    <w:p w14:paraId="413A33B1" w14:textId="6F341807" w:rsidR="009418A8" w:rsidRDefault="009418A8">
      <w:pPr>
        <w:pStyle w:val="FootnoteText"/>
      </w:pPr>
      <w:r>
        <w:rPr>
          <w:rStyle w:val="FootnoteReference"/>
        </w:rPr>
        <w:footnoteRef/>
      </w:r>
      <w:r>
        <w:t xml:space="preserve"> Genevieve </w:t>
      </w:r>
      <w:bookmarkStart w:id="4" w:name="_Hlk70509340"/>
      <w:r>
        <w:t xml:space="preserve">Lloyd, </w:t>
      </w:r>
      <w:r w:rsidRPr="00405CE5">
        <w:rPr>
          <w:i/>
          <w:iCs/>
        </w:rPr>
        <w:t>The Man of Reason, ‘Male’ and ‘Female’ in Western Philosophy</w:t>
      </w:r>
      <w:r>
        <w:t xml:space="preserve"> (London: Methuen and Co. 1984) </w:t>
      </w:r>
      <w:bookmarkEnd w:id="4"/>
      <w:r>
        <w:t>p35</w:t>
      </w:r>
    </w:p>
  </w:footnote>
  <w:footnote w:id="21">
    <w:p w14:paraId="0415419F" w14:textId="1FAD1F23" w:rsidR="00F30914" w:rsidRDefault="00F30914">
      <w:pPr>
        <w:pStyle w:val="FootnoteText"/>
      </w:pPr>
      <w:r>
        <w:rPr>
          <w:rStyle w:val="FootnoteReference"/>
        </w:rPr>
        <w:footnoteRef/>
      </w:r>
      <w:r>
        <w:t xml:space="preserve"> </w:t>
      </w:r>
      <w:bookmarkStart w:id="5" w:name="_Hlk70509008"/>
      <w:r>
        <w:t>Anne Conway,</w:t>
      </w:r>
      <w:r w:rsidR="00A27144">
        <w:t xml:space="preserve"> </w:t>
      </w:r>
      <w:r w:rsidRPr="00A27144">
        <w:rPr>
          <w:i/>
          <w:iCs/>
        </w:rPr>
        <w:t>The Principles of the Most Ancient and Modern Philosophy,</w:t>
      </w:r>
      <w:r>
        <w:t xml:space="preserve"> (</w:t>
      </w:r>
      <w:r w:rsidR="00A27144">
        <w:t>Dodo Press 1692</w:t>
      </w:r>
      <w:bookmarkEnd w:id="5"/>
      <w:r w:rsidR="00A27144">
        <w:t>) P49</w:t>
      </w:r>
    </w:p>
  </w:footnote>
  <w:footnote w:id="22">
    <w:p w14:paraId="417BDDD0" w14:textId="32A8D1D2" w:rsidR="00A30B6F" w:rsidRDefault="00A30B6F">
      <w:pPr>
        <w:pStyle w:val="FootnoteText"/>
      </w:pPr>
      <w:r>
        <w:rPr>
          <w:rStyle w:val="FootnoteReference"/>
        </w:rPr>
        <w:footnoteRef/>
      </w:r>
      <w:r>
        <w:t xml:space="preserve"> ibid</w:t>
      </w:r>
    </w:p>
  </w:footnote>
  <w:footnote w:id="23">
    <w:p w14:paraId="1E7BC5D9" w14:textId="3B78E8B7" w:rsidR="007B13E6" w:rsidRDefault="007B13E6">
      <w:pPr>
        <w:pStyle w:val="FootnoteText"/>
      </w:pPr>
      <w:r>
        <w:rPr>
          <w:rStyle w:val="FootnoteReference"/>
        </w:rPr>
        <w:footnoteRef/>
      </w:r>
      <w:r>
        <w:t xml:space="preserve"> Rene</w:t>
      </w:r>
      <w:bookmarkStart w:id="6" w:name="_Hlk70509108"/>
      <w:r>
        <w:t xml:space="preserve"> Descartes, Translation by Michael Moriarty, The Passions of the Soul in </w:t>
      </w:r>
      <w:proofErr w:type="gramStart"/>
      <w:r w:rsidRPr="00986DFE">
        <w:rPr>
          <w:i/>
          <w:iCs/>
        </w:rPr>
        <w:t>The</w:t>
      </w:r>
      <w:proofErr w:type="gramEnd"/>
      <w:r w:rsidRPr="00986DFE">
        <w:rPr>
          <w:i/>
          <w:iCs/>
        </w:rPr>
        <w:t xml:space="preserve"> passions of the Soul and Other Late Philosophical Writings, </w:t>
      </w:r>
      <w:r>
        <w:t xml:space="preserve">(Oxford University Press, 2015) </w:t>
      </w:r>
      <w:bookmarkEnd w:id="6"/>
      <w:r>
        <w:t>p231</w:t>
      </w:r>
    </w:p>
  </w:footnote>
  <w:footnote w:id="24">
    <w:p w14:paraId="65F4ADEC" w14:textId="00BCC7E2" w:rsidR="00146CFD" w:rsidRDefault="00146CFD">
      <w:pPr>
        <w:pStyle w:val="FootnoteText"/>
      </w:pPr>
      <w:r>
        <w:rPr>
          <w:rStyle w:val="FootnoteReference"/>
        </w:rPr>
        <w:footnoteRef/>
      </w:r>
      <w:r>
        <w:t xml:space="preserve"> ibid</w:t>
      </w:r>
    </w:p>
  </w:footnote>
  <w:footnote w:id="25">
    <w:p w14:paraId="065EF11F" w14:textId="5741BFD6" w:rsidR="00986DFE" w:rsidRDefault="00986DFE">
      <w:pPr>
        <w:pStyle w:val="FootnoteText"/>
      </w:pPr>
      <w:r>
        <w:rPr>
          <w:rStyle w:val="FootnoteReference"/>
        </w:rPr>
        <w:footnoteRef/>
      </w:r>
      <w:r>
        <w:t xml:space="preserve"> </w:t>
      </w:r>
      <w:proofErr w:type="spellStart"/>
      <w:r>
        <w:t>Yanxia</w:t>
      </w:r>
      <w:proofErr w:type="spellEnd"/>
      <w:r>
        <w:t xml:space="preserve"> </w:t>
      </w:r>
    </w:p>
  </w:footnote>
  <w:footnote w:id="26">
    <w:p w14:paraId="1945FD63" w14:textId="6B6988A0" w:rsidR="008077BA" w:rsidRDefault="008077BA">
      <w:pPr>
        <w:pStyle w:val="FootnoteText"/>
      </w:pPr>
      <w:r>
        <w:rPr>
          <w:rStyle w:val="FootnoteReference"/>
        </w:rPr>
        <w:footnoteRef/>
      </w:r>
      <w:r>
        <w:t xml:space="preserve"> </w:t>
      </w:r>
      <w:bookmarkStart w:id="7" w:name="_Hlk70509469"/>
      <w:r>
        <w:t xml:space="preserve">Paul U. </w:t>
      </w:r>
      <w:proofErr w:type="spellStart"/>
      <w:r>
        <w:t>Unschuld</w:t>
      </w:r>
      <w:proofErr w:type="spellEnd"/>
      <w:r>
        <w:t xml:space="preserve">, </w:t>
      </w:r>
      <w:r w:rsidRPr="0094591E">
        <w:rPr>
          <w:i/>
          <w:iCs/>
        </w:rPr>
        <w:t>Medicine in China</w:t>
      </w:r>
      <w:r>
        <w:t xml:space="preserve"> (University California Press, 1985) </w:t>
      </w:r>
      <w:bookmarkEnd w:id="7"/>
      <w:r>
        <w:t>p199</w:t>
      </w:r>
    </w:p>
  </w:footnote>
  <w:footnote w:id="27">
    <w:p w14:paraId="14FFF18A" w14:textId="1DD04389" w:rsidR="00DE0969" w:rsidRDefault="00DE0969">
      <w:pPr>
        <w:pStyle w:val="FootnoteText"/>
      </w:pPr>
      <w:r>
        <w:rPr>
          <w:rStyle w:val="FootnoteReference"/>
        </w:rPr>
        <w:footnoteRef/>
      </w:r>
      <w:r>
        <w:t xml:space="preserve"> Laozi, </w:t>
      </w:r>
      <w:r w:rsidRPr="0094591E">
        <w:rPr>
          <w:i/>
          <w:iCs/>
        </w:rPr>
        <w:t>Dao De Jing – The Book of the Way,</w:t>
      </w:r>
      <w:r>
        <w:t xml:space="preserve"> Translation by Moss Roberts (University of California Press, 2001) Stanza 78, P183</w:t>
      </w:r>
    </w:p>
    <w:p w14:paraId="59BBB3E3" w14:textId="10F0F27F" w:rsidR="0011026A" w:rsidRDefault="0011026A">
      <w:pPr>
        <w:pStyle w:val="FootnoteText"/>
      </w:pPr>
    </w:p>
    <w:p w14:paraId="06939C40" w14:textId="67DDF9DF" w:rsidR="0011026A" w:rsidRDefault="0011026A">
      <w:pPr>
        <w:pStyle w:val="FootnoteText"/>
      </w:pPr>
    </w:p>
    <w:p w14:paraId="49C7C9CF" w14:textId="1095F653" w:rsidR="0011026A" w:rsidRDefault="0011026A">
      <w:pPr>
        <w:pStyle w:val="FootnoteText"/>
      </w:pPr>
    </w:p>
    <w:p w14:paraId="641785BF" w14:textId="7572E80B" w:rsidR="0011026A" w:rsidRDefault="0011026A">
      <w:pPr>
        <w:pStyle w:val="FootnoteText"/>
      </w:pPr>
    </w:p>
    <w:p w14:paraId="543CF145" w14:textId="77777777" w:rsidR="0011026A" w:rsidRDefault="0011026A">
      <w:pPr>
        <w:pStyle w:val="FootnoteText"/>
      </w:pPr>
    </w:p>
    <w:p w14:paraId="647C5B15" w14:textId="11BF1FA1" w:rsidR="0094591E" w:rsidRDefault="0094591E">
      <w:pPr>
        <w:pStyle w:val="FootnoteText"/>
      </w:pPr>
    </w:p>
    <w:p w14:paraId="6C2D25A6" w14:textId="194CB0A6" w:rsidR="0094591E" w:rsidRPr="0011026A" w:rsidRDefault="0094591E">
      <w:pPr>
        <w:pStyle w:val="FootnoteText"/>
        <w:rPr>
          <w:b/>
          <w:bCs/>
        </w:rPr>
      </w:pPr>
      <w:r w:rsidRPr="0011026A">
        <w:rPr>
          <w:b/>
          <w:bCs/>
        </w:rPr>
        <w:t>Bibliography</w:t>
      </w:r>
    </w:p>
    <w:p w14:paraId="2E218B33" w14:textId="77777777" w:rsidR="0094591E" w:rsidRDefault="0094591E">
      <w:pPr>
        <w:pStyle w:val="FootnoteText"/>
      </w:pPr>
    </w:p>
    <w:p w14:paraId="7401853A" w14:textId="6E21AC40" w:rsidR="0094591E" w:rsidRDefault="0094591E">
      <w:pPr>
        <w:pStyle w:val="FootnoteText"/>
      </w:pPr>
      <w:r>
        <w:t xml:space="preserve">Conway, Anne. </w:t>
      </w:r>
      <w:r w:rsidRPr="00A27144">
        <w:rPr>
          <w:i/>
          <w:iCs/>
        </w:rPr>
        <w:t>The Principles of the Most Ancient and Modern Philosophy,</w:t>
      </w:r>
      <w:r>
        <w:t xml:space="preserve"> (Dodo Press 1</w:t>
      </w:r>
      <w:r w:rsidR="00D37F4F">
        <w:t>692)</w:t>
      </w:r>
    </w:p>
    <w:p w14:paraId="1CDA0FC9" w14:textId="395B0A8D" w:rsidR="00D37F4F" w:rsidRDefault="00D37F4F">
      <w:pPr>
        <w:pStyle w:val="FootnoteText"/>
      </w:pPr>
      <w:r>
        <w:t xml:space="preserve">Coutinho, Steve. </w:t>
      </w:r>
      <w:r w:rsidRPr="00E843CD">
        <w:rPr>
          <w:i/>
          <w:iCs/>
        </w:rPr>
        <w:t>An Introduction to Daoist Philosophy,</w:t>
      </w:r>
      <w:r>
        <w:t xml:space="preserve"> (New York: Columbia Press, 2013)</w:t>
      </w:r>
    </w:p>
    <w:p w14:paraId="72620286" w14:textId="44218B95" w:rsidR="0094591E" w:rsidRDefault="00D37F4F">
      <w:pPr>
        <w:pStyle w:val="FootnoteText"/>
      </w:pPr>
      <w:r>
        <w:t xml:space="preserve">Descartes, Rene. Translation by Michael Moriarty, The Passions of the Soul in </w:t>
      </w:r>
      <w:proofErr w:type="gramStart"/>
      <w:r w:rsidRPr="00986DFE">
        <w:rPr>
          <w:i/>
          <w:iCs/>
        </w:rPr>
        <w:t>The</w:t>
      </w:r>
      <w:proofErr w:type="gramEnd"/>
      <w:r w:rsidRPr="00986DFE">
        <w:rPr>
          <w:i/>
          <w:iCs/>
        </w:rPr>
        <w:t xml:space="preserve"> passions of the Soul and Other Late Philosophical Writings, </w:t>
      </w:r>
      <w:r>
        <w:t>(Oxford University Press, 2015)</w:t>
      </w:r>
    </w:p>
    <w:p w14:paraId="55F4BE46" w14:textId="293479E5" w:rsidR="00D37F4F" w:rsidRDefault="00D37F4F">
      <w:pPr>
        <w:pStyle w:val="FootnoteText"/>
      </w:pPr>
      <w:r>
        <w:t xml:space="preserve">Laozi, </w:t>
      </w:r>
      <w:r w:rsidRPr="0094591E">
        <w:rPr>
          <w:i/>
          <w:iCs/>
        </w:rPr>
        <w:t>Dao De Jing – The Book of the Way,</w:t>
      </w:r>
      <w:r>
        <w:t xml:space="preserve"> Translation by Moss Roberts (University of California Press, 2001)</w:t>
      </w:r>
    </w:p>
    <w:p w14:paraId="0773279C" w14:textId="222DC8EC" w:rsidR="0094591E" w:rsidRDefault="00D37F4F">
      <w:pPr>
        <w:pStyle w:val="FootnoteText"/>
      </w:pPr>
      <w:r>
        <w:t>Larrimore</w:t>
      </w:r>
      <w:r w:rsidR="00A51C3A">
        <w:t>, Mark,</w:t>
      </w:r>
      <w:r>
        <w:t xml:space="preserve"> ed., </w:t>
      </w:r>
      <w:r w:rsidRPr="00CB5397">
        <w:rPr>
          <w:i/>
          <w:iCs/>
        </w:rPr>
        <w:t>The Problem of Evil</w:t>
      </w:r>
      <w:r>
        <w:rPr>
          <w:i/>
          <w:iCs/>
        </w:rPr>
        <w:t>,</w:t>
      </w:r>
      <w:r>
        <w:t xml:space="preserve"> (Oxford: Blackwell, 2010)</w:t>
      </w:r>
    </w:p>
    <w:p w14:paraId="38C2F4FA" w14:textId="10B1881F" w:rsidR="00D37F4F" w:rsidRDefault="00D37F4F">
      <w:pPr>
        <w:pStyle w:val="FootnoteText"/>
      </w:pPr>
      <w:r>
        <w:t>Lloyd, Genevieve. The Man of Reason, ‘Male’ and ‘Female’ in Western Philosophy (London: Methuen and Co. 1984)</w:t>
      </w:r>
    </w:p>
    <w:p w14:paraId="05BFC649" w14:textId="110AF54F" w:rsidR="00D37F4F" w:rsidRDefault="00D37F4F">
      <w:pPr>
        <w:pStyle w:val="FootnoteText"/>
      </w:pPr>
      <w:proofErr w:type="spellStart"/>
      <w:r>
        <w:t>Maoshing</w:t>
      </w:r>
      <w:proofErr w:type="spellEnd"/>
      <w:r>
        <w:t xml:space="preserve"> NI, </w:t>
      </w:r>
      <w:r w:rsidRPr="00D62CD1">
        <w:rPr>
          <w:i/>
          <w:iCs/>
        </w:rPr>
        <w:t>The Yellow Emperor’s Classic of Medicine,</w:t>
      </w:r>
      <w:r>
        <w:t xml:space="preserve"> (Massachusetts: Shambala Publications, 1995)</w:t>
      </w:r>
    </w:p>
    <w:p w14:paraId="6C718720" w14:textId="47A122BA" w:rsidR="00D37F4F" w:rsidRDefault="00D37F4F">
      <w:pPr>
        <w:pStyle w:val="FootnoteText"/>
      </w:pPr>
      <w:proofErr w:type="spellStart"/>
      <w:r>
        <w:t>Unschuld</w:t>
      </w:r>
      <w:proofErr w:type="spellEnd"/>
      <w:r>
        <w:t xml:space="preserve">, </w:t>
      </w:r>
      <w:r w:rsidR="00A51C3A">
        <w:t xml:space="preserve">Paul, U. </w:t>
      </w:r>
      <w:r w:rsidRPr="0094591E">
        <w:rPr>
          <w:i/>
          <w:iCs/>
        </w:rPr>
        <w:t>Medicine in China</w:t>
      </w:r>
      <w:r>
        <w:t xml:space="preserve"> (University California Press, 1985)</w:t>
      </w:r>
    </w:p>
    <w:p w14:paraId="64B2BCB7" w14:textId="37FEA74D" w:rsidR="00D37F4F" w:rsidRDefault="00D37F4F">
      <w:pPr>
        <w:pStyle w:val="FootnoteText"/>
      </w:pPr>
    </w:p>
    <w:p w14:paraId="3F650140" w14:textId="5C3AA8FC" w:rsidR="00D37F4F" w:rsidRDefault="00D37F4F">
      <w:pPr>
        <w:pStyle w:val="FootnoteText"/>
      </w:pPr>
      <w:r>
        <w:t>Websites</w:t>
      </w:r>
    </w:p>
    <w:p w14:paraId="5171C514" w14:textId="4147BD4D" w:rsidR="00D37F4F" w:rsidRDefault="00204C66">
      <w:pPr>
        <w:pStyle w:val="FootnoteText"/>
        <w:rPr>
          <w:sz w:val="22"/>
          <w:szCs w:val="22"/>
        </w:rPr>
      </w:pPr>
      <w:hyperlink r:id="rId3" w:history="1">
        <w:r w:rsidR="00D37F4F" w:rsidRPr="006A140E">
          <w:rPr>
            <w:color w:val="0000FF"/>
            <w:sz w:val="22"/>
            <w:szCs w:val="22"/>
            <w:u w:val="single"/>
          </w:rPr>
          <w:t xml:space="preserve">Fuxi, </w:t>
        </w:r>
        <w:proofErr w:type="spellStart"/>
        <w:r w:rsidR="00D37F4F" w:rsidRPr="006A140E">
          <w:rPr>
            <w:color w:val="0000FF"/>
            <w:sz w:val="22"/>
            <w:szCs w:val="22"/>
            <w:u w:val="single"/>
          </w:rPr>
          <w:t>Nuwa</w:t>
        </w:r>
        <w:proofErr w:type="spellEnd"/>
        <w:r w:rsidR="00D37F4F" w:rsidRPr="006A140E">
          <w:rPr>
            <w:color w:val="0000FF"/>
            <w:sz w:val="22"/>
            <w:szCs w:val="22"/>
            <w:u w:val="single"/>
          </w:rPr>
          <w:t>, and the Creation of Humanity | Ancient Origins (ancient-origins.net)</w:t>
        </w:r>
      </w:hyperlink>
    </w:p>
    <w:p w14:paraId="7835F98D" w14:textId="49B39A79" w:rsidR="00D37F4F" w:rsidRDefault="00D37F4F">
      <w:pPr>
        <w:pStyle w:val="FootnoteText"/>
        <w:rPr>
          <w:sz w:val="22"/>
          <w:szCs w:val="22"/>
        </w:rPr>
      </w:pPr>
    </w:p>
    <w:p w14:paraId="0A39DE5D" w14:textId="337E075A" w:rsidR="00D37F4F" w:rsidRDefault="00D37F4F">
      <w:pPr>
        <w:pStyle w:val="FootnoteText"/>
        <w:rPr>
          <w:sz w:val="22"/>
          <w:szCs w:val="22"/>
        </w:rPr>
      </w:pPr>
      <w:r>
        <w:rPr>
          <w:sz w:val="22"/>
          <w:szCs w:val="22"/>
        </w:rPr>
        <w:t>Images</w:t>
      </w:r>
    </w:p>
    <w:p w14:paraId="04ECD840" w14:textId="4A5CC288" w:rsidR="00D37F4F" w:rsidRDefault="00204C66">
      <w:pPr>
        <w:pStyle w:val="FootnoteText"/>
        <w:rPr>
          <w:rStyle w:val="Hyperlink"/>
        </w:rPr>
      </w:pPr>
      <w:hyperlink r:id="rId4" w:history="1">
        <w:proofErr w:type="spellStart"/>
        <w:r w:rsidR="00D37F4F" w:rsidRPr="00B96E3F">
          <w:rPr>
            <w:rStyle w:val="Hyperlink"/>
          </w:rPr>
          <w:t>adam</w:t>
        </w:r>
        <w:proofErr w:type="spellEnd"/>
      </w:hyperlink>
      <w:hyperlink r:id="rId5" w:history="1">
        <w:r w:rsidR="00D37F4F" w:rsidRPr="00B96E3F">
          <w:rPr>
            <w:rStyle w:val="Hyperlink"/>
          </w:rPr>
          <w:t xml:space="preserve"> and eve - Google Search</w:t>
        </w:r>
      </w:hyperlink>
    </w:p>
    <w:p w14:paraId="639FB5FF" w14:textId="443E1C4B" w:rsidR="0011026A" w:rsidRDefault="00204C66">
      <w:pPr>
        <w:pStyle w:val="FootnoteText"/>
      </w:pPr>
      <w:hyperlink r:id="rId6" w:history="1">
        <w:r w:rsidR="0011026A" w:rsidRPr="000B6D20">
          <w:rPr>
            <w:rStyle w:val="Hyperlink"/>
          </w:rPr>
          <w:t>file:///C:/Users/Student/Downloads/nuwa%20and%20fuxi%20-%20Bing%20images.html</w:t>
        </w:r>
      </w:hyperlink>
    </w:p>
    <w:p w14:paraId="4EDDAFCD" w14:textId="29AE3DF7" w:rsidR="0094591E" w:rsidRDefault="0094591E">
      <w:pPr>
        <w:pStyle w:val="FootnoteText"/>
      </w:pPr>
    </w:p>
    <w:p w14:paraId="1C8BF530" w14:textId="4049FEB7" w:rsidR="0094591E" w:rsidRDefault="0094591E">
      <w:pPr>
        <w:pStyle w:val="FootnoteText"/>
      </w:pPr>
    </w:p>
    <w:p w14:paraId="71BD88DF" w14:textId="0F38BD6A" w:rsidR="0094591E" w:rsidRDefault="0094591E">
      <w:pPr>
        <w:pStyle w:val="FootnoteText"/>
      </w:pPr>
    </w:p>
    <w:p w14:paraId="0EC73C4A" w14:textId="0C609FE1" w:rsidR="0094591E" w:rsidRDefault="0094591E">
      <w:pPr>
        <w:pStyle w:val="FootnoteText"/>
      </w:pPr>
    </w:p>
    <w:p w14:paraId="71E228AB" w14:textId="0C3F0F3A" w:rsidR="0094591E" w:rsidRDefault="0094591E">
      <w:pPr>
        <w:pStyle w:val="FootnoteText"/>
      </w:pPr>
    </w:p>
    <w:p w14:paraId="6A37D525" w14:textId="7AF8EBAB" w:rsidR="0094591E" w:rsidRDefault="0094591E">
      <w:pPr>
        <w:pStyle w:val="FootnoteText"/>
      </w:pPr>
    </w:p>
    <w:p w14:paraId="3A75E94C" w14:textId="5883CAEB" w:rsidR="0094591E" w:rsidRDefault="0094591E">
      <w:pPr>
        <w:pStyle w:val="FootnoteText"/>
      </w:pPr>
    </w:p>
    <w:p w14:paraId="530C900F" w14:textId="23FF5E80" w:rsidR="0094591E" w:rsidRDefault="0094591E">
      <w:pPr>
        <w:pStyle w:val="FootnoteText"/>
      </w:pPr>
    </w:p>
    <w:p w14:paraId="16D9202E" w14:textId="22B449B9" w:rsidR="0094591E" w:rsidRDefault="0094591E">
      <w:pPr>
        <w:pStyle w:val="FootnoteText"/>
      </w:pPr>
    </w:p>
    <w:p w14:paraId="797CFCD8" w14:textId="4AFCE4FA" w:rsidR="0094591E" w:rsidRDefault="0094591E">
      <w:pPr>
        <w:pStyle w:val="FootnoteText"/>
      </w:pPr>
    </w:p>
    <w:p w14:paraId="62E9240F" w14:textId="25193A1A" w:rsidR="0094591E" w:rsidRDefault="0094591E">
      <w:pPr>
        <w:pStyle w:val="FootnoteText"/>
      </w:pPr>
    </w:p>
    <w:p w14:paraId="53D6CB70" w14:textId="72477947" w:rsidR="0094591E" w:rsidRDefault="0094591E">
      <w:pPr>
        <w:pStyle w:val="FootnoteText"/>
      </w:pPr>
    </w:p>
    <w:p w14:paraId="3B0480B8" w14:textId="36CAEA49" w:rsidR="0094591E" w:rsidRDefault="0094591E">
      <w:pPr>
        <w:pStyle w:val="FootnoteText"/>
      </w:pPr>
    </w:p>
    <w:p w14:paraId="218ACB63" w14:textId="64A958C6" w:rsidR="0094591E" w:rsidRDefault="0094591E">
      <w:pPr>
        <w:pStyle w:val="FootnoteText"/>
      </w:pPr>
    </w:p>
    <w:p w14:paraId="4FBF8C87" w14:textId="77777777" w:rsidR="0094591E" w:rsidRDefault="0094591E">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6D"/>
    <w:rsid w:val="00042145"/>
    <w:rsid w:val="00043B6E"/>
    <w:rsid w:val="000A5E9F"/>
    <w:rsid w:val="000F6C0B"/>
    <w:rsid w:val="00101137"/>
    <w:rsid w:val="0011026A"/>
    <w:rsid w:val="00121109"/>
    <w:rsid w:val="001245F8"/>
    <w:rsid w:val="00146CFD"/>
    <w:rsid w:val="001E3394"/>
    <w:rsid w:val="001F02C5"/>
    <w:rsid w:val="00204C66"/>
    <w:rsid w:val="002606F3"/>
    <w:rsid w:val="0026470D"/>
    <w:rsid w:val="00285CF2"/>
    <w:rsid w:val="00290228"/>
    <w:rsid w:val="002D01AE"/>
    <w:rsid w:val="002E765A"/>
    <w:rsid w:val="002F3862"/>
    <w:rsid w:val="0036706D"/>
    <w:rsid w:val="00380202"/>
    <w:rsid w:val="003871E6"/>
    <w:rsid w:val="003A0693"/>
    <w:rsid w:val="003B299F"/>
    <w:rsid w:val="003D0B1A"/>
    <w:rsid w:val="00405CE5"/>
    <w:rsid w:val="004441E2"/>
    <w:rsid w:val="00445605"/>
    <w:rsid w:val="00513FB4"/>
    <w:rsid w:val="005664FD"/>
    <w:rsid w:val="00572996"/>
    <w:rsid w:val="005F395D"/>
    <w:rsid w:val="00611AC1"/>
    <w:rsid w:val="0062532E"/>
    <w:rsid w:val="006A140E"/>
    <w:rsid w:val="006D4BC5"/>
    <w:rsid w:val="006E7AF8"/>
    <w:rsid w:val="006F2819"/>
    <w:rsid w:val="00735C62"/>
    <w:rsid w:val="0078114A"/>
    <w:rsid w:val="00784FCD"/>
    <w:rsid w:val="00793A90"/>
    <w:rsid w:val="007B13E6"/>
    <w:rsid w:val="008077BA"/>
    <w:rsid w:val="00820355"/>
    <w:rsid w:val="008413BB"/>
    <w:rsid w:val="00863F82"/>
    <w:rsid w:val="008802FF"/>
    <w:rsid w:val="00884AF1"/>
    <w:rsid w:val="00920671"/>
    <w:rsid w:val="009418A8"/>
    <w:rsid w:val="0094591E"/>
    <w:rsid w:val="00973037"/>
    <w:rsid w:val="00986DFE"/>
    <w:rsid w:val="00A27144"/>
    <w:rsid w:val="00A30B6F"/>
    <w:rsid w:val="00A47DA2"/>
    <w:rsid w:val="00A51C3A"/>
    <w:rsid w:val="00A97930"/>
    <w:rsid w:val="00AC6653"/>
    <w:rsid w:val="00B231B4"/>
    <w:rsid w:val="00B61E0D"/>
    <w:rsid w:val="00B61E17"/>
    <w:rsid w:val="00B746FD"/>
    <w:rsid w:val="00B96E3F"/>
    <w:rsid w:val="00C57902"/>
    <w:rsid w:val="00CB5397"/>
    <w:rsid w:val="00CC699C"/>
    <w:rsid w:val="00CF13E0"/>
    <w:rsid w:val="00D158FA"/>
    <w:rsid w:val="00D37F4F"/>
    <w:rsid w:val="00D62CD1"/>
    <w:rsid w:val="00D746AB"/>
    <w:rsid w:val="00DD6A63"/>
    <w:rsid w:val="00DE0969"/>
    <w:rsid w:val="00E0481F"/>
    <w:rsid w:val="00E71138"/>
    <w:rsid w:val="00E843CD"/>
    <w:rsid w:val="00EB3C7D"/>
    <w:rsid w:val="00EC0CEF"/>
    <w:rsid w:val="00F30914"/>
    <w:rsid w:val="00F363D1"/>
    <w:rsid w:val="00F579AC"/>
    <w:rsid w:val="00F57ADD"/>
    <w:rsid w:val="00FB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03C2C"/>
  <w15:chartTrackingRefBased/>
  <w15:docId w15:val="{7E93B68D-F8EC-4D19-ADD0-70B9CD68E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3A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3A90"/>
    <w:rPr>
      <w:sz w:val="20"/>
      <w:szCs w:val="20"/>
    </w:rPr>
  </w:style>
  <w:style w:type="character" w:styleId="FootnoteReference">
    <w:name w:val="footnote reference"/>
    <w:basedOn w:val="DefaultParagraphFont"/>
    <w:uiPriority w:val="99"/>
    <w:semiHidden/>
    <w:unhideWhenUsed/>
    <w:rsid w:val="00793A90"/>
    <w:rPr>
      <w:vertAlign w:val="superscript"/>
    </w:rPr>
  </w:style>
  <w:style w:type="character" w:styleId="Hyperlink">
    <w:name w:val="Hyperlink"/>
    <w:basedOn w:val="DefaultParagraphFont"/>
    <w:uiPriority w:val="99"/>
    <w:unhideWhenUsed/>
    <w:rsid w:val="00042145"/>
    <w:rPr>
      <w:color w:val="0000FF"/>
      <w:u w:val="single"/>
    </w:rPr>
  </w:style>
  <w:style w:type="character" w:styleId="UnresolvedMention">
    <w:name w:val="Unresolved Mention"/>
    <w:basedOn w:val="DefaultParagraphFont"/>
    <w:uiPriority w:val="99"/>
    <w:semiHidden/>
    <w:unhideWhenUsed/>
    <w:rsid w:val="006D4BC5"/>
    <w:rPr>
      <w:color w:val="605E5C"/>
      <w:shd w:val="clear" w:color="auto" w:fill="E1DFDD"/>
    </w:rPr>
  </w:style>
  <w:style w:type="paragraph" w:styleId="NormalWeb">
    <w:name w:val="Normal (Web)"/>
    <w:basedOn w:val="Normal"/>
    <w:uiPriority w:val="99"/>
    <w:semiHidden/>
    <w:unhideWhenUsed/>
    <w:rsid w:val="00B96E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21109"/>
    <w:rPr>
      <w:sz w:val="16"/>
      <w:szCs w:val="16"/>
    </w:rPr>
  </w:style>
  <w:style w:type="paragraph" w:styleId="CommentText">
    <w:name w:val="annotation text"/>
    <w:basedOn w:val="Normal"/>
    <w:link w:val="CommentTextChar"/>
    <w:uiPriority w:val="99"/>
    <w:semiHidden/>
    <w:unhideWhenUsed/>
    <w:rsid w:val="00121109"/>
    <w:pPr>
      <w:spacing w:line="240" w:lineRule="auto"/>
    </w:pPr>
    <w:rPr>
      <w:sz w:val="20"/>
      <w:szCs w:val="20"/>
    </w:rPr>
  </w:style>
  <w:style w:type="character" w:customStyle="1" w:styleId="CommentTextChar">
    <w:name w:val="Comment Text Char"/>
    <w:basedOn w:val="DefaultParagraphFont"/>
    <w:link w:val="CommentText"/>
    <w:uiPriority w:val="99"/>
    <w:semiHidden/>
    <w:rsid w:val="00121109"/>
    <w:rPr>
      <w:sz w:val="20"/>
      <w:szCs w:val="20"/>
    </w:rPr>
  </w:style>
  <w:style w:type="paragraph" w:styleId="CommentSubject">
    <w:name w:val="annotation subject"/>
    <w:basedOn w:val="CommentText"/>
    <w:next w:val="CommentText"/>
    <w:link w:val="CommentSubjectChar"/>
    <w:uiPriority w:val="99"/>
    <w:semiHidden/>
    <w:unhideWhenUsed/>
    <w:rsid w:val="00121109"/>
    <w:rPr>
      <w:b/>
      <w:bCs/>
    </w:rPr>
  </w:style>
  <w:style w:type="character" w:customStyle="1" w:styleId="CommentSubjectChar">
    <w:name w:val="Comment Subject Char"/>
    <w:basedOn w:val="CommentTextChar"/>
    <w:link w:val="CommentSubject"/>
    <w:uiPriority w:val="99"/>
    <w:semiHidden/>
    <w:rsid w:val="001211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418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ncient-origins.net/myths-legends-asia/creation-0013397" TargetMode="External"/><Relationship Id="rId2" Type="http://schemas.openxmlformats.org/officeDocument/2006/relationships/hyperlink" Target="https://www.google.co.uk/search?tbm=isch&amp;sxsrf=ALeKk00hAtzeSpUr8R1UUAeaC674cKDezQ%3A1614095948442&amp;source=hp&amp;biw=1536&amp;bih=722&amp;ei=TCY1YNDnGLeAhbIP0tiJkAM&amp;q=adam+and+eve&amp;oq=adam+and+eve&amp;gs_lcp=CgNpbWcQAzIECCMQJzIFCAAQsQMyCAgAELEDEIMBMgIIADICCAAyAggAMgIIADICCAAyAggAMgIIAFC7DVjYJWDZKGgAcAB4AIABtgGIAdcGkgEEMTEuMZgBAKABAaoBC2d3cy13aXotaW1n&amp;sclient=img&amp;ved=0ahUKEwjQvY39r4DvAhU3QEEAHVJsAjIQ4dUDCAc&amp;uact=5" TargetMode="External"/><Relationship Id="rId1" Type="http://schemas.openxmlformats.org/officeDocument/2006/relationships/hyperlink" Target="https://www.google.co.uk/search?tbm=isch&amp;sxsrf=ALeKk00hAtzeSpUr8R1UUAeaC674cKDezQ%3A1614095948442&amp;source=hp&amp;biw=1536&amp;bih=722&amp;ei=TCY1YNDnGLeAhbIP0tiJkAM&amp;q=adam+and+eve&amp;oq=adam+and+eve&amp;gs_lcp=CgNpbWcQAzIECCMQJzIFCAAQsQMyCAgAELEDEIMBMgIIADICCAAyAggAMgIIADICCAAyAggAMgIIAFC7DVjYJWDZKGgAcAB4AIABtgGIAdcGkgEEMTEuMZgBAKABAaoBC2d3cy13aXotaW1n&amp;sclient=img&amp;ved=0ahUKEwjQvY39r4DvAhU3QEEAHVJsAjIQ4dUDCAc&amp;uact=5" TargetMode="External"/><Relationship Id="rId6" Type="http://schemas.openxmlformats.org/officeDocument/2006/relationships/hyperlink" Target="file:///C:/Users/Student/Downloads/nuwa%20and%20fuxi%20-%20Bing%20images.html" TargetMode="External"/><Relationship Id="rId5" Type="http://schemas.openxmlformats.org/officeDocument/2006/relationships/hyperlink" Target="https://www.google.co.uk/search?tbm=isch&amp;sxsrf=ALeKk00hAtzeSpUr8R1UUAeaC674cKDezQ%3A1614095948442&amp;source=hp&amp;biw=1536&amp;bih=722&amp;ei=TCY1YNDnGLeAhbIP0tiJkAM&amp;q=adam+and+eve&amp;oq=adam+and+eve&amp;gs_lcp=CgNpbWcQAzIECCMQJzIFCAAQsQMyCAgAELEDEIMBMgIIADICCAAyAggAMgIIADICCAAyAggAMgIIAFC7DVjYJWDZKGgAcAB4AIABtgGIAdcGkgEEMTEuMZgBAKABAaoBC2d3cy13aXotaW1n&amp;sclient=img&amp;ved=0ahUKEwjQvY39r4DvAhU3QEEAHVJsAjIQ4dUDCAc&amp;uact=5" TargetMode="External"/><Relationship Id="rId4" Type="http://schemas.openxmlformats.org/officeDocument/2006/relationships/hyperlink" Target="https://www.google.co.uk/search?tbm=isch&amp;sxsrf=ALeKk00hAtzeSpUr8R1UUAeaC674cKDezQ%3A1614095948442&amp;source=hp&amp;biw=1536&amp;bih=722&amp;ei=TCY1YNDnGLeAhbIP0tiJkAM&amp;q=adam+and+eve&amp;oq=adam+and+eve&amp;gs_lcp=CgNpbWcQAzIECCMQJzIFCAAQsQMyCAgAELEDEIMBMgIIADICCAAyAggAMgIIADICCAAyAggAMgIIAFC7DVjYJWDZKGgAcAB4AIABtgGIAdcGkgEEMTEuMZgBAKABAaoBC2d3cy13aXotaW1n&amp;sclient=img&amp;ved=0ahUKEwjQvY39r4DvAhU3QEEAHVJsAjIQ4dUDCAc&amp;uact=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47162-DECB-43A6-B418-754BD5C8D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8</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Kosek (1710841)</dc:creator>
  <cp:keywords/>
  <dc:description/>
  <cp:lastModifiedBy>Wendie Kosek (1710841)</cp:lastModifiedBy>
  <cp:revision>26</cp:revision>
  <dcterms:created xsi:type="dcterms:W3CDTF">2021-04-24T09:21:00Z</dcterms:created>
  <dcterms:modified xsi:type="dcterms:W3CDTF">2021-05-01T08:40:00Z</dcterms:modified>
</cp:coreProperties>
</file>