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D2487C" w14:textId="1BDF1A47" w:rsidR="008D5141" w:rsidRPr="008D5141" w:rsidRDefault="008D5141" w:rsidP="008D5141">
      <w:pPr>
        <w:spacing w:line="360" w:lineRule="auto"/>
        <w:jc w:val="both"/>
        <w:rPr>
          <w:rFonts w:ascii="Arial" w:hAnsi="Arial" w:cs="Arial"/>
          <w:sz w:val="22"/>
          <w:szCs w:val="22"/>
        </w:rPr>
      </w:pPr>
      <w:r w:rsidRPr="008D5141">
        <w:rPr>
          <w:rFonts w:ascii="Arial" w:hAnsi="Arial" w:cs="Arial"/>
          <w:noProof/>
          <w:sz w:val="22"/>
          <w:szCs w:val="22"/>
        </w:rPr>
        <w:drawing>
          <wp:inline distT="0" distB="0" distL="0" distR="0" wp14:anchorId="58FFD375" wp14:editId="69601C26">
            <wp:extent cx="1809750" cy="723900"/>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a:xfrm>
                      <a:off x="0" y="0"/>
                      <a:ext cx="1809750" cy="723900"/>
                    </a:xfrm>
                    <a:prstGeom prst="rect">
                      <a:avLst/>
                    </a:prstGeom>
                    <a:noFill/>
                    <a:ln>
                      <a:noFill/>
                    </a:ln>
                  </pic:spPr>
                </pic:pic>
              </a:graphicData>
            </a:graphic>
          </wp:inline>
        </w:drawing>
      </w:r>
    </w:p>
    <w:p w14:paraId="32EB82C0" w14:textId="77777777" w:rsidR="008D5141" w:rsidRDefault="008D5141" w:rsidP="008D5141">
      <w:pPr>
        <w:spacing w:line="360" w:lineRule="auto"/>
        <w:jc w:val="both"/>
        <w:rPr>
          <w:rFonts w:ascii="Arial" w:hAnsi="Arial" w:cs="Arial"/>
          <w:sz w:val="22"/>
          <w:szCs w:val="22"/>
        </w:rPr>
      </w:pPr>
    </w:p>
    <w:p w14:paraId="6B39434B" w14:textId="77777777" w:rsidR="00AC7A65" w:rsidRPr="008D5141" w:rsidRDefault="00AC7A65" w:rsidP="008D5141">
      <w:pPr>
        <w:spacing w:line="360" w:lineRule="auto"/>
        <w:jc w:val="both"/>
        <w:rPr>
          <w:rFonts w:ascii="Arial" w:hAnsi="Arial" w:cs="Arial"/>
          <w:sz w:val="22"/>
          <w:szCs w:val="22"/>
        </w:rPr>
      </w:pPr>
    </w:p>
    <w:p w14:paraId="084407DB" w14:textId="015DB984" w:rsidR="008D5141" w:rsidRPr="008D5141" w:rsidRDefault="00AC7A65" w:rsidP="00AC7A65">
      <w:pPr>
        <w:spacing w:after="0" w:line="360" w:lineRule="auto"/>
        <w:jc w:val="center"/>
        <w:rPr>
          <w:rFonts w:ascii="Palatino Linotype" w:hAnsi="Palatino Linotype" w:cs="Arial"/>
          <w:b/>
          <w:bCs/>
          <w:sz w:val="48"/>
          <w:szCs w:val="48"/>
        </w:rPr>
      </w:pPr>
      <w:r w:rsidRPr="00AC7A65">
        <w:rPr>
          <w:rFonts w:ascii="Palatino Linotype" w:hAnsi="Palatino Linotype" w:cs="Arial"/>
          <w:b/>
          <w:bCs/>
          <w:sz w:val="48"/>
          <w:szCs w:val="48"/>
        </w:rPr>
        <w:t>COMPONENT 1 REFLECTIVE REPORT</w:t>
      </w:r>
    </w:p>
    <w:p w14:paraId="46B4BCC1" w14:textId="77777777" w:rsidR="00AC7A65" w:rsidRDefault="00AC7A65" w:rsidP="00AC7A65">
      <w:pPr>
        <w:spacing w:after="0" w:line="360" w:lineRule="auto"/>
        <w:jc w:val="center"/>
        <w:rPr>
          <w:rFonts w:ascii="Palatino Linotype" w:hAnsi="Palatino Linotype" w:cs="Arial"/>
          <w:b/>
          <w:bCs/>
          <w:sz w:val="28"/>
          <w:szCs w:val="28"/>
        </w:rPr>
      </w:pPr>
    </w:p>
    <w:p w14:paraId="6152C634" w14:textId="77777777" w:rsidR="00AC7A65" w:rsidRDefault="00AC7A65" w:rsidP="00AC7A65">
      <w:pPr>
        <w:spacing w:after="0" w:line="360" w:lineRule="auto"/>
        <w:jc w:val="center"/>
        <w:rPr>
          <w:rFonts w:ascii="Palatino Linotype" w:hAnsi="Palatino Linotype" w:cs="Arial"/>
          <w:b/>
          <w:bCs/>
          <w:sz w:val="28"/>
          <w:szCs w:val="28"/>
        </w:rPr>
      </w:pPr>
    </w:p>
    <w:p w14:paraId="0CBCF441" w14:textId="1EBA04B1" w:rsidR="00AC7A65" w:rsidRPr="00AC7A65" w:rsidRDefault="00AC7A65" w:rsidP="00AC7A65">
      <w:pPr>
        <w:spacing w:after="0" w:line="360" w:lineRule="auto"/>
        <w:jc w:val="center"/>
        <w:rPr>
          <w:rFonts w:ascii="Palatino Linotype" w:hAnsi="Palatino Linotype" w:cs="Arial"/>
          <w:b/>
          <w:bCs/>
          <w:sz w:val="28"/>
          <w:szCs w:val="28"/>
        </w:rPr>
      </w:pPr>
      <w:r w:rsidRPr="00AC7A65">
        <w:rPr>
          <w:rFonts w:ascii="Palatino Linotype" w:hAnsi="Palatino Linotype" w:cs="Arial"/>
          <w:b/>
          <w:bCs/>
          <w:sz w:val="28"/>
          <w:szCs w:val="28"/>
        </w:rPr>
        <w:t>MODULE CODE: BMHP5016</w:t>
      </w:r>
    </w:p>
    <w:p w14:paraId="7882CD17" w14:textId="6B120351" w:rsidR="00AC7A65" w:rsidRPr="00AC7A65" w:rsidRDefault="00AC7A65" w:rsidP="00AC7A65">
      <w:pPr>
        <w:spacing w:after="0" w:line="360" w:lineRule="auto"/>
        <w:jc w:val="center"/>
        <w:rPr>
          <w:rFonts w:ascii="Palatino Linotype" w:hAnsi="Palatino Linotype" w:cs="Arial"/>
          <w:b/>
          <w:bCs/>
          <w:sz w:val="28"/>
          <w:szCs w:val="28"/>
        </w:rPr>
      </w:pPr>
      <w:r w:rsidRPr="00AC7A65">
        <w:rPr>
          <w:rFonts w:ascii="Palatino Linotype" w:hAnsi="Palatino Linotype" w:cs="Arial"/>
          <w:b/>
          <w:bCs/>
          <w:sz w:val="32"/>
          <w:szCs w:val="32"/>
        </w:rPr>
        <w:t>MODULE TITLE: PRINCIPLES OF HEALTH &amp; SOCIAL CARE PRACTICE</w:t>
      </w:r>
      <w:r w:rsidRPr="00AC7A65">
        <w:rPr>
          <w:rFonts w:ascii="Palatino Linotype" w:hAnsi="Palatino Linotype" w:cs="Arial"/>
          <w:b/>
          <w:bCs/>
          <w:sz w:val="28"/>
          <w:szCs w:val="28"/>
        </w:rPr>
        <w:br/>
      </w:r>
    </w:p>
    <w:p w14:paraId="023F13B5" w14:textId="77777777" w:rsidR="00AC7A65" w:rsidRDefault="00AC7A65" w:rsidP="008D5141">
      <w:pPr>
        <w:spacing w:line="360" w:lineRule="auto"/>
        <w:rPr>
          <w:rFonts w:ascii="Arial" w:hAnsi="Arial" w:cs="Arial"/>
          <w:sz w:val="22"/>
          <w:szCs w:val="22"/>
        </w:rPr>
      </w:pPr>
    </w:p>
    <w:p w14:paraId="2CD099AD" w14:textId="77777777" w:rsidR="00AC7A65" w:rsidRDefault="00AC7A65" w:rsidP="008D5141">
      <w:pPr>
        <w:spacing w:line="360" w:lineRule="auto"/>
        <w:rPr>
          <w:rFonts w:ascii="Palatino Linotype" w:hAnsi="Palatino Linotype" w:cs="Arial"/>
          <w:sz w:val="22"/>
          <w:szCs w:val="22"/>
        </w:rPr>
      </w:pPr>
    </w:p>
    <w:p w14:paraId="0E5343A9" w14:textId="77777777" w:rsidR="00AC7A65" w:rsidRDefault="00AC7A65" w:rsidP="008D5141">
      <w:pPr>
        <w:spacing w:line="360" w:lineRule="auto"/>
        <w:rPr>
          <w:rFonts w:ascii="Palatino Linotype" w:hAnsi="Palatino Linotype" w:cs="Arial"/>
          <w:sz w:val="22"/>
          <w:szCs w:val="22"/>
        </w:rPr>
      </w:pPr>
    </w:p>
    <w:p w14:paraId="10855AE5" w14:textId="77777777" w:rsidR="00CD6AF7" w:rsidRDefault="00CD6AF7" w:rsidP="008D5141">
      <w:pPr>
        <w:spacing w:line="360" w:lineRule="auto"/>
        <w:rPr>
          <w:rFonts w:ascii="Palatino Linotype" w:hAnsi="Palatino Linotype" w:cs="Arial"/>
          <w:sz w:val="22"/>
          <w:szCs w:val="22"/>
        </w:rPr>
      </w:pPr>
    </w:p>
    <w:p w14:paraId="34EE1654" w14:textId="47B8F5F8" w:rsidR="008D5141" w:rsidRPr="008D5141" w:rsidRDefault="008D5141" w:rsidP="008D5141">
      <w:pPr>
        <w:spacing w:line="360" w:lineRule="auto"/>
        <w:rPr>
          <w:rFonts w:ascii="Palatino Linotype" w:hAnsi="Palatino Linotype" w:cs="Arial"/>
          <w:sz w:val="28"/>
          <w:szCs w:val="28"/>
        </w:rPr>
      </w:pPr>
      <w:r w:rsidRPr="008D5141">
        <w:rPr>
          <w:rFonts w:ascii="Palatino Linotype" w:hAnsi="Palatino Linotype" w:cs="Arial"/>
          <w:sz w:val="28"/>
          <w:szCs w:val="28"/>
        </w:rPr>
        <w:t xml:space="preserve">Name: </w:t>
      </w:r>
      <w:r w:rsidRPr="008D5141">
        <w:rPr>
          <w:rFonts w:ascii="Palatino Linotype" w:hAnsi="Palatino Linotype" w:cs="Arial"/>
          <w:b/>
          <w:bCs/>
          <w:sz w:val="28"/>
          <w:szCs w:val="28"/>
        </w:rPr>
        <w:t xml:space="preserve">Ejiro P. </w:t>
      </w:r>
      <w:proofErr w:type="spellStart"/>
      <w:r w:rsidRPr="008D5141">
        <w:rPr>
          <w:rFonts w:ascii="Palatino Linotype" w:hAnsi="Palatino Linotype" w:cs="Arial"/>
          <w:b/>
          <w:bCs/>
          <w:sz w:val="28"/>
          <w:szCs w:val="28"/>
        </w:rPr>
        <w:t>Opiri</w:t>
      </w:r>
      <w:proofErr w:type="spellEnd"/>
      <w:r w:rsidRPr="008D5141">
        <w:rPr>
          <w:rFonts w:ascii="Palatino Linotype" w:hAnsi="Palatino Linotype" w:cs="Arial"/>
          <w:b/>
          <w:bCs/>
          <w:sz w:val="28"/>
          <w:szCs w:val="28"/>
        </w:rPr>
        <w:t xml:space="preserve"> Odi</w:t>
      </w:r>
      <w:r w:rsidRPr="008D5141">
        <w:rPr>
          <w:rFonts w:ascii="Palatino Linotype" w:hAnsi="Palatino Linotype" w:cs="Arial"/>
          <w:b/>
          <w:bCs/>
          <w:sz w:val="28"/>
          <w:szCs w:val="28"/>
        </w:rPr>
        <w:br/>
      </w:r>
      <w:r w:rsidRPr="008D5141">
        <w:rPr>
          <w:rFonts w:ascii="Palatino Linotype" w:hAnsi="Palatino Linotype" w:cs="Arial"/>
          <w:sz w:val="28"/>
          <w:szCs w:val="28"/>
        </w:rPr>
        <w:t xml:space="preserve">Student ID: </w:t>
      </w:r>
      <w:r w:rsidRPr="008D5141">
        <w:rPr>
          <w:rFonts w:ascii="Palatino Linotype" w:hAnsi="Palatino Linotype" w:cs="Arial"/>
          <w:b/>
          <w:bCs/>
          <w:sz w:val="28"/>
          <w:szCs w:val="28"/>
        </w:rPr>
        <w:t>2309592</w:t>
      </w:r>
      <w:r w:rsidRPr="008D5141">
        <w:rPr>
          <w:rFonts w:ascii="Palatino Linotype" w:hAnsi="Palatino Linotype" w:cs="Arial"/>
          <w:sz w:val="28"/>
          <w:szCs w:val="28"/>
        </w:rPr>
        <w:br/>
        <w:t>Word Count:</w:t>
      </w:r>
      <w:r w:rsidR="00CD6AF7">
        <w:rPr>
          <w:rFonts w:ascii="Palatino Linotype" w:hAnsi="Palatino Linotype" w:cs="Arial"/>
          <w:sz w:val="28"/>
          <w:szCs w:val="28"/>
        </w:rPr>
        <w:t>2030</w:t>
      </w:r>
      <w:r w:rsidRPr="008D5141">
        <w:rPr>
          <w:rFonts w:ascii="Palatino Linotype" w:hAnsi="Palatino Linotype" w:cs="Arial"/>
          <w:sz w:val="28"/>
          <w:szCs w:val="28"/>
        </w:rPr>
        <w:br/>
        <w:t xml:space="preserve">Date: </w:t>
      </w:r>
      <w:r w:rsidR="00AC7A65" w:rsidRPr="00AC7A65">
        <w:rPr>
          <w:rFonts w:ascii="Palatino Linotype" w:hAnsi="Palatino Linotype" w:cs="Arial"/>
          <w:sz w:val="28"/>
          <w:szCs w:val="28"/>
        </w:rPr>
        <w:t>October 2005</w:t>
      </w:r>
    </w:p>
    <w:p w14:paraId="050EB223" w14:textId="77777777" w:rsidR="008D5141" w:rsidRPr="00AC7A65" w:rsidRDefault="008D5141" w:rsidP="008D5141">
      <w:pPr>
        <w:spacing w:line="360" w:lineRule="auto"/>
        <w:jc w:val="both"/>
        <w:rPr>
          <w:rFonts w:ascii="Palatino Linotype" w:hAnsi="Palatino Linotype" w:cs="Arial"/>
          <w:sz w:val="22"/>
          <w:szCs w:val="22"/>
        </w:rPr>
      </w:pPr>
    </w:p>
    <w:p w14:paraId="78863F7E" w14:textId="77777777" w:rsidR="008D5141" w:rsidRPr="008D5141" w:rsidRDefault="008D5141" w:rsidP="008D5141">
      <w:pPr>
        <w:spacing w:line="360" w:lineRule="auto"/>
        <w:jc w:val="both"/>
        <w:rPr>
          <w:rFonts w:ascii="Arial" w:hAnsi="Arial" w:cs="Arial"/>
          <w:sz w:val="22"/>
          <w:szCs w:val="22"/>
        </w:rPr>
      </w:pPr>
    </w:p>
    <w:p w14:paraId="6C6B86C8" w14:textId="77777777" w:rsidR="008D5141" w:rsidRPr="008D5141" w:rsidRDefault="008D5141" w:rsidP="008D5141">
      <w:pPr>
        <w:spacing w:line="360" w:lineRule="auto"/>
        <w:jc w:val="both"/>
        <w:rPr>
          <w:rFonts w:ascii="Arial" w:hAnsi="Arial" w:cs="Arial"/>
          <w:sz w:val="22"/>
          <w:szCs w:val="22"/>
        </w:rPr>
      </w:pPr>
    </w:p>
    <w:p w14:paraId="339722E9" w14:textId="77777777" w:rsidR="008D5141" w:rsidRPr="008D5141" w:rsidRDefault="008D5141" w:rsidP="008D5141">
      <w:pPr>
        <w:spacing w:line="360" w:lineRule="auto"/>
        <w:jc w:val="both"/>
        <w:rPr>
          <w:rFonts w:ascii="Arial" w:hAnsi="Arial" w:cs="Arial"/>
          <w:sz w:val="22"/>
          <w:szCs w:val="22"/>
        </w:rPr>
      </w:pPr>
    </w:p>
    <w:p w14:paraId="531852C8" w14:textId="09CDB4A0" w:rsidR="00096819" w:rsidRPr="00096819" w:rsidRDefault="00096819" w:rsidP="00AC7A65">
      <w:pPr>
        <w:pStyle w:val="Heading1"/>
      </w:pPr>
      <w:r w:rsidRPr="00096819">
        <w:lastRenderedPageBreak/>
        <w:t>Introduction</w:t>
      </w:r>
    </w:p>
    <w:p w14:paraId="4BFA1772" w14:textId="59809A72" w:rsidR="00AC7A65" w:rsidRPr="00AC7A65" w:rsidRDefault="00AC7A65" w:rsidP="00AC7A65">
      <w:pPr>
        <w:spacing w:line="360" w:lineRule="auto"/>
        <w:jc w:val="both"/>
        <w:rPr>
          <w:rFonts w:ascii="Arial" w:hAnsi="Arial" w:cs="Arial"/>
          <w:sz w:val="22"/>
          <w:szCs w:val="22"/>
        </w:rPr>
      </w:pPr>
      <w:r w:rsidRPr="00AC7A65">
        <w:rPr>
          <w:rFonts w:ascii="Arial" w:hAnsi="Arial" w:cs="Arial"/>
          <w:sz w:val="22"/>
          <w:szCs w:val="22"/>
        </w:rPr>
        <w:t>The United Kingdom’s health and social care system is based on three main foundations – ethical practice, partnership working and person-centeredness</w:t>
      </w:r>
      <w:r>
        <w:rPr>
          <w:rFonts w:ascii="Arial" w:hAnsi="Arial" w:cs="Arial"/>
          <w:sz w:val="22"/>
          <w:szCs w:val="22"/>
        </w:rPr>
        <w:t xml:space="preserve">, </w:t>
      </w:r>
      <w:r w:rsidRPr="00AC7A65">
        <w:rPr>
          <w:rFonts w:ascii="Arial" w:hAnsi="Arial" w:cs="Arial"/>
          <w:sz w:val="22"/>
          <w:szCs w:val="22"/>
        </w:rPr>
        <w:t>with each ensuring that respect for dignity, respect for rights, and enhancing wellbeing (Glasby, 2020) are achieved within a care framework. The legal and regulatory frameworks supporting these foundations include the Care Act 2014 and Regulation 9 of the Health and Social Care Act 2008 (Regulated Activities) Regulations 2014. Together they promote the right to individual choice and independence (Care Act, 2014); and require personalized care (CQC, 2014) respectively. Additionally, both the Mental Capacity Act 2005 and Human Rights Act 1998 provide the ethical standards that protect the service user's autonomy, equality and safety (HRA, 1998; MCA, 2005).</w:t>
      </w:r>
    </w:p>
    <w:p w14:paraId="546260BB" w14:textId="65AA4D5D" w:rsidR="00AC7A65" w:rsidRPr="00AC7A65" w:rsidRDefault="00AC7A65" w:rsidP="00AC7A65">
      <w:pPr>
        <w:spacing w:line="360" w:lineRule="auto"/>
        <w:jc w:val="both"/>
        <w:rPr>
          <w:rFonts w:ascii="Arial" w:hAnsi="Arial" w:cs="Arial"/>
          <w:sz w:val="22"/>
          <w:szCs w:val="22"/>
        </w:rPr>
      </w:pPr>
      <w:r w:rsidRPr="00AC7A65">
        <w:rPr>
          <w:rFonts w:ascii="Arial" w:hAnsi="Arial" w:cs="Arial"/>
          <w:sz w:val="22"/>
          <w:szCs w:val="22"/>
        </w:rPr>
        <w:t xml:space="preserve">This report will </w:t>
      </w:r>
      <w:r>
        <w:rPr>
          <w:rFonts w:ascii="Arial" w:hAnsi="Arial" w:cs="Arial"/>
          <w:sz w:val="22"/>
          <w:szCs w:val="22"/>
        </w:rPr>
        <w:t>examine</w:t>
      </w:r>
      <w:r w:rsidRPr="00AC7A65">
        <w:rPr>
          <w:rFonts w:ascii="Arial" w:hAnsi="Arial" w:cs="Arial"/>
          <w:sz w:val="22"/>
          <w:szCs w:val="22"/>
        </w:rPr>
        <w:t xml:space="preserve"> the above principles </w:t>
      </w:r>
      <w:r>
        <w:rPr>
          <w:rFonts w:ascii="Arial" w:hAnsi="Arial" w:cs="Arial"/>
          <w:sz w:val="22"/>
          <w:szCs w:val="22"/>
        </w:rPr>
        <w:t xml:space="preserve">and apply same </w:t>
      </w:r>
      <w:r w:rsidRPr="00AC7A65">
        <w:rPr>
          <w:rFonts w:ascii="Arial" w:hAnsi="Arial" w:cs="Arial"/>
          <w:sz w:val="22"/>
          <w:szCs w:val="22"/>
        </w:rPr>
        <w:t>to a case study in the UK, provided by NHS England, and reflect upon their implications as a professional, through the use of Gibbs’ Reflective Cycle. This case study will focus on the application of care support for an older adult living in a care home. As well as providing the theoretical and legislative framework demonstrating how all the principles together can enhance service user outcomes and provide professional accountability.</w:t>
      </w:r>
    </w:p>
    <w:p w14:paraId="4F02F22E" w14:textId="77777777" w:rsidR="008D5141" w:rsidRDefault="008D5141" w:rsidP="008D5141">
      <w:pPr>
        <w:spacing w:line="360" w:lineRule="auto"/>
        <w:jc w:val="both"/>
        <w:rPr>
          <w:rFonts w:ascii="Arial" w:hAnsi="Arial" w:cs="Arial"/>
          <w:sz w:val="22"/>
          <w:szCs w:val="22"/>
        </w:rPr>
      </w:pPr>
    </w:p>
    <w:p w14:paraId="07EDE82B" w14:textId="3065DE03" w:rsidR="00096819" w:rsidRPr="00096819" w:rsidRDefault="00096819" w:rsidP="00AC7A65">
      <w:pPr>
        <w:pStyle w:val="Heading1"/>
      </w:pPr>
      <w:r w:rsidRPr="00096819">
        <w:t>Task 1: Importance of Principles of Health &amp; Social Care Practice</w:t>
      </w:r>
    </w:p>
    <w:p w14:paraId="230ED6BA" w14:textId="77777777" w:rsidR="00CE0FC3" w:rsidRDefault="00CE0FC3" w:rsidP="00CE0FC3">
      <w:pPr>
        <w:spacing w:line="360" w:lineRule="auto"/>
        <w:jc w:val="both"/>
        <w:rPr>
          <w:rFonts w:ascii="Arial" w:hAnsi="Arial" w:cs="Arial"/>
          <w:sz w:val="22"/>
          <w:szCs w:val="22"/>
        </w:rPr>
      </w:pPr>
      <w:r w:rsidRPr="00CE0FC3">
        <w:rPr>
          <w:rFonts w:ascii="Arial" w:hAnsi="Arial" w:cs="Arial"/>
          <w:sz w:val="22"/>
          <w:szCs w:val="22"/>
        </w:rPr>
        <w:t xml:space="preserve">Person-centred care focuses on individual preferences, values, and rights in all aspects of service delivery (Entwistle and Watt, 2013). The Care Act 2014 represents well-being as a statutory objective of needs assessments and individualised care planning (Care Act, 2014). Regulation 9 makes it mandatory for care providers to ensure the decisions and actions reflect what is important to the individual (CQC, 2014). There is evidence to show that this facilitates safety and satisfaction and is likely to lead to improved engagement with services (Santana et al., 2021). Maslow’s hierarchy of needs signifies that physiological, safety and psychological needs must be recognised in order to encourage the attainment of autonomy and fulfilment (Maslow, 1943). It follows that individualised care will facilitate recovery, independence, and overall quality of life. </w:t>
      </w:r>
    </w:p>
    <w:p w14:paraId="2361A99C" w14:textId="77777777" w:rsidR="00CE0FC3" w:rsidRDefault="00CE0FC3" w:rsidP="00CE0FC3">
      <w:pPr>
        <w:spacing w:line="360" w:lineRule="auto"/>
        <w:jc w:val="both"/>
        <w:rPr>
          <w:rFonts w:ascii="Arial" w:hAnsi="Arial" w:cs="Arial"/>
          <w:sz w:val="22"/>
          <w:szCs w:val="22"/>
        </w:rPr>
      </w:pPr>
      <w:r w:rsidRPr="00CE0FC3">
        <w:rPr>
          <w:rFonts w:ascii="Arial" w:hAnsi="Arial" w:cs="Arial"/>
          <w:sz w:val="22"/>
          <w:szCs w:val="22"/>
        </w:rPr>
        <w:t xml:space="preserve">Whilst partnership working involves integration and co-ordination between different professions and agencies in order to provide seamless care (The King’s Fund, 2023) the Health and Care Act 2022 has created Integrated Care Systems (ICSs) for the purpose of improved communication, reduced duplication of services and addressing inequalities (NHS England, 2022). As Hughes et al (2022) indicate, interprofessional teamwork is particularly important for the elderly and the various complex long-term needs with which they are often </w:t>
      </w:r>
      <w:r w:rsidRPr="00CE0FC3">
        <w:rPr>
          <w:rFonts w:ascii="Arial" w:hAnsi="Arial" w:cs="Arial"/>
          <w:sz w:val="22"/>
          <w:szCs w:val="22"/>
        </w:rPr>
        <w:lastRenderedPageBreak/>
        <w:t>associated. However, there are some obstacles to effective integration Multidisciplinary cooperation can be hampered by inconsistent sharing of information; cultural indifference between the health and social services sectors; and lack of clarity as regards leadership (</w:t>
      </w:r>
      <w:proofErr w:type="spellStart"/>
      <w:r w:rsidRPr="00CE0FC3">
        <w:rPr>
          <w:rFonts w:ascii="Arial" w:hAnsi="Arial" w:cs="Arial"/>
          <w:sz w:val="22"/>
          <w:szCs w:val="22"/>
        </w:rPr>
        <w:t>Kuluski</w:t>
      </w:r>
      <w:proofErr w:type="spellEnd"/>
      <w:r w:rsidRPr="00CE0FC3">
        <w:rPr>
          <w:rFonts w:ascii="Arial" w:hAnsi="Arial" w:cs="Arial"/>
          <w:sz w:val="22"/>
          <w:szCs w:val="22"/>
        </w:rPr>
        <w:t xml:space="preserve"> et al., 2022). Continual development in the quality of communication and adaptation of shared governance is necessary. </w:t>
      </w:r>
    </w:p>
    <w:p w14:paraId="10CB8CF5" w14:textId="77777777" w:rsidR="00CE0FC3" w:rsidRDefault="00CE0FC3" w:rsidP="00CE0FC3">
      <w:pPr>
        <w:spacing w:line="360" w:lineRule="auto"/>
        <w:jc w:val="both"/>
        <w:rPr>
          <w:rFonts w:ascii="Arial" w:hAnsi="Arial" w:cs="Arial"/>
          <w:sz w:val="22"/>
          <w:szCs w:val="22"/>
        </w:rPr>
      </w:pPr>
      <w:r w:rsidRPr="00CE0FC3">
        <w:rPr>
          <w:rFonts w:ascii="Arial" w:hAnsi="Arial" w:cs="Arial"/>
          <w:sz w:val="22"/>
          <w:szCs w:val="22"/>
        </w:rPr>
        <w:t xml:space="preserve">Ethical decision-making is a prerequisite to actions that protect, preserve and maximise rights, dignity and safety (Beauchamp and Childress, 2019). The Mental Capacity Act 2005 requires health and social care professionals to work on the supposition of the existence of capacity unless it is positively proved to exist otherwise and the least restrictive option is presented for consideration by the individual whose capacity is limited (MCA, 2005). In a similar vein, the Human Rights Act 1998 ensured that individual autonomy, privacy and freedom from discrimination are protected (HRA, 1998). </w:t>
      </w:r>
    </w:p>
    <w:p w14:paraId="4F3BA310" w14:textId="3DEB8EA1" w:rsidR="00CE0FC3" w:rsidRDefault="00CE0FC3" w:rsidP="00CE0FC3">
      <w:pPr>
        <w:spacing w:line="360" w:lineRule="auto"/>
        <w:jc w:val="both"/>
        <w:rPr>
          <w:rFonts w:ascii="Arial" w:hAnsi="Arial" w:cs="Arial"/>
          <w:sz w:val="22"/>
          <w:szCs w:val="22"/>
        </w:rPr>
      </w:pPr>
      <w:r w:rsidRPr="00CE0FC3">
        <w:rPr>
          <w:rFonts w:ascii="Arial" w:hAnsi="Arial" w:cs="Arial"/>
          <w:sz w:val="22"/>
          <w:szCs w:val="22"/>
        </w:rPr>
        <w:t xml:space="preserve">Ethical principles underlie risk management with regard to consent, safeguarding and confidentiality (Tadd et al., 2024), while codes of practice require that professional practitioners observe accountability in relation to their function, maintain competence, transparency of practice and public belief in the professionalism of practitioners in health and social care (NMC, 2018; HCPC, 2016). </w:t>
      </w:r>
    </w:p>
    <w:p w14:paraId="60BE9988" w14:textId="1AEC7FFC" w:rsidR="00CE0FC3" w:rsidRPr="00CE0FC3" w:rsidRDefault="00CE0FC3" w:rsidP="00CE0FC3">
      <w:pPr>
        <w:spacing w:line="360" w:lineRule="auto"/>
        <w:jc w:val="both"/>
        <w:rPr>
          <w:rFonts w:ascii="Arial" w:hAnsi="Arial" w:cs="Arial"/>
          <w:sz w:val="22"/>
          <w:szCs w:val="22"/>
        </w:rPr>
      </w:pPr>
      <w:r w:rsidRPr="00CE0FC3">
        <w:rPr>
          <w:rFonts w:ascii="Arial" w:hAnsi="Arial" w:cs="Arial"/>
          <w:sz w:val="22"/>
          <w:szCs w:val="22"/>
        </w:rPr>
        <w:t>These three principles of practice work together. Individualised care results in individual power and choice</w:t>
      </w:r>
      <w:r>
        <w:rPr>
          <w:rFonts w:ascii="Arial" w:hAnsi="Arial" w:cs="Arial"/>
          <w:sz w:val="22"/>
          <w:szCs w:val="22"/>
        </w:rPr>
        <w:t xml:space="preserve">, </w:t>
      </w:r>
      <w:r w:rsidRPr="00CE0FC3">
        <w:rPr>
          <w:rFonts w:ascii="Arial" w:hAnsi="Arial" w:cs="Arial"/>
          <w:sz w:val="22"/>
          <w:szCs w:val="22"/>
        </w:rPr>
        <w:t>the opportunity to have a voice. Working in partnership, enables that care to be delivered in a coordinated fashion. It is the ethical nature of practice, however, which ensures that care is provided in a legal, fair and value-driven manner. Together these principles underlie that quality service provision that is needed to meet modern objectives in health and social care policy in the U.K. observed in particular in the area of the prevention of inequity and enforcement of well-being regained (Ham et al., 2021).</w:t>
      </w:r>
    </w:p>
    <w:p w14:paraId="2ED0C1EC" w14:textId="77777777" w:rsidR="00AC7A65" w:rsidRDefault="00AC7A65" w:rsidP="008D5141">
      <w:pPr>
        <w:spacing w:line="360" w:lineRule="auto"/>
        <w:jc w:val="both"/>
        <w:rPr>
          <w:rFonts w:ascii="Arial" w:hAnsi="Arial" w:cs="Arial"/>
          <w:sz w:val="22"/>
          <w:szCs w:val="22"/>
        </w:rPr>
      </w:pPr>
    </w:p>
    <w:p w14:paraId="37263022" w14:textId="5EDEEF5B" w:rsidR="00096819" w:rsidRPr="00096819" w:rsidRDefault="00096819" w:rsidP="00CE0FC3">
      <w:pPr>
        <w:pStyle w:val="Heading1"/>
      </w:pPr>
      <w:r w:rsidRPr="00096819">
        <w:t>Task 2: Practical Example</w:t>
      </w:r>
      <w:r w:rsidR="00CE0FC3">
        <w:t xml:space="preserve">: </w:t>
      </w:r>
      <w:r w:rsidRPr="00096819">
        <w:t>Joan’s Story (NHS England)</w:t>
      </w:r>
    </w:p>
    <w:p w14:paraId="582378F7" w14:textId="2A155B55" w:rsidR="0020289D" w:rsidRPr="0020289D" w:rsidRDefault="0020289D" w:rsidP="0020289D">
      <w:pPr>
        <w:spacing w:line="360" w:lineRule="auto"/>
        <w:jc w:val="both"/>
        <w:rPr>
          <w:rFonts w:ascii="Arial" w:hAnsi="Arial" w:cs="Arial"/>
          <w:sz w:val="22"/>
          <w:szCs w:val="22"/>
        </w:rPr>
      </w:pPr>
      <w:r w:rsidRPr="0020289D">
        <w:rPr>
          <w:rFonts w:ascii="Arial" w:hAnsi="Arial" w:cs="Arial"/>
          <w:sz w:val="22"/>
          <w:szCs w:val="22"/>
        </w:rPr>
        <w:t xml:space="preserve">Joan is an older adult suffering from several </w:t>
      </w:r>
      <w:r w:rsidRPr="0020289D">
        <w:rPr>
          <w:rFonts w:ascii="Arial" w:hAnsi="Arial" w:cs="Arial"/>
          <w:sz w:val="22"/>
          <w:szCs w:val="22"/>
        </w:rPr>
        <w:t>long-term</w:t>
      </w:r>
      <w:r w:rsidRPr="0020289D">
        <w:rPr>
          <w:rFonts w:ascii="Arial" w:hAnsi="Arial" w:cs="Arial"/>
          <w:sz w:val="22"/>
          <w:szCs w:val="22"/>
        </w:rPr>
        <w:t xml:space="preserve"> health conditions who was frequently admitted to hospital due to lack of co-ordination of services. She benefitted from a personalised and integrated care package which was developed collaboratively across community, primary care and social services and this led to significant improvements in wellbeing (NHS England, 2021).</w:t>
      </w:r>
    </w:p>
    <w:p w14:paraId="4DC73BFD" w14:textId="44ACE44A" w:rsidR="0020289D" w:rsidRPr="0020289D" w:rsidRDefault="0020289D" w:rsidP="0020289D">
      <w:pPr>
        <w:spacing w:line="360" w:lineRule="auto"/>
        <w:jc w:val="both"/>
        <w:rPr>
          <w:rFonts w:ascii="Arial" w:hAnsi="Arial" w:cs="Arial"/>
          <w:sz w:val="22"/>
          <w:szCs w:val="22"/>
        </w:rPr>
      </w:pPr>
      <w:r w:rsidRPr="0020289D">
        <w:rPr>
          <w:rFonts w:ascii="Arial" w:hAnsi="Arial" w:cs="Arial"/>
          <w:sz w:val="22"/>
          <w:szCs w:val="22"/>
        </w:rPr>
        <w:t xml:space="preserve">Joan’s goals and objectives incorporated into the planning centred on her ambitions of remaining in her home and independent living. The personalised </w:t>
      </w:r>
      <w:r w:rsidRPr="0020289D">
        <w:rPr>
          <w:rFonts w:ascii="Arial" w:hAnsi="Arial" w:cs="Arial"/>
          <w:sz w:val="22"/>
          <w:szCs w:val="22"/>
        </w:rPr>
        <w:t>decision-making</w:t>
      </w:r>
      <w:r w:rsidRPr="0020289D">
        <w:rPr>
          <w:rFonts w:ascii="Arial" w:hAnsi="Arial" w:cs="Arial"/>
          <w:sz w:val="22"/>
          <w:szCs w:val="22"/>
        </w:rPr>
        <w:t xml:space="preserve"> process, increased Joan’s confidence and assisted in enabling her decade reliance on hospital </w:t>
      </w:r>
      <w:r w:rsidRPr="0020289D">
        <w:rPr>
          <w:rFonts w:ascii="Arial" w:hAnsi="Arial" w:cs="Arial"/>
          <w:sz w:val="22"/>
          <w:szCs w:val="22"/>
        </w:rPr>
        <w:lastRenderedPageBreak/>
        <w:t xml:space="preserve">admission, which is in keeping with the </w:t>
      </w:r>
      <w:r w:rsidRPr="0020289D">
        <w:rPr>
          <w:rFonts w:ascii="Arial" w:hAnsi="Arial" w:cs="Arial"/>
          <w:sz w:val="22"/>
          <w:szCs w:val="22"/>
        </w:rPr>
        <w:t>strengths-based</w:t>
      </w:r>
      <w:r w:rsidRPr="0020289D">
        <w:rPr>
          <w:rFonts w:ascii="Arial" w:hAnsi="Arial" w:cs="Arial"/>
          <w:sz w:val="22"/>
          <w:szCs w:val="22"/>
        </w:rPr>
        <w:t xml:space="preserve"> approach outlined in the Care Act 2014 (Care Act, 2014). It has been shown in the literature that personalised planning entails increased compliance with increased personal independence for those with complex health needs (Coulter et al., 2021).</w:t>
      </w:r>
    </w:p>
    <w:p w14:paraId="31BF8A7A" w14:textId="257BAB89" w:rsidR="0020289D" w:rsidRPr="0020289D" w:rsidRDefault="0020289D" w:rsidP="0020289D">
      <w:pPr>
        <w:spacing w:line="360" w:lineRule="auto"/>
        <w:jc w:val="both"/>
        <w:rPr>
          <w:rFonts w:ascii="Arial" w:hAnsi="Arial" w:cs="Arial"/>
          <w:sz w:val="22"/>
          <w:szCs w:val="22"/>
        </w:rPr>
      </w:pPr>
      <w:r w:rsidRPr="0020289D">
        <w:rPr>
          <w:rFonts w:ascii="Arial" w:hAnsi="Arial" w:cs="Arial"/>
          <w:sz w:val="22"/>
          <w:szCs w:val="22"/>
        </w:rPr>
        <w:t>The input of a multi-disciplinary team (MDT)</w:t>
      </w:r>
      <w:r w:rsidRPr="0020289D">
        <w:rPr>
          <w:rFonts w:ascii="Arial" w:hAnsi="Arial" w:cs="Arial"/>
          <w:sz w:val="22"/>
          <w:szCs w:val="22"/>
        </w:rPr>
        <w:t xml:space="preserve"> enabled the co-ordination of the services through means of shared documentation, mutual goals and regular reviews (</w:t>
      </w:r>
      <w:proofErr w:type="spellStart"/>
      <w:r w:rsidRPr="0020289D">
        <w:rPr>
          <w:rFonts w:ascii="Arial" w:hAnsi="Arial" w:cs="Arial"/>
          <w:sz w:val="22"/>
          <w:szCs w:val="22"/>
        </w:rPr>
        <w:t>Kuluski</w:t>
      </w:r>
      <w:proofErr w:type="spellEnd"/>
      <w:r w:rsidRPr="0020289D">
        <w:rPr>
          <w:rFonts w:ascii="Arial" w:hAnsi="Arial" w:cs="Arial"/>
          <w:sz w:val="22"/>
          <w:szCs w:val="22"/>
        </w:rPr>
        <w:t xml:space="preserve"> et al., 2022). This is consistent with the NHS’s objectives of reducing fragmentation in service provision through the structures of the Integrated Care Systems (ICS) (The King’s Fund, 2023). Partnership working has led to reduced hospital admissions and better continuity of care.</w:t>
      </w:r>
    </w:p>
    <w:p w14:paraId="7FDF4B27" w14:textId="77777777" w:rsidR="0020289D" w:rsidRPr="0020289D" w:rsidRDefault="0020289D" w:rsidP="0020289D">
      <w:pPr>
        <w:spacing w:line="360" w:lineRule="auto"/>
        <w:jc w:val="both"/>
        <w:rPr>
          <w:rFonts w:ascii="Arial" w:hAnsi="Arial" w:cs="Arial"/>
          <w:sz w:val="22"/>
          <w:szCs w:val="22"/>
        </w:rPr>
      </w:pPr>
      <w:r w:rsidRPr="0020289D">
        <w:rPr>
          <w:rFonts w:ascii="Arial" w:hAnsi="Arial" w:cs="Arial"/>
          <w:sz w:val="22"/>
          <w:szCs w:val="22"/>
        </w:rPr>
        <w:t>Joan’s autonomy was enabled by the process of informed consent at decision making and the principles of beneficence and non-maleficence informed the assessment of the level of risk taken and were instrumental in ensuring safety with no excess restraint. The principle of justice was upheld by ensuring that Joan had equitable access to local services appropriate to those needs (Beauchamp and Childress, 2019). Good ethical practice ensured respect for dignity, privacy, and legal rights to consent (HRA, 1998; MCA, 2005).</w:t>
      </w:r>
    </w:p>
    <w:p w14:paraId="730AA560" w14:textId="084C70F0" w:rsidR="0020289D" w:rsidRPr="0020289D" w:rsidRDefault="0020289D" w:rsidP="0020289D">
      <w:pPr>
        <w:spacing w:line="360" w:lineRule="auto"/>
        <w:jc w:val="both"/>
        <w:rPr>
          <w:rFonts w:ascii="Arial" w:hAnsi="Arial" w:cs="Arial"/>
          <w:sz w:val="22"/>
          <w:szCs w:val="22"/>
        </w:rPr>
      </w:pPr>
      <w:r w:rsidRPr="0020289D">
        <w:rPr>
          <w:rFonts w:ascii="Arial" w:hAnsi="Arial" w:cs="Arial"/>
          <w:sz w:val="22"/>
          <w:szCs w:val="22"/>
        </w:rPr>
        <w:t xml:space="preserve">Despite the success of Joan’s intervention, there were challenges in respect of partnership working, including delays in communication, variation in professional priorities and difficulties in respect of waiting lists (Hughes et al., 2022). These barriers are seen more broadly in respect of the implementation of </w:t>
      </w:r>
      <w:r w:rsidRPr="0020289D">
        <w:rPr>
          <w:rFonts w:ascii="Arial" w:hAnsi="Arial" w:cs="Arial"/>
          <w:sz w:val="22"/>
          <w:szCs w:val="22"/>
        </w:rPr>
        <w:t>ICSs</w:t>
      </w:r>
      <w:r w:rsidRPr="0020289D">
        <w:rPr>
          <w:rFonts w:ascii="Arial" w:hAnsi="Arial" w:cs="Arial"/>
          <w:sz w:val="22"/>
          <w:szCs w:val="22"/>
        </w:rPr>
        <w:t>, where integration is often incomplete due to all organisational barriers and pressures on resources (</w:t>
      </w:r>
      <w:proofErr w:type="spellStart"/>
      <w:r w:rsidRPr="0020289D">
        <w:rPr>
          <w:rFonts w:ascii="Arial" w:hAnsi="Arial" w:cs="Arial"/>
          <w:sz w:val="22"/>
          <w:szCs w:val="22"/>
        </w:rPr>
        <w:t>Kuluski</w:t>
      </w:r>
      <w:proofErr w:type="spellEnd"/>
      <w:r w:rsidRPr="0020289D">
        <w:rPr>
          <w:rFonts w:ascii="Arial" w:hAnsi="Arial" w:cs="Arial"/>
          <w:sz w:val="22"/>
          <w:szCs w:val="22"/>
        </w:rPr>
        <w:t xml:space="preserve"> et al., 2022). The development of communication </w:t>
      </w:r>
      <w:r w:rsidRPr="0020289D">
        <w:rPr>
          <w:rFonts w:ascii="Arial" w:hAnsi="Arial" w:cs="Arial"/>
          <w:sz w:val="22"/>
          <w:szCs w:val="22"/>
        </w:rPr>
        <w:t>systems,</w:t>
      </w:r>
      <w:r w:rsidRPr="0020289D">
        <w:rPr>
          <w:rFonts w:ascii="Arial" w:hAnsi="Arial" w:cs="Arial"/>
          <w:sz w:val="22"/>
          <w:szCs w:val="22"/>
        </w:rPr>
        <w:t xml:space="preserve"> the clarity of allocated roles and of access to digital records to all involved parties are critical to the continued delivery of efficient integrated person-centred care (</w:t>
      </w:r>
      <w:proofErr w:type="spellStart"/>
      <w:r w:rsidRPr="0020289D">
        <w:rPr>
          <w:rFonts w:ascii="Arial" w:hAnsi="Arial" w:cs="Arial"/>
          <w:sz w:val="22"/>
          <w:szCs w:val="22"/>
        </w:rPr>
        <w:t>Frontini</w:t>
      </w:r>
      <w:proofErr w:type="spellEnd"/>
      <w:r w:rsidRPr="0020289D">
        <w:rPr>
          <w:rFonts w:ascii="Arial" w:hAnsi="Arial" w:cs="Arial"/>
          <w:sz w:val="22"/>
          <w:szCs w:val="22"/>
        </w:rPr>
        <w:t xml:space="preserve"> et al., 2024).</w:t>
      </w:r>
    </w:p>
    <w:p w14:paraId="4E93B86E" w14:textId="77777777" w:rsidR="0020289D" w:rsidRPr="0020289D" w:rsidRDefault="0020289D" w:rsidP="0020289D">
      <w:pPr>
        <w:spacing w:line="360" w:lineRule="auto"/>
        <w:jc w:val="both"/>
        <w:rPr>
          <w:rFonts w:ascii="Arial" w:hAnsi="Arial" w:cs="Arial"/>
          <w:sz w:val="22"/>
          <w:szCs w:val="22"/>
        </w:rPr>
      </w:pPr>
      <w:r w:rsidRPr="0020289D">
        <w:rPr>
          <w:rFonts w:ascii="Arial" w:hAnsi="Arial" w:cs="Arial"/>
          <w:sz w:val="22"/>
          <w:szCs w:val="22"/>
        </w:rPr>
        <w:t>Joan’s Story demonstrates the invaluable effect of person-centred care, partnership working and ethical decision making in respect of the benefits of improving the care pathways to facilitate personal independence for those with complex needs. By utilising the principles of delivery of care consistent with personal aspirations, enabling the effective functioning of co-ordinated teams and by respecting legal rights, it is possible for practitioners to improve wealth and achieve a greater level of economic efficiency in terms of resource use generally, a reflection of the objectives of the UK reforms in health and social care (NHS England, 2022).</w:t>
      </w:r>
    </w:p>
    <w:p w14:paraId="37385432" w14:textId="77777777" w:rsidR="00CE0FC3" w:rsidRDefault="00CE0FC3" w:rsidP="008D5141">
      <w:pPr>
        <w:spacing w:line="360" w:lineRule="auto"/>
        <w:jc w:val="both"/>
        <w:rPr>
          <w:rFonts w:ascii="Arial" w:hAnsi="Arial" w:cs="Arial"/>
          <w:sz w:val="22"/>
          <w:szCs w:val="22"/>
        </w:rPr>
      </w:pPr>
    </w:p>
    <w:p w14:paraId="32196BF7" w14:textId="77777777" w:rsidR="0020289D" w:rsidRDefault="0020289D" w:rsidP="008D5141">
      <w:pPr>
        <w:spacing w:line="360" w:lineRule="auto"/>
        <w:jc w:val="both"/>
        <w:rPr>
          <w:rFonts w:ascii="Arial" w:hAnsi="Arial" w:cs="Arial"/>
          <w:sz w:val="22"/>
          <w:szCs w:val="22"/>
        </w:rPr>
      </w:pPr>
    </w:p>
    <w:p w14:paraId="5066F134" w14:textId="77777777" w:rsidR="0020289D" w:rsidRDefault="0020289D" w:rsidP="008D5141">
      <w:pPr>
        <w:spacing w:line="360" w:lineRule="auto"/>
        <w:jc w:val="both"/>
        <w:rPr>
          <w:rFonts w:ascii="Arial" w:hAnsi="Arial" w:cs="Arial"/>
          <w:sz w:val="22"/>
          <w:szCs w:val="22"/>
        </w:rPr>
      </w:pPr>
    </w:p>
    <w:p w14:paraId="15AAC929" w14:textId="48FAEBD4" w:rsidR="00096819" w:rsidRPr="00096819" w:rsidRDefault="00096819" w:rsidP="0020289D">
      <w:pPr>
        <w:pStyle w:val="Heading1"/>
      </w:pPr>
      <w:r w:rsidRPr="00096819">
        <w:lastRenderedPageBreak/>
        <w:t xml:space="preserve">Task 3: Self-Reflection </w:t>
      </w:r>
    </w:p>
    <w:p w14:paraId="2EB647AD" w14:textId="1CD9B97A" w:rsidR="005C7CA1" w:rsidRPr="005C7CA1" w:rsidRDefault="005C7CA1" w:rsidP="005C7CA1">
      <w:pPr>
        <w:spacing w:line="360" w:lineRule="auto"/>
        <w:jc w:val="both"/>
        <w:rPr>
          <w:rFonts w:ascii="Arial" w:hAnsi="Arial" w:cs="Arial"/>
          <w:sz w:val="22"/>
          <w:szCs w:val="22"/>
        </w:rPr>
      </w:pPr>
      <w:r w:rsidRPr="005C7CA1">
        <w:rPr>
          <w:rFonts w:ascii="Arial" w:hAnsi="Arial" w:cs="Arial"/>
          <w:sz w:val="22"/>
          <w:szCs w:val="22"/>
        </w:rPr>
        <w:t xml:space="preserve">The resident I was working with was an older adult who would like to continue eating on her </w:t>
      </w:r>
      <w:r w:rsidRPr="005C7CA1">
        <w:rPr>
          <w:rFonts w:ascii="Arial" w:hAnsi="Arial" w:cs="Arial"/>
          <w:sz w:val="22"/>
          <w:szCs w:val="22"/>
        </w:rPr>
        <w:t>own,</w:t>
      </w:r>
      <w:r w:rsidRPr="005C7CA1">
        <w:rPr>
          <w:rFonts w:ascii="Arial" w:hAnsi="Arial" w:cs="Arial"/>
          <w:sz w:val="22"/>
          <w:szCs w:val="22"/>
        </w:rPr>
        <w:t xml:space="preserve"> but she has mild swallowing problems and is having some trouble using her upper body to get food into her mouth. A few of the other staff members thought they should provide full assistance with feeding because there are risks involved; the resident did not want to receive this kind of help as it made her feel less independent and she wanted to be able to use her dignity and make her own choices. I decided to create an environment that was supportive and safe for her to feed herself. I offered her special assistive </w:t>
      </w:r>
      <w:r w:rsidRPr="005C7CA1">
        <w:rPr>
          <w:rFonts w:ascii="Arial" w:hAnsi="Arial" w:cs="Arial"/>
          <w:sz w:val="22"/>
          <w:szCs w:val="22"/>
        </w:rPr>
        <w:t>cutlery,</w:t>
      </w:r>
      <w:r w:rsidRPr="005C7CA1">
        <w:rPr>
          <w:rFonts w:ascii="Arial" w:hAnsi="Arial" w:cs="Arial"/>
          <w:sz w:val="22"/>
          <w:szCs w:val="22"/>
        </w:rPr>
        <w:t xml:space="preserve"> and I positioned things so she could easily access them, and then I supervised her discreetly. Because of these supports she was able to successfully feed herself.</w:t>
      </w:r>
    </w:p>
    <w:p w14:paraId="21E886D3" w14:textId="77777777" w:rsidR="005C7CA1" w:rsidRPr="005C7CA1" w:rsidRDefault="005C7CA1" w:rsidP="005C7CA1">
      <w:pPr>
        <w:spacing w:after="0" w:line="360" w:lineRule="auto"/>
        <w:jc w:val="both"/>
        <w:rPr>
          <w:rFonts w:ascii="Arial" w:hAnsi="Arial" w:cs="Arial"/>
          <w:b/>
          <w:bCs/>
          <w:sz w:val="22"/>
          <w:szCs w:val="22"/>
        </w:rPr>
      </w:pPr>
      <w:r w:rsidRPr="005C7CA1">
        <w:rPr>
          <w:rFonts w:ascii="Arial" w:hAnsi="Arial" w:cs="Arial"/>
          <w:b/>
          <w:bCs/>
          <w:sz w:val="22"/>
          <w:szCs w:val="22"/>
        </w:rPr>
        <w:t>Feelings</w:t>
      </w:r>
    </w:p>
    <w:p w14:paraId="7089115C" w14:textId="0902BF85" w:rsidR="005C7CA1" w:rsidRPr="005C7CA1" w:rsidRDefault="005C7CA1" w:rsidP="005C7CA1">
      <w:pPr>
        <w:spacing w:line="360" w:lineRule="auto"/>
        <w:jc w:val="both"/>
        <w:rPr>
          <w:rFonts w:ascii="Arial" w:hAnsi="Arial" w:cs="Arial"/>
          <w:sz w:val="22"/>
          <w:szCs w:val="22"/>
        </w:rPr>
      </w:pPr>
      <w:r w:rsidRPr="005C7CA1">
        <w:rPr>
          <w:rFonts w:ascii="Arial" w:hAnsi="Arial" w:cs="Arial"/>
          <w:sz w:val="22"/>
          <w:szCs w:val="22"/>
        </w:rPr>
        <w:t xml:space="preserve">When I first started to support the resident's need for </w:t>
      </w:r>
      <w:r w:rsidRPr="005C7CA1">
        <w:rPr>
          <w:rFonts w:ascii="Arial" w:hAnsi="Arial" w:cs="Arial"/>
          <w:sz w:val="22"/>
          <w:szCs w:val="22"/>
        </w:rPr>
        <w:t>independence,</w:t>
      </w:r>
      <w:r w:rsidRPr="005C7CA1">
        <w:rPr>
          <w:rFonts w:ascii="Arial" w:hAnsi="Arial" w:cs="Arial"/>
          <w:sz w:val="22"/>
          <w:szCs w:val="22"/>
        </w:rPr>
        <w:t xml:space="preserve"> I felt a strong sense of encouragement to do so but I also felt a bit of anxiety about finding the right balance between giving the resident the autonomy and independence she needed while keeping her safe. When I saw the resident's pride and happiness after she successfully fed </w:t>
      </w:r>
      <w:r w:rsidRPr="005C7CA1">
        <w:rPr>
          <w:rFonts w:ascii="Arial" w:hAnsi="Arial" w:cs="Arial"/>
          <w:sz w:val="22"/>
          <w:szCs w:val="22"/>
        </w:rPr>
        <w:t>herself,</w:t>
      </w:r>
      <w:r w:rsidRPr="005C7CA1">
        <w:rPr>
          <w:rFonts w:ascii="Arial" w:hAnsi="Arial" w:cs="Arial"/>
          <w:sz w:val="22"/>
          <w:szCs w:val="22"/>
        </w:rPr>
        <w:t xml:space="preserve"> I felt more confident that supporting the resident's choices was the right way to go. </w:t>
      </w:r>
      <w:r w:rsidRPr="005C7CA1">
        <w:rPr>
          <w:rFonts w:ascii="Arial" w:hAnsi="Arial" w:cs="Arial"/>
          <w:sz w:val="22"/>
          <w:szCs w:val="22"/>
        </w:rPr>
        <w:t>But</w:t>
      </w:r>
      <w:r w:rsidRPr="005C7CA1">
        <w:rPr>
          <w:rFonts w:ascii="Arial" w:hAnsi="Arial" w:cs="Arial"/>
          <w:sz w:val="22"/>
          <w:szCs w:val="22"/>
        </w:rPr>
        <w:t xml:space="preserve"> I also felt a bit of self-doubt as to how my </w:t>
      </w:r>
      <w:r w:rsidRPr="005C7CA1">
        <w:rPr>
          <w:rFonts w:ascii="Arial" w:hAnsi="Arial" w:cs="Arial"/>
          <w:sz w:val="22"/>
          <w:szCs w:val="22"/>
        </w:rPr>
        <w:t>teammates</w:t>
      </w:r>
      <w:r w:rsidRPr="005C7CA1">
        <w:rPr>
          <w:rFonts w:ascii="Arial" w:hAnsi="Arial" w:cs="Arial"/>
          <w:sz w:val="22"/>
          <w:szCs w:val="22"/>
        </w:rPr>
        <w:t xml:space="preserve"> would view taking the risk of allowing the resident to try to feed herself, and if my decision to allow her to attempt to feed herself would be fully accepted by all of the disciplines in the multidisciplinary team.</w:t>
      </w:r>
    </w:p>
    <w:p w14:paraId="17CAC536" w14:textId="77777777" w:rsidR="005C7CA1" w:rsidRDefault="005C7CA1" w:rsidP="005C7CA1">
      <w:pPr>
        <w:spacing w:line="360" w:lineRule="auto"/>
        <w:jc w:val="both"/>
        <w:rPr>
          <w:rFonts w:ascii="Arial" w:hAnsi="Arial" w:cs="Arial"/>
          <w:sz w:val="22"/>
          <w:szCs w:val="22"/>
        </w:rPr>
      </w:pPr>
    </w:p>
    <w:p w14:paraId="556BE5EA" w14:textId="75109255" w:rsidR="005C7CA1" w:rsidRPr="005C7CA1" w:rsidRDefault="005C7CA1" w:rsidP="005C7CA1">
      <w:pPr>
        <w:spacing w:after="0" w:line="360" w:lineRule="auto"/>
        <w:jc w:val="both"/>
        <w:rPr>
          <w:rFonts w:ascii="Arial" w:hAnsi="Arial" w:cs="Arial"/>
          <w:b/>
          <w:bCs/>
          <w:sz w:val="22"/>
          <w:szCs w:val="22"/>
        </w:rPr>
      </w:pPr>
      <w:r w:rsidRPr="005C7CA1">
        <w:rPr>
          <w:rFonts w:ascii="Arial" w:hAnsi="Arial" w:cs="Arial"/>
          <w:b/>
          <w:bCs/>
          <w:sz w:val="22"/>
          <w:szCs w:val="22"/>
        </w:rPr>
        <w:t>Evaluation</w:t>
      </w:r>
    </w:p>
    <w:p w14:paraId="276026A3" w14:textId="77777777" w:rsidR="005C7CA1" w:rsidRPr="005C7CA1" w:rsidRDefault="005C7CA1" w:rsidP="005C7CA1">
      <w:pPr>
        <w:spacing w:line="360" w:lineRule="auto"/>
        <w:jc w:val="both"/>
        <w:rPr>
          <w:rFonts w:ascii="Arial" w:hAnsi="Arial" w:cs="Arial"/>
          <w:sz w:val="22"/>
          <w:szCs w:val="22"/>
        </w:rPr>
      </w:pPr>
      <w:r w:rsidRPr="005C7CA1">
        <w:rPr>
          <w:rFonts w:ascii="Arial" w:hAnsi="Arial" w:cs="Arial"/>
          <w:sz w:val="22"/>
          <w:szCs w:val="22"/>
        </w:rPr>
        <w:t>There were positive outcomes and negative outcomes from the experience.</w:t>
      </w:r>
    </w:p>
    <w:p w14:paraId="2EB712E2" w14:textId="77777777" w:rsidR="005C7CA1" w:rsidRPr="005C7CA1" w:rsidRDefault="005C7CA1" w:rsidP="005C7CA1">
      <w:pPr>
        <w:spacing w:after="0" w:line="360" w:lineRule="auto"/>
        <w:jc w:val="both"/>
        <w:rPr>
          <w:rFonts w:ascii="Arial" w:hAnsi="Arial" w:cs="Arial"/>
          <w:b/>
          <w:bCs/>
          <w:sz w:val="22"/>
          <w:szCs w:val="22"/>
        </w:rPr>
      </w:pPr>
      <w:r w:rsidRPr="005C7CA1">
        <w:rPr>
          <w:rFonts w:ascii="Arial" w:hAnsi="Arial" w:cs="Arial"/>
          <w:b/>
          <w:bCs/>
          <w:sz w:val="22"/>
          <w:szCs w:val="22"/>
        </w:rPr>
        <w:t>Positive:</w:t>
      </w:r>
    </w:p>
    <w:p w14:paraId="405C2F82" w14:textId="551385B9" w:rsidR="005C7CA1" w:rsidRPr="005C7CA1" w:rsidRDefault="005C7CA1" w:rsidP="005C7CA1">
      <w:pPr>
        <w:pStyle w:val="ListParagraph"/>
        <w:numPr>
          <w:ilvl w:val="0"/>
          <w:numId w:val="3"/>
        </w:numPr>
        <w:spacing w:line="360" w:lineRule="auto"/>
        <w:jc w:val="both"/>
        <w:rPr>
          <w:rFonts w:ascii="Arial" w:hAnsi="Arial" w:cs="Arial"/>
          <w:sz w:val="22"/>
          <w:szCs w:val="22"/>
        </w:rPr>
      </w:pPr>
      <w:r w:rsidRPr="005C7CA1">
        <w:rPr>
          <w:rFonts w:ascii="Arial" w:hAnsi="Arial" w:cs="Arial"/>
          <w:sz w:val="22"/>
          <w:szCs w:val="22"/>
        </w:rPr>
        <w:t>The resident was able to maintain her autonomy and dignity which is aligned with person-</w:t>
      </w:r>
      <w:proofErr w:type="spellStart"/>
      <w:r w:rsidRPr="005C7CA1">
        <w:rPr>
          <w:rFonts w:ascii="Arial" w:hAnsi="Arial" w:cs="Arial"/>
          <w:sz w:val="22"/>
          <w:szCs w:val="22"/>
        </w:rPr>
        <w:t>centered</w:t>
      </w:r>
      <w:proofErr w:type="spellEnd"/>
      <w:r w:rsidRPr="005C7CA1">
        <w:rPr>
          <w:rFonts w:ascii="Arial" w:hAnsi="Arial" w:cs="Arial"/>
          <w:sz w:val="22"/>
          <w:szCs w:val="22"/>
        </w:rPr>
        <w:t xml:space="preserve"> principles of care (Santana et al., 2021)</w:t>
      </w:r>
    </w:p>
    <w:p w14:paraId="2B976C0A" w14:textId="7EFC5716" w:rsidR="005C7CA1" w:rsidRPr="005C7CA1" w:rsidRDefault="005C7CA1" w:rsidP="005C7CA1">
      <w:pPr>
        <w:pStyle w:val="ListParagraph"/>
        <w:numPr>
          <w:ilvl w:val="0"/>
          <w:numId w:val="3"/>
        </w:numPr>
        <w:spacing w:line="360" w:lineRule="auto"/>
        <w:jc w:val="both"/>
        <w:rPr>
          <w:rFonts w:ascii="Arial" w:hAnsi="Arial" w:cs="Arial"/>
          <w:sz w:val="22"/>
          <w:szCs w:val="22"/>
        </w:rPr>
      </w:pPr>
      <w:r w:rsidRPr="005C7CA1">
        <w:rPr>
          <w:rFonts w:ascii="Arial" w:hAnsi="Arial" w:cs="Arial"/>
          <w:sz w:val="22"/>
          <w:szCs w:val="22"/>
        </w:rPr>
        <w:t xml:space="preserve">The resident was able to reduce her </w:t>
      </w:r>
      <w:r w:rsidRPr="005C7CA1">
        <w:rPr>
          <w:rFonts w:ascii="Arial" w:hAnsi="Arial" w:cs="Arial"/>
          <w:sz w:val="22"/>
          <w:szCs w:val="22"/>
        </w:rPr>
        <w:t>mealtime</w:t>
      </w:r>
      <w:r w:rsidRPr="005C7CA1">
        <w:rPr>
          <w:rFonts w:ascii="Arial" w:hAnsi="Arial" w:cs="Arial"/>
          <w:sz w:val="22"/>
          <w:szCs w:val="22"/>
        </w:rPr>
        <w:t xml:space="preserve"> anxiety, which resulted in improved nutrition and mood</w:t>
      </w:r>
    </w:p>
    <w:p w14:paraId="6B187EFE" w14:textId="6ED4D585" w:rsidR="005C7CA1" w:rsidRPr="005C7CA1" w:rsidRDefault="005C7CA1" w:rsidP="005C7CA1">
      <w:pPr>
        <w:pStyle w:val="ListParagraph"/>
        <w:numPr>
          <w:ilvl w:val="0"/>
          <w:numId w:val="3"/>
        </w:numPr>
        <w:spacing w:line="360" w:lineRule="auto"/>
        <w:jc w:val="both"/>
        <w:rPr>
          <w:rFonts w:ascii="Arial" w:hAnsi="Arial" w:cs="Arial"/>
          <w:sz w:val="22"/>
          <w:szCs w:val="22"/>
        </w:rPr>
      </w:pPr>
      <w:r w:rsidRPr="005C7CA1">
        <w:rPr>
          <w:rFonts w:ascii="Arial" w:hAnsi="Arial" w:cs="Arial"/>
          <w:sz w:val="22"/>
          <w:szCs w:val="22"/>
        </w:rPr>
        <w:t>Trust between the resident and myself was strengthened</w:t>
      </w:r>
    </w:p>
    <w:p w14:paraId="65D5C5D6" w14:textId="77777777" w:rsidR="005C7CA1" w:rsidRDefault="005C7CA1" w:rsidP="005C7CA1">
      <w:pPr>
        <w:spacing w:line="360" w:lineRule="auto"/>
        <w:jc w:val="both"/>
        <w:rPr>
          <w:rFonts w:ascii="Arial" w:hAnsi="Arial" w:cs="Arial"/>
          <w:sz w:val="22"/>
          <w:szCs w:val="22"/>
        </w:rPr>
      </w:pPr>
    </w:p>
    <w:p w14:paraId="0D635EE9" w14:textId="77777777" w:rsidR="005C7CA1" w:rsidRPr="005C7CA1" w:rsidRDefault="005C7CA1" w:rsidP="005C7CA1">
      <w:pPr>
        <w:spacing w:after="0" w:line="360" w:lineRule="auto"/>
        <w:jc w:val="both"/>
        <w:rPr>
          <w:rFonts w:ascii="Arial" w:hAnsi="Arial" w:cs="Arial"/>
          <w:b/>
          <w:bCs/>
          <w:sz w:val="22"/>
          <w:szCs w:val="22"/>
        </w:rPr>
      </w:pPr>
      <w:r w:rsidRPr="005C7CA1">
        <w:rPr>
          <w:rFonts w:ascii="Arial" w:hAnsi="Arial" w:cs="Arial"/>
          <w:b/>
          <w:bCs/>
          <w:sz w:val="22"/>
          <w:szCs w:val="22"/>
        </w:rPr>
        <w:t>Negative:</w:t>
      </w:r>
    </w:p>
    <w:p w14:paraId="3A3F26D4" w14:textId="33423120" w:rsidR="005C7CA1" w:rsidRPr="005C7CA1" w:rsidRDefault="005C7CA1" w:rsidP="005C7CA1">
      <w:pPr>
        <w:pStyle w:val="ListParagraph"/>
        <w:numPr>
          <w:ilvl w:val="0"/>
          <w:numId w:val="4"/>
        </w:numPr>
        <w:spacing w:line="360" w:lineRule="auto"/>
        <w:jc w:val="both"/>
        <w:rPr>
          <w:rFonts w:ascii="Arial" w:hAnsi="Arial" w:cs="Arial"/>
          <w:sz w:val="22"/>
          <w:szCs w:val="22"/>
        </w:rPr>
      </w:pPr>
      <w:r w:rsidRPr="005C7CA1">
        <w:rPr>
          <w:rFonts w:ascii="Arial" w:hAnsi="Arial" w:cs="Arial"/>
          <w:sz w:val="22"/>
          <w:szCs w:val="22"/>
        </w:rPr>
        <w:t xml:space="preserve">Some of my </w:t>
      </w:r>
      <w:r w:rsidRPr="005C7CA1">
        <w:rPr>
          <w:rFonts w:ascii="Arial" w:hAnsi="Arial" w:cs="Arial"/>
          <w:sz w:val="22"/>
          <w:szCs w:val="22"/>
        </w:rPr>
        <w:t>teammates</w:t>
      </w:r>
      <w:r w:rsidRPr="005C7CA1">
        <w:rPr>
          <w:rFonts w:ascii="Arial" w:hAnsi="Arial" w:cs="Arial"/>
          <w:sz w:val="22"/>
          <w:szCs w:val="22"/>
        </w:rPr>
        <w:t xml:space="preserve"> were not in agreement with the way I approached the residents needs as they were fearful of choking</w:t>
      </w:r>
    </w:p>
    <w:p w14:paraId="23C171E0" w14:textId="383CD2A8" w:rsidR="005C7CA1" w:rsidRPr="005C7CA1" w:rsidRDefault="005C7CA1" w:rsidP="005C7CA1">
      <w:pPr>
        <w:pStyle w:val="ListParagraph"/>
        <w:numPr>
          <w:ilvl w:val="0"/>
          <w:numId w:val="4"/>
        </w:numPr>
        <w:spacing w:line="360" w:lineRule="auto"/>
        <w:jc w:val="both"/>
        <w:rPr>
          <w:rFonts w:ascii="Arial" w:hAnsi="Arial" w:cs="Arial"/>
          <w:sz w:val="22"/>
          <w:szCs w:val="22"/>
        </w:rPr>
      </w:pPr>
      <w:r w:rsidRPr="005C7CA1">
        <w:rPr>
          <w:rFonts w:ascii="Arial" w:hAnsi="Arial" w:cs="Arial"/>
          <w:sz w:val="22"/>
          <w:szCs w:val="22"/>
        </w:rPr>
        <w:t>There was potential for better communication prior to the intervention to increase the likelihood of mutual understanding</w:t>
      </w:r>
    </w:p>
    <w:p w14:paraId="4F3A7691" w14:textId="77777777" w:rsidR="005C7CA1" w:rsidRPr="005C7CA1" w:rsidRDefault="005C7CA1" w:rsidP="005C7CA1">
      <w:pPr>
        <w:spacing w:line="360" w:lineRule="auto"/>
        <w:jc w:val="both"/>
        <w:rPr>
          <w:rFonts w:ascii="Arial" w:hAnsi="Arial" w:cs="Arial"/>
          <w:sz w:val="22"/>
          <w:szCs w:val="22"/>
        </w:rPr>
      </w:pPr>
      <w:r w:rsidRPr="005C7CA1">
        <w:rPr>
          <w:rFonts w:ascii="Arial" w:hAnsi="Arial" w:cs="Arial"/>
          <w:sz w:val="22"/>
          <w:szCs w:val="22"/>
        </w:rPr>
        <w:lastRenderedPageBreak/>
        <w:t>This experience helped me realize that even though we may agree on what is best for our clients or patients, different professionals may disagree on how to achieve their well-being, risk management, and autonomy (Tadd et al., 2024).</w:t>
      </w:r>
    </w:p>
    <w:p w14:paraId="782FCF76" w14:textId="77777777" w:rsidR="005C7CA1" w:rsidRDefault="005C7CA1" w:rsidP="005C7CA1">
      <w:pPr>
        <w:spacing w:line="360" w:lineRule="auto"/>
        <w:jc w:val="both"/>
        <w:rPr>
          <w:rFonts w:ascii="Arial" w:hAnsi="Arial" w:cs="Arial"/>
          <w:sz w:val="22"/>
          <w:szCs w:val="22"/>
        </w:rPr>
      </w:pPr>
    </w:p>
    <w:p w14:paraId="10E36A80" w14:textId="637AC6F7" w:rsidR="005C7CA1" w:rsidRPr="005C7CA1" w:rsidRDefault="005C7CA1" w:rsidP="005C7CA1">
      <w:pPr>
        <w:spacing w:after="0" w:line="360" w:lineRule="auto"/>
        <w:jc w:val="both"/>
        <w:rPr>
          <w:rFonts w:ascii="Arial" w:hAnsi="Arial" w:cs="Arial"/>
          <w:b/>
          <w:bCs/>
          <w:sz w:val="22"/>
          <w:szCs w:val="22"/>
        </w:rPr>
      </w:pPr>
      <w:r w:rsidRPr="005C7CA1">
        <w:rPr>
          <w:rFonts w:ascii="Arial" w:hAnsi="Arial" w:cs="Arial"/>
          <w:b/>
          <w:bCs/>
          <w:sz w:val="22"/>
          <w:szCs w:val="22"/>
        </w:rPr>
        <w:t>Analysis</w:t>
      </w:r>
    </w:p>
    <w:p w14:paraId="7F797176" w14:textId="7C63A209" w:rsidR="005C7CA1" w:rsidRPr="005C7CA1" w:rsidRDefault="005C7CA1" w:rsidP="005C7CA1">
      <w:pPr>
        <w:spacing w:line="360" w:lineRule="auto"/>
        <w:jc w:val="both"/>
        <w:rPr>
          <w:rFonts w:ascii="Arial" w:hAnsi="Arial" w:cs="Arial"/>
          <w:sz w:val="22"/>
          <w:szCs w:val="22"/>
        </w:rPr>
      </w:pPr>
      <w:r w:rsidRPr="005C7CA1">
        <w:rPr>
          <w:rFonts w:ascii="Arial" w:hAnsi="Arial" w:cs="Arial"/>
          <w:sz w:val="22"/>
          <w:szCs w:val="22"/>
        </w:rPr>
        <w:t xml:space="preserve">The way I approached the </w:t>
      </w:r>
      <w:r w:rsidRPr="005C7CA1">
        <w:rPr>
          <w:rFonts w:ascii="Arial" w:hAnsi="Arial" w:cs="Arial"/>
          <w:sz w:val="22"/>
          <w:szCs w:val="22"/>
        </w:rPr>
        <w:t>residents’</w:t>
      </w:r>
      <w:r w:rsidRPr="005C7CA1">
        <w:rPr>
          <w:rFonts w:ascii="Arial" w:hAnsi="Arial" w:cs="Arial"/>
          <w:sz w:val="22"/>
          <w:szCs w:val="22"/>
        </w:rPr>
        <w:t xml:space="preserve"> needs was based on person-</w:t>
      </w:r>
      <w:r w:rsidRPr="005C7CA1">
        <w:rPr>
          <w:rFonts w:ascii="Arial" w:hAnsi="Arial" w:cs="Arial"/>
          <w:sz w:val="22"/>
          <w:szCs w:val="22"/>
        </w:rPr>
        <w:t>centred</w:t>
      </w:r>
      <w:r w:rsidRPr="005C7CA1">
        <w:rPr>
          <w:rFonts w:ascii="Arial" w:hAnsi="Arial" w:cs="Arial"/>
          <w:sz w:val="22"/>
          <w:szCs w:val="22"/>
        </w:rPr>
        <w:t xml:space="preserve"> principles of care and was focused on the </w:t>
      </w:r>
      <w:r w:rsidRPr="005C7CA1">
        <w:rPr>
          <w:rFonts w:ascii="Arial" w:hAnsi="Arial" w:cs="Arial"/>
          <w:sz w:val="22"/>
          <w:szCs w:val="22"/>
        </w:rPr>
        <w:t>resident’s</w:t>
      </w:r>
      <w:r w:rsidRPr="005C7CA1">
        <w:rPr>
          <w:rFonts w:ascii="Arial" w:hAnsi="Arial" w:cs="Arial"/>
          <w:sz w:val="22"/>
          <w:szCs w:val="22"/>
        </w:rPr>
        <w:t xml:space="preserve"> identity and preferences (Entwistle and Watt, 2013). The Care Act (2014) states that social services should enable people to live independently and make choices, wherever possible.</w:t>
      </w:r>
    </w:p>
    <w:p w14:paraId="7102A836" w14:textId="6D95FA2A" w:rsidR="005C7CA1" w:rsidRPr="005C7CA1" w:rsidRDefault="005C7CA1" w:rsidP="005C7CA1">
      <w:pPr>
        <w:spacing w:line="360" w:lineRule="auto"/>
        <w:jc w:val="both"/>
        <w:rPr>
          <w:rFonts w:ascii="Arial" w:hAnsi="Arial" w:cs="Arial"/>
          <w:sz w:val="22"/>
          <w:szCs w:val="22"/>
        </w:rPr>
      </w:pPr>
      <w:r w:rsidRPr="005C7CA1">
        <w:rPr>
          <w:rFonts w:ascii="Arial" w:hAnsi="Arial" w:cs="Arial"/>
          <w:sz w:val="22"/>
          <w:szCs w:val="22"/>
        </w:rPr>
        <w:t xml:space="preserve">In terms of ethics, I </w:t>
      </w:r>
      <w:r w:rsidRPr="005C7CA1">
        <w:rPr>
          <w:rFonts w:ascii="Arial" w:hAnsi="Arial" w:cs="Arial"/>
          <w:sz w:val="22"/>
          <w:szCs w:val="22"/>
        </w:rPr>
        <w:t>honoured</w:t>
      </w:r>
      <w:r w:rsidRPr="005C7CA1">
        <w:rPr>
          <w:rFonts w:ascii="Arial" w:hAnsi="Arial" w:cs="Arial"/>
          <w:sz w:val="22"/>
          <w:szCs w:val="22"/>
        </w:rPr>
        <w:t xml:space="preserve"> the resident's autonomy by providing her with the opportunity to participate in decision making (autonomy); I protected her from harm by monitoring her during meals and making adjustments to the environment to reduce risk (non-maleficence and beneficence) (Beauchamp and Childress, 2019). In addition, I followed the requirements of the Mental Capacity Act (2005) by assuming the resident had the capacity to make decisions regarding her care and that I used the least restrictive option available (least restrictive principle) (MCA, 2005). Lastly, justice was </w:t>
      </w:r>
      <w:r w:rsidRPr="005C7CA1">
        <w:rPr>
          <w:rFonts w:ascii="Arial" w:hAnsi="Arial" w:cs="Arial"/>
          <w:sz w:val="22"/>
          <w:szCs w:val="22"/>
        </w:rPr>
        <w:t>honoured</w:t>
      </w:r>
      <w:r w:rsidRPr="005C7CA1">
        <w:rPr>
          <w:rFonts w:ascii="Arial" w:hAnsi="Arial" w:cs="Arial"/>
          <w:sz w:val="22"/>
          <w:szCs w:val="22"/>
        </w:rPr>
        <w:t xml:space="preserve"> by providing the resident with the opportunity for independence without placing her in a position of dependency (justice) (</w:t>
      </w:r>
      <w:proofErr w:type="spellStart"/>
      <w:r w:rsidRPr="005C7CA1">
        <w:rPr>
          <w:rFonts w:ascii="Arial" w:hAnsi="Arial" w:cs="Arial"/>
          <w:sz w:val="22"/>
          <w:szCs w:val="22"/>
        </w:rPr>
        <w:t>Frontini</w:t>
      </w:r>
      <w:proofErr w:type="spellEnd"/>
      <w:r w:rsidRPr="005C7CA1">
        <w:rPr>
          <w:rFonts w:ascii="Arial" w:hAnsi="Arial" w:cs="Arial"/>
          <w:sz w:val="22"/>
          <w:szCs w:val="22"/>
        </w:rPr>
        <w:t xml:space="preserve"> et al., 2024).</w:t>
      </w:r>
    </w:p>
    <w:p w14:paraId="0DFC12A3" w14:textId="77777777" w:rsidR="005C7CA1" w:rsidRPr="005C7CA1" w:rsidRDefault="005C7CA1" w:rsidP="005C7CA1">
      <w:pPr>
        <w:spacing w:line="360" w:lineRule="auto"/>
        <w:jc w:val="both"/>
        <w:rPr>
          <w:rFonts w:ascii="Arial" w:hAnsi="Arial" w:cs="Arial"/>
          <w:sz w:val="22"/>
          <w:szCs w:val="22"/>
        </w:rPr>
      </w:pPr>
      <w:r w:rsidRPr="005C7CA1">
        <w:rPr>
          <w:rFonts w:ascii="Arial" w:hAnsi="Arial" w:cs="Arial"/>
          <w:sz w:val="22"/>
          <w:szCs w:val="22"/>
        </w:rPr>
        <w:t>Additionally, the experience was consistent with Maslow's Theory of Human Needs, where control of one's life and environment is a key factor in achieving mental health and well-being (Maslow, 1943). Research has shown that maintaining independence at meals results in greater dignity and less depression for older adults (Lee et al., 2022).</w:t>
      </w:r>
    </w:p>
    <w:p w14:paraId="7B8FA5DE" w14:textId="407C519D" w:rsidR="005C7CA1" w:rsidRPr="005C7CA1" w:rsidRDefault="005C7CA1" w:rsidP="005C7CA1">
      <w:pPr>
        <w:spacing w:line="360" w:lineRule="auto"/>
        <w:jc w:val="both"/>
        <w:rPr>
          <w:rFonts w:ascii="Arial" w:hAnsi="Arial" w:cs="Arial"/>
          <w:sz w:val="22"/>
          <w:szCs w:val="22"/>
        </w:rPr>
      </w:pPr>
      <w:r w:rsidRPr="005C7CA1">
        <w:rPr>
          <w:rFonts w:ascii="Arial" w:hAnsi="Arial" w:cs="Arial"/>
          <w:sz w:val="22"/>
          <w:szCs w:val="22"/>
        </w:rPr>
        <w:t>Finally, from a partnership perspective, the experience demonstrated the ability of team members to have differing opinions on risk and how this can disrupt the coordination of care (Hughes et al., 2022). Improving communication will assist in reducing the disruption caused by differing perspectives and provide opportunities for team members to work together to develop a common plan of care (</w:t>
      </w:r>
      <w:proofErr w:type="spellStart"/>
      <w:r w:rsidRPr="005C7CA1">
        <w:rPr>
          <w:rFonts w:ascii="Arial" w:hAnsi="Arial" w:cs="Arial"/>
          <w:sz w:val="22"/>
          <w:szCs w:val="22"/>
        </w:rPr>
        <w:t>Frontini</w:t>
      </w:r>
      <w:proofErr w:type="spellEnd"/>
      <w:r w:rsidRPr="005C7CA1">
        <w:rPr>
          <w:rFonts w:ascii="Arial" w:hAnsi="Arial" w:cs="Arial"/>
          <w:sz w:val="22"/>
          <w:szCs w:val="22"/>
        </w:rPr>
        <w:t xml:space="preserve"> et al., 2024).</w:t>
      </w:r>
      <w:r>
        <w:rPr>
          <w:rFonts w:ascii="Arial" w:hAnsi="Arial" w:cs="Arial"/>
          <w:sz w:val="22"/>
          <w:szCs w:val="22"/>
        </w:rPr>
        <w:t xml:space="preserve"> </w:t>
      </w:r>
      <w:r w:rsidRPr="005C7CA1">
        <w:rPr>
          <w:rFonts w:ascii="Arial" w:hAnsi="Arial" w:cs="Arial"/>
          <w:sz w:val="22"/>
          <w:szCs w:val="22"/>
        </w:rPr>
        <w:t xml:space="preserve">As a result of this </w:t>
      </w:r>
      <w:r w:rsidRPr="005C7CA1">
        <w:rPr>
          <w:rFonts w:ascii="Arial" w:hAnsi="Arial" w:cs="Arial"/>
          <w:sz w:val="22"/>
          <w:szCs w:val="22"/>
        </w:rPr>
        <w:t>experience,</w:t>
      </w:r>
      <w:r w:rsidRPr="005C7CA1">
        <w:rPr>
          <w:rFonts w:ascii="Arial" w:hAnsi="Arial" w:cs="Arial"/>
          <w:sz w:val="22"/>
          <w:szCs w:val="22"/>
        </w:rPr>
        <w:t xml:space="preserve"> I realized that promoting supported independence is beneficial to the overall well-being of the client/patient and also provides a means of ensuring safety by implementing reasonable adjustments. As a result of this </w:t>
      </w:r>
      <w:r w:rsidRPr="005C7CA1">
        <w:rPr>
          <w:rFonts w:ascii="Arial" w:hAnsi="Arial" w:cs="Arial"/>
          <w:sz w:val="22"/>
          <w:szCs w:val="22"/>
        </w:rPr>
        <w:t>experience,</w:t>
      </w:r>
      <w:r w:rsidRPr="005C7CA1">
        <w:rPr>
          <w:rFonts w:ascii="Arial" w:hAnsi="Arial" w:cs="Arial"/>
          <w:sz w:val="22"/>
          <w:szCs w:val="22"/>
        </w:rPr>
        <w:t xml:space="preserve"> I am even more confident in advocating for person-</w:t>
      </w:r>
      <w:r w:rsidRPr="005C7CA1">
        <w:rPr>
          <w:rFonts w:ascii="Arial" w:hAnsi="Arial" w:cs="Arial"/>
          <w:sz w:val="22"/>
          <w:szCs w:val="22"/>
        </w:rPr>
        <w:t>centred</w:t>
      </w:r>
      <w:r w:rsidRPr="005C7CA1">
        <w:rPr>
          <w:rFonts w:ascii="Arial" w:hAnsi="Arial" w:cs="Arial"/>
          <w:sz w:val="22"/>
          <w:szCs w:val="22"/>
        </w:rPr>
        <w:t>, rights-based care, and my recognition of the necessity for clear communication has increased.</w:t>
      </w:r>
    </w:p>
    <w:p w14:paraId="3D5CB9F6" w14:textId="77777777" w:rsidR="005C7CA1" w:rsidRDefault="005C7CA1" w:rsidP="008D5141">
      <w:pPr>
        <w:spacing w:line="360" w:lineRule="auto"/>
        <w:jc w:val="both"/>
        <w:rPr>
          <w:rFonts w:ascii="Arial" w:hAnsi="Arial" w:cs="Arial"/>
          <w:sz w:val="22"/>
          <w:szCs w:val="22"/>
        </w:rPr>
      </w:pPr>
    </w:p>
    <w:p w14:paraId="04F8B2B7" w14:textId="77777777" w:rsidR="005C7CA1" w:rsidRDefault="005C7CA1" w:rsidP="008D5141">
      <w:pPr>
        <w:spacing w:line="360" w:lineRule="auto"/>
        <w:jc w:val="both"/>
        <w:rPr>
          <w:rFonts w:ascii="Arial" w:hAnsi="Arial" w:cs="Arial"/>
          <w:sz w:val="22"/>
          <w:szCs w:val="22"/>
        </w:rPr>
      </w:pPr>
    </w:p>
    <w:p w14:paraId="531E9EED" w14:textId="2956E0BE" w:rsidR="00096819" w:rsidRPr="00096819" w:rsidRDefault="00096819" w:rsidP="008D5141">
      <w:pPr>
        <w:spacing w:line="360" w:lineRule="auto"/>
        <w:jc w:val="both"/>
        <w:rPr>
          <w:rFonts w:ascii="Arial" w:hAnsi="Arial" w:cs="Arial"/>
          <w:b/>
          <w:bCs/>
          <w:sz w:val="22"/>
          <w:szCs w:val="22"/>
        </w:rPr>
      </w:pPr>
      <w:r w:rsidRPr="00096819">
        <w:rPr>
          <w:rFonts w:ascii="Arial" w:hAnsi="Arial" w:cs="Arial"/>
          <w:b/>
          <w:bCs/>
          <w:sz w:val="22"/>
          <w:szCs w:val="22"/>
        </w:rPr>
        <w:lastRenderedPageBreak/>
        <w:t>Action Plan (SMART)</w:t>
      </w:r>
    </w:p>
    <w:tbl>
      <w:tblPr>
        <w:tblStyle w:val="TableGrid"/>
        <w:tblW w:w="0" w:type="auto"/>
        <w:shd w:val="clear" w:color="auto" w:fill="D9D9D9" w:themeFill="background1" w:themeFillShade="D9"/>
        <w:tblLook w:val="04A0" w:firstRow="1" w:lastRow="0" w:firstColumn="1" w:lastColumn="0" w:noHBand="0" w:noVBand="1"/>
      </w:tblPr>
      <w:tblGrid>
        <w:gridCol w:w="2603"/>
        <w:gridCol w:w="2775"/>
        <w:gridCol w:w="1585"/>
        <w:gridCol w:w="2053"/>
      </w:tblGrid>
      <w:tr w:rsidR="00096819" w:rsidRPr="00096819" w14:paraId="4D6C0241" w14:textId="77777777" w:rsidTr="005C7CA1">
        <w:tc>
          <w:tcPr>
            <w:tcW w:w="0" w:type="auto"/>
            <w:shd w:val="clear" w:color="auto" w:fill="A6A6A6" w:themeFill="background1" w:themeFillShade="A6"/>
            <w:hideMark/>
          </w:tcPr>
          <w:p w14:paraId="58C3C270" w14:textId="77777777" w:rsidR="00096819" w:rsidRPr="00096819" w:rsidRDefault="00096819" w:rsidP="008D5141">
            <w:pPr>
              <w:spacing w:after="160" w:line="360" w:lineRule="auto"/>
              <w:jc w:val="both"/>
              <w:rPr>
                <w:rFonts w:ascii="Arial" w:hAnsi="Arial" w:cs="Arial"/>
                <w:b/>
                <w:bCs/>
                <w:sz w:val="22"/>
                <w:szCs w:val="22"/>
              </w:rPr>
            </w:pPr>
            <w:r w:rsidRPr="00096819">
              <w:rPr>
                <w:rFonts w:ascii="Arial" w:hAnsi="Arial" w:cs="Arial"/>
                <w:b/>
                <w:bCs/>
                <w:sz w:val="22"/>
                <w:szCs w:val="22"/>
              </w:rPr>
              <w:t>Development Goal</w:t>
            </w:r>
          </w:p>
        </w:tc>
        <w:tc>
          <w:tcPr>
            <w:tcW w:w="0" w:type="auto"/>
            <w:shd w:val="clear" w:color="auto" w:fill="A6A6A6" w:themeFill="background1" w:themeFillShade="A6"/>
            <w:hideMark/>
          </w:tcPr>
          <w:p w14:paraId="69072272" w14:textId="77777777" w:rsidR="00096819" w:rsidRPr="00096819" w:rsidRDefault="00096819" w:rsidP="008D5141">
            <w:pPr>
              <w:spacing w:after="160" w:line="360" w:lineRule="auto"/>
              <w:jc w:val="both"/>
              <w:rPr>
                <w:rFonts w:ascii="Arial" w:hAnsi="Arial" w:cs="Arial"/>
                <w:b/>
                <w:bCs/>
                <w:sz w:val="22"/>
                <w:szCs w:val="22"/>
              </w:rPr>
            </w:pPr>
            <w:r w:rsidRPr="00096819">
              <w:rPr>
                <w:rFonts w:ascii="Arial" w:hAnsi="Arial" w:cs="Arial"/>
                <w:b/>
                <w:bCs/>
                <w:sz w:val="22"/>
                <w:szCs w:val="22"/>
              </w:rPr>
              <w:t>Action</w:t>
            </w:r>
          </w:p>
        </w:tc>
        <w:tc>
          <w:tcPr>
            <w:tcW w:w="0" w:type="auto"/>
            <w:shd w:val="clear" w:color="auto" w:fill="A6A6A6" w:themeFill="background1" w:themeFillShade="A6"/>
            <w:hideMark/>
          </w:tcPr>
          <w:p w14:paraId="51C14E7F" w14:textId="77777777" w:rsidR="00096819" w:rsidRPr="00096819" w:rsidRDefault="00096819" w:rsidP="008D5141">
            <w:pPr>
              <w:spacing w:after="160" w:line="360" w:lineRule="auto"/>
              <w:jc w:val="both"/>
              <w:rPr>
                <w:rFonts w:ascii="Arial" w:hAnsi="Arial" w:cs="Arial"/>
                <w:b/>
                <w:bCs/>
                <w:sz w:val="22"/>
                <w:szCs w:val="22"/>
              </w:rPr>
            </w:pPr>
            <w:r w:rsidRPr="00096819">
              <w:rPr>
                <w:rFonts w:ascii="Arial" w:hAnsi="Arial" w:cs="Arial"/>
                <w:b/>
                <w:bCs/>
                <w:sz w:val="22"/>
                <w:szCs w:val="22"/>
              </w:rPr>
              <w:t>Timescale</w:t>
            </w:r>
          </w:p>
        </w:tc>
        <w:tc>
          <w:tcPr>
            <w:tcW w:w="0" w:type="auto"/>
            <w:shd w:val="clear" w:color="auto" w:fill="A6A6A6" w:themeFill="background1" w:themeFillShade="A6"/>
            <w:hideMark/>
          </w:tcPr>
          <w:p w14:paraId="7FED4B3B" w14:textId="77777777" w:rsidR="00096819" w:rsidRPr="00096819" w:rsidRDefault="00096819" w:rsidP="008D5141">
            <w:pPr>
              <w:spacing w:after="160" w:line="360" w:lineRule="auto"/>
              <w:jc w:val="both"/>
              <w:rPr>
                <w:rFonts w:ascii="Arial" w:hAnsi="Arial" w:cs="Arial"/>
                <w:b/>
                <w:bCs/>
                <w:sz w:val="22"/>
                <w:szCs w:val="22"/>
              </w:rPr>
            </w:pPr>
            <w:r w:rsidRPr="00096819">
              <w:rPr>
                <w:rFonts w:ascii="Arial" w:hAnsi="Arial" w:cs="Arial"/>
                <w:b/>
                <w:bCs/>
                <w:sz w:val="22"/>
                <w:szCs w:val="22"/>
              </w:rPr>
              <w:t>Evidence</w:t>
            </w:r>
          </w:p>
        </w:tc>
      </w:tr>
      <w:tr w:rsidR="00096819" w:rsidRPr="00096819" w14:paraId="4AD05EB9" w14:textId="77777777" w:rsidTr="005C7CA1">
        <w:tc>
          <w:tcPr>
            <w:tcW w:w="0" w:type="auto"/>
            <w:shd w:val="clear" w:color="auto" w:fill="D9D9D9" w:themeFill="background1" w:themeFillShade="D9"/>
            <w:hideMark/>
          </w:tcPr>
          <w:p w14:paraId="439F6023" w14:textId="77777777" w:rsidR="00096819" w:rsidRPr="00096819" w:rsidRDefault="00096819" w:rsidP="008D5141">
            <w:pPr>
              <w:spacing w:after="160" w:line="360" w:lineRule="auto"/>
              <w:jc w:val="both"/>
              <w:rPr>
                <w:rFonts w:ascii="Arial" w:hAnsi="Arial" w:cs="Arial"/>
                <w:sz w:val="22"/>
                <w:szCs w:val="22"/>
              </w:rPr>
            </w:pPr>
            <w:r w:rsidRPr="00096819">
              <w:rPr>
                <w:rFonts w:ascii="Arial" w:hAnsi="Arial" w:cs="Arial"/>
                <w:sz w:val="22"/>
                <w:szCs w:val="22"/>
              </w:rPr>
              <w:t>Strengthen ethical decision-making</w:t>
            </w:r>
          </w:p>
        </w:tc>
        <w:tc>
          <w:tcPr>
            <w:tcW w:w="0" w:type="auto"/>
            <w:shd w:val="clear" w:color="auto" w:fill="D9D9D9" w:themeFill="background1" w:themeFillShade="D9"/>
            <w:hideMark/>
          </w:tcPr>
          <w:p w14:paraId="54380777" w14:textId="77777777" w:rsidR="00096819" w:rsidRPr="00096819" w:rsidRDefault="00096819" w:rsidP="008D5141">
            <w:pPr>
              <w:spacing w:after="160" w:line="360" w:lineRule="auto"/>
              <w:jc w:val="both"/>
              <w:rPr>
                <w:rFonts w:ascii="Arial" w:hAnsi="Arial" w:cs="Arial"/>
                <w:sz w:val="22"/>
                <w:szCs w:val="22"/>
              </w:rPr>
            </w:pPr>
            <w:r w:rsidRPr="00096819">
              <w:rPr>
                <w:rFonts w:ascii="Arial" w:hAnsi="Arial" w:cs="Arial"/>
                <w:sz w:val="22"/>
                <w:szCs w:val="22"/>
              </w:rPr>
              <w:t>Complete CPD on MCA &amp; ethical risk balance</w:t>
            </w:r>
          </w:p>
        </w:tc>
        <w:tc>
          <w:tcPr>
            <w:tcW w:w="0" w:type="auto"/>
            <w:shd w:val="clear" w:color="auto" w:fill="D9D9D9" w:themeFill="background1" w:themeFillShade="D9"/>
            <w:hideMark/>
          </w:tcPr>
          <w:p w14:paraId="04833787" w14:textId="77777777" w:rsidR="00096819" w:rsidRPr="00096819" w:rsidRDefault="00096819" w:rsidP="008D5141">
            <w:pPr>
              <w:spacing w:after="160" w:line="360" w:lineRule="auto"/>
              <w:jc w:val="both"/>
              <w:rPr>
                <w:rFonts w:ascii="Arial" w:hAnsi="Arial" w:cs="Arial"/>
                <w:sz w:val="22"/>
                <w:szCs w:val="22"/>
              </w:rPr>
            </w:pPr>
            <w:r w:rsidRPr="00096819">
              <w:rPr>
                <w:rFonts w:ascii="Arial" w:hAnsi="Arial" w:cs="Arial"/>
                <w:sz w:val="22"/>
                <w:szCs w:val="22"/>
              </w:rPr>
              <w:t>3 months</w:t>
            </w:r>
          </w:p>
        </w:tc>
        <w:tc>
          <w:tcPr>
            <w:tcW w:w="0" w:type="auto"/>
            <w:shd w:val="clear" w:color="auto" w:fill="D9D9D9" w:themeFill="background1" w:themeFillShade="D9"/>
            <w:hideMark/>
          </w:tcPr>
          <w:p w14:paraId="38F5DA9C" w14:textId="77777777" w:rsidR="00096819" w:rsidRPr="00096819" w:rsidRDefault="00096819" w:rsidP="008D5141">
            <w:pPr>
              <w:spacing w:after="160" w:line="360" w:lineRule="auto"/>
              <w:jc w:val="both"/>
              <w:rPr>
                <w:rFonts w:ascii="Arial" w:hAnsi="Arial" w:cs="Arial"/>
                <w:sz w:val="22"/>
                <w:szCs w:val="22"/>
              </w:rPr>
            </w:pPr>
            <w:r w:rsidRPr="00096819">
              <w:rPr>
                <w:rFonts w:ascii="Arial" w:hAnsi="Arial" w:cs="Arial"/>
                <w:sz w:val="22"/>
                <w:szCs w:val="22"/>
              </w:rPr>
              <w:t>CPD certificate + reflective account</w:t>
            </w:r>
          </w:p>
        </w:tc>
      </w:tr>
      <w:tr w:rsidR="00096819" w:rsidRPr="00096819" w14:paraId="2A8A8780" w14:textId="77777777" w:rsidTr="005C7CA1">
        <w:tc>
          <w:tcPr>
            <w:tcW w:w="0" w:type="auto"/>
            <w:shd w:val="clear" w:color="auto" w:fill="D9D9D9" w:themeFill="background1" w:themeFillShade="D9"/>
            <w:hideMark/>
          </w:tcPr>
          <w:p w14:paraId="36CEC70F" w14:textId="77777777" w:rsidR="00096819" w:rsidRPr="00096819" w:rsidRDefault="00096819" w:rsidP="008D5141">
            <w:pPr>
              <w:spacing w:after="160" w:line="360" w:lineRule="auto"/>
              <w:jc w:val="both"/>
              <w:rPr>
                <w:rFonts w:ascii="Arial" w:hAnsi="Arial" w:cs="Arial"/>
                <w:sz w:val="22"/>
                <w:szCs w:val="22"/>
              </w:rPr>
            </w:pPr>
            <w:r w:rsidRPr="00096819">
              <w:rPr>
                <w:rFonts w:ascii="Arial" w:hAnsi="Arial" w:cs="Arial"/>
                <w:sz w:val="22"/>
                <w:szCs w:val="22"/>
              </w:rPr>
              <w:t>Improve communication in MDT discussions</w:t>
            </w:r>
          </w:p>
        </w:tc>
        <w:tc>
          <w:tcPr>
            <w:tcW w:w="0" w:type="auto"/>
            <w:shd w:val="clear" w:color="auto" w:fill="D9D9D9" w:themeFill="background1" w:themeFillShade="D9"/>
            <w:hideMark/>
          </w:tcPr>
          <w:p w14:paraId="35B75AD9" w14:textId="77777777" w:rsidR="00096819" w:rsidRPr="00096819" w:rsidRDefault="00096819" w:rsidP="008D5141">
            <w:pPr>
              <w:spacing w:after="160" w:line="360" w:lineRule="auto"/>
              <w:jc w:val="both"/>
              <w:rPr>
                <w:rFonts w:ascii="Arial" w:hAnsi="Arial" w:cs="Arial"/>
                <w:sz w:val="22"/>
                <w:szCs w:val="22"/>
              </w:rPr>
            </w:pPr>
            <w:r w:rsidRPr="00096819">
              <w:rPr>
                <w:rFonts w:ascii="Arial" w:hAnsi="Arial" w:cs="Arial"/>
                <w:sz w:val="22"/>
                <w:szCs w:val="22"/>
              </w:rPr>
              <w:t>Use SBAR communication framework for handovers</w:t>
            </w:r>
          </w:p>
        </w:tc>
        <w:tc>
          <w:tcPr>
            <w:tcW w:w="0" w:type="auto"/>
            <w:shd w:val="clear" w:color="auto" w:fill="D9D9D9" w:themeFill="background1" w:themeFillShade="D9"/>
            <w:hideMark/>
          </w:tcPr>
          <w:p w14:paraId="56250CD9" w14:textId="77777777" w:rsidR="00096819" w:rsidRPr="00096819" w:rsidRDefault="00096819" w:rsidP="008D5141">
            <w:pPr>
              <w:spacing w:after="160" w:line="360" w:lineRule="auto"/>
              <w:jc w:val="both"/>
              <w:rPr>
                <w:rFonts w:ascii="Arial" w:hAnsi="Arial" w:cs="Arial"/>
                <w:sz w:val="22"/>
                <w:szCs w:val="22"/>
              </w:rPr>
            </w:pPr>
            <w:r w:rsidRPr="00096819">
              <w:rPr>
                <w:rFonts w:ascii="Arial" w:hAnsi="Arial" w:cs="Arial"/>
                <w:sz w:val="22"/>
                <w:szCs w:val="22"/>
              </w:rPr>
              <w:t>Immediate &amp; ongoing</w:t>
            </w:r>
          </w:p>
        </w:tc>
        <w:tc>
          <w:tcPr>
            <w:tcW w:w="0" w:type="auto"/>
            <w:shd w:val="clear" w:color="auto" w:fill="D9D9D9" w:themeFill="background1" w:themeFillShade="D9"/>
            <w:hideMark/>
          </w:tcPr>
          <w:p w14:paraId="666ACEC0" w14:textId="77777777" w:rsidR="00096819" w:rsidRPr="00096819" w:rsidRDefault="00096819" w:rsidP="008D5141">
            <w:pPr>
              <w:spacing w:after="160" w:line="360" w:lineRule="auto"/>
              <w:jc w:val="both"/>
              <w:rPr>
                <w:rFonts w:ascii="Arial" w:hAnsi="Arial" w:cs="Arial"/>
                <w:sz w:val="22"/>
                <w:szCs w:val="22"/>
              </w:rPr>
            </w:pPr>
            <w:r w:rsidRPr="00096819">
              <w:rPr>
                <w:rFonts w:ascii="Arial" w:hAnsi="Arial" w:cs="Arial"/>
                <w:sz w:val="22"/>
                <w:szCs w:val="22"/>
              </w:rPr>
              <w:t>Supervisor feedback</w:t>
            </w:r>
          </w:p>
        </w:tc>
      </w:tr>
      <w:tr w:rsidR="00096819" w:rsidRPr="00096819" w14:paraId="49002C70" w14:textId="77777777" w:rsidTr="005C7CA1">
        <w:tc>
          <w:tcPr>
            <w:tcW w:w="0" w:type="auto"/>
            <w:shd w:val="clear" w:color="auto" w:fill="D9D9D9" w:themeFill="background1" w:themeFillShade="D9"/>
            <w:hideMark/>
          </w:tcPr>
          <w:p w14:paraId="1F7CF49F" w14:textId="77777777" w:rsidR="00096819" w:rsidRPr="00096819" w:rsidRDefault="00096819" w:rsidP="008D5141">
            <w:pPr>
              <w:spacing w:after="160" w:line="360" w:lineRule="auto"/>
              <w:jc w:val="both"/>
              <w:rPr>
                <w:rFonts w:ascii="Arial" w:hAnsi="Arial" w:cs="Arial"/>
                <w:sz w:val="22"/>
                <w:szCs w:val="22"/>
              </w:rPr>
            </w:pPr>
            <w:r w:rsidRPr="00096819">
              <w:rPr>
                <w:rFonts w:ascii="Arial" w:hAnsi="Arial" w:cs="Arial"/>
                <w:sz w:val="22"/>
                <w:szCs w:val="22"/>
              </w:rPr>
              <w:t>Enhance advocacy skills</w:t>
            </w:r>
          </w:p>
        </w:tc>
        <w:tc>
          <w:tcPr>
            <w:tcW w:w="0" w:type="auto"/>
            <w:shd w:val="clear" w:color="auto" w:fill="D9D9D9" w:themeFill="background1" w:themeFillShade="D9"/>
            <w:hideMark/>
          </w:tcPr>
          <w:p w14:paraId="17C1374E" w14:textId="77777777" w:rsidR="00096819" w:rsidRPr="00096819" w:rsidRDefault="00096819" w:rsidP="008D5141">
            <w:pPr>
              <w:spacing w:after="160" w:line="360" w:lineRule="auto"/>
              <w:jc w:val="both"/>
              <w:rPr>
                <w:rFonts w:ascii="Arial" w:hAnsi="Arial" w:cs="Arial"/>
                <w:sz w:val="22"/>
                <w:szCs w:val="22"/>
              </w:rPr>
            </w:pPr>
            <w:r w:rsidRPr="00096819">
              <w:rPr>
                <w:rFonts w:ascii="Arial" w:hAnsi="Arial" w:cs="Arial"/>
                <w:sz w:val="22"/>
                <w:szCs w:val="22"/>
              </w:rPr>
              <w:t>Participate in patient-rights workshops</w:t>
            </w:r>
          </w:p>
        </w:tc>
        <w:tc>
          <w:tcPr>
            <w:tcW w:w="0" w:type="auto"/>
            <w:shd w:val="clear" w:color="auto" w:fill="D9D9D9" w:themeFill="background1" w:themeFillShade="D9"/>
            <w:hideMark/>
          </w:tcPr>
          <w:p w14:paraId="6A736002" w14:textId="77777777" w:rsidR="00096819" w:rsidRPr="00096819" w:rsidRDefault="00096819" w:rsidP="008D5141">
            <w:pPr>
              <w:spacing w:after="160" w:line="360" w:lineRule="auto"/>
              <w:jc w:val="both"/>
              <w:rPr>
                <w:rFonts w:ascii="Arial" w:hAnsi="Arial" w:cs="Arial"/>
                <w:sz w:val="22"/>
                <w:szCs w:val="22"/>
              </w:rPr>
            </w:pPr>
            <w:r w:rsidRPr="00096819">
              <w:rPr>
                <w:rFonts w:ascii="Arial" w:hAnsi="Arial" w:cs="Arial"/>
                <w:sz w:val="22"/>
                <w:szCs w:val="22"/>
              </w:rPr>
              <w:t>6 months</w:t>
            </w:r>
          </w:p>
        </w:tc>
        <w:tc>
          <w:tcPr>
            <w:tcW w:w="0" w:type="auto"/>
            <w:shd w:val="clear" w:color="auto" w:fill="D9D9D9" w:themeFill="background1" w:themeFillShade="D9"/>
            <w:hideMark/>
          </w:tcPr>
          <w:p w14:paraId="6737212A" w14:textId="77777777" w:rsidR="00096819" w:rsidRPr="00096819" w:rsidRDefault="00096819" w:rsidP="008D5141">
            <w:pPr>
              <w:spacing w:after="160" w:line="360" w:lineRule="auto"/>
              <w:jc w:val="both"/>
              <w:rPr>
                <w:rFonts w:ascii="Arial" w:hAnsi="Arial" w:cs="Arial"/>
                <w:sz w:val="22"/>
                <w:szCs w:val="22"/>
              </w:rPr>
            </w:pPr>
            <w:r w:rsidRPr="00096819">
              <w:rPr>
                <w:rFonts w:ascii="Arial" w:hAnsi="Arial" w:cs="Arial"/>
                <w:sz w:val="22"/>
                <w:szCs w:val="22"/>
              </w:rPr>
              <w:t>Attendance record + reflective notes</w:t>
            </w:r>
          </w:p>
        </w:tc>
      </w:tr>
      <w:tr w:rsidR="00096819" w:rsidRPr="00096819" w14:paraId="18A3F351" w14:textId="77777777" w:rsidTr="005C7CA1">
        <w:tc>
          <w:tcPr>
            <w:tcW w:w="0" w:type="auto"/>
            <w:shd w:val="clear" w:color="auto" w:fill="D9D9D9" w:themeFill="background1" w:themeFillShade="D9"/>
            <w:hideMark/>
          </w:tcPr>
          <w:p w14:paraId="26B598E9" w14:textId="77777777" w:rsidR="00096819" w:rsidRPr="00096819" w:rsidRDefault="00096819" w:rsidP="008D5141">
            <w:pPr>
              <w:spacing w:after="160" w:line="360" w:lineRule="auto"/>
              <w:jc w:val="both"/>
              <w:rPr>
                <w:rFonts w:ascii="Arial" w:hAnsi="Arial" w:cs="Arial"/>
                <w:sz w:val="22"/>
                <w:szCs w:val="22"/>
              </w:rPr>
            </w:pPr>
            <w:r w:rsidRPr="00096819">
              <w:rPr>
                <w:rFonts w:ascii="Arial" w:hAnsi="Arial" w:cs="Arial"/>
                <w:sz w:val="22"/>
                <w:szCs w:val="22"/>
              </w:rPr>
              <w:t>Build confidence in supported-risk approaches</w:t>
            </w:r>
          </w:p>
        </w:tc>
        <w:tc>
          <w:tcPr>
            <w:tcW w:w="0" w:type="auto"/>
            <w:shd w:val="clear" w:color="auto" w:fill="D9D9D9" w:themeFill="background1" w:themeFillShade="D9"/>
            <w:hideMark/>
          </w:tcPr>
          <w:p w14:paraId="1FB7DC6B" w14:textId="77777777" w:rsidR="00096819" w:rsidRPr="00096819" w:rsidRDefault="00096819" w:rsidP="008D5141">
            <w:pPr>
              <w:spacing w:after="160" w:line="360" w:lineRule="auto"/>
              <w:jc w:val="both"/>
              <w:rPr>
                <w:rFonts w:ascii="Arial" w:hAnsi="Arial" w:cs="Arial"/>
                <w:sz w:val="22"/>
                <w:szCs w:val="22"/>
              </w:rPr>
            </w:pPr>
            <w:r w:rsidRPr="00096819">
              <w:rPr>
                <w:rFonts w:ascii="Arial" w:hAnsi="Arial" w:cs="Arial"/>
                <w:sz w:val="22"/>
                <w:szCs w:val="22"/>
              </w:rPr>
              <w:t>Shadow senior staff in risk management meetings</w:t>
            </w:r>
          </w:p>
        </w:tc>
        <w:tc>
          <w:tcPr>
            <w:tcW w:w="0" w:type="auto"/>
            <w:shd w:val="clear" w:color="auto" w:fill="D9D9D9" w:themeFill="background1" w:themeFillShade="D9"/>
            <w:hideMark/>
          </w:tcPr>
          <w:p w14:paraId="6B8FAA11" w14:textId="77777777" w:rsidR="00096819" w:rsidRPr="00096819" w:rsidRDefault="00096819" w:rsidP="008D5141">
            <w:pPr>
              <w:spacing w:after="160" w:line="360" w:lineRule="auto"/>
              <w:jc w:val="both"/>
              <w:rPr>
                <w:rFonts w:ascii="Arial" w:hAnsi="Arial" w:cs="Arial"/>
                <w:sz w:val="22"/>
                <w:szCs w:val="22"/>
              </w:rPr>
            </w:pPr>
            <w:r w:rsidRPr="00096819">
              <w:rPr>
                <w:rFonts w:ascii="Arial" w:hAnsi="Arial" w:cs="Arial"/>
                <w:sz w:val="22"/>
                <w:szCs w:val="22"/>
              </w:rPr>
              <w:t>4 months</w:t>
            </w:r>
          </w:p>
        </w:tc>
        <w:tc>
          <w:tcPr>
            <w:tcW w:w="0" w:type="auto"/>
            <w:shd w:val="clear" w:color="auto" w:fill="D9D9D9" w:themeFill="background1" w:themeFillShade="D9"/>
            <w:hideMark/>
          </w:tcPr>
          <w:p w14:paraId="017C4D09" w14:textId="77777777" w:rsidR="00096819" w:rsidRPr="00096819" w:rsidRDefault="00096819" w:rsidP="008D5141">
            <w:pPr>
              <w:spacing w:after="160" w:line="360" w:lineRule="auto"/>
              <w:jc w:val="both"/>
              <w:rPr>
                <w:rFonts w:ascii="Arial" w:hAnsi="Arial" w:cs="Arial"/>
                <w:sz w:val="22"/>
                <w:szCs w:val="22"/>
              </w:rPr>
            </w:pPr>
            <w:r w:rsidRPr="00096819">
              <w:rPr>
                <w:rFonts w:ascii="Arial" w:hAnsi="Arial" w:cs="Arial"/>
                <w:sz w:val="22"/>
                <w:szCs w:val="22"/>
              </w:rPr>
              <w:t>Signed supervision records</w:t>
            </w:r>
          </w:p>
        </w:tc>
      </w:tr>
    </w:tbl>
    <w:p w14:paraId="0C6CFC6F" w14:textId="77777777" w:rsidR="00CE0FC3" w:rsidRDefault="00CE0FC3" w:rsidP="008D5141">
      <w:pPr>
        <w:spacing w:line="360" w:lineRule="auto"/>
        <w:jc w:val="both"/>
        <w:rPr>
          <w:rFonts w:ascii="Arial" w:hAnsi="Arial" w:cs="Arial"/>
          <w:sz w:val="22"/>
          <w:szCs w:val="22"/>
        </w:rPr>
      </w:pPr>
    </w:p>
    <w:p w14:paraId="5DCE6C97" w14:textId="77777777" w:rsidR="005C7CA1" w:rsidRDefault="005C7CA1" w:rsidP="008D5141">
      <w:pPr>
        <w:spacing w:line="360" w:lineRule="auto"/>
        <w:jc w:val="both"/>
        <w:rPr>
          <w:rFonts w:ascii="Arial" w:hAnsi="Arial" w:cs="Arial"/>
          <w:sz w:val="22"/>
          <w:szCs w:val="22"/>
        </w:rPr>
      </w:pPr>
    </w:p>
    <w:p w14:paraId="53B25D3C" w14:textId="09535AC8" w:rsidR="00096819" w:rsidRPr="00096819" w:rsidRDefault="00096819" w:rsidP="005C7CA1">
      <w:pPr>
        <w:pStyle w:val="Heading1"/>
      </w:pPr>
      <w:r w:rsidRPr="00096819">
        <w:t>Conclusion</w:t>
      </w:r>
    </w:p>
    <w:p w14:paraId="1B3D5E0D" w14:textId="002A81DF" w:rsidR="005C7CA1" w:rsidRPr="005C7CA1" w:rsidRDefault="005C7CA1" w:rsidP="005C7CA1">
      <w:pPr>
        <w:spacing w:line="360" w:lineRule="auto"/>
        <w:jc w:val="both"/>
        <w:rPr>
          <w:rFonts w:ascii="Arial" w:hAnsi="Arial" w:cs="Arial"/>
          <w:sz w:val="22"/>
          <w:szCs w:val="22"/>
        </w:rPr>
      </w:pPr>
      <w:r w:rsidRPr="005C7CA1">
        <w:rPr>
          <w:rFonts w:ascii="Arial" w:hAnsi="Arial" w:cs="Arial"/>
          <w:sz w:val="22"/>
          <w:szCs w:val="22"/>
        </w:rPr>
        <w:t xml:space="preserve">Person-centred care, collaborative working and ethical practice are essential for ensuring fairness, independence and quality experiences in UK health and social care. Joan’s Story showed that personal goals can be met when services work together and in a coordinated way respecting dignity and rights. My reflective experience further demonstrated how these principles contribute to wellbeing in normal care interactions, while showing the difficulties practitioners face in balancing autonomy and safety. Through continuing professional </w:t>
      </w:r>
      <w:r w:rsidRPr="005C7CA1">
        <w:rPr>
          <w:rFonts w:ascii="Arial" w:hAnsi="Arial" w:cs="Arial"/>
          <w:sz w:val="22"/>
          <w:szCs w:val="22"/>
        </w:rPr>
        <w:t>development,</w:t>
      </w:r>
      <w:r w:rsidRPr="005C7CA1">
        <w:rPr>
          <w:rFonts w:ascii="Arial" w:hAnsi="Arial" w:cs="Arial"/>
          <w:sz w:val="22"/>
          <w:szCs w:val="22"/>
        </w:rPr>
        <w:t xml:space="preserve"> I wish to strengthen my ability to apply ethical reasoning, improve inter-professional communication and be an advocate for independence enhancing dignity in future practice.</w:t>
      </w:r>
    </w:p>
    <w:p w14:paraId="330E06B2" w14:textId="77777777" w:rsidR="00CE0FC3" w:rsidRDefault="00CE0FC3" w:rsidP="008D5141">
      <w:pPr>
        <w:spacing w:line="360" w:lineRule="auto"/>
        <w:jc w:val="both"/>
        <w:rPr>
          <w:rFonts w:ascii="Arial" w:hAnsi="Arial" w:cs="Arial"/>
          <w:sz w:val="22"/>
          <w:szCs w:val="22"/>
        </w:rPr>
      </w:pPr>
    </w:p>
    <w:p w14:paraId="1577D602" w14:textId="77777777" w:rsidR="005C7CA1" w:rsidRDefault="005C7CA1" w:rsidP="008D5141">
      <w:pPr>
        <w:spacing w:line="360" w:lineRule="auto"/>
        <w:jc w:val="both"/>
        <w:rPr>
          <w:rFonts w:ascii="Arial" w:hAnsi="Arial" w:cs="Arial"/>
          <w:sz w:val="22"/>
          <w:szCs w:val="22"/>
        </w:rPr>
      </w:pPr>
    </w:p>
    <w:p w14:paraId="5CB44D9C" w14:textId="77777777" w:rsidR="005C7CA1" w:rsidRDefault="005C7CA1" w:rsidP="008D5141">
      <w:pPr>
        <w:spacing w:line="360" w:lineRule="auto"/>
        <w:jc w:val="both"/>
        <w:rPr>
          <w:rFonts w:ascii="Arial" w:hAnsi="Arial" w:cs="Arial"/>
          <w:sz w:val="22"/>
          <w:szCs w:val="22"/>
        </w:rPr>
      </w:pPr>
    </w:p>
    <w:p w14:paraId="34AD5377" w14:textId="77777777" w:rsidR="005C7CA1" w:rsidRDefault="005C7CA1" w:rsidP="008D5141">
      <w:pPr>
        <w:spacing w:line="360" w:lineRule="auto"/>
        <w:jc w:val="both"/>
        <w:rPr>
          <w:rFonts w:ascii="Arial" w:hAnsi="Arial" w:cs="Arial"/>
          <w:sz w:val="22"/>
          <w:szCs w:val="22"/>
        </w:rPr>
      </w:pPr>
    </w:p>
    <w:p w14:paraId="412D91FD" w14:textId="77777777" w:rsidR="005C7CA1" w:rsidRDefault="005C7CA1" w:rsidP="008D5141">
      <w:pPr>
        <w:spacing w:line="360" w:lineRule="auto"/>
        <w:jc w:val="both"/>
        <w:rPr>
          <w:rFonts w:ascii="Arial" w:hAnsi="Arial" w:cs="Arial"/>
          <w:sz w:val="22"/>
          <w:szCs w:val="22"/>
        </w:rPr>
      </w:pPr>
    </w:p>
    <w:p w14:paraId="05EA4138" w14:textId="77777777" w:rsidR="005C7CA1" w:rsidRDefault="005C7CA1" w:rsidP="008D5141">
      <w:pPr>
        <w:spacing w:line="360" w:lineRule="auto"/>
        <w:jc w:val="both"/>
        <w:rPr>
          <w:rFonts w:ascii="Arial" w:hAnsi="Arial" w:cs="Arial"/>
          <w:sz w:val="22"/>
          <w:szCs w:val="22"/>
        </w:rPr>
      </w:pPr>
    </w:p>
    <w:p w14:paraId="67608BFD" w14:textId="5F1E9384" w:rsidR="00096819" w:rsidRPr="00096819" w:rsidRDefault="00096819" w:rsidP="00CE0FC3">
      <w:pPr>
        <w:pStyle w:val="Heading1"/>
      </w:pPr>
      <w:r w:rsidRPr="00096819">
        <w:lastRenderedPageBreak/>
        <w:t>Reference</w:t>
      </w:r>
      <w:r w:rsidR="00CE0FC3">
        <w:t>s</w:t>
      </w:r>
    </w:p>
    <w:p w14:paraId="4984DD94" w14:textId="77777777" w:rsidR="00007402" w:rsidRDefault="00007402" w:rsidP="00007402">
      <w:pPr>
        <w:spacing w:line="360" w:lineRule="auto"/>
        <w:rPr>
          <w:rFonts w:ascii="Arial" w:hAnsi="Arial" w:cs="Arial"/>
          <w:sz w:val="22"/>
          <w:szCs w:val="22"/>
        </w:rPr>
      </w:pPr>
      <w:r w:rsidRPr="00096819">
        <w:rPr>
          <w:rFonts w:ascii="Arial" w:hAnsi="Arial" w:cs="Arial"/>
          <w:sz w:val="22"/>
          <w:szCs w:val="22"/>
        </w:rPr>
        <w:t xml:space="preserve">Beard, J. (2023) ‘Balancing autonomy and risk’, </w:t>
      </w:r>
      <w:r w:rsidRPr="00096819">
        <w:rPr>
          <w:rFonts w:ascii="Arial" w:hAnsi="Arial" w:cs="Arial"/>
          <w:i/>
          <w:iCs/>
          <w:sz w:val="22"/>
          <w:szCs w:val="22"/>
        </w:rPr>
        <w:t>Nursing Older People</w:t>
      </w:r>
      <w:r w:rsidRPr="00096819">
        <w:rPr>
          <w:rFonts w:ascii="Arial" w:hAnsi="Arial" w:cs="Arial"/>
          <w:sz w:val="22"/>
          <w:szCs w:val="22"/>
        </w:rPr>
        <w:t>, 35(6), pp.24-30.</w:t>
      </w:r>
    </w:p>
    <w:p w14:paraId="6E88CFBE" w14:textId="77777777" w:rsidR="00CE0FC3" w:rsidRDefault="00096819" w:rsidP="00CE0FC3">
      <w:pPr>
        <w:spacing w:line="360" w:lineRule="auto"/>
        <w:jc w:val="both"/>
        <w:rPr>
          <w:rFonts w:ascii="Arial" w:hAnsi="Arial" w:cs="Arial"/>
          <w:sz w:val="22"/>
          <w:szCs w:val="22"/>
        </w:rPr>
      </w:pPr>
      <w:r w:rsidRPr="00096819">
        <w:rPr>
          <w:rFonts w:ascii="Arial" w:hAnsi="Arial" w:cs="Arial"/>
          <w:sz w:val="22"/>
          <w:szCs w:val="22"/>
        </w:rPr>
        <w:t xml:space="preserve">Beauchamp, T.L. and Childress, J.F. (2019) </w:t>
      </w:r>
      <w:r w:rsidRPr="00096819">
        <w:rPr>
          <w:rFonts w:ascii="Arial" w:hAnsi="Arial" w:cs="Arial"/>
          <w:i/>
          <w:iCs/>
          <w:sz w:val="22"/>
          <w:szCs w:val="22"/>
        </w:rPr>
        <w:t>Principles of Biomedical Ethics</w:t>
      </w:r>
      <w:r w:rsidRPr="00096819">
        <w:rPr>
          <w:rFonts w:ascii="Arial" w:hAnsi="Arial" w:cs="Arial"/>
          <w:sz w:val="22"/>
          <w:szCs w:val="22"/>
        </w:rPr>
        <w:t xml:space="preserve">. 8th </w:t>
      </w:r>
      <w:proofErr w:type="spellStart"/>
      <w:r w:rsidRPr="00096819">
        <w:rPr>
          <w:rFonts w:ascii="Arial" w:hAnsi="Arial" w:cs="Arial"/>
          <w:sz w:val="22"/>
          <w:szCs w:val="22"/>
        </w:rPr>
        <w:t>edn</w:t>
      </w:r>
      <w:proofErr w:type="spellEnd"/>
      <w:r w:rsidRPr="00096819">
        <w:rPr>
          <w:rFonts w:ascii="Arial" w:hAnsi="Arial" w:cs="Arial"/>
          <w:sz w:val="22"/>
          <w:szCs w:val="22"/>
        </w:rPr>
        <w:t>. Oxford: Oxford University Press.</w:t>
      </w:r>
    </w:p>
    <w:p w14:paraId="311FCA7D" w14:textId="77777777" w:rsidR="00CE0FC3" w:rsidRDefault="00096819" w:rsidP="00CE0FC3">
      <w:pPr>
        <w:spacing w:line="360" w:lineRule="auto"/>
        <w:jc w:val="both"/>
        <w:rPr>
          <w:rFonts w:ascii="Arial" w:hAnsi="Arial" w:cs="Arial"/>
          <w:sz w:val="22"/>
          <w:szCs w:val="22"/>
        </w:rPr>
      </w:pPr>
      <w:r w:rsidRPr="00096819">
        <w:rPr>
          <w:rFonts w:ascii="Arial" w:hAnsi="Arial" w:cs="Arial"/>
          <w:sz w:val="22"/>
          <w:szCs w:val="22"/>
        </w:rPr>
        <w:t xml:space="preserve">Care Act (2014) c.23. London: The Stationery Office. Available at: </w:t>
      </w:r>
      <w:hyperlink r:id="rId7" w:tgtFrame="_new" w:history="1">
        <w:r w:rsidRPr="00096819">
          <w:rPr>
            <w:rStyle w:val="Hyperlink"/>
            <w:rFonts w:ascii="Arial" w:hAnsi="Arial" w:cs="Arial"/>
            <w:sz w:val="22"/>
            <w:szCs w:val="22"/>
          </w:rPr>
          <w:t>https://www.legislation.gov.uk/ukpga/2014/23/contents</w:t>
        </w:r>
      </w:hyperlink>
    </w:p>
    <w:p w14:paraId="03079375" w14:textId="788BB60D" w:rsidR="00CE0FC3" w:rsidRDefault="00096819" w:rsidP="00CE0FC3">
      <w:pPr>
        <w:spacing w:line="360" w:lineRule="auto"/>
        <w:jc w:val="both"/>
        <w:rPr>
          <w:rFonts w:ascii="Arial" w:hAnsi="Arial" w:cs="Arial"/>
          <w:sz w:val="22"/>
          <w:szCs w:val="22"/>
        </w:rPr>
      </w:pPr>
      <w:r w:rsidRPr="00096819">
        <w:rPr>
          <w:rFonts w:ascii="Arial" w:hAnsi="Arial" w:cs="Arial"/>
          <w:sz w:val="22"/>
          <w:szCs w:val="22"/>
        </w:rPr>
        <w:t xml:space="preserve">CQC (2014) Regulation 9: Person-centred care. Available at: </w:t>
      </w:r>
      <w:hyperlink r:id="rId8" w:history="1">
        <w:r w:rsidR="00CE0FC3" w:rsidRPr="00096819">
          <w:rPr>
            <w:rStyle w:val="Hyperlink"/>
            <w:rFonts w:ascii="Arial" w:hAnsi="Arial" w:cs="Arial"/>
            <w:sz w:val="22"/>
            <w:szCs w:val="22"/>
          </w:rPr>
          <w:t>https://www.cqc.org.uk/guidance-regulation</w:t>
        </w:r>
      </w:hyperlink>
    </w:p>
    <w:p w14:paraId="05FD7DC6" w14:textId="77777777" w:rsidR="00CE0FC3" w:rsidRDefault="00096819" w:rsidP="00CE0FC3">
      <w:pPr>
        <w:spacing w:line="360" w:lineRule="auto"/>
        <w:jc w:val="both"/>
        <w:rPr>
          <w:rFonts w:ascii="Arial" w:hAnsi="Arial" w:cs="Arial"/>
          <w:sz w:val="22"/>
          <w:szCs w:val="22"/>
        </w:rPr>
      </w:pPr>
      <w:r w:rsidRPr="00096819">
        <w:rPr>
          <w:rFonts w:ascii="Arial" w:hAnsi="Arial" w:cs="Arial"/>
          <w:sz w:val="22"/>
          <w:szCs w:val="22"/>
        </w:rPr>
        <w:t xml:space="preserve">Coulter, A., Richards, T. and Hatch, T. (2021) ‘Shared decision-making in healthcare’, </w:t>
      </w:r>
      <w:r w:rsidRPr="00096819">
        <w:rPr>
          <w:rFonts w:ascii="Arial" w:hAnsi="Arial" w:cs="Arial"/>
          <w:i/>
          <w:iCs/>
          <w:sz w:val="22"/>
          <w:szCs w:val="22"/>
        </w:rPr>
        <w:t>BMJ</w:t>
      </w:r>
      <w:r w:rsidRPr="00096819">
        <w:rPr>
          <w:rFonts w:ascii="Arial" w:hAnsi="Arial" w:cs="Arial"/>
          <w:sz w:val="22"/>
          <w:szCs w:val="22"/>
        </w:rPr>
        <w:t>, 372: n174.</w:t>
      </w:r>
    </w:p>
    <w:p w14:paraId="0C3FF970" w14:textId="77777777" w:rsidR="00CE0FC3" w:rsidRDefault="00096819" w:rsidP="00CE0FC3">
      <w:pPr>
        <w:spacing w:line="360" w:lineRule="auto"/>
        <w:jc w:val="both"/>
        <w:rPr>
          <w:rFonts w:ascii="Arial" w:hAnsi="Arial" w:cs="Arial"/>
          <w:sz w:val="22"/>
          <w:szCs w:val="22"/>
        </w:rPr>
      </w:pPr>
      <w:r w:rsidRPr="00096819">
        <w:rPr>
          <w:rFonts w:ascii="Arial" w:hAnsi="Arial" w:cs="Arial"/>
          <w:sz w:val="22"/>
          <w:szCs w:val="22"/>
        </w:rPr>
        <w:t xml:space="preserve">Entwistle, V.A. and Watt, I.S. (2013) ‘Treating patients as persons’, </w:t>
      </w:r>
      <w:r w:rsidRPr="00096819">
        <w:rPr>
          <w:rFonts w:ascii="Arial" w:hAnsi="Arial" w:cs="Arial"/>
          <w:i/>
          <w:iCs/>
          <w:sz w:val="22"/>
          <w:szCs w:val="22"/>
        </w:rPr>
        <w:t>BMJ</w:t>
      </w:r>
      <w:r w:rsidRPr="00096819">
        <w:rPr>
          <w:rFonts w:ascii="Arial" w:hAnsi="Arial" w:cs="Arial"/>
          <w:sz w:val="22"/>
          <w:szCs w:val="22"/>
        </w:rPr>
        <w:t>, 347: f7186.</w:t>
      </w:r>
    </w:p>
    <w:p w14:paraId="797B4F2C" w14:textId="77777777" w:rsidR="00CE0FC3" w:rsidRDefault="00096819" w:rsidP="00CE0FC3">
      <w:pPr>
        <w:spacing w:line="360" w:lineRule="auto"/>
        <w:jc w:val="both"/>
        <w:rPr>
          <w:rFonts w:ascii="Arial" w:hAnsi="Arial" w:cs="Arial"/>
          <w:sz w:val="22"/>
          <w:szCs w:val="22"/>
        </w:rPr>
      </w:pPr>
      <w:proofErr w:type="spellStart"/>
      <w:r w:rsidRPr="00096819">
        <w:rPr>
          <w:rFonts w:ascii="Arial" w:hAnsi="Arial" w:cs="Arial"/>
          <w:sz w:val="22"/>
          <w:szCs w:val="22"/>
        </w:rPr>
        <w:t>Frontini</w:t>
      </w:r>
      <w:proofErr w:type="spellEnd"/>
      <w:r w:rsidRPr="00096819">
        <w:rPr>
          <w:rFonts w:ascii="Arial" w:hAnsi="Arial" w:cs="Arial"/>
          <w:sz w:val="22"/>
          <w:szCs w:val="22"/>
        </w:rPr>
        <w:t xml:space="preserve">, R. et al. (2024) ‘The role of integrated care in managing multimorbidity’, </w:t>
      </w:r>
      <w:r w:rsidRPr="00096819">
        <w:rPr>
          <w:rFonts w:ascii="Arial" w:hAnsi="Arial" w:cs="Arial"/>
          <w:i/>
          <w:iCs/>
          <w:sz w:val="22"/>
          <w:szCs w:val="22"/>
        </w:rPr>
        <w:t>Frontiers in Sociology</w:t>
      </w:r>
      <w:r w:rsidRPr="00096819">
        <w:rPr>
          <w:rFonts w:ascii="Arial" w:hAnsi="Arial" w:cs="Arial"/>
          <w:sz w:val="22"/>
          <w:szCs w:val="22"/>
        </w:rPr>
        <w:t>, 9, pp.1-12.</w:t>
      </w:r>
    </w:p>
    <w:p w14:paraId="4043D9D5" w14:textId="77777777" w:rsidR="00CE0FC3" w:rsidRDefault="00096819" w:rsidP="00CE0FC3">
      <w:pPr>
        <w:spacing w:line="360" w:lineRule="auto"/>
        <w:jc w:val="both"/>
        <w:rPr>
          <w:rFonts w:ascii="Arial" w:hAnsi="Arial" w:cs="Arial"/>
          <w:sz w:val="22"/>
          <w:szCs w:val="22"/>
        </w:rPr>
      </w:pPr>
      <w:r w:rsidRPr="00096819">
        <w:rPr>
          <w:rFonts w:ascii="Arial" w:hAnsi="Arial" w:cs="Arial"/>
          <w:sz w:val="22"/>
          <w:szCs w:val="22"/>
        </w:rPr>
        <w:t xml:space="preserve">Glasby, J. (2020) </w:t>
      </w:r>
      <w:r w:rsidRPr="00096819">
        <w:rPr>
          <w:rFonts w:ascii="Arial" w:hAnsi="Arial" w:cs="Arial"/>
          <w:i/>
          <w:iCs/>
          <w:sz w:val="22"/>
          <w:szCs w:val="22"/>
        </w:rPr>
        <w:t>Understanding Health and Social Care</w:t>
      </w:r>
      <w:r w:rsidRPr="00096819">
        <w:rPr>
          <w:rFonts w:ascii="Arial" w:hAnsi="Arial" w:cs="Arial"/>
          <w:sz w:val="22"/>
          <w:szCs w:val="22"/>
        </w:rPr>
        <w:t>. Bristol: Policy Press.</w:t>
      </w:r>
    </w:p>
    <w:p w14:paraId="25D373D9" w14:textId="77777777" w:rsidR="00CE0FC3" w:rsidRDefault="00096819" w:rsidP="00CE0FC3">
      <w:pPr>
        <w:spacing w:line="360" w:lineRule="auto"/>
        <w:jc w:val="both"/>
        <w:rPr>
          <w:rFonts w:ascii="Arial" w:hAnsi="Arial" w:cs="Arial"/>
          <w:sz w:val="22"/>
          <w:szCs w:val="22"/>
        </w:rPr>
      </w:pPr>
      <w:r w:rsidRPr="00096819">
        <w:rPr>
          <w:rFonts w:ascii="Arial" w:hAnsi="Arial" w:cs="Arial"/>
          <w:sz w:val="22"/>
          <w:szCs w:val="22"/>
        </w:rPr>
        <w:t xml:space="preserve">Ham, C. et al. (2021) ‘Integrating health and social care’, </w:t>
      </w:r>
      <w:r w:rsidRPr="00096819">
        <w:rPr>
          <w:rFonts w:ascii="Arial" w:hAnsi="Arial" w:cs="Arial"/>
          <w:i/>
          <w:iCs/>
          <w:sz w:val="22"/>
          <w:szCs w:val="22"/>
        </w:rPr>
        <w:t>The Lancet Public Health</w:t>
      </w:r>
      <w:r w:rsidRPr="00096819">
        <w:rPr>
          <w:rFonts w:ascii="Arial" w:hAnsi="Arial" w:cs="Arial"/>
          <w:sz w:val="22"/>
          <w:szCs w:val="22"/>
        </w:rPr>
        <w:t>, 6(5), pp.e346-e347.</w:t>
      </w:r>
    </w:p>
    <w:p w14:paraId="683494DC" w14:textId="77777777" w:rsidR="00CE0FC3" w:rsidRDefault="00096819" w:rsidP="00CE0FC3">
      <w:pPr>
        <w:spacing w:line="360" w:lineRule="auto"/>
        <w:jc w:val="both"/>
        <w:rPr>
          <w:rFonts w:ascii="Arial" w:hAnsi="Arial" w:cs="Arial"/>
          <w:sz w:val="22"/>
          <w:szCs w:val="22"/>
        </w:rPr>
      </w:pPr>
      <w:r w:rsidRPr="00096819">
        <w:rPr>
          <w:rFonts w:ascii="Arial" w:hAnsi="Arial" w:cs="Arial"/>
          <w:sz w:val="22"/>
          <w:szCs w:val="22"/>
        </w:rPr>
        <w:t xml:space="preserve">HCPC (2016) </w:t>
      </w:r>
      <w:r w:rsidRPr="00096819">
        <w:rPr>
          <w:rFonts w:ascii="Arial" w:hAnsi="Arial" w:cs="Arial"/>
          <w:i/>
          <w:iCs/>
          <w:sz w:val="22"/>
          <w:szCs w:val="22"/>
        </w:rPr>
        <w:t>Standards of conduct, performance and ethics</w:t>
      </w:r>
      <w:r w:rsidRPr="00096819">
        <w:rPr>
          <w:rFonts w:ascii="Arial" w:hAnsi="Arial" w:cs="Arial"/>
          <w:sz w:val="22"/>
          <w:szCs w:val="22"/>
        </w:rPr>
        <w:t xml:space="preserve">. Available at: </w:t>
      </w:r>
      <w:hyperlink r:id="rId9" w:tgtFrame="_new" w:history="1">
        <w:r w:rsidRPr="00096819">
          <w:rPr>
            <w:rStyle w:val="Hyperlink"/>
            <w:rFonts w:ascii="Arial" w:hAnsi="Arial" w:cs="Arial"/>
            <w:sz w:val="22"/>
            <w:szCs w:val="22"/>
          </w:rPr>
          <w:t>https://www.hcpc-uk.org</w:t>
        </w:r>
      </w:hyperlink>
    </w:p>
    <w:p w14:paraId="784474B3" w14:textId="1D58CB8E" w:rsidR="00CE0FC3" w:rsidRDefault="00096819" w:rsidP="00CE0FC3">
      <w:pPr>
        <w:spacing w:line="360" w:lineRule="auto"/>
        <w:jc w:val="both"/>
        <w:rPr>
          <w:rFonts w:ascii="Arial" w:hAnsi="Arial" w:cs="Arial"/>
          <w:sz w:val="22"/>
          <w:szCs w:val="22"/>
        </w:rPr>
      </w:pPr>
      <w:r w:rsidRPr="00096819">
        <w:rPr>
          <w:rFonts w:ascii="Arial" w:hAnsi="Arial" w:cs="Arial"/>
          <w:sz w:val="22"/>
          <w:szCs w:val="22"/>
        </w:rPr>
        <w:t xml:space="preserve">Health and Care Act (2022). London: UK Government. Available at: </w:t>
      </w:r>
      <w:hyperlink r:id="rId10" w:history="1">
        <w:r w:rsidR="00CE0FC3" w:rsidRPr="00096819">
          <w:rPr>
            <w:rStyle w:val="Hyperlink"/>
            <w:rFonts w:ascii="Arial" w:hAnsi="Arial" w:cs="Arial"/>
            <w:sz w:val="22"/>
            <w:szCs w:val="22"/>
          </w:rPr>
          <w:t>https://www.legislation.gov.uk/ukpga/2022/31</w:t>
        </w:r>
      </w:hyperlink>
    </w:p>
    <w:p w14:paraId="6F798558" w14:textId="77777777" w:rsidR="00CE0FC3" w:rsidRDefault="00096819" w:rsidP="00CE0FC3">
      <w:pPr>
        <w:spacing w:line="360" w:lineRule="auto"/>
        <w:jc w:val="both"/>
        <w:rPr>
          <w:rFonts w:ascii="Arial" w:hAnsi="Arial" w:cs="Arial"/>
          <w:sz w:val="22"/>
          <w:szCs w:val="22"/>
        </w:rPr>
      </w:pPr>
      <w:r w:rsidRPr="00096819">
        <w:rPr>
          <w:rFonts w:ascii="Arial" w:hAnsi="Arial" w:cs="Arial"/>
          <w:sz w:val="22"/>
          <w:szCs w:val="22"/>
        </w:rPr>
        <w:t xml:space="preserve">HRA (1998) Human Rights Act. Available at: </w:t>
      </w:r>
      <w:hyperlink r:id="rId11" w:tgtFrame="_new" w:history="1">
        <w:r w:rsidRPr="00096819">
          <w:rPr>
            <w:rStyle w:val="Hyperlink"/>
            <w:rFonts w:ascii="Arial" w:hAnsi="Arial" w:cs="Arial"/>
            <w:sz w:val="22"/>
            <w:szCs w:val="22"/>
          </w:rPr>
          <w:t>https://www.legislation.gov.uk</w:t>
        </w:r>
      </w:hyperlink>
    </w:p>
    <w:p w14:paraId="3F2BE49A" w14:textId="77777777" w:rsidR="00CE0FC3" w:rsidRDefault="00096819" w:rsidP="00CE0FC3">
      <w:pPr>
        <w:spacing w:line="360" w:lineRule="auto"/>
        <w:jc w:val="both"/>
        <w:rPr>
          <w:rFonts w:ascii="Arial" w:hAnsi="Arial" w:cs="Arial"/>
          <w:sz w:val="22"/>
          <w:szCs w:val="22"/>
        </w:rPr>
      </w:pPr>
      <w:r w:rsidRPr="00096819">
        <w:rPr>
          <w:rFonts w:ascii="Arial" w:hAnsi="Arial" w:cs="Arial"/>
          <w:sz w:val="22"/>
          <w:szCs w:val="22"/>
        </w:rPr>
        <w:t xml:space="preserve">Hughes, G. et al. (2022) ‘Challenges in multidisciplinary teamwork’, </w:t>
      </w:r>
      <w:r w:rsidRPr="00096819">
        <w:rPr>
          <w:rFonts w:ascii="Arial" w:hAnsi="Arial" w:cs="Arial"/>
          <w:i/>
          <w:iCs/>
          <w:sz w:val="22"/>
          <w:szCs w:val="22"/>
        </w:rPr>
        <w:t>BMC Health Services Research</w:t>
      </w:r>
      <w:r w:rsidRPr="00096819">
        <w:rPr>
          <w:rFonts w:ascii="Arial" w:hAnsi="Arial" w:cs="Arial"/>
          <w:sz w:val="22"/>
          <w:szCs w:val="22"/>
        </w:rPr>
        <w:t>, 22(1), pp.1-10.</w:t>
      </w:r>
    </w:p>
    <w:p w14:paraId="5A15D538" w14:textId="77777777" w:rsidR="00CE0FC3" w:rsidRDefault="00096819" w:rsidP="00CE0FC3">
      <w:pPr>
        <w:spacing w:line="360" w:lineRule="auto"/>
        <w:jc w:val="both"/>
        <w:rPr>
          <w:rFonts w:ascii="Arial" w:hAnsi="Arial" w:cs="Arial"/>
          <w:sz w:val="22"/>
          <w:szCs w:val="22"/>
        </w:rPr>
      </w:pPr>
      <w:r w:rsidRPr="00096819">
        <w:rPr>
          <w:rFonts w:ascii="Arial" w:hAnsi="Arial" w:cs="Arial"/>
          <w:sz w:val="22"/>
          <w:szCs w:val="22"/>
        </w:rPr>
        <w:t xml:space="preserve">Kuluski, K. et al. (2022) ‘Barriers to integrated care’, </w:t>
      </w:r>
      <w:r w:rsidRPr="00096819">
        <w:rPr>
          <w:rFonts w:ascii="Arial" w:hAnsi="Arial" w:cs="Arial"/>
          <w:i/>
          <w:iCs/>
          <w:sz w:val="22"/>
          <w:szCs w:val="22"/>
        </w:rPr>
        <w:t>International Journal of Integrated Care</w:t>
      </w:r>
      <w:r w:rsidRPr="00096819">
        <w:rPr>
          <w:rFonts w:ascii="Arial" w:hAnsi="Arial" w:cs="Arial"/>
          <w:sz w:val="22"/>
          <w:szCs w:val="22"/>
        </w:rPr>
        <w:t>, 22(4), pp.1-13.</w:t>
      </w:r>
    </w:p>
    <w:p w14:paraId="413D9562" w14:textId="77777777" w:rsidR="00CE0FC3" w:rsidRDefault="00096819" w:rsidP="00CE0FC3">
      <w:pPr>
        <w:spacing w:line="360" w:lineRule="auto"/>
        <w:jc w:val="both"/>
        <w:rPr>
          <w:rFonts w:ascii="Arial" w:hAnsi="Arial" w:cs="Arial"/>
          <w:sz w:val="22"/>
          <w:szCs w:val="22"/>
        </w:rPr>
      </w:pPr>
      <w:r w:rsidRPr="00096819">
        <w:rPr>
          <w:rFonts w:ascii="Arial" w:hAnsi="Arial" w:cs="Arial"/>
          <w:sz w:val="22"/>
          <w:szCs w:val="22"/>
        </w:rPr>
        <w:t xml:space="preserve">Lee, A. et al. (2022) ‘Mealtime independence and dignity in older adults’, </w:t>
      </w:r>
      <w:r w:rsidRPr="00096819">
        <w:rPr>
          <w:rFonts w:ascii="Arial" w:hAnsi="Arial" w:cs="Arial"/>
          <w:i/>
          <w:iCs/>
          <w:sz w:val="22"/>
          <w:szCs w:val="22"/>
        </w:rPr>
        <w:t>Age and Ageing</w:t>
      </w:r>
      <w:r w:rsidRPr="00096819">
        <w:rPr>
          <w:rFonts w:ascii="Arial" w:hAnsi="Arial" w:cs="Arial"/>
          <w:sz w:val="22"/>
          <w:szCs w:val="22"/>
        </w:rPr>
        <w:t>, 51(4), pp.1-9.</w:t>
      </w:r>
    </w:p>
    <w:p w14:paraId="19A637C2" w14:textId="77777777" w:rsidR="00CE0FC3" w:rsidRDefault="00096819" w:rsidP="00CE0FC3">
      <w:pPr>
        <w:spacing w:line="360" w:lineRule="auto"/>
        <w:jc w:val="both"/>
        <w:rPr>
          <w:rFonts w:ascii="Arial" w:hAnsi="Arial" w:cs="Arial"/>
          <w:sz w:val="22"/>
          <w:szCs w:val="22"/>
        </w:rPr>
      </w:pPr>
      <w:r w:rsidRPr="00096819">
        <w:rPr>
          <w:rFonts w:ascii="Arial" w:hAnsi="Arial" w:cs="Arial"/>
          <w:sz w:val="22"/>
          <w:szCs w:val="22"/>
        </w:rPr>
        <w:t xml:space="preserve">Maslow, A. (1943) ‘A theory of human motivation’, </w:t>
      </w:r>
      <w:r w:rsidRPr="00096819">
        <w:rPr>
          <w:rFonts w:ascii="Arial" w:hAnsi="Arial" w:cs="Arial"/>
          <w:i/>
          <w:iCs/>
          <w:sz w:val="22"/>
          <w:szCs w:val="22"/>
        </w:rPr>
        <w:t>Psychological Review</w:t>
      </w:r>
      <w:r w:rsidRPr="00096819">
        <w:rPr>
          <w:rFonts w:ascii="Arial" w:hAnsi="Arial" w:cs="Arial"/>
          <w:sz w:val="22"/>
          <w:szCs w:val="22"/>
        </w:rPr>
        <w:t>, 50(4), pp.370-396.</w:t>
      </w:r>
    </w:p>
    <w:p w14:paraId="6EF58A0F" w14:textId="77777777" w:rsidR="00CE0FC3" w:rsidRDefault="00096819" w:rsidP="00CE0FC3">
      <w:pPr>
        <w:spacing w:line="360" w:lineRule="auto"/>
        <w:jc w:val="both"/>
        <w:rPr>
          <w:rFonts w:ascii="Arial" w:hAnsi="Arial" w:cs="Arial"/>
          <w:sz w:val="22"/>
          <w:szCs w:val="22"/>
        </w:rPr>
      </w:pPr>
      <w:r w:rsidRPr="00096819">
        <w:rPr>
          <w:rFonts w:ascii="Arial" w:hAnsi="Arial" w:cs="Arial"/>
          <w:sz w:val="22"/>
          <w:szCs w:val="22"/>
        </w:rPr>
        <w:t xml:space="preserve">MCA (2005) Mental Capacity Act. Available at: </w:t>
      </w:r>
      <w:hyperlink r:id="rId12" w:tgtFrame="_new" w:history="1">
        <w:r w:rsidRPr="00096819">
          <w:rPr>
            <w:rStyle w:val="Hyperlink"/>
            <w:rFonts w:ascii="Arial" w:hAnsi="Arial" w:cs="Arial"/>
            <w:sz w:val="22"/>
            <w:szCs w:val="22"/>
          </w:rPr>
          <w:t>https://www.legislation.gov.uk</w:t>
        </w:r>
      </w:hyperlink>
    </w:p>
    <w:p w14:paraId="7BFF06DA" w14:textId="77777777" w:rsidR="00CE0FC3" w:rsidRDefault="00096819" w:rsidP="00CE0FC3">
      <w:pPr>
        <w:spacing w:line="360" w:lineRule="auto"/>
        <w:jc w:val="both"/>
        <w:rPr>
          <w:rFonts w:ascii="Arial" w:hAnsi="Arial" w:cs="Arial"/>
          <w:sz w:val="22"/>
          <w:szCs w:val="22"/>
        </w:rPr>
      </w:pPr>
      <w:r w:rsidRPr="00096819">
        <w:rPr>
          <w:rFonts w:ascii="Arial" w:hAnsi="Arial" w:cs="Arial"/>
          <w:sz w:val="22"/>
          <w:szCs w:val="22"/>
        </w:rPr>
        <w:lastRenderedPageBreak/>
        <w:t xml:space="preserve">NHS England (2021) </w:t>
      </w:r>
      <w:r w:rsidRPr="00096819">
        <w:rPr>
          <w:rFonts w:ascii="Arial" w:hAnsi="Arial" w:cs="Arial"/>
          <w:i/>
          <w:iCs/>
          <w:sz w:val="22"/>
          <w:szCs w:val="22"/>
        </w:rPr>
        <w:t>Joan’s Story: Personalised Care Case Study</w:t>
      </w:r>
      <w:r w:rsidRPr="00096819">
        <w:rPr>
          <w:rFonts w:ascii="Arial" w:hAnsi="Arial" w:cs="Arial"/>
          <w:sz w:val="22"/>
          <w:szCs w:val="22"/>
        </w:rPr>
        <w:t xml:space="preserve">. Available at: </w:t>
      </w:r>
      <w:hyperlink r:id="rId13" w:tgtFrame="_new" w:history="1">
        <w:r w:rsidRPr="00096819">
          <w:rPr>
            <w:rStyle w:val="Hyperlink"/>
            <w:rFonts w:ascii="Arial" w:hAnsi="Arial" w:cs="Arial"/>
            <w:sz w:val="22"/>
            <w:szCs w:val="22"/>
          </w:rPr>
          <w:t>https://www.england.nhs.uk/personalisedcare</w:t>
        </w:r>
      </w:hyperlink>
    </w:p>
    <w:p w14:paraId="56A515CA" w14:textId="0B5D27EE" w:rsidR="00CE0FC3" w:rsidRDefault="00096819" w:rsidP="00CE0FC3">
      <w:pPr>
        <w:spacing w:line="360" w:lineRule="auto"/>
        <w:jc w:val="both"/>
        <w:rPr>
          <w:rFonts w:ascii="Arial" w:hAnsi="Arial" w:cs="Arial"/>
          <w:sz w:val="22"/>
          <w:szCs w:val="22"/>
        </w:rPr>
      </w:pPr>
      <w:r w:rsidRPr="00096819">
        <w:rPr>
          <w:rFonts w:ascii="Arial" w:hAnsi="Arial" w:cs="Arial"/>
          <w:sz w:val="22"/>
          <w:szCs w:val="22"/>
        </w:rPr>
        <w:t xml:space="preserve">NHS England (2022) </w:t>
      </w:r>
      <w:r w:rsidRPr="00096819">
        <w:rPr>
          <w:rFonts w:ascii="Arial" w:hAnsi="Arial" w:cs="Arial"/>
          <w:i/>
          <w:iCs/>
          <w:sz w:val="22"/>
          <w:szCs w:val="22"/>
        </w:rPr>
        <w:t>Integrated Care Systems: Overview</w:t>
      </w:r>
      <w:r w:rsidRPr="00096819">
        <w:rPr>
          <w:rFonts w:ascii="Arial" w:hAnsi="Arial" w:cs="Arial"/>
          <w:sz w:val="22"/>
          <w:szCs w:val="22"/>
        </w:rPr>
        <w:t xml:space="preserve">. Available at: </w:t>
      </w:r>
      <w:hyperlink r:id="rId14" w:history="1">
        <w:r w:rsidR="00CE0FC3" w:rsidRPr="00096819">
          <w:rPr>
            <w:rStyle w:val="Hyperlink"/>
            <w:rFonts w:ascii="Arial" w:hAnsi="Arial" w:cs="Arial"/>
            <w:sz w:val="22"/>
            <w:szCs w:val="22"/>
          </w:rPr>
          <w:t>https://www.england.nhs.uk/integratedcare</w:t>
        </w:r>
      </w:hyperlink>
    </w:p>
    <w:p w14:paraId="08DD7180" w14:textId="77777777" w:rsidR="00CE0FC3" w:rsidRDefault="00096819" w:rsidP="00CE0FC3">
      <w:pPr>
        <w:spacing w:line="360" w:lineRule="auto"/>
        <w:jc w:val="both"/>
        <w:rPr>
          <w:rFonts w:ascii="Arial" w:hAnsi="Arial" w:cs="Arial"/>
          <w:sz w:val="22"/>
          <w:szCs w:val="22"/>
        </w:rPr>
      </w:pPr>
      <w:r w:rsidRPr="00096819">
        <w:rPr>
          <w:rFonts w:ascii="Arial" w:hAnsi="Arial" w:cs="Arial"/>
          <w:sz w:val="22"/>
          <w:szCs w:val="22"/>
        </w:rPr>
        <w:t xml:space="preserve">NMC (2018) </w:t>
      </w:r>
      <w:r w:rsidRPr="00096819">
        <w:rPr>
          <w:rFonts w:ascii="Arial" w:hAnsi="Arial" w:cs="Arial"/>
          <w:i/>
          <w:iCs/>
          <w:sz w:val="22"/>
          <w:szCs w:val="22"/>
        </w:rPr>
        <w:t>The Code</w:t>
      </w:r>
      <w:r w:rsidRPr="00096819">
        <w:rPr>
          <w:rFonts w:ascii="Arial" w:hAnsi="Arial" w:cs="Arial"/>
          <w:sz w:val="22"/>
          <w:szCs w:val="22"/>
        </w:rPr>
        <w:t>. London: Nursing and Midwifery Council.</w:t>
      </w:r>
    </w:p>
    <w:p w14:paraId="0AB2758E" w14:textId="77777777" w:rsidR="00CE0FC3" w:rsidRDefault="00096819" w:rsidP="00CE0FC3">
      <w:pPr>
        <w:spacing w:line="360" w:lineRule="auto"/>
        <w:jc w:val="both"/>
        <w:rPr>
          <w:rFonts w:ascii="Arial" w:hAnsi="Arial" w:cs="Arial"/>
          <w:sz w:val="22"/>
          <w:szCs w:val="22"/>
        </w:rPr>
      </w:pPr>
      <w:r w:rsidRPr="00096819">
        <w:rPr>
          <w:rFonts w:ascii="Arial" w:hAnsi="Arial" w:cs="Arial"/>
          <w:sz w:val="22"/>
          <w:szCs w:val="22"/>
        </w:rPr>
        <w:t xml:space="preserve">Santana, M.J. et al. (2021) ‘Person-centred care: concept and practice’, </w:t>
      </w:r>
      <w:r w:rsidRPr="00096819">
        <w:rPr>
          <w:rFonts w:ascii="Arial" w:hAnsi="Arial" w:cs="Arial"/>
          <w:i/>
          <w:iCs/>
          <w:sz w:val="22"/>
          <w:szCs w:val="22"/>
        </w:rPr>
        <w:t>BMJ Quality &amp; Safety</w:t>
      </w:r>
      <w:r w:rsidRPr="00096819">
        <w:rPr>
          <w:rFonts w:ascii="Arial" w:hAnsi="Arial" w:cs="Arial"/>
          <w:sz w:val="22"/>
          <w:szCs w:val="22"/>
        </w:rPr>
        <w:t>, 30(4), pp.292-300.</w:t>
      </w:r>
    </w:p>
    <w:p w14:paraId="1B890B54" w14:textId="77777777" w:rsidR="00007402" w:rsidRDefault="00007402" w:rsidP="00007402">
      <w:pPr>
        <w:spacing w:line="360" w:lineRule="auto"/>
        <w:rPr>
          <w:rFonts w:ascii="Arial" w:hAnsi="Arial" w:cs="Arial"/>
          <w:sz w:val="22"/>
          <w:szCs w:val="22"/>
        </w:rPr>
      </w:pPr>
      <w:r w:rsidRPr="00096819">
        <w:rPr>
          <w:rFonts w:ascii="Arial" w:hAnsi="Arial" w:cs="Arial"/>
          <w:sz w:val="22"/>
          <w:szCs w:val="22"/>
        </w:rPr>
        <w:t xml:space="preserve">Parand, A. et al. (2023) ‘Communication failures in patient safety’, </w:t>
      </w:r>
      <w:r w:rsidRPr="00096819">
        <w:rPr>
          <w:rFonts w:ascii="Arial" w:hAnsi="Arial" w:cs="Arial"/>
          <w:i/>
          <w:iCs/>
          <w:sz w:val="22"/>
          <w:szCs w:val="22"/>
        </w:rPr>
        <w:t>Safety Science</w:t>
      </w:r>
      <w:r w:rsidRPr="00096819">
        <w:rPr>
          <w:rFonts w:ascii="Arial" w:hAnsi="Arial" w:cs="Arial"/>
          <w:sz w:val="22"/>
          <w:szCs w:val="22"/>
        </w:rPr>
        <w:t>, 161, pp.1-9.</w:t>
      </w:r>
    </w:p>
    <w:p w14:paraId="609FDABB" w14:textId="77777777" w:rsidR="00007402" w:rsidRDefault="00007402" w:rsidP="00007402">
      <w:pPr>
        <w:spacing w:line="360" w:lineRule="auto"/>
        <w:rPr>
          <w:rFonts w:ascii="Arial" w:hAnsi="Arial" w:cs="Arial"/>
          <w:sz w:val="22"/>
          <w:szCs w:val="22"/>
        </w:rPr>
      </w:pPr>
      <w:r w:rsidRPr="00096819">
        <w:rPr>
          <w:rFonts w:ascii="Arial" w:hAnsi="Arial" w:cs="Arial"/>
          <w:sz w:val="22"/>
          <w:szCs w:val="22"/>
        </w:rPr>
        <w:t xml:space="preserve">SCIE (2023) </w:t>
      </w:r>
      <w:r w:rsidRPr="00096819">
        <w:rPr>
          <w:rFonts w:ascii="Arial" w:hAnsi="Arial" w:cs="Arial"/>
          <w:i/>
          <w:iCs/>
          <w:sz w:val="22"/>
          <w:szCs w:val="22"/>
        </w:rPr>
        <w:t>Strengths-based practice</w:t>
      </w:r>
      <w:r w:rsidRPr="00096819">
        <w:rPr>
          <w:rFonts w:ascii="Arial" w:hAnsi="Arial" w:cs="Arial"/>
          <w:sz w:val="22"/>
          <w:szCs w:val="22"/>
        </w:rPr>
        <w:t xml:space="preserve">. Available at: </w:t>
      </w:r>
      <w:hyperlink r:id="rId15" w:tgtFrame="_new" w:history="1">
        <w:r w:rsidRPr="00096819">
          <w:rPr>
            <w:rStyle w:val="Hyperlink"/>
            <w:rFonts w:ascii="Arial" w:hAnsi="Arial" w:cs="Arial"/>
            <w:sz w:val="22"/>
            <w:szCs w:val="22"/>
          </w:rPr>
          <w:t>https://www.scie.org.uk</w:t>
        </w:r>
      </w:hyperlink>
    </w:p>
    <w:p w14:paraId="72C9CA44" w14:textId="77777777" w:rsidR="00CE0FC3" w:rsidRDefault="00096819" w:rsidP="00CE0FC3">
      <w:pPr>
        <w:spacing w:line="360" w:lineRule="auto"/>
        <w:jc w:val="both"/>
        <w:rPr>
          <w:rFonts w:ascii="Arial" w:hAnsi="Arial" w:cs="Arial"/>
          <w:sz w:val="22"/>
          <w:szCs w:val="22"/>
        </w:rPr>
      </w:pPr>
      <w:r w:rsidRPr="00096819">
        <w:rPr>
          <w:rFonts w:ascii="Arial" w:hAnsi="Arial" w:cs="Arial"/>
          <w:sz w:val="22"/>
          <w:szCs w:val="22"/>
        </w:rPr>
        <w:t xml:space="preserve">Tadd, W. et al. (2024) ‘Ethical care for older people’, </w:t>
      </w:r>
      <w:r w:rsidRPr="00096819">
        <w:rPr>
          <w:rFonts w:ascii="Arial" w:hAnsi="Arial" w:cs="Arial"/>
          <w:i/>
          <w:iCs/>
          <w:sz w:val="22"/>
          <w:szCs w:val="22"/>
        </w:rPr>
        <w:t>Journal of Medical Ethics</w:t>
      </w:r>
      <w:r w:rsidRPr="00096819">
        <w:rPr>
          <w:rFonts w:ascii="Arial" w:hAnsi="Arial" w:cs="Arial"/>
          <w:sz w:val="22"/>
          <w:szCs w:val="22"/>
        </w:rPr>
        <w:t>, 50(1), pp.44-50.</w:t>
      </w:r>
    </w:p>
    <w:p w14:paraId="0773077B" w14:textId="77777777" w:rsidR="00007402" w:rsidRDefault="00007402" w:rsidP="00007402">
      <w:pPr>
        <w:spacing w:line="360" w:lineRule="auto"/>
        <w:rPr>
          <w:rFonts w:ascii="Arial" w:hAnsi="Arial" w:cs="Arial"/>
          <w:sz w:val="22"/>
          <w:szCs w:val="22"/>
        </w:rPr>
      </w:pPr>
      <w:r w:rsidRPr="00096819">
        <w:rPr>
          <w:rFonts w:ascii="Arial" w:hAnsi="Arial" w:cs="Arial"/>
          <w:sz w:val="22"/>
          <w:szCs w:val="22"/>
        </w:rPr>
        <w:t xml:space="preserve">Tarricone, R. and </w:t>
      </w:r>
      <w:proofErr w:type="spellStart"/>
      <w:r w:rsidRPr="00096819">
        <w:rPr>
          <w:rFonts w:ascii="Arial" w:hAnsi="Arial" w:cs="Arial"/>
          <w:sz w:val="22"/>
          <w:szCs w:val="22"/>
        </w:rPr>
        <w:t>Tsouros</w:t>
      </w:r>
      <w:proofErr w:type="spellEnd"/>
      <w:r w:rsidRPr="00096819">
        <w:rPr>
          <w:rFonts w:ascii="Arial" w:hAnsi="Arial" w:cs="Arial"/>
          <w:sz w:val="22"/>
          <w:szCs w:val="22"/>
        </w:rPr>
        <w:t xml:space="preserve">, A. (2021) ‘Person-centred long-term care’, </w:t>
      </w:r>
      <w:r w:rsidRPr="00096819">
        <w:rPr>
          <w:rFonts w:ascii="Arial" w:hAnsi="Arial" w:cs="Arial"/>
          <w:i/>
          <w:iCs/>
          <w:sz w:val="22"/>
          <w:szCs w:val="22"/>
        </w:rPr>
        <w:t>European Journal of Public Health</w:t>
      </w:r>
      <w:r w:rsidRPr="00096819">
        <w:rPr>
          <w:rFonts w:ascii="Arial" w:hAnsi="Arial" w:cs="Arial"/>
          <w:sz w:val="22"/>
          <w:szCs w:val="22"/>
        </w:rPr>
        <w:t>, 31(2), pp.265-272.</w:t>
      </w:r>
    </w:p>
    <w:p w14:paraId="1ABA1E40" w14:textId="13F8CEEE" w:rsidR="00CE0FC3" w:rsidRDefault="00096819" w:rsidP="00007402">
      <w:pPr>
        <w:spacing w:line="360" w:lineRule="auto"/>
        <w:jc w:val="both"/>
        <w:rPr>
          <w:rFonts w:ascii="Arial" w:hAnsi="Arial" w:cs="Arial"/>
          <w:sz w:val="22"/>
          <w:szCs w:val="22"/>
        </w:rPr>
      </w:pPr>
      <w:r w:rsidRPr="00096819">
        <w:rPr>
          <w:rFonts w:ascii="Arial" w:hAnsi="Arial" w:cs="Arial"/>
          <w:sz w:val="22"/>
          <w:szCs w:val="22"/>
        </w:rPr>
        <w:t xml:space="preserve">The King’s Fund (2023) </w:t>
      </w:r>
      <w:r w:rsidRPr="00096819">
        <w:rPr>
          <w:rFonts w:ascii="Arial" w:hAnsi="Arial" w:cs="Arial"/>
          <w:i/>
          <w:iCs/>
          <w:sz w:val="22"/>
          <w:szCs w:val="22"/>
        </w:rPr>
        <w:t>Integrated Care Systems Explained</w:t>
      </w:r>
      <w:r w:rsidRPr="00096819">
        <w:rPr>
          <w:rFonts w:ascii="Arial" w:hAnsi="Arial" w:cs="Arial"/>
          <w:sz w:val="22"/>
          <w:szCs w:val="22"/>
        </w:rPr>
        <w:t xml:space="preserve">. Available at: </w:t>
      </w:r>
      <w:hyperlink r:id="rId16" w:tgtFrame="_new" w:history="1">
        <w:r w:rsidRPr="00096819">
          <w:rPr>
            <w:rStyle w:val="Hyperlink"/>
            <w:rFonts w:ascii="Arial" w:hAnsi="Arial" w:cs="Arial"/>
            <w:sz w:val="22"/>
            <w:szCs w:val="22"/>
          </w:rPr>
          <w:t>https://www.kingsfund.org.uk</w:t>
        </w:r>
      </w:hyperlink>
    </w:p>
    <w:p w14:paraId="7DE74D16" w14:textId="0823F692" w:rsidR="00096819" w:rsidRPr="00096819" w:rsidRDefault="00096819" w:rsidP="00CE0FC3">
      <w:pPr>
        <w:spacing w:line="360" w:lineRule="auto"/>
        <w:rPr>
          <w:rFonts w:ascii="Arial" w:hAnsi="Arial" w:cs="Arial"/>
          <w:sz w:val="22"/>
          <w:szCs w:val="22"/>
        </w:rPr>
      </w:pPr>
      <w:r w:rsidRPr="00096819">
        <w:rPr>
          <w:rFonts w:ascii="Arial" w:hAnsi="Arial" w:cs="Arial"/>
          <w:sz w:val="22"/>
          <w:szCs w:val="22"/>
        </w:rPr>
        <w:t xml:space="preserve">WHO (2021) </w:t>
      </w:r>
      <w:r w:rsidRPr="00096819">
        <w:rPr>
          <w:rFonts w:ascii="Arial" w:hAnsi="Arial" w:cs="Arial"/>
          <w:i/>
          <w:iCs/>
          <w:sz w:val="22"/>
          <w:szCs w:val="22"/>
        </w:rPr>
        <w:t>Ageing and Integrated Care Guidance</w:t>
      </w:r>
      <w:r w:rsidRPr="00096819">
        <w:rPr>
          <w:rFonts w:ascii="Arial" w:hAnsi="Arial" w:cs="Arial"/>
          <w:sz w:val="22"/>
          <w:szCs w:val="22"/>
        </w:rPr>
        <w:t>. Geneva: World Health Organization.</w:t>
      </w:r>
    </w:p>
    <w:p w14:paraId="4771B41D" w14:textId="77777777" w:rsidR="00E51ABF" w:rsidRPr="008D5141" w:rsidRDefault="00E51ABF" w:rsidP="00CE0FC3">
      <w:pPr>
        <w:spacing w:line="360" w:lineRule="auto"/>
        <w:rPr>
          <w:rFonts w:ascii="Arial" w:hAnsi="Arial" w:cs="Arial"/>
          <w:sz w:val="22"/>
          <w:szCs w:val="22"/>
        </w:rPr>
      </w:pPr>
    </w:p>
    <w:sectPr w:rsidR="00E51ABF" w:rsidRPr="008D5141" w:rsidSect="00730FA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02F0A"/>
    <w:multiLevelType w:val="multilevel"/>
    <w:tmpl w:val="9F086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7BF1FD6"/>
    <w:multiLevelType w:val="multilevel"/>
    <w:tmpl w:val="38CA1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832658C"/>
    <w:multiLevelType w:val="hybridMultilevel"/>
    <w:tmpl w:val="121CFE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C7A2FFB"/>
    <w:multiLevelType w:val="hybridMultilevel"/>
    <w:tmpl w:val="C6CE7E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87878713">
    <w:abstractNumId w:val="1"/>
  </w:num>
  <w:num w:numId="2" w16cid:durableId="604846244">
    <w:abstractNumId w:val="0"/>
  </w:num>
  <w:num w:numId="3" w16cid:durableId="970090511">
    <w:abstractNumId w:val="3"/>
  </w:num>
  <w:num w:numId="4" w16cid:durableId="59186499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7"/>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6819"/>
    <w:rsid w:val="00007402"/>
    <w:rsid w:val="00096819"/>
    <w:rsid w:val="0020289D"/>
    <w:rsid w:val="00233328"/>
    <w:rsid w:val="00331CB3"/>
    <w:rsid w:val="004E7710"/>
    <w:rsid w:val="005C7CA1"/>
    <w:rsid w:val="00730FAE"/>
    <w:rsid w:val="007B5296"/>
    <w:rsid w:val="008D5141"/>
    <w:rsid w:val="00AC7A65"/>
    <w:rsid w:val="00CD6AF7"/>
    <w:rsid w:val="00CE0FC3"/>
    <w:rsid w:val="00DC1E02"/>
    <w:rsid w:val="00E51ABF"/>
    <w:rsid w:val="00E7050A"/>
    <w:rsid w:val="00F838C7"/>
  </w:rsids>
  <m:mathPr>
    <m:mathFont m:val="Cambria Math"/>
    <m:brkBin m:val="before"/>
    <m:brkBinSub m:val="--"/>
    <m:smallFrac m:val="0"/>
    <m:dispDef/>
    <m:lMargin m:val="0"/>
    <m:rMargin m:val="0"/>
    <m:defJc m:val="centerGroup"/>
    <m:wrapIndent m:val="1440"/>
    <m:intLim m:val="subSup"/>
    <m:naryLim m:val="undOvr"/>
  </m:mathPr>
  <w:themeFontLang w:val="en-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55EC3F"/>
  <w15:chartTrackingRefBased/>
  <w15:docId w15:val="{0329E7F9-75A5-4291-9A19-57EB5B70EC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7A65"/>
    <w:pPr>
      <w:spacing w:after="0" w:line="360" w:lineRule="auto"/>
      <w:jc w:val="both"/>
      <w:outlineLvl w:val="0"/>
    </w:pPr>
    <w:rPr>
      <w:rFonts w:ascii="Arial" w:hAnsi="Arial" w:cs="Arial"/>
      <w:b/>
      <w:bCs/>
    </w:rPr>
  </w:style>
  <w:style w:type="paragraph" w:styleId="Heading2">
    <w:name w:val="heading 2"/>
    <w:basedOn w:val="Normal"/>
    <w:next w:val="Normal"/>
    <w:link w:val="Heading2Char"/>
    <w:uiPriority w:val="9"/>
    <w:semiHidden/>
    <w:unhideWhenUsed/>
    <w:qFormat/>
    <w:rsid w:val="0009681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9681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9681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9681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9681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9681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9681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9681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7A65"/>
    <w:rPr>
      <w:rFonts w:ascii="Arial" w:hAnsi="Arial" w:cs="Arial"/>
      <w:b/>
      <w:bCs/>
    </w:rPr>
  </w:style>
  <w:style w:type="character" w:customStyle="1" w:styleId="Heading2Char">
    <w:name w:val="Heading 2 Char"/>
    <w:basedOn w:val="DefaultParagraphFont"/>
    <w:link w:val="Heading2"/>
    <w:uiPriority w:val="9"/>
    <w:semiHidden/>
    <w:rsid w:val="0009681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9681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9681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9681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9681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9681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9681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96819"/>
    <w:rPr>
      <w:rFonts w:eastAsiaTheme="majorEastAsia" w:cstheme="majorBidi"/>
      <w:color w:val="272727" w:themeColor="text1" w:themeTint="D8"/>
    </w:rPr>
  </w:style>
  <w:style w:type="paragraph" w:styleId="Title">
    <w:name w:val="Title"/>
    <w:basedOn w:val="Normal"/>
    <w:next w:val="Normal"/>
    <w:link w:val="TitleChar"/>
    <w:uiPriority w:val="10"/>
    <w:qFormat/>
    <w:rsid w:val="0009681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9681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9681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9681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96819"/>
    <w:pPr>
      <w:spacing w:before="160"/>
      <w:jc w:val="center"/>
    </w:pPr>
    <w:rPr>
      <w:i/>
      <w:iCs/>
      <w:color w:val="404040" w:themeColor="text1" w:themeTint="BF"/>
    </w:rPr>
  </w:style>
  <w:style w:type="character" w:customStyle="1" w:styleId="QuoteChar">
    <w:name w:val="Quote Char"/>
    <w:basedOn w:val="DefaultParagraphFont"/>
    <w:link w:val="Quote"/>
    <w:uiPriority w:val="29"/>
    <w:rsid w:val="00096819"/>
    <w:rPr>
      <w:i/>
      <w:iCs/>
      <w:color w:val="404040" w:themeColor="text1" w:themeTint="BF"/>
    </w:rPr>
  </w:style>
  <w:style w:type="paragraph" w:styleId="ListParagraph">
    <w:name w:val="List Paragraph"/>
    <w:basedOn w:val="Normal"/>
    <w:uiPriority w:val="34"/>
    <w:qFormat/>
    <w:rsid w:val="00096819"/>
    <w:pPr>
      <w:ind w:left="720"/>
      <w:contextualSpacing/>
    </w:pPr>
  </w:style>
  <w:style w:type="character" w:styleId="IntenseEmphasis">
    <w:name w:val="Intense Emphasis"/>
    <w:basedOn w:val="DefaultParagraphFont"/>
    <w:uiPriority w:val="21"/>
    <w:qFormat/>
    <w:rsid w:val="00096819"/>
    <w:rPr>
      <w:i/>
      <w:iCs/>
      <w:color w:val="2F5496" w:themeColor="accent1" w:themeShade="BF"/>
    </w:rPr>
  </w:style>
  <w:style w:type="paragraph" w:styleId="IntenseQuote">
    <w:name w:val="Intense Quote"/>
    <w:basedOn w:val="Normal"/>
    <w:next w:val="Normal"/>
    <w:link w:val="IntenseQuoteChar"/>
    <w:uiPriority w:val="30"/>
    <w:qFormat/>
    <w:rsid w:val="0009681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96819"/>
    <w:rPr>
      <w:i/>
      <w:iCs/>
      <w:color w:val="2F5496" w:themeColor="accent1" w:themeShade="BF"/>
    </w:rPr>
  </w:style>
  <w:style w:type="character" w:styleId="IntenseReference">
    <w:name w:val="Intense Reference"/>
    <w:basedOn w:val="DefaultParagraphFont"/>
    <w:uiPriority w:val="32"/>
    <w:qFormat/>
    <w:rsid w:val="00096819"/>
    <w:rPr>
      <w:b/>
      <w:bCs/>
      <w:smallCaps/>
      <w:color w:val="2F5496" w:themeColor="accent1" w:themeShade="BF"/>
      <w:spacing w:val="5"/>
    </w:rPr>
  </w:style>
  <w:style w:type="character" w:styleId="Hyperlink">
    <w:name w:val="Hyperlink"/>
    <w:basedOn w:val="DefaultParagraphFont"/>
    <w:uiPriority w:val="99"/>
    <w:unhideWhenUsed/>
    <w:rsid w:val="00096819"/>
    <w:rPr>
      <w:color w:val="0563C1" w:themeColor="hyperlink"/>
      <w:u w:val="single"/>
    </w:rPr>
  </w:style>
  <w:style w:type="character" w:styleId="UnresolvedMention">
    <w:name w:val="Unresolved Mention"/>
    <w:basedOn w:val="DefaultParagraphFont"/>
    <w:uiPriority w:val="99"/>
    <w:semiHidden/>
    <w:unhideWhenUsed/>
    <w:rsid w:val="00096819"/>
    <w:rPr>
      <w:color w:val="605E5C"/>
      <w:shd w:val="clear" w:color="auto" w:fill="E1DFDD"/>
    </w:rPr>
  </w:style>
  <w:style w:type="table" w:styleId="TableGrid">
    <w:name w:val="Table Grid"/>
    <w:basedOn w:val="TableNormal"/>
    <w:uiPriority w:val="39"/>
    <w:rsid w:val="005C7C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qc.org.uk/guidance-regulation" TargetMode="External"/><Relationship Id="rId13" Type="http://schemas.openxmlformats.org/officeDocument/2006/relationships/hyperlink" Target="https://www.england.nhs.uk/personalisedcare"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legislation.gov.uk/ukpga/2014/23/contents?utm_source=chatgpt.com" TargetMode="External"/><Relationship Id="rId12" Type="http://schemas.openxmlformats.org/officeDocument/2006/relationships/hyperlink" Target="https://www.legislation.gov.uk"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kingsfund.org.uk" TargetMode="External"/><Relationship Id="rId1" Type="http://schemas.openxmlformats.org/officeDocument/2006/relationships/numbering" Target="numbering.xml"/><Relationship Id="rId6" Type="http://schemas.openxmlformats.org/officeDocument/2006/relationships/image" Target="cid:image001.png@01D0EA4A.2BD679A0" TargetMode="External"/><Relationship Id="rId11" Type="http://schemas.openxmlformats.org/officeDocument/2006/relationships/hyperlink" Target="https://www.legislation.gov.uk" TargetMode="External"/><Relationship Id="rId5" Type="http://schemas.openxmlformats.org/officeDocument/2006/relationships/image" Target="media/image1.png"/><Relationship Id="rId15" Type="http://schemas.openxmlformats.org/officeDocument/2006/relationships/hyperlink" Target="https://www.scie.org.uk" TargetMode="External"/><Relationship Id="rId10" Type="http://schemas.openxmlformats.org/officeDocument/2006/relationships/hyperlink" Target="https://www.legislation.gov.uk/ukpga/2022/31" TargetMode="External"/><Relationship Id="rId4" Type="http://schemas.openxmlformats.org/officeDocument/2006/relationships/webSettings" Target="webSettings.xml"/><Relationship Id="rId9" Type="http://schemas.openxmlformats.org/officeDocument/2006/relationships/hyperlink" Target="https://www.hcpc-uk.org" TargetMode="External"/><Relationship Id="rId14" Type="http://schemas.openxmlformats.org/officeDocument/2006/relationships/hyperlink" Target="https://www.england.nhs.uk/integratedca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106</TotalTime>
  <Pages>9</Pages>
  <Words>2627</Words>
  <Characters>14977</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2</cp:revision>
  <dcterms:created xsi:type="dcterms:W3CDTF">2025-10-24T04:03:00Z</dcterms:created>
  <dcterms:modified xsi:type="dcterms:W3CDTF">2025-10-24T06:04:00Z</dcterms:modified>
</cp:coreProperties>
</file>