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2F750" w14:textId="40E40EAC" w:rsidR="007368A6" w:rsidRPr="007368A6" w:rsidRDefault="007368A6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 xml:space="preserve">Katie Burdett Homework </w:t>
      </w:r>
      <w:r w:rsidR="0012137C">
        <w:rPr>
          <w:b/>
          <w:bCs/>
          <w:sz w:val="24"/>
          <w:szCs w:val="24"/>
        </w:rPr>
        <w:t>14</w:t>
      </w:r>
      <w:r w:rsidRPr="007368A6">
        <w:rPr>
          <w:b/>
          <w:bCs/>
          <w:sz w:val="24"/>
          <w:szCs w:val="24"/>
        </w:rPr>
        <w:t>/02/2024</w:t>
      </w:r>
    </w:p>
    <w:p w14:paraId="46142BFF" w14:textId="733CE10F" w:rsidR="0012137C" w:rsidRDefault="00086430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Translation. Sat.</w:t>
      </w:r>
      <w:r w:rsidR="0012137C">
        <w:rPr>
          <w:b/>
          <w:bCs/>
          <w:sz w:val="24"/>
          <w:szCs w:val="24"/>
        </w:rPr>
        <w:t xml:space="preserve"> 30</w:t>
      </w:r>
    </w:p>
    <w:p w14:paraId="64CCFE14" w14:textId="77777777" w:rsidR="0012137C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It was even now not permitted to inspect the furthest… We now had come through to the </w:t>
      </w:r>
    </w:p>
    <w:p w14:paraId="497C40B1" w14:textId="77777777" w:rsidR="0012137C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dining room where in the first part an administrator was attending to the accounts. I </w:t>
      </w:r>
      <w:proofErr w:type="gramStart"/>
      <w:r>
        <w:rPr>
          <w:sz w:val="24"/>
          <w:szCs w:val="24"/>
        </w:rPr>
        <w:t>was</w:t>
      </w:r>
      <w:proofErr w:type="gramEnd"/>
      <w:r>
        <w:rPr>
          <w:sz w:val="24"/>
          <w:szCs w:val="24"/>
        </w:rPr>
        <w:t xml:space="preserve"> </w:t>
      </w:r>
    </w:p>
    <w:p w14:paraId="00EC7A0B" w14:textId="77777777" w:rsidR="0012137C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eminently amazed there was a bundle of rods and axes fixed to the doorpost, which </w:t>
      </w:r>
      <w:proofErr w:type="gramStart"/>
      <w:r>
        <w:rPr>
          <w:sz w:val="24"/>
          <w:szCs w:val="24"/>
        </w:rPr>
        <w:t>were</w:t>
      </w:r>
      <w:proofErr w:type="gramEnd"/>
      <w:r>
        <w:rPr>
          <w:sz w:val="24"/>
          <w:szCs w:val="24"/>
        </w:rPr>
        <w:t xml:space="preserve"> </w:t>
      </w:r>
    </w:p>
    <w:p w14:paraId="243C38B2" w14:textId="3ECAB0C6" w:rsidR="0012137C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enclosed at the bottom partly as if by a copper beak of a ship, on which was the writing:</w:t>
      </w:r>
    </w:p>
    <w:p w14:paraId="62A532AC" w14:textId="0B12B0DF" w:rsidR="0012137C" w:rsidRDefault="0012137C" w:rsidP="00247443">
      <w:pPr>
        <w:spacing w:after="240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“Gaius Pompeius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sevir</w:t>
      </w:r>
      <w:proofErr w:type="spellEnd"/>
      <w:r>
        <w:rPr>
          <w:sz w:val="24"/>
          <w:szCs w:val="24"/>
        </w:rPr>
        <w:t xml:space="preserve"> of Augustus, by </w:t>
      </w:r>
      <w:proofErr w:type="spellStart"/>
      <w:r>
        <w:rPr>
          <w:sz w:val="24"/>
          <w:szCs w:val="24"/>
        </w:rPr>
        <w:t>Cinnamus</w:t>
      </w:r>
      <w:proofErr w:type="spellEnd"/>
      <w:r>
        <w:rPr>
          <w:sz w:val="24"/>
          <w:szCs w:val="24"/>
        </w:rPr>
        <w:t xml:space="preserve"> the steward.”</w:t>
      </w:r>
    </w:p>
    <w:p w14:paraId="66F7AD5B" w14:textId="77777777" w:rsidR="0012137C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And an oil lamp with two wicks, with the same inscription was hanging under the </w:t>
      </w:r>
      <w:proofErr w:type="gramStart"/>
      <w:r>
        <w:rPr>
          <w:sz w:val="24"/>
          <w:szCs w:val="24"/>
        </w:rPr>
        <w:t>vaulted</w:t>
      </w:r>
      <w:proofErr w:type="gramEnd"/>
      <w:r>
        <w:rPr>
          <w:sz w:val="24"/>
          <w:szCs w:val="24"/>
        </w:rPr>
        <w:t xml:space="preserve"> </w:t>
      </w:r>
    </w:p>
    <w:p w14:paraId="1DFC3ED4" w14:textId="77777777" w:rsidR="00247443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roof, and two tablets were fixed on both sides of the doorpost, of which one, if I remember </w:t>
      </w:r>
    </w:p>
    <w:p w14:paraId="6D2CE308" w14:textId="782AD362" w:rsidR="0012137C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well, had this inscription:</w:t>
      </w:r>
    </w:p>
    <w:p w14:paraId="1DD0DC4E" w14:textId="72033A69" w:rsidR="00086430" w:rsidRPr="007368A6" w:rsidRDefault="0012137C" w:rsidP="00247443">
      <w:pPr>
        <w:spacing w:after="240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“On the first day of January and on the previous day, our Gaius dines </w:t>
      </w:r>
      <w:proofErr w:type="gramStart"/>
      <w:r>
        <w:rPr>
          <w:sz w:val="24"/>
          <w:szCs w:val="24"/>
        </w:rPr>
        <w:t>out”</w:t>
      </w:r>
      <w:proofErr w:type="gramEnd"/>
      <w:r>
        <w:rPr>
          <w:sz w:val="24"/>
          <w:szCs w:val="24"/>
        </w:rPr>
        <w:t xml:space="preserve"> </w:t>
      </w:r>
    </w:p>
    <w:p w14:paraId="27DA7CC1" w14:textId="77777777" w:rsidR="00086430" w:rsidRPr="007368A6" w:rsidRDefault="00086430" w:rsidP="00247443">
      <w:pPr>
        <w:spacing w:after="240"/>
        <w:rPr>
          <w:sz w:val="24"/>
          <w:szCs w:val="24"/>
        </w:rPr>
      </w:pPr>
    </w:p>
    <w:p w14:paraId="72106043" w14:textId="2C1C738F" w:rsidR="00086430" w:rsidRPr="007368A6" w:rsidRDefault="00086430" w:rsidP="00247443">
      <w:pPr>
        <w:spacing w:after="240"/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Commentary Sat.</w:t>
      </w:r>
      <w:r w:rsidR="0012137C">
        <w:rPr>
          <w:b/>
          <w:bCs/>
          <w:sz w:val="24"/>
          <w:szCs w:val="24"/>
        </w:rPr>
        <w:t>32</w:t>
      </w:r>
    </w:p>
    <w:p w14:paraId="319E3730" w14:textId="77777777" w:rsidR="004A012D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Throughout Petronius’ Satyricon,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 uses symbols above his station which </w:t>
      </w:r>
      <w:proofErr w:type="gramStart"/>
      <w:r>
        <w:rPr>
          <w:sz w:val="24"/>
          <w:szCs w:val="24"/>
        </w:rPr>
        <w:t>skirted</w:t>
      </w:r>
      <w:proofErr w:type="gramEnd"/>
      <w:r>
        <w:rPr>
          <w:sz w:val="24"/>
          <w:szCs w:val="24"/>
        </w:rPr>
        <w:t xml:space="preserve"> </w:t>
      </w:r>
    </w:p>
    <w:p w14:paraId="333DF85C" w14:textId="710317F7" w:rsidR="004A012D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legality. In Sat.29, the </w:t>
      </w:r>
      <w:proofErr w:type="gramStart"/>
      <w:r>
        <w:rPr>
          <w:sz w:val="24"/>
          <w:szCs w:val="24"/>
        </w:rPr>
        <w:t>rods</w:t>
      </w:r>
      <w:proofErr w:type="gramEnd"/>
      <w:r>
        <w:rPr>
          <w:sz w:val="24"/>
          <w:szCs w:val="24"/>
        </w:rPr>
        <w:t xml:space="preserve"> and axes, ‘fasces’ and ‘</w:t>
      </w:r>
      <w:proofErr w:type="spellStart"/>
      <w:r>
        <w:rPr>
          <w:sz w:val="24"/>
          <w:szCs w:val="24"/>
        </w:rPr>
        <w:t>securibus</w:t>
      </w:r>
      <w:proofErr w:type="spellEnd"/>
      <w:r>
        <w:rPr>
          <w:sz w:val="24"/>
          <w:szCs w:val="24"/>
        </w:rPr>
        <w:t xml:space="preserve">’ were usually carried by the </w:t>
      </w:r>
    </w:p>
    <w:p w14:paraId="6B45B00E" w14:textId="77777777" w:rsidR="004A012D" w:rsidRDefault="0012137C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attendants of magistrates, not those who belonged to the Board of </w:t>
      </w:r>
      <w:r w:rsidR="00C97AF1">
        <w:rPr>
          <w:sz w:val="24"/>
          <w:szCs w:val="24"/>
        </w:rPr>
        <w:t xml:space="preserve">6, whose </w:t>
      </w:r>
      <w:proofErr w:type="gramStart"/>
      <w:r w:rsidR="00C97AF1">
        <w:rPr>
          <w:sz w:val="24"/>
          <w:szCs w:val="24"/>
        </w:rPr>
        <w:t>representatives</w:t>
      </w:r>
      <w:proofErr w:type="gramEnd"/>
      <w:r w:rsidR="00C97AF1">
        <w:rPr>
          <w:sz w:val="24"/>
          <w:szCs w:val="24"/>
        </w:rPr>
        <w:t xml:space="preserve"> </w:t>
      </w:r>
    </w:p>
    <w:p w14:paraId="2539E3F3" w14:textId="77777777" w:rsidR="004A012D" w:rsidRDefault="00C97AF1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were former slaves. The use of purple stripes, </w:t>
      </w:r>
      <w:r w:rsidR="00C8731F">
        <w:rPr>
          <w:sz w:val="24"/>
          <w:szCs w:val="24"/>
        </w:rPr>
        <w:t>‘</w:t>
      </w:r>
      <w:proofErr w:type="spellStart"/>
      <w:r w:rsidR="00C8731F">
        <w:rPr>
          <w:sz w:val="24"/>
          <w:szCs w:val="24"/>
        </w:rPr>
        <w:t>laticlavius</w:t>
      </w:r>
      <w:proofErr w:type="spellEnd"/>
      <w:r w:rsidR="00C8731F">
        <w:rPr>
          <w:sz w:val="24"/>
          <w:szCs w:val="24"/>
        </w:rPr>
        <w:t xml:space="preserve">’, was representative of senators, so </w:t>
      </w:r>
    </w:p>
    <w:p w14:paraId="1C02EEA6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high office, who had a purple stripe on their togas.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 has mimicked this with the </w:t>
      </w:r>
    </w:p>
    <w:p w14:paraId="462A4961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stripe on his napkin. Gold rings were only allowed to be worn by Roman knights, ‘</w:t>
      </w:r>
      <w:proofErr w:type="gramStart"/>
      <w:r>
        <w:rPr>
          <w:sz w:val="24"/>
          <w:szCs w:val="24"/>
        </w:rPr>
        <w:t>equites’</w:t>
      </w:r>
      <w:proofErr w:type="gramEnd"/>
      <w:r>
        <w:rPr>
          <w:sz w:val="24"/>
          <w:szCs w:val="24"/>
        </w:rPr>
        <w:t xml:space="preserve"> </w:t>
      </w:r>
    </w:p>
    <w:p w14:paraId="0E2073DC" w14:textId="378A0D3A" w:rsidR="00C8731F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and this was imitated by </w:t>
      </w:r>
      <w:proofErr w:type="spellStart"/>
      <w:r>
        <w:rPr>
          <w:sz w:val="24"/>
          <w:szCs w:val="24"/>
        </w:rPr>
        <w:t>Trimalchio’s</w:t>
      </w:r>
      <w:proofErr w:type="spellEnd"/>
      <w:r>
        <w:rPr>
          <w:sz w:val="24"/>
          <w:szCs w:val="24"/>
        </w:rPr>
        <w:t xml:space="preserve"> gilt ring, ‘</w:t>
      </w:r>
      <w:proofErr w:type="spellStart"/>
      <w:r>
        <w:rPr>
          <w:sz w:val="24"/>
          <w:szCs w:val="24"/>
        </w:rPr>
        <w:t>anulum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grandem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subauratum</w:t>
      </w:r>
      <w:proofErr w:type="spellEnd"/>
      <w:r>
        <w:rPr>
          <w:sz w:val="24"/>
          <w:szCs w:val="24"/>
        </w:rPr>
        <w:t>.’</w:t>
      </w:r>
    </w:p>
    <w:p w14:paraId="4B1215D5" w14:textId="77777777" w:rsidR="004A012D" w:rsidRDefault="004A012D" w:rsidP="00247443">
      <w:pPr>
        <w:spacing w:after="240"/>
        <w:rPr>
          <w:sz w:val="24"/>
          <w:szCs w:val="24"/>
        </w:rPr>
      </w:pPr>
    </w:p>
    <w:p w14:paraId="17A5E8DC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As well as using symbols to which freedmen could not ever hope to attain, </w:t>
      </w:r>
      <w:proofErr w:type="spellStart"/>
      <w:proofErr w:type="gramStart"/>
      <w:r>
        <w:rPr>
          <w:sz w:val="24"/>
          <w:szCs w:val="24"/>
        </w:rPr>
        <w:t>Trimalchiom</w:t>
      </w:r>
      <w:proofErr w:type="spellEnd"/>
      <w:proofErr w:type="gramEnd"/>
      <w:r>
        <w:rPr>
          <w:sz w:val="24"/>
          <w:szCs w:val="24"/>
        </w:rPr>
        <w:t xml:space="preserve"> </w:t>
      </w:r>
    </w:p>
    <w:p w14:paraId="6A18C546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displays his wealth to excess as shown </w:t>
      </w:r>
      <w:proofErr w:type="gramStart"/>
      <w:r>
        <w:rPr>
          <w:sz w:val="24"/>
          <w:szCs w:val="24"/>
        </w:rPr>
        <w:t>through the use of</w:t>
      </w:r>
      <w:proofErr w:type="gramEnd"/>
      <w:r>
        <w:rPr>
          <w:sz w:val="24"/>
          <w:szCs w:val="24"/>
        </w:rPr>
        <w:t xml:space="preserve"> colour. This idea of nouveau riche </w:t>
      </w:r>
    </w:p>
    <w:p w14:paraId="7D6A9933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continues today. ‘The Great Gatsby’ by F. Scott Fitzgerald had the working title, ‘</w:t>
      </w:r>
      <w:proofErr w:type="spellStart"/>
      <w:proofErr w:type="gramStart"/>
      <w:r>
        <w:rPr>
          <w:sz w:val="24"/>
          <w:szCs w:val="24"/>
        </w:rPr>
        <w:t>Trimalchio</w:t>
      </w:r>
      <w:proofErr w:type="spellEnd"/>
      <w:proofErr w:type="gramEnd"/>
      <w:r>
        <w:rPr>
          <w:sz w:val="24"/>
          <w:szCs w:val="24"/>
        </w:rPr>
        <w:t xml:space="preserve"> </w:t>
      </w:r>
    </w:p>
    <w:p w14:paraId="516BB1ED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at West Egg.’ As a slave,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 would not have had any possessions, so now freed and </w:t>
      </w:r>
    </w:p>
    <w:p w14:paraId="286C839E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wealthy he enjoys the ostentatious displays, </w:t>
      </w:r>
      <w:proofErr w:type="spellStart"/>
      <w:r>
        <w:rPr>
          <w:sz w:val="24"/>
          <w:szCs w:val="24"/>
        </w:rPr>
        <w:t>sych</w:t>
      </w:r>
      <w:proofErr w:type="spellEnd"/>
      <w:r>
        <w:rPr>
          <w:sz w:val="24"/>
          <w:szCs w:val="24"/>
        </w:rPr>
        <w:t xml:space="preserve"> as using purple, the most expensive </w:t>
      </w:r>
      <w:proofErr w:type="gramStart"/>
      <w:r>
        <w:rPr>
          <w:sz w:val="24"/>
          <w:szCs w:val="24"/>
        </w:rPr>
        <w:t>dye</w:t>
      </w:r>
      <w:proofErr w:type="gramEnd"/>
      <w:r>
        <w:rPr>
          <w:sz w:val="24"/>
          <w:szCs w:val="24"/>
        </w:rPr>
        <w:t xml:space="preserve"> </w:t>
      </w:r>
    </w:p>
    <w:p w14:paraId="15F21808" w14:textId="6D48E8BE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used at this time. It was known as ‘</w:t>
      </w:r>
      <w:r w:rsidR="00247443">
        <w:rPr>
          <w:sz w:val="24"/>
          <w:szCs w:val="24"/>
        </w:rPr>
        <w:t>Tyrian</w:t>
      </w:r>
      <w:r>
        <w:rPr>
          <w:sz w:val="24"/>
          <w:szCs w:val="24"/>
        </w:rPr>
        <w:t xml:space="preserve"> Purple’ (from Tyre in Lebanon) and the purple </w:t>
      </w:r>
      <w:proofErr w:type="gramStart"/>
      <w:r>
        <w:rPr>
          <w:sz w:val="24"/>
          <w:szCs w:val="24"/>
        </w:rPr>
        <w:t>was</w:t>
      </w:r>
      <w:proofErr w:type="gramEnd"/>
      <w:r>
        <w:rPr>
          <w:sz w:val="24"/>
          <w:szCs w:val="24"/>
        </w:rPr>
        <w:t xml:space="preserve"> </w:t>
      </w:r>
    </w:p>
    <w:p w14:paraId="5EAB80AD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made from the mucus of three species of </w:t>
      </w:r>
      <w:proofErr w:type="gramStart"/>
      <w:r>
        <w:rPr>
          <w:sz w:val="24"/>
          <w:szCs w:val="24"/>
        </w:rPr>
        <w:t>Mediterranean sea</w:t>
      </w:r>
      <w:proofErr w:type="gramEnd"/>
      <w:r>
        <w:rPr>
          <w:sz w:val="24"/>
          <w:szCs w:val="24"/>
        </w:rPr>
        <w:t xml:space="preserve"> snails and a pound in the 1</w:t>
      </w:r>
      <w:r w:rsidRPr="00C8731F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</w:t>
      </w:r>
    </w:p>
    <w:p w14:paraId="2EB6DDDB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Century C.E. would have cost half a Roman soldier’s annual </w:t>
      </w:r>
      <w:proofErr w:type="spellStart"/>
      <w:r>
        <w:rPr>
          <w:sz w:val="24"/>
          <w:szCs w:val="24"/>
        </w:rPr>
        <w:t>salasry</w:t>
      </w:r>
      <w:proofErr w:type="spellEnd"/>
      <w:r>
        <w:rPr>
          <w:sz w:val="24"/>
          <w:szCs w:val="24"/>
        </w:rPr>
        <w:t xml:space="preserve">. Pliny the Elder in his </w:t>
      </w:r>
    </w:p>
    <w:p w14:paraId="538CC1D4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Natural History Book IX Chapter 60 describes how the dye is made and that over a </w:t>
      </w:r>
      <w:proofErr w:type="gramStart"/>
      <w:r>
        <w:rPr>
          <w:sz w:val="24"/>
          <w:szCs w:val="24"/>
        </w:rPr>
        <w:t>thousand</w:t>
      </w:r>
      <w:proofErr w:type="gramEnd"/>
      <w:r>
        <w:rPr>
          <w:sz w:val="24"/>
          <w:szCs w:val="24"/>
        </w:rPr>
        <w:t xml:space="preserve"> </w:t>
      </w:r>
    </w:p>
    <w:p w14:paraId="20192CBA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snails are required to make an ounce of the dye. Red was representative of the </w:t>
      </w:r>
      <w:proofErr w:type="gramStart"/>
      <w:r>
        <w:rPr>
          <w:sz w:val="24"/>
          <w:szCs w:val="24"/>
        </w:rPr>
        <w:t>cloaks</w:t>
      </w:r>
      <w:proofErr w:type="gramEnd"/>
      <w:r>
        <w:rPr>
          <w:sz w:val="24"/>
          <w:szCs w:val="24"/>
        </w:rPr>
        <w:t xml:space="preserve"> </w:t>
      </w:r>
    </w:p>
    <w:p w14:paraId="20ABD9AF" w14:textId="77777777" w:rsidR="004A012D" w:rsidRDefault="00C8731F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generals wore and so is incongruous when worn by </w:t>
      </w:r>
      <w:proofErr w:type="spellStart"/>
      <w:r>
        <w:rPr>
          <w:sz w:val="24"/>
          <w:szCs w:val="24"/>
        </w:rPr>
        <w:t>Trimalchio</w:t>
      </w:r>
      <w:proofErr w:type="spellEnd"/>
      <w:r w:rsidR="0081192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81192E">
        <w:rPr>
          <w:sz w:val="24"/>
          <w:szCs w:val="24"/>
        </w:rPr>
        <w:t>‘</w:t>
      </w:r>
      <w:proofErr w:type="spellStart"/>
      <w:r w:rsidR="0081192E">
        <w:rPr>
          <w:sz w:val="24"/>
          <w:szCs w:val="24"/>
        </w:rPr>
        <w:t>pallio</w:t>
      </w:r>
      <w:proofErr w:type="spellEnd"/>
      <w:r w:rsidR="0081192E">
        <w:rPr>
          <w:sz w:val="24"/>
          <w:szCs w:val="24"/>
        </w:rPr>
        <w:t>…</w:t>
      </w:r>
      <w:proofErr w:type="spellStart"/>
      <w:r w:rsidR="0081192E">
        <w:rPr>
          <w:sz w:val="24"/>
          <w:szCs w:val="24"/>
        </w:rPr>
        <w:t>coccidneo</w:t>
      </w:r>
      <w:proofErr w:type="spellEnd"/>
      <w:r w:rsidR="0081192E">
        <w:rPr>
          <w:sz w:val="24"/>
          <w:szCs w:val="24"/>
        </w:rPr>
        <w:t xml:space="preserve">’. Again, </w:t>
      </w:r>
    </w:p>
    <w:p w14:paraId="2C94891F" w14:textId="77777777" w:rsidR="004A012D" w:rsidRDefault="0081192E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adopting the practices of those who he can never hope to be. (Pray Bober 1999:163). The </w:t>
      </w:r>
    </w:p>
    <w:p w14:paraId="6877FD38" w14:textId="77777777" w:rsidR="004A012D" w:rsidRDefault="0081192E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battle honours idea has been previously shown in the beak of the ship, Sat.30 ‘</w:t>
      </w:r>
      <w:proofErr w:type="spellStart"/>
      <w:proofErr w:type="gramStart"/>
      <w:r>
        <w:rPr>
          <w:sz w:val="24"/>
          <w:szCs w:val="24"/>
        </w:rPr>
        <w:t>embolum</w:t>
      </w:r>
      <w:proofErr w:type="spellEnd"/>
      <w:proofErr w:type="gramEnd"/>
      <w:r>
        <w:rPr>
          <w:sz w:val="24"/>
          <w:szCs w:val="24"/>
        </w:rPr>
        <w:t xml:space="preserve"> </w:t>
      </w:r>
    </w:p>
    <w:p w14:paraId="7DE603B8" w14:textId="77777777" w:rsidR="004A012D" w:rsidRDefault="0081192E" w:rsidP="00247443">
      <w:pPr>
        <w:spacing w:after="240"/>
        <w:rPr>
          <w:sz w:val="24"/>
          <w:szCs w:val="24"/>
        </w:rPr>
      </w:pPr>
      <w:proofErr w:type="spellStart"/>
      <w:r>
        <w:rPr>
          <w:sz w:val="24"/>
          <w:szCs w:val="24"/>
        </w:rPr>
        <w:t>navis</w:t>
      </w:r>
      <w:proofErr w:type="spellEnd"/>
      <w:r>
        <w:rPr>
          <w:sz w:val="24"/>
          <w:szCs w:val="24"/>
        </w:rPr>
        <w:t xml:space="preserve">’, which is a practice used by victorious admirals and seen in </w:t>
      </w:r>
      <w:r w:rsidR="00AB7022">
        <w:rPr>
          <w:sz w:val="24"/>
          <w:szCs w:val="24"/>
        </w:rPr>
        <w:t xml:space="preserve">Book VIII of Vergil’s Aeneid </w:t>
      </w:r>
    </w:p>
    <w:p w14:paraId="6276823F" w14:textId="77777777" w:rsidR="004A012D" w:rsidRDefault="00AB7022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where in </w:t>
      </w:r>
      <w:r w:rsidR="006208A5">
        <w:rPr>
          <w:sz w:val="24"/>
          <w:szCs w:val="24"/>
        </w:rPr>
        <w:t>‘</w:t>
      </w:r>
      <w:r>
        <w:rPr>
          <w:sz w:val="24"/>
          <w:szCs w:val="24"/>
        </w:rPr>
        <w:t xml:space="preserve">The Shield of Aeneas’ Agrippa’s </w:t>
      </w:r>
      <w:r w:rsidRPr="0012135A">
        <w:rPr>
          <w:sz w:val="24"/>
          <w:szCs w:val="24"/>
        </w:rPr>
        <w:t xml:space="preserve">temples shine with the beaked naval crown, his </w:t>
      </w:r>
    </w:p>
    <w:p w14:paraId="670E2A85" w14:textId="7C299643" w:rsidR="00AB7022" w:rsidRDefault="00AB7022" w:rsidP="00247443">
      <w:pPr>
        <w:spacing w:after="240"/>
        <w:rPr>
          <w:sz w:val="24"/>
          <w:szCs w:val="24"/>
        </w:rPr>
      </w:pPr>
      <w:r w:rsidRPr="0012135A">
        <w:rPr>
          <w:sz w:val="24"/>
          <w:szCs w:val="24"/>
        </w:rPr>
        <w:t>proud badge of war</w:t>
      </w:r>
      <w:r>
        <w:rPr>
          <w:sz w:val="24"/>
          <w:szCs w:val="24"/>
        </w:rPr>
        <w:t>, ‘</w:t>
      </w:r>
      <w:proofErr w:type="spellStart"/>
      <w:r>
        <w:rPr>
          <w:sz w:val="24"/>
          <w:szCs w:val="24"/>
        </w:rPr>
        <w:t>tempora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navali</w:t>
      </w:r>
      <w:proofErr w:type="spellEnd"/>
      <w:r>
        <w:rPr>
          <w:sz w:val="24"/>
          <w:szCs w:val="24"/>
        </w:rPr>
        <w:t xml:space="preserve"> fulgent rostrata corona.’</w:t>
      </w:r>
    </w:p>
    <w:p w14:paraId="0F518212" w14:textId="77777777" w:rsidR="004A012D" w:rsidRDefault="004A012D" w:rsidP="00247443">
      <w:pPr>
        <w:spacing w:after="240"/>
        <w:rPr>
          <w:sz w:val="24"/>
          <w:szCs w:val="24"/>
        </w:rPr>
      </w:pPr>
    </w:p>
    <w:p w14:paraId="69751A20" w14:textId="77777777" w:rsidR="004A012D" w:rsidRDefault="006208A5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 xml:space="preserve">Therefore, </w:t>
      </w:r>
      <w:proofErr w:type="spellStart"/>
      <w:r>
        <w:rPr>
          <w:sz w:val="24"/>
          <w:szCs w:val="24"/>
        </w:rPr>
        <w:t>Trimalchio</w:t>
      </w:r>
      <w:proofErr w:type="spellEnd"/>
      <w:r>
        <w:rPr>
          <w:sz w:val="24"/>
          <w:szCs w:val="24"/>
        </w:rPr>
        <w:t xml:space="preserve"> is a man, proud of his success, but wanting more than he will ever </w:t>
      </w:r>
      <w:proofErr w:type="gramStart"/>
      <w:r>
        <w:rPr>
          <w:sz w:val="24"/>
          <w:szCs w:val="24"/>
        </w:rPr>
        <w:t>be</w:t>
      </w:r>
      <w:proofErr w:type="gramEnd"/>
      <w:r>
        <w:rPr>
          <w:sz w:val="24"/>
          <w:szCs w:val="24"/>
        </w:rPr>
        <w:t xml:space="preserve"> </w:t>
      </w:r>
    </w:p>
    <w:p w14:paraId="334C4BCF" w14:textId="44F79753" w:rsidR="007368A6" w:rsidRDefault="006208A5" w:rsidP="00247443">
      <w:pPr>
        <w:spacing w:after="240"/>
        <w:rPr>
          <w:sz w:val="24"/>
          <w:szCs w:val="24"/>
        </w:rPr>
      </w:pPr>
      <w:r>
        <w:rPr>
          <w:sz w:val="24"/>
          <w:szCs w:val="24"/>
        </w:rPr>
        <w:t>able to achieve, envious of those who have these rights though birth.</w:t>
      </w:r>
    </w:p>
    <w:p w14:paraId="38BE2428" w14:textId="77777777" w:rsidR="004A012D" w:rsidRDefault="004A012D" w:rsidP="004827EC">
      <w:pPr>
        <w:rPr>
          <w:b/>
          <w:bCs/>
          <w:sz w:val="24"/>
          <w:szCs w:val="24"/>
        </w:rPr>
      </w:pPr>
    </w:p>
    <w:p w14:paraId="15B82416" w14:textId="4C7828B2" w:rsidR="004827EC" w:rsidRPr="007368A6" w:rsidRDefault="004827EC" w:rsidP="004827EC">
      <w:pPr>
        <w:rPr>
          <w:b/>
          <w:bCs/>
          <w:sz w:val="24"/>
          <w:szCs w:val="24"/>
        </w:rPr>
      </w:pPr>
      <w:r w:rsidRPr="007368A6">
        <w:rPr>
          <w:b/>
          <w:bCs/>
          <w:sz w:val="24"/>
          <w:szCs w:val="24"/>
        </w:rPr>
        <w:t>Bibliography:</w:t>
      </w:r>
    </w:p>
    <w:p w14:paraId="2FA82976" w14:textId="597C911C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Petronius. </w:t>
      </w:r>
      <w:r w:rsidR="00F61F7B">
        <w:rPr>
          <w:sz w:val="24"/>
          <w:szCs w:val="24"/>
        </w:rPr>
        <w:t>‘</w:t>
      </w:r>
      <w:r w:rsidRPr="007368A6">
        <w:rPr>
          <w:sz w:val="24"/>
          <w:szCs w:val="24"/>
        </w:rPr>
        <w:t>Satyricon.</w:t>
      </w:r>
      <w:r w:rsidR="00F61F7B">
        <w:rPr>
          <w:sz w:val="24"/>
          <w:szCs w:val="24"/>
        </w:rPr>
        <w:t>’</w:t>
      </w:r>
    </w:p>
    <w:p w14:paraId="614B57E6" w14:textId="76596F1B" w:rsidR="004827EC" w:rsidRPr="007368A6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Schmeling, Gareth. </w:t>
      </w:r>
      <w:r w:rsidR="00F61F7B">
        <w:rPr>
          <w:sz w:val="24"/>
          <w:szCs w:val="24"/>
        </w:rPr>
        <w:t>‘</w:t>
      </w:r>
      <w:r w:rsidRPr="007368A6">
        <w:rPr>
          <w:sz w:val="24"/>
          <w:szCs w:val="24"/>
        </w:rPr>
        <w:t xml:space="preserve">A Commentary on the </w:t>
      </w:r>
      <w:proofErr w:type="spellStart"/>
      <w:r w:rsidRPr="007368A6">
        <w:rPr>
          <w:sz w:val="24"/>
          <w:szCs w:val="24"/>
        </w:rPr>
        <w:t>Satyrica</w:t>
      </w:r>
      <w:proofErr w:type="spellEnd"/>
      <w:r w:rsidRPr="007368A6">
        <w:rPr>
          <w:sz w:val="24"/>
          <w:szCs w:val="24"/>
        </w:rPr>
        <w:t xml:space="preserve"> of Petronius.</w:t>
      </w:r>
      <w:r w:rsidR="00F61F7B">
        <w:rPr>
          <w:sz w:val="24"/>
          <w:szCs w:val="24"/>
        </w:rPr>
        <w:t>’</w:t>
      </w:r>
      <w:r w:rsidRPr="007368A6">
        <w:rPr>
          <w:sz w:val="24"/>
          <w:szCs w:val="24"/>
        </w:rPr>
        <w:t xml:space="preserve"> University of North Carolina Press, 2011.</w:t>
      </w:r>
    </w:p>
    <w:p w14:paraId="26B32980" w14:textId="45F97844" w:rsidR="00F61F7B" w:rsidRDefault="00F61F7B" w:rsidP="004827EC">
      <w:pPr>
        <w:rPr>
          <w:sz w:val="24"/>
          <w:szCs w:val="24"/>
        </w:rPr>
      </w:pPr>
      <w:r>
        <w:rPr>
          <w:sz w:val="24"/>
          <w:szCs w:val="24"/>
        </w:rPr>
        <w:t>Rackham, H. Translation ‘Natural History’ by Pliny. Harvard University Press, 1961.</w:t>
      </w:r>
    </w:p>
    <w:p w14:paraId="561FACD1" w14:textId="711C205E" w:rsidR="00F61F7B" w:rsidRDefault="00F61F7B" w:rsidP="004827EC">
      <w:pPr>
        <w:rPr>
          <w:sz w:val="24"/>
          <w:szCs w:val="24"/>
        </w:rPr>
      </w:pPr>
      <w:r>
        <w:rPr>
          <w:sz w:val="24"/>
          <w:szCs w:val="24"/>
        </w:rPr>
        <w:t>Pray Bober, P. ‘Art, culture and cuisine: Ancient and medieval gastronomy.’ Chicago Press, 1999.</w:t>
      </w:r>
    </w:p>
    <w:p w14:paraId="6CD341E4" w14:textId="5D336E0D" w:rsidR="00F61F7B" w:rsidRDefault="00F61F7B" w:rsidP="004827EC">
      <w:pPr>
        <w:rPr>
          <w:sz w:val="24"/>
          <w:szCs w:val="24"/>
        </w:rPr>
      </w:pPr>
      <w:r>
        <w:rPr>
          <w:sz w:val="24"/>
          <w:szCs w:val="24"/>
        </w:rPr>
        <w:t>Beard, M. ‘SPQR A History of Ancient Rome.’ Profile Books Ltd., 2016.</w:t>
      </w:r>
    </w:p>
    <w:p w14:paraId="52CB9D21" w14:textId="1835B0FC" w:rsidR="004827EC" w:rsidRDefault="004827EC" w:rsidP="004827EC">
      <w:pPr>
        <w:rPr>
          <w:sz w:val="24"/>
          <w:szCs w:val="24"/>
        </w:rPr>
      </w:pPr>
      <w:r w:rsidRPr="007368A6">
        <w:rPr>
          <w:sz w:val="24"/>
          <w:szCs w:val="24"/>
        </w:rPr>
        <w:t xml:space="preserve">Greene, Ellen (ed.). </w:t>
      </w:r>
      <w:r w:rsidR="00F61F7B">
        <w:rPr>
          <w:sz w:val="24"/>
          <w:szCs w:val="24"/>
        </w:rPr>
        <w:t>‘</w:t>
      </w:r>
      <w:r w:rsidRPr="007368A6">
        <w:rPr>
          <w:sz w:val="24"/>
          <w:szCs w:val="24"/>
        </w:rPr>
        <w:t>Reading Petronius.</w:t>
      </w:r>
      <w:r w:rsidR="00F61F7B">
        <w:rPr>
          <w:sz w:val="24"/>
          <w:szCs w:val="24"/>
        </w:rPr>
        <w:t>’</w:t>
      </w:r>
      <w:r w:rsidRPr="007368A6">
        <w:rPr>
          <w:sz w:val="24"/>
          <w:szCs w:val="24"/>
        </w:rPr>
        <w:t xml:space="preserve"> Johns Hopkins University Press, 2000.</w:t>
      </w:r>
    </w:p>
    <w:p w14:paraId="7742302E" w14:textId="2D4A4E65" w:rsidR="007368A6" w:rsidRPr="00232523" w:rsidRDefault="00232523" w:rsidP="004827EC">
      <w:pPr>
        <w:rPr>
          <w:sz w:val="24"/>
          <w:szCs w:val="24"/>
        </w:rPr>
      </w:pPr>
      <w:r w:rsidRPr="00232523">
        <w:rPr>
          <w:sz w:val="24"/>
          <w:szCs w:val="24"/>
        </w:rPr>
        <w:t>Bodel, John</w:t>
      </w:r>
      <w:r>
        <w:rPr>
          <w:sz w:val="24"/>
          <w:szCs w:val="24"/>
        </w:rPr>
        <w:t>.</w:t>
      </w:r>
      <w:r w:rsidRPr="00232523">
        <w:rPr>
          <w:sz w:val="24"/>
          <w:szCs w:val="24"/>
        </w:rPr>
        <w:t xml:space="preserve"> ‘</w:t>
      </w:r>
      <w:proofErr w:type="spellStart"/>
      <w:r w:rsidRPr="00232523">
        <w:rPr>
          <w:sz w:val="24"/>
          <w:szCs w:val="24"/>
        </w:rPr>
        <w:t>Trimalchio’s</w:t>
      </w:r>
      <w:proofErr w:type="spellEnd"/>
      <w:r w:rsidRPr="00232523">
        <w:rPr>
          <w:sz w:val="24"/>
          <w:szCs w:val="24"/>
        </w:rPr>
        <w:t xml:space="preserve"> Underworld’, in James Tatum (ed.), The Search for the Ancient Novel (Baltimore and London: The John Hopkins University Press)</w:t>
      </w:r>
      <w:r>
        <w:rPr>
          <w:sz w:val="24"/>
          <w:szCs w:val="24"/>
        </w:rPr>
        <w:t>,</w:t>
      </w:r>
      <w:r w:rsidRPr="00232523">
        <w:rPr>
          <w:sz w:val="24"/>
          <w:szCs w:val="24"/>
        </w:rPr>
        <w:t xml:space="preserve"> </w:t>
      </w:r>
      <w:r>
        <w:rPr>
          <w:sz w:val="24"/>
          <w:szCs w:val="24"/>
        </w:rPr>
        <w:t>1994.</w:t>
      </w:r>
    </w:p>
    <w:p w14:paraId="0E8C43AC" w14:textId="77777777" w:rsidR="004827EC" w:rsidRPr="007368A6" w:rsidRDefault="004827EC" w:rsidP="004827EC">
      <w:pPr>
        <w:rPr>
          <w:sz w:val="24"/>
          <w:szCs w:val="24"/>
        </w:rPr>
      </w:pPr>
    </w:p>
    <w:p w14:paraId="3A21EFB8" w14:textId="77777777" w:rsidR="00F31D4C" w:rsidRDefault="00F31D4C"/>
    <w:sectPr w:rsidR="00F31D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7EC"/>
    <w:rsid w:val="00062C56"/>
    <w:rsid w:val="00086430"/>
    <w:rsid w:val="000A03BD"/>
    <w:rsid w:val="0012137C"/>
    <w:rsid w:val="00232523"/>
    <w:rsid w:val="00247443"/>
    <w:rsid w:val="004827EC"/>
    <w:rsid w:val="004A012D"/>
    <w:rsid w:val="006208A5"/>
    <w:rsid w:val="007368A6"/>
    <w:rsid w:val="0081192E"/>
    <w:rsid w:val="00AB7022"/>
    <w:rsid w:val="00C74747"/>
    <w:rsid w:val="00C8731F"/>
    <w:rsid w:val="00C97AF1"/>
    <w:rsid w:val="00D33925"/>
    <w:rsid w:val="00F31D4C"/>
    <w:rsid w:val="00F61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FFA7E"/>
  <w15:chartTrackingRefBased/>
  <w15:docId w15:val="{C68C6C31-0AAC-4E2D-BB38-10C5BD921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04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590568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904611217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610446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6191627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76639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7694922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4558791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901794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0161575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4239633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9387129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8441292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373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1781</TotalTime>
  <Pages>3</Pages>
  <Words>545</Words>
  <Characters>3109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6</cp:revision>
  <dcterms:created xsi:type="dcterms:W3CDTF">2024-02-11T11:30:00Z</dcterms:created>
  <dcterms:modified xsi:type="dcterms:W3CDTF">2024-02-12T17:24:00Z</dcterms:modified>
</cp:coreProperties>
</file>