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07E0C" w14:textId="6DA592FF" w:rsidR="00320B25" w:rsidRPr="0077415D" w:rsidRDefault="00320B25" w:rsidP="00320B25">
      <w:pPr>
        <w:jc w:val="center"/>
        <w:rPr>
          <w:rFonts w:ascii="Arial" w:hAnsi="Arial" w:cs="Arial"/>
          <w:color w:val="000000" w:themeColor="text1"/>
        </w:rPr>
      </w:pPr>
      <w:r w:rsidRPr="0077415D">
        <w:rPr>
          <w:rFonts w:ascii="Arial" w:hAnsi="Arial" w:cs="Arial"/>
          <w:noProof/>
          <w:color w:val="000000" w:themeColor="text1"/>
        </w:rPr>
        <w:drawing>
          <wp:inline distT="0" distB="0" distL="0" distR="0" wp14:anchorId="34792596" wp14:editId="215FA765">
            <wp:extent cx="1810385" cy="725170"/>
            <wp:effectExtent l="0" t="0" r="0" b="0"/>
            <wp:docPr id="556727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72E64E7A" w14:textId="330B6760" w:rsidR="007B3291" w:rsidRPr="007747D4" w:rsidRDefault="00B477CA" w:rsidP="007B3291">
      <w:pPr>
        <w:spacing w:before="120" w:after="120"/>
        <w:jc w:val="center"/>
        <w:rPr>
          <w:rFonts w:ascii="Arial" w:hAnsi="Arial" w:cs="Arial"/>
          <w:b/>
          <w:color w:val="000000" w:themeColor="text1"/>
          <w:sz w:val="32"/>
          <w:szCs w:val="32"/>
          <w:u w:val="single"/>
        </w:rPr>
      </w:pPr>
      <w:r w:rsidRPr="007747D4">
        <w:rPr>
          <w:rFonts w:ascii="Arial" w:hAnsi="Arial" w:cs="Arial"/>
          <w:b/>
          <w:color w:val="000000" w:themeColor="text1"/>
          <w:sz w:val="32"/>
          <w:szCs w:val="32"/>
          <w:u w:val="single"/>
        </w:rPr>
        <w:t>MASTER OF BUSINESS ADMINISTRATION</w:t>
      </w:r>
    </w:p>
    <w:p w14:paraId="7694519A" w14:textId="77777777" w:rsidR="00B477CA" w:rsidRPr="0077415D" w:rsidRDefault="00B477CA" w:rsidP="007B3291">
      <w:pPr>
        <w:spacing w:before="120" w:after="120"/>
        <w:jc w:val="center"/>
        <w:rPr>
          <w:rFonts w:ascii="Arial" w:hAnsi="Arial" w:cs="Arial"/>
          <w:b/>
          <w:color w:val="000000" w:themeColor="text1"/>
          <w:sz w:val="32"/>
          <w:szCs w:val="32"/>
        </w:rPr>
      </w:pPr>
    </w:p>
    <w:p w14:paraId="6EEE9D46" w14:textId="12CDA735" w:rsidR="007B3291" w:rsidRPr="007747D4" w:rsidRDefault="00B477CA" w:rsidP="007B3291">
      <w:pPr>
        <w:spacing w:before="120" w:after="120"/>
        <w:jc w:val="center"/>
        <w:rPr>
          <w:rFonts w:ascii="Arial" w:hAnsi="Arial" w:cs="Arial"/>
          <w:b/>
          <w:color w:val="000000" w:themeColor="text1"/>
          <w:sz w:val="32"/>
          <w:szCs w:val="32"/>
          <w:u w:val="single"/>
        </w:rPr>
      </w:pPr>
      <w:r w:rsidRPr="007747D4">
        <w:rPr>
          <w:rFonts w:ascii="Arial" w:hAnsi="Arial" w:cs="Arial"/>
          <w:b/>
          <w:color w:val="000000" w:themeColor="text1"/>
          <w:sz w:val="32"/>
          <w:szCs w:val="32"/>
          <w:u w:val="single"/>
        </w:rPr>
        <w:t>MODULE: FINANCIAL MANAGEMENT</w:t>
      </w:r>
    </w:p>
    <w:p w14:paraId="37174213" w14:textId="45321CA0" w:rsidR="007B3291" w:rsidRPr="007747D4" w:rsidRDefault="00B477CA" w:rsidP="007B3291">
      <w:pPr>
        <w:spacing w:before="120" w:after="120"/>
        <w:jc w:val="center"/>
        <w:rPr>
          <w:rFonts w:ascii="Arial" w:hAnsi="Arial" w:cs="Arial"/>
          <w:b/>
          <w:color w:val="000000" w:themeColor="text1"/>
          <w:sz w:val="32"/>
          <w:szCs w:val="32"/>
          <w:u w:val="single"/>
        </w:rPr>
      </w:pPr>
      <w:r w:rsidRPr="007747D4">
        <w:rPr>
          <w:rFonts w:ascii="Arial" w:hAnsi="Arial" w:cs="Arial"/>
          <w:b/>
          <w:color w:val="000000" w:themeColor="text1"/>
          <w:sz w:val="32"/>
          <w:szCs w:val="32"/>
          <w:u w:val="single"/>
        </w:rPr>
        <w:t>MODULE CODE: LCMB7002</w:t>
      </w:r>
    </w:p>
    <w:p w14:paraId="072BCF66" w14:textId="77777777" w:rsidR="00320B25" w:rsidRPr="0077415D" w:rsidRDefault="00320B25">
      <w:pPr>
        <w:rPr>
          <w:rFonts w:ascii="Arial" w:hAnsi="Arial" w:cs="Arial"/>
          <w:color w:val="000000" w:themeColor="text1"/>
          <w:sz w:val="32"/>
          <w:szCs w:val="32"/>
        </w:rPr>
      </w:pPr>
    </w:p>
    <w:p w14:paraId="7204C3C1" w14:textId="66498EFD" w:rsidR="002A7918" w:rsidRPr="0077415D" w:rsidRDefault="00B477CA" w:rsidP="007B3291">
      <w:pPr>
        <w:jc w:val="center"/>
        <w:rPr>
          <w:rFonts w:ascii="Arial" w:hAnsi="Arial" w:cs="Arial"/>
          <w:b/>
          <w:bCs/>
          <w:color w:val="000000" w:themeColor="text1"/>
          <w:sz w:val="32"/>
          <w:szCs w:val="32"/>
        </w:rPr>
      </w:pPr>
      <w:r w:rsidRPr="0077415D">
        <w:rPr>
          <w:rFonts w:ascii="Arial" w:hAnsi="Arial" w:cs="Arial"/>
          <w:b/>
          <w:bCs/>
          <w:color w:val="000000" w:themeColor="text1"/>
          <w:sz w:val="32"/>
          <w:szCs w:val="32"/>
        </w:rPr>
        <w:t>STRATEGIC C</w:t>
      </w:r>
      <w:r w:rsidR="00E82FC4" w:rsidRPr="0077415D">
        <w:rPr>
          <w:rFonts w:ascii="Arial" w:hAnsi="Arial" w:cs="Arial"/>
          <w:b/>
          <w:bCs/>
          <w:color w:val="000000" w:themeColor="text1"/>
          <w:sz w:val="32"/>
          <w:szCs w:val="32"/>
        </w:rPr>
        <w:t xml:space="preserve">HIEF </w:t>
      </w:r>
      <w:r w:rsidRPr="0077415D">
        <w:rPr>
          <w:rFonts w:ascii="Arial" w:hAnsi="Arial" w:cs="Arial"/>
          <w:b/>
          <w:bCs/>
          <w:color w:val="000000" w:themeColor="text1"/>
          <w:sz w:val="32"/>
          <w:szCs w:val="32"/>
        </w:rPr>
        <w:t>F</w:t>
      </w:r>
      <w:r w:rsidR="00E82FC4" w:rsidRPr="0077415D">
        <w:rPr>
          <w:rFonts w:ascii="Arial" w:hAnsi="Arial" w:cs="Arial"/>
          <w:b/>
          <w:bCs/>
          <w:color w:val="000000" w:themeColor="text1"/>
          <w:sz w:val="32"/>
          <w:szCs w:val="32"/>
        </w:rPr>
        <w:t xml:space="preserve">INANCIAL </w:t>
      </w:r>
      <w:r w:rsidRPr="0077415D">
        <w:rPr>
          <w:rFonts w:ascii="Arial" w:hAnsi="Arial" w:cs="Arial"/>
          <w:b/>
          <w:bCs/>
          <w:color w:val="000000" w:themeColor="text1"/>
          <w:sz w:val="32"/>
          <w:szCs w:val="32"/>
        </w:rPr>
        <w:t>O</w:t>
      </w:r>
      <w:r w:rsidR="00E82FC4" w:rsidRPr="0077415D">
        <w:rPr>
          <w:rFonts w:ascii="Arial" w:hAnsi="Arial" w:cs="Arial"/>
          <w:b/>
          <w:bCs/>
          <w:color w:val="000000" w:themeColor="text1"/>
          <w:sz w:val="32"/>
          <w:szCs w:val="32"/>
        </w:rPr>
        <w:t>FFICER’S</w:t>
      </w:r>
      <w:r w:rsidRPr="0077415D">
        <w:rPr>
          <w:rFonts w:ascii="Arial" w:hAnsi="Arial" w:cs="Arial"/>
          <w:b/>
          <w:bCs/>
          <w:color w:val="000000" w:themeColor="text1"/>
          <w:sz w:val="32"/>
          <w:szCs w:val="32"/>
        </w:rPr>
        <w:t xml:space="preserve"> CHALLENGE: SAVING A </w:t>
      </w:r>
      <w:r w:rsidR="00E82FC4" w:rsidRPr="0077415D">
        <w:rPr>
          <w:rFonts w:ascii="Arial" w:hAnsi="Arial" w:cs="Arial"/>
          <w:b/>
          <w:bCs/>
          <w:color w:val="000000" w:themeColor="text1"/>
          <w:sz w:val="32"/>
          <w:szCs w:val="32"/>
        </w:rPr>
        <w:t>GLOBAL FAILING</w:t>
      </w:r>
      <w:r w:rsidRPr="0077415D">
        <w:rPr>
          <w:rFonts w:ascii="Arial" w:hAnsi="Arial" w:cs="Arial"/>
          <w:b/>
          <w:bCs/>
          <w:color w:val="000000" w:themeColor="text1"/>
          <w:sz w:val="32"/>
          <w:szCs w:val="32"/>
        </w:rPr>
        <w:t xml:space="preserve"> FIRM</w:t>
      </w:r>
    </w:p>
    <w:p w14:paraId="37A143E3" w14:textId="77777777" w:rsidR="00B477CA" w:rsidRPr="0077415D" w:rsidRDefault="00B477CA" w:rsidP="007B3291">
      <w:pPr>
        <w:jc w:val="center"/>
        <w:rPr>
          <w:rFonts w:ascii="Arial" w:hAnsi="Arial" w:cs="Arial"/>
          <w:b/>
          <w:bCs/>
          <w:color w:val="000000" w:themeColor="text1"/>
          <w:sz w:val="32"/>
          <w:szCs w:val="32"/>
        </w:rPr>
      </w:pPr>
    </w:p>
    <w:p w14:paraId="259E4BBF" w14:textId="77777777" w:rsidR="00B477CA" w:rsidRPr="0077415D" w:rsidRDefault="00B477CA" w:rsidP="007B3291">
      <w:pPr>
        <w:jc w:val="center"/>
        <w:rPr>
          <w:rFonts w:ascii="Arial" w:hAnsi="Arial" w:cs="Arial"/>
          <w:b/>
          <w:bCs/>
          <w:color w:val="000000" w:themeColor="text1"/>
          <w:sz w:val="32"/>
          <w:szCs w:val="32"/>
        </w:rPr>
      </w:pPr>
    </w:p>
    <w:p w14:paraId="7BC48640" w14:textId="77777777" w:rsidR="00B477CA" w:rsidRPr="0077415D" w:rsidRDefault="00B477CA" w:rsidP="007B3291">
      <w:pPr>
        <w:jc w:val="center"/>
        <w:rPr>
          <w:rFonts w:ascii="Arial" w:hAnsi="Arial" w:cs="Arial"/>
          <w:b/>
          <w:bCs/>
          <w:color w:val="000000" w:themeColor="text1"/>
          <w:sz w:val="32"/>
          <w:szCs w:val="32"/>
        </w:rPr>
      </w:pPr>
    </w:p>
    <w:p w14:paraId="086042B1" w14:textId="77777777" w:rsidR="00B477CA" w:rsidRPr="0077415D" w:rsidRDefault="00B477CA" w:rsidP="007B3291">
      <w:pPr>
        <w:jc w:val="center"/>
        <w:rPr>
          <w:rFonts w:ascii="Arial" w:hAnsi="Arial" w:cs="Arial"/>
          <w:b/>
          <w:bCs/>
          <w:color w:val="000000" w:themeColor="text1"/>
          <w:sz w:val="32"/>
          <w:szCs w:val="32"/>
        </w:rPr>
      </w:pPr>
    </w:p>
    <w:p w14:paraId="5D6B583D" w14:textId="77777777" w:rsidR="00B477CA" w:rsidRPr="0077415D" w:rsidRDefault="00B477CA" w:rsidP="00B477CA">
      <w:pPr>
        <w:rPr>
          <w:rFonts w:ascii="Arial" w:hAnsi="Arial" w:cs="Arial"/>
          <w:color w:val="000000" w:themeColor="text1"/>
          <w:sz w:val="32"/>
          <w:szCs w:val="32"/>
        </w:rPr>
      </w:pPr>
    </w:p>
    <w:p w14:paraId="7A24F1E0" w14:textId="4D402B86" w:rsidR="00B477CA" w:rsidRPr="0077415D" w:rsidRDefault="00B477CA" w:rsidP="00B477CA">
      <w:pPr>
        <w:spacing w:before="120" w:after="120"/>
        <w:jc w:val="center"/>
        <w:rPr>
          <w:rFonts w:ascii="Arial" w:hAnsi="Arial" w:cs="Arial"/>
          <w:b/>
          <w:color w:val="000000" w:themeColor="text1"/>
          <w:sz w:val="32"/>
          <w:szCs w:val="32"/>
        </w:rPr>
      </w:pPr>
      <w:r w:rsidRPr="0077415D">
        <w:rPr>
          <w:rFonts w:ascii="Arial" w:hAnsi="Arial" w:cs="Arial"/>
          <w:b/>
          <w:color w:val="000000" w:themeColor="text1"/>
          <w:sz w:val="32"/>
          <w:szCs w:val="32"/>
        </w:rPr>
        <w:t xml:space="preserve">STUDENT NAME: </w:t>
      </w:r>
      <w:r w:rsidR="00E82FC4" w:rsidRPr="0077415D">
        <w:rPr>
          <w:rFonts w:ascii="Arial" w:hAnsi="Arial" w:cs="Arial"/>
          <w:b/>
          <w:color w:val="000000" w:themeColor="text1"/>
          <w:sz w:val="32"/>
          <w:szCs w:val="32"/>
        </w:rPr>
        <w:t>KESHU JIVABHAI KARAVADRA</w:t>
      </w:r>
    </w:p>
    <w:p w14:paraId="766016C8" w14:textId="5989A622" w:rsidR="00B477CA" w:rsidRPr="0077415D" w:rsidRDefault="00B477CA" w:rsidP="00B477CA">
      <w:pPr>
        <w:spacing w:before="120" w:after="120"/>
        <w:jc w:val="center"/>
        <w:rPr>
          <w:rFonts w:ascii="Arial" w:hAnsi="Arial" w:cs="Arial"/>
          <w:b/>
          <w:color w:val="000000" w:themeColor="text1"/>
          <w:sz w:val="32"/>
          <w:szCs w:val="32"/>
        </w:rPr>
      </w:pPr>
      <w:r w:rsidRPr="0077415D">
        <w:rPr>
          <w:rFonts w:ascii="Arial" w:hAnsi="Arial" w:cs="Arial"/>
          <w:b/>
          <w:color w:val="000000" w:themeColor="text1"/>
          <w:sz w:val="32"/>
          <w:szCs w:val="32"/>
        </w:rPr>
        <w:t>STUDENT ID NUMBER:</w:t>
      </w:r>
      <w:r w:rsidR="00E82FC4" w:rsidRPr="0077415D">
        <w:rPr>
          <w:rFonts w:ascii="Arial" w:hAnsi="Arial" w:cs="Arial"/>
          <w:b/>
          <w:color w:val="000000" w:themeColor="text1"/>
          <w:sz w:val="32"/>
          <w:szCs w:val="32"/>
        </w:rPr>
        <w:t xml:space="preserve"> 2439531</w:t>
      </w:r>
    </w:p>
    <w:p w14:paraId="2C0BD807" w14:textId="77777777" w:rsidR="00B477CA" w:rsidRPr="0077415D" w:rsidRDefault="00B477CA" w:rsidP="007B3291">
      <w:pPr>
        <w:jc w:val="center"/>
        <w:rPr>
          <w:rFonts w:ascii="Arial" w:hAnsi="Arial" w:cs="Arial"/>
          <w:b/>
          <w:bCs/>
          <w:color w:val="000000" w:themeColor="text1"/>
          <w:sz w:val="32"/>
          <w:szCs w:val="32"/>
        </w:rPr>
      </w:pPr>
    </w:p>
    <w:p w14:paraId="251EF664" w14:textId="77777777" w:rsidR="006162B7" w:rsidRPr="0077415D" w:rsidRDefault="002A7918">
      <w:pPr>
        <w:rPr>
          <w:rFonts w:ascii="Arial" w:hAnsi="Arial" w:cs="Arial"/>
          <w:color w:val="000000" w:themeColor="text1"/>
        </w:rPr>
      </w:pPr>
      <w:r w:rsidRPr="0077415D">
        <w:rPr>
          <w:rFonts w:ascii="Arial" w:hAnsi="Arial" w:cs="Arial"/>
          <w:color w:val="000000" w:themeColor="text1"/>
        </w:rPr>
        <w:br w:type="column"/>
      </w:r>
    </w:p>
    <w:sdt>
      <w:sdtPr>
        <w:rPr>
          <w:rFonts w:ascii="Arial" w:eastAsiaTheme="minorHAnsi" w:hAnsi="Arial" w:cstheme="minorBidi"/>
          <w:color w:val="000000" w:themeColor="text1"/>
          <w:kern w:val="2"/>
          <w:sz w:val="24"/>
          <w:szCs w:val="24"/>
          <w14:ligatures w14:val="standardContextual"/>
        </w:rPr>
        <w:id w:val="-834598367"/>
        <w:docPartObj>
          <w:docPartGallery w:val="Table of Contents"/>
          <w:docPartUnique/>
        </w:docPartObj>
      </w:sdtPr>
      <w:sdtEndPr>
        <w:rPr>
          <w:b/>
          <w:bCs/>
          <w:noProof/>
        </w:rPr>
      </w:sdtEndPr>
      <w:sdtContent>
        <w:p w14:paraId="2FDF17FF" w14:textId="6EC3C31E" w:rsidR="006162B7" w:rsidRPr="0077415D" w:rsidRDefault="006162B7" w:rsidP="00B543BE">
          <w:pPr>
            <w:pStyle w:val="TOCHeading"/>
            <w:rPr>
              <w:rFonts w:ascii="Arial" w:hAnsi="Arial"/>
              <w:color w:val="000000" w:themeColor="text1"/>
            </w:rPr>
          </w:pPr>
          <w:r w:rsidRPr="0077415D">
            <w:rPr>
              <w:rFonts w:ascii="Arial" w:hAnsi="Arial"/>
              <w:color w:val="000000" w:themeColor="text1"/>
            </w:rPr>
            <w:t>Table of Contents</w:t>
          </w:r>
        </w:p>
        <w:p w14:paraId="6AF559F7" w14:textId="208FBA8C" w:rsidR="00B93DC6" w:rsidRDefault="006162B7">
          <w:pPr>
            <w:pStyle w:val="TOC1"/>
            <w:tabs>
              <w:tab w:val="right" w:leader="dot" w:pos="9350"/>
            </w:tabs>
            <w:rPr>
              <w:rFonts w:asciiTheme="minorHAnsi" w:eastAsiaTheme="minorEastAsia" w:hAnsiTheme="minorHAnsi"/>
              <w:noProof/>
              <w:lang w:val="en-IN" w:eastAsia="en-IN"/>
            </w:rPr>
          </w:pPr>
          <w:r w:rsidRPr="0077415D">
            <w:rPr>
              <w:rFonts w:ascii="Arial" w:hAnsi="Arial" w:cs="Arial"/>
              <w:color w:val="000000" w:themeColor="text1"/>
            </w:rPr>
            <w:fldChar w:fldCharType="begin"/>
          </w:r>
          <w:r w:rsidRPr="0077415D">
            <w:rPr>
              <w:rFonts w:ascii="Arial" w:hAnsi="Arial" w:cs="Arial"/>
              <w:color w:val="000000" w:themeColor="text1"/>
            </w:rPr>
            <w:instrText xml:space="preserve"> TOC \o "1-3" \h \z \u </w:instrText>
          </w:r>
          <w:r w:rsidRPr="0077415D">
            <w:rPr>
              <w:rFonts w:ascii="Arial" w:hAnsi="Arial" w:cs="Arial"/>
              <w:color w:val="000000" w:themeColor="text1"/>
            </w:rPr>
            <w:fldChar w:fldCharType="separate"/>
          </w:r>
          <w:hyperlink w:anchor="_Toc214845215" w:history="1">
            <w:r w:rsidR="00B93DC6" w:rsidRPr="00C77F7D">
              <w:rPr>
                <w:rStyle w:val="Hyperlink"/>
                <w:noProof/>
              </w:rPr>
              <w:t>Introduction</w:t>
            </w:r>
            <w:r w:rsidR="00B93DC6">
              <w:rPr>
                <w:noProof/>
                <w:webHidden/>
              </w:rPr>
              <w:tab/>
            </w:r>
            <w:r w:rsidR="00B93DC6">
              <w:rPr>
                <w:noProof/>
                <w:webHidden/>
              </w:rPr>
              <w:fldChar w:fldCharType="begin"/>
            </w:r>
            <w:r w:rsidR="00B93DC6">
              <w:rPr>
                <w:noProof/>
                <w:webHidden/>
              </w:rPr>
              <w:instrText xml:space="preserve"> PAGEREF _Toc214845215 \h </w:instrText>
            </w:r>
            <w:r w:rsidR="00B93DC6">
              <w:rPr>
                <w:noProof/>
                <w:webHidden/>
              </w:rPr>
            </w:r>
            <w:r w:rsidR="00B93DC6">
              <w:rPr>
                <w:noProof/>
                <w:webHidden/>
              </w:rPr>
              <w:fldChar w:fldCharType="separate"/>
            </w:r>
            <w:r w:rsidR="00B93DC6">
              <w:rPr>
                <w:noProof/>
                <w:webHidden/>
              </w:rPr>
              <w:t>3</w:t>
            </w:r>
            <w:r w:rsidR="00B93DC6">
              <w:rPr>
                <w:noProof/>
                <w:webHidden/>
              </w:rPr>
              <w:fldChar w:fldCharType="end"/>
            </w:r>
          </w:hyperlink>
        </w:p>
        <w:p w14:paraId="61894C7E" w14:textId="6E5CBAF9" w:rsidR="00B93DC6" w:rsidRDefault="00B93DC6">
          <w:pPr>
            <w:pStyle w:val="TOC1"/>
            <w:tabs>
              <w:tab w:val="right" w:leader="dot" w:pos="9350"/>
            </w:tabs>
            <w:rPr>
              <w:rFonts w:asciiTheme="minorHAnsi" w:eastAsiaTheme="minorEastAsia" w:hAnsiTheme="minorHAnsi"/>
              <w:noProof/>
              <w:lang w:val="en-IN" w:eastAsia="en-IN"/>
            </w:rPr>
          </w:pPr>
          <w:hyperlink w:anchor="_Toc214845216" w:history="1">
            <w:r w:rsidRPr="00C77F7D">
              <w:rPr>
                <w:rStyle w:val="Hyperlink"/>
                <w:noProof/>
              </w:rPr>
              <w:t>1. Financial Health Check</w:t>
            </w:r>
            <w:r>
              <w:rPr>
                <w:noProof/>
                <w:webHidden/>
              </w:rPr>
              <w:tab/>
            </w:r>
            <w:r>
              <w:rPr>
                <w:noProof/>
                <w:webHidden/>
              </w:rPr>
              <w:fldChar w:fldCharType="begin"/>
            </w:r>
            <w:r>
              <w:rPr>
                <w:noProof/>
                <w:webHidden/>
              </w:rPr>
              <w:instrText xml:space="preserve"> PAGEREF _Toc214845216 \h </w:instrText>
            </w:r>
            <w:r>
              <w:rPr>
                <w:noProof/>
                <w:webHidden/>
              </w:rPr>
            </w:r>
            <w:r>
              <w:rPr>
                <w:noProof/>
                <w:webHidden/>
              </w:rPr>
              <w:fldChar w:fldCharType="separate"/>
            </w:r>
            <w:r>
              <w:rPr>
                <w:noProof/>
                <w:webHidden/>
              </w:rPr>
              <w:t>3</w:t>
            </w:r>
            <w:r>
              <w:rPr>
                <w:noProof/>
                <w:webHidden/>
              </w:rPr>
              <w:fldChar w:fldCharType="end"/>
            </w:r>
          </w:hyperlink>
        </w:p>
        <w:p w14:paraId="6B487009" w14:textId="55A40831" w:rsidR="00B93DC6" w:rsidRDefault="00B93DC6">
          <w:pPr>
            <w:pStyle w:val="TOC2"/>
            <w:tabs>
              <w:tab w:val="right" w:leader="dot" w:pos="9350"/>
            </w:tabs>
            <w:rPr>
              <w:rFonts w:asciiTheme="minorHAnsi" w:eastAsiaTheme="minorEastAsia" w:hAnsiTheme="minorHAnsi"/>
              <w:noProof/>
              <w:lang w:val="en-IN" w:eastAsia="en-IN"/>
            </w:rPr>
          </w:pPr>
          <w:hyperlink w:anchor="_Toc214845217" w:history="1">
            <w:r w:rsidRPr="00C77F7D">
              <w:rPr>
                <w:rStyle w:val="Hyperlink"/>
                <w:rFonts w:ascii="Arial" w:hAnsi="Arial" w:cs="Arial"/>
                <w:noProof/>
              </w:rPr>
              <w:t>1.1 Ratio Analysis</w:t>
            </w:r>
            <w:r>
              <w:rPr>
                <w:noProof/>
                <w:webHidden/>
              </w:rPr>
              <w:tab/>
            </w:r>
            <w:r>
              <w:rPr>
                <w:noProof/>
                <w:webHidden/>
              </w:rPr>
              <w:fldChar w:fldCharType="begin"/>
            </w:r>
            <w:r>
              <w:rPr>
                <w:noProof/>
                <w:webHidden/>
              </w:rPr>
              <w:instrText xml:space="preserve"> PAGEREF _Toc214845217 \h </w:instrText>
            </w:r>
            <w:r>
              <w:rPr>
                <w:noProof/>
                <w:webHidden/>
              </w:rPr>
            </w:r>
            <w:r>
              <w:rPr>
                <w:noProof/>
                <w:webHidden/>
              </w:rPr>
              <w:fldChar w:fldCharType="separate"/>
            </w:r>
            <w:r>
              <w:rPr>
                <w:noProof/>
                <w:webHidden/>
              </w:rPr>
              <w:t>3</w:t>
            </w:r>
            <w:r>
              <w:rPr>
                <w:noProof/>
                <w:webHidden/>
              </w:rPr>
              <w:fldChar w:fldCharType="end"/>
            </w:r>
          </w:hyperlink>
        </w:p>
        <w:p w14:paraId="54FF098C" w14:textId="446D0C78" w:rsidR="00B93DC6" w:rsidRDefault="00B93DC6">
          <w:pPr>
            <w:pStyle w:val="TOC2"/>
            <w:tabs>
              <w:tab w:val="right" w:leader="dot" w:pos="9350"/>
            </w:tabs>
            <w:rPr>
              <w:rFonts w:asciiTheme="minorHAnsi" w:eastAsiaTheme="minorEastAsia" w:hAnsiTheme="minorHAnsi"/>
              <w:noProof/>
              <w:lang w:val="en-IN" w:eastAsia="en-IN"/>
            </w:rPr>
          </w:pPr>
          <w:hyperlink w:anchor="_Toc214845218" w:history="1">
            <w:r w:rsidRPr="00C77F7D">
              <w:rPr>
                <w:rStyle w:val="Hyperlink"/>
                <w:rFonts w:ascii="Arial" w:hAnsi="Arial" w:cs="Arial"/>
                <w:noProof/>
              </w:rPr>
              <w:t>1.2 Corporate failure risk: Altman Z-Score moves from safe to grey</w:t>
            </w:r>
            <w:r>
              <w:rPr>
                <w:noProof/>
                <w:webHidden/>
              </w:rPr>
              <w:tab/>
            </w:r>
            <w:r>
              <w:rPr>
                <w:noProof/>
                <w:webHidden/>
              </w:rPr>
              <w:fldChar w:fldCharType="begin"/>
            </w:r>
            <w:r>
              <w:rPr>
                <w:noProof/>
                <w:webHidden/>
              </w:rPr>
              <w:instrText xml:space="preserve"> PAGEREF _Toc214845218 \h </w:instrText>
            </w:r>
            <w:r>
              <w:rPr>
                <w:noProof/>
                <w:webHidden/>
              </w:rPr>
            </w:r>
            <w:r>
              <w:rPr>
                <w:noProof/>
                <w:webHidden/>
              </w:rPr>
              <w:fldChar w:fldCharType="separate"/>
            </w:r>
            <w:r>
              <w:rPr>
                <w:noProof/>
                <w:webHidden/>
              </w:rPr>
              <w:t>7</w:t>
            </w:r>
            <w:r>
              <w:rPr>
                <w:noProof/>
                <w:webHidden/>
              </w:rPr>
              <w:fldChar w:fldCharType="end"/>
            </w:r>
          </w:hyperlink>
        </w:p>
        <w:p w14:paraId="571E1880" w14:textId="382FC395" w:rsidR="00B93DC6" w:rsidRDefault="00B93DC6">
          <w:pPr>
            <w:pStyle w:val="TOC2"/>
            <w:tabs>
              <w:tab w:val="right" w:leader="dot" w:pos="9350"/>
            </w:tabs>
            <w:rPr>
              <w:rFonts w:asciiTheme="minorHAnsi" w:eastAsiaTheme="minorEastAsia" w:hAnsiTheme="minorHAnsi"/>
              <w:noProof/>
              <w:lang w:val="en-IN" w:eastAsia="en-IN"/>
            </w:rPr>
          </w:pPr>
          <w:hyperlink w:anchor="_Toc214845219" w:history="1">
            <w:r w:rsidRPr="00C77F7D">
              <w:rPr>
                <w:rStyle w:val="Hyperlink"/>
                <w:rFonts w:ascii="Arial" w:hAnsi="Arial" w:cs="Arial"/>
                <w:noProof/>
              </w:rPr>
              <w:t>1.3 Strengths and threats: an integrated view</w:t>
            </w:r>
            <w:r>
              <w:rPr>
                <w:noProof/>
                <w:webHidden/>
              </w:rPr>
              <w:tab/>
            </w:r>
            <w:r>
              <w:rPr>
                <w:noProof/>
                <w:webHidden/>
              </w:rPr>
              <w:fldChar w:fldCharType="begin"/>
            </w:r>
            <w:r>
              <w:rPr>
                <w:noProof/>
                <w:webHidden/>
              </w:rPr>
              <w:instrText xml:space="preserve"> PAGEREF _Toc214845219 \h </w:instrText>
            </w:r>
            <w:r>
              <w:rPr>
                <w:noProof/>
                <w:webHidden/>
              </w:rPr>
            </w:r>
            <w:r>
              <w:rPr>
                <w:noProof/>
                <w:webHidden/>
              </w:rPr>
              <w:fldChar w:fldCharType="separate"/>
            </w:r>
            <w:r>
              <w:rPr>
                <w:noProof/>
                <w:webHidden/>
              </w:rPr>
              <w:t>8</w:t>
            </w:r>
            <w:r>
              <w:rPr>
                <w:noProof/>
                <w:webHidden/>
              </w:rPr>
              <w:fldChar w:fldCharType="end"/>
            </w:r>
          </w:hyperlink>
        </w:p>
        <w:p w14:paraId="389EBBC5" w14:textId="0DE7A6B7" w:rsidR="00B93DC6" w:rsidRDefault="00B93DC6">
          <w:pPr>
            <w:pStyle w:val="TOC1"/>
            <w:tabs>
              <w:tab w:val="right" w:leader="dot" w:pos="9350"/>
            </w:tabs>
            <w:rPr>
              <w:rFonts w:asciiTheme="minorHAnsi" w:eastAsiaTheme="minorEastAsia" w:hAnsiTheme="minorHAnsi"/>
              <w:noProof/>
              <w:lang w:val="en-IN" w:eastAsia="en-IN"/>
            </w:rPr>
          </w:pPr>
          <w:hyperlink w:anchor="_Toc214845220" w:history="1">
            <w:r w:rsidRPr="00C77F7D">
              <w:rPr>
                <w:rStyle w:val="Hyperlink"/>
                <w:noProof/>
              </w:rPr>
              <w:t>2. Working Capital Management Analysis</w:t>
            </w:r>
            <w:r>
              <w:rPr>
                <w:noProof/>
                <w:webHidden/>
              </w:rPr>
              <w:tab/>
            </w:r>
            <w:r>
              <w:rPr>
                <w:noProof/>
                <w:webHidden/>
              </w:rPr>
              <w:fldChar w:fldCharType="begin"/>
            </w:r>
            <w:r>
              <w:rPr>
                <w:noProof/>
                <w:webHidden/>
              </w:rPr>
              <w:instrText xml:space="preserve"> PAGEREF _Toc214845220 \h </w:instrText>
            </w:r>
            <w:r>
              <w:rPr>
                <w:noProof/>
                <w:webHidden/>
              </w:rPr>
            </w:r>
            <w:r>
              <w:rPr>
                <w:noProof/>
                <w:webHidden/>
              </w:rPr>
              <w:fldChar w:fldCharType="separate"/>
            </w:r>
            <w:r>
              <w:rPr>
                <w:noProof/>
                <w:webHidden/>
              </w:rPr>
              <w:t>9</w:t>
            </w:r>
            <w:r>
              <w:rPr>
                <w:noProof/>
                <w:webHidden/>
              </w:rPr>
              <w:fldChar w:fldCharType="end"/>
            </w:r>
          </w:hyperlink>
        </w:p>
        <w:p w14:paraId="3C96432B" w14:textId="3A8002A3" w:rsidR="00B93DC6" w:rsidRDefault="00B93DC6">
          <w:pPr>
            <w:pStyle w:val="TOC2"/>
            <w:tabs>
              <w:tab w:val="right" w:leader="dot" w:pos="9350"/>
            </w:tabs>
            <w:rPr>
              <w:rFonts w:asciiTheme="minorHAnsi" w:eastAsiaTheme="minorEastAsia" w:hAnsiTheme="minorHAnsi"/>
              <w:noProof/>
              <w:lang w:val="en-IN" w:eastAsia="en-IN"/>
            </w:rPr>
          </w:pPr>
          <w:hyperlink w:anchor="_Toc214845221" w:history="1">
            <w:r w:rsidRPr="00C77F7D">
              <w:rPr>
                <w:rStyle w:val="Hyperlink"/>
                <w:rFonts w:ascii="Arial" w:hAnsi="Arial" w:cs="Arial"/>
                <w:noProof/>
              </w:rPr>
              <w:t>2.1 Assess the Cash Operating Cycle</w:t>
            </w:r>
            <w:r>
              <w:rPr>
                <w:noProof/>
                <w:webHidden/>
              </w:rPr>
              <w:tab/>
            </w:r>
            <w:r>
              <w:rPr>
                <w:noProof/>
                <w:webHidden/>
              </w:rPr>
              <w:fldChar w:fldCharType="begin"/>
            </w:r>
            <w:r>
              <w:rPr>
                <w:noProof/>
                <w:webHidden/>
              </w:rPr>
              <w:instrText xml:space="preserve"> PAGEREF _Toc214845221 \h </w:instrText>
            </w:r>
            <w:r>
              <w:rPr>
                <w:noProof/>
                <w:webHidden/>
              </w:rPr>
            </w:r>
            <w:r>
              <w:rPr>
                <w:noProof/>
                <w:webHidden/>
              </w:rPr>
              <w:fldChar w:fldCharType="separate"/>
            </w:r>
            <w:r>
              <w:rPr>
                <w:noProof/>
                <w:webHidden/>
              </w:rPr>
              <w:t>9</w:t>
            </w:r>
            <w:r>
              <w:rPr>
                <w:noProof/>
                <w:webHidden/>
              </w:rPr>
              <w:fldChar w:fldCharType="end"/>
            </w:r>
          </w:hyperlink>
        </w:p>
        <w:p w14:paraId="6B9B90DA" w14:textId="6F4FFA0C" w:rsidR="00B93DC6" w:rsidRDefault="00B93DC6">
          <w:pPr>
            <w:pStyle w:val="TOC2"/>
            <w:tabs>
              <w:tab w:val="right" w:leader="dot" w:pos="9350"/>
            </w:tabs>
            <w:rPr>
              <w:rFonts w:asciiTheme="minorHAnsi" w:eastAsiaTheme="minorEastAsia" w:hAnsiTheme="minorHAnsi"/>
              <w:noProof/>
              <w:lang w:val="en-IN" w:eastAsia="en-IN"/>
            </w:rPr>
          </w:pPr>
          <w:hyperlink w:anchor="_Toc214845222" w:history="1">
            <w:r w:rsidRPr="00C77F7D">
              <w:rPr>
                <w:rStyle w:val="Hyperlink"/>
                <w:rFonts w:ascii="Arial" w:hAnsi="Arial" w:cs="Arial"/>
                <w:noProof/>
              </w:rPr>
              <w:t>2.2 Recommend Strategies to Improve Liquidity through Working Capital Reforms</w:t>
            </w:r>
            <w:r>
              <w:rPr>
                <w:noProof/>
                <w:webHidden/>
              </w:rPr>
              <w:tab/>
            </w:r>
            <w:r>
              <w:rPr>
                <w:noProof/>
                <w:webHidden/>
              </w:rPr>
              <w:fldChar w:fldCharType="begin"/>
            </w:r>
            <w:r>
              <w:rPr>
                <w:noProof/>
                <w:webHidden/>
              </w:rPr>
              <w:instrText xml:space="preserve"> PAGEREF _Toc214845222 \h </w:instrText>
            </w:r>
            <w:r>
              <w:rPr>
                <w:noProof/>
                <w:webHidden/>
              </w:rPr>
            </w:r>
            <w:r>
              <w:rPr>
                <w:noProof/>
                <w:webHidden/>
              </w:rPr>
              <w:fldChar w:fldCharType="separate"/>
            </w:r>
            <w:r>
              <w:rPr>
                <w:noProof/>
                <w:webHidden/>
              </w:rPr>
              <w:t>11</w:t>
            </w:r>
            <w:r>
              <w:rPr>
                <w:noProof/>
                <w:webHidden/>
              </w:rPr>
              <w:fldChar w:fldCharType="end"/>
            </w:r>
          </w:hyperlink>
        </w:p>
        <w:p w14:paraId="4A10D8EE" w14:textId="16DD6672" w:rsidR="00B93DC6" w:rsidRDefault="00B93DC6">
          <w:pPr>
            <w:pStyle w:val="TOC2"/>
            <w:tabs>
              <w:tab w:val="right" w:leader="dot" w:pos="9350"/>
            </w:tabs>
            <w:rPr>
              <w:rFonts w:asciiTheme="minorHAnsi" w:eastAsiaTheme="minorEastAsia" w:hAnsiTheme="minorHAnsi"/>
              <w:noProof/>
              <w:lang w:val="en-IN" w:eastAsia="en-IN"/>
            </w:rPr>
          </w:pPr>
          <w:hyperlink w:anchor="_Toc214845223" w:history="1">
            <w:r w:rsidRPr="00C77F7D">
              <w:rPr>
                <w:rStyle w:val="Hyperlink"/>
                <w:rFonts w:ascii="Arial" w:hAnsi="Arial" w:cs="Arial"/>
                <w:noProof/>
              </w:rPr>
              <w:t>2.3 Compare Short-Term vs Long-Term Financing Options</w:t>
            </w:r>
            <w:r>
              <w:rPr>
                <w:noProof/>
                <w:webHidden/>
              </w:rPr>
              <w:tab/>
            </w:r>
            <w:r>
              <w:rPr>
                <w:noProof/>
                <w:webHidden/>
              </w:rPr>
              <w:fldChar w:fldCharType="begin"/>
            </w:r>
            <w:r>
              <w:rPr>
                <w:noProof/>
                <w:webHidden/>
              </w:rPr>
              <w:instrText xml:space="preserve"> PAGEREF _Toc214845223 \h </w:instrText>
            </w:r>
            <w:r>
              <w:rPr>
                <w:noProof/>
                <w:webHidden/>
              </w:rPr>
            </w:r>
            <w:r>
              <w:rPr>
                <w:noProof/>
                <w:webHidden/>
              </w:rPr>
              <w:fldChar w:fldCharType="separate"/>
            </w:r>
            <w:r>
              <w:rPr>
                <w:noProof/>
                <w:webHidden/>
              </w:rPr>
              <w:t>12</w:t>
            </w:r>
            <w:r>
              <w:rPr>
                <w:noProof/>
                <w:webHidden/>
              </w:rPr>
              <w:fldChar w:fldCharType="end"/>
            </w:r>
          </w:hyperlink>
        </w:p>
        <w:p w14:paraId="035F054C" w14:textId="634F54F0" w:rsidR="00B93DC6" w:rsidRDefault="00B93DC6">
          <w:pPr>
            <w:pStyle w:val="TOC1"/>
            <w:tabs>
              <w:tab w:val="right" w:leader="dot" w:pos="9350"/>
            </w:tabs>
            <w:rPr>
              <w:rFonts w:asciiTheme="minorHAnsi" w:eastAsiaTheme="minorEastAsia" w:hAnsiTheme="minorHAnsi"/>
              <w:noProof/>
              <w:lang w:val="en-IN" w:eastAsia="en-IN"/>
            </w:rPr>
          </w:pPr>
          <w:hyperlink w:anchor="_Toc214845224" w:history="1">
            <w:r w:rsidRPr="00C77F7D">
              <w:rPr>
                <w:rStyle w:val="Hyperlink"/>
                <w:noProof/>
              </w:rPr>
              <w:t>3. Strategic Financial Restructuring Plan</w:t>
            </w:r>
            <w:r>
              <w:rPr>
                <w:noProof/>
                <w:webHidden/>
              </w:rPr>
              <w:tab/>
            </w:r>
            <w:r>
              <w:rPr>
                <w:noProof/>
                <w:webHidden/>
              </w:rPr>
              <w:fldChar w:fldCharType="begin"/>
            </w:r>
            <w:r>
              <w:rPr>
                <w:noProof/>
                <w:webHidden/>
              </w:rPr>
              <w:instrText xml:space="preserve"> PAGEREF _Toc214845224 \h </w:instrText>
            </w:r>
            <w:r>
              <w:rPr>
                <w:noProof/>
                <w:webHidden/>
              </w:rPr>
            </w:r>
            <w:r>
              <w:rPr>
                <w:noProof/>
                <w:webHidden/>
              </w:rPr>
              <w:fldChar w:fldCharType="separate"/>
            </w:r>
            <w:r>
              <w:rPr>
                <w:noProof/>
                <w:webHidden/>
              </w:rPr>
              <w:t>13</w:t>
            </w:r>
            <w:r>
              <w:rPr>
                <w:noProof/>
                <w:webHidden/>
              </w:rPr>
              <w:fldChar w:fldCharType="end"/>
            </w:r>
          </w:hyperlink>
        </w:p>
        <w:p w14:paraId="6F5AD81F" w14:textId="733C06C5" w:rsidR="00B93DC6" w:rsidRDefault="00B93DC6">
          <w:pPr>
            <w:pStyle w:val="TOC2"/>
            <w:tabs>
              <w:tab w:val="right" w:leader="dot" w:pos="9350"/>
            </w:tabs>
            <w:rPr>
              <w:rFonts w:asciiTheme="minorHAnsi" w:eastAsiaTheme="minorEastAsia" w:hAnsiTheme="minorHAnsi"/>
              <w:noProof/>
              <w:lang w:val="en-IN" w:eastAsia="en-IN"/>
            </w:rPr>
          </w:pPr>
          <w:hyperlink w:anchor="_Toc214845225" w:history="1">
            <w:r w:rsidRPr="00C77F7D">
              <w:rPr>
                <w:rStyle w:val="Hyperlink"/>
                <w:rFonts w:ascii="Arial" w:hAnsi="Arial" w:cs="Arial"/>
                <w:noProof/>
              </w:rPr>
              <w:t>3.1 Recommend financial restructuring options</w:t>
            </w:r>
            <w:r>
              <w:rPr>
                <w:noProof/>
                <w:webHidden/>
              </w:rPr>
              <w:tab/>
            </w:r>
            <w:r>
              <w:rPr>
                <w:noProof/>
                <w:webHidden/>
              </w:rPr>
              <w:fldChar w:fldCharType="begin"/>
            </w:r>
            <w:r>
              <w:rPr>
                <w:noProof/>
                <w:webHidden/>
              </w:rPr>
              <w:instrText xml:space="preserve"> PAGEREF _Toc214845225 \h </w:instrText>
            </w:r>
            <w:r>
              <w:rPr>
                <w:noProof/>
                <w:webHidden/>
              </w:rPr>
            </w:r>
            <w:r>
              <w:rPr>
                <w:noProof/>
                <w:webHidden/>
              </w:rPr>
              <w:fldChar w:fldCharType="separate"/>
            </w:r>
            <w:r>
              <w:rPr>
                <w:noProof/>
                <w:webHidden/>
              </w:rPr>
              <w:t>13</w:t>
            </w:r>
            <w:r>
              <w:rPr>
                <w:noProof/>
                <w:webHidden/>
              </w:rPr>
              <w:fldChar w:fldCharType="end"/>
            </w:r>
          </w:hyperlink>
        </w:p>
        <w:p w14:paraId="0B222137" w14:textId="0C1D7302" w:rsidR="00B93DC6" w:rsidRDefault="00B93DC6">
          <w:pPr>
            <w:pStyle w:val="TOC2"/>
            <w:tabs>
              <w:tab w:val="right" w:leader="dot" w:pos="9350"/>
            </w:tabs>
            <w:rPr>
              <w:rFonts w:asciiTheme="minorHAnsi" w:eastAsiaTheme="minorEastAsia" w:hAnsiTheme="minorHAnsi"/>
              <w:noProof/>
              <w:lang w:val="en-IN" w:eastAsia="en-IN"/>
            </w:rPr>
          </w:pPr>
          <w:hyperlink w:anchor="_Toc214845226" w:history="1">
            <w:r w:rsidRPr="00C77F7D">
              <w:rPr>
                <w:rStyle w:val="Hyperlink"/>
                <w:rFonts w:ascii="Arial" w:hAnsi="Arial" w:cs="Arial"/>
                <w:noProof/>
              </w:rPr>
              <w:t>3.2 Evaluate impact on shareholder value, debt structure, and operational flexibility</w:t>
            </w:r>
            <w:r>
              <w:rPr>
                <w:noProof/>
                <w:webHidden/>
              </w:rPr>
              <w:tab/>
            </w:r>
            <w:r>
              <w:rPr>
                <w:noProof/>
                <w:webHidden/>
              </w:rPr>
              <w:fldChar w:fldCharType="begin"/>
            </w:r>
            <w:r>
              <w:rPr>
                <w:noProof/>
                <w:webHidden/>
              </w:rPr>
              <w:instrText xml:space="preserve"> PAGEREF _Toc214845226 \h </w:instrText>
            </w:r>
            <w:r>
              <w:rPr>
                <w:noProof/>
                <w:webHidden/>
              </w:rPr>
            </w:r>
            <w:r>
              <w:rPr>
                <w:noProof/>
                <w:webHidden/>
              </w:rPr>
              <w:fldChar w:fldCharType="separate"/>
            </w:r>
            <w:r>
              <w:rPr>
                <w:noProof/>
                <w:webHidden/>
              </w:rPr>
              <w:t>14</w:t>
            </w:r>
            <w:r>
              <w:rPr>
                <w:noProof/>
                <w:webHidden/>
              </w:rPr>
              <w:fldChar w:fldCharType="end"/>
            </w:r>
          </w:hyperlink>
        </w:p>
        <w:p w14:paraId="3760E983" w14:textId="6CE1EFE5" w:rsidR="00B93DC6" w:rsidRDefault="00B93DC6">
          <w:pPr>
            <w:pStyle w:val="TOC2"/>
            <w:tabs>
              <w:tab w:val="right" w:leader="dot" w:pos="9350"/>
            </w:tabs>
            <w:rPr>
              <w:rFonts w:asciiTheme="minorHAnsi" w:eastAsiaTheme="minorEastAsia" w:hAnsiTheme="minorHAnsi"/>
              <w:noProof/>
              <w:lang w:val="en-IN" w:eastAsia="en-IN"/>
            </w:rPr>
          </w:pPr>
          <w:hyperlink w:anchor="_Toc214845227" w:history="1">
            <w:r w:rsidRPr="00C77F7D">
              <w:rPr>
                <w:rStyle w:val="Hyperlink"/>
                <w:rFonts w:ascii="Arial" w:hAnsi="Arial" w:cs="Arial"/>
                <w:noProof/>
              </w:rPr>
              <w:t>3.3 Include international and ethical considerations</w:t>
            </w:r>
            <w:r>
              <w:rPr>
                <w:noProof/>
                <w:webHidden/>
              </w:rPr>
              <w:tab/>
            </w:r>
            <w:r>
              <w:rPr>
                <w:noProof/>
                <w:webHidden/>
              </w:rPr>
              <w:fldChar w:fldCharType="begin"/>
            </w:r>
            <w:r>
              <w:rPr>
                <w:noProof/>
                <w:webHidden/>
              </w:rPr>
              <w:instrText xml:space="preserve"> PAGEREF _Toc214845227 \h </w:instrText>
            </w:r>
            <w:r>
              <w:rPr>
                <w:noProof/>
                <w:webHidden/>
              </w:rPr>
            </w:r>
            <w:r>
              <w:rPr>
                <w:noProof/>
                <w:webHidden/>
              </w:rPr>
              <w:fldChar w:fldCharType="separate"/>
            </w:r>
            <w:r>
              <w:rPr>
                <w:noProof/>
                <w:webHidden/>
              </w:rPr>
              <w:t>15</w:t>
            </w:r>
            <w:r>
              <w:rPr>
                <w:noProof/>
                <w:webHidden/>
              </w:rPr>
              <w:fldChar w:fldCharType="end"/>
            </w:r>
          </w:hyperlink>
        </w:p>
        <w:p w14:paraId="1BEB18B7" w14:textId="195014BA" w:rsidR="00B93DC6" w:rsidRDefault="00B93DC6">
          <w:pPr>
            <w:pStyle w:val="TOC1"/>
            <w:tabs>
              <w:tab w:val="right" w:leader="dot" w:pos="9350"/>
            </w:tabs>
            <w:rPr>
              <w:rFonts w:asciiTheme="minorHAnsi" w:eastAsiaTheme="minorEastAsia" w:hAnsiTheme="minorHAnsi"/>
              <w:noProof/>
              <w:lang w:val="en-IN" w:eastAsia="en-IN"/>
            </w:rPr>
          </w:pPr>
          <w:hyperlink w:anchor="_Toc214845228" w:history="1">
            <w:r w:rsidRPr="00C77F7D">
              <w:rPr>
                <w:rStyle w:val="Hyperlink"/>
                <w:noProof/>
              </w:rPr>
              <w:t>4. Investment Appraisal and Capital Budgeting</w:t>
            </w:r>
            <w:r>
              <w:rPr>
                <w:noProof/>
                <w:webHidden/>
              </w:rPr>
              <w:tab/>
            </w:r>
            <w:r>
              <w:rPr>
                <w:noProof/>
                <w:webHidden/>
              </w:rPr>
              <w:fldChar w:fldCharType="begin"/>
            </w:r>
            <w:r>
              <w:rPr>
                <w:noProof/>
                <w:webHidden/>
              </w:rPr>
              <w:instrText xml:space="preserve"> PAGEREF _Toc214845228 \h </w:instrText>
            </w:r>
            <w:r>
              <w:rPr>
                <w:noProof/>
                <w:webHidden/>
              </w:rPr>
            </w:r>
            <w:r>
              <w:rPr>
                <w:noProof/>
                <w:webHidden/>
              </w:rPr>
              <w:fldChar w:fldCharType="separate"/>
            </w:r>
            <w:r>
              <w:rPr>
                <w:noProof/>
                <w:webHidden/>
              </w:rPr>
              <w:t>16</w:t>
            </w:r>
            <w:r>
              <w:rPr>
                <w:noProof/>
                <w:webHidden/>
              </w:rPr>
              <w:fldChar w:fldCharType="end"/>
            </w:r>
          </w:hyperlink>
        </w:p>
        <w:p w14:paraId="251FDAF5" w14:textId="684D6406" w:rsidR="00B93DC6" w:rsidRDefault="00B93DC6">
          <w:pPr>
            <w:pStyle w:val="TOC2"/>
            <w:tabs>
              <w:tab w:val="right" w:leader="dot" w:pos="9350"/>
            </w:tabs>
            <w:rPr>
              <w:rFonts w:asciiTheme="minorHAnsi" w:eastAsiaTheme="minorEastAsia" w:hAnsiTheme="minorHAnsi"/>
              <w:noProof/>
              <w:lang w:val="en-IN" w:eastAsia="en-IN"/>
            </w:rPr>
          </w:pPr>
          <w:hyperlink w:anchor="_Toc214845229" w:history="1">
            <w:r w:rsidRPr="00C77F7D">
              <w:rPr>
                <w:rStyle w:val="Hyperlink"/>
                <w:rFonts w:ascii="Arial" w:hAnsi="Arial" w:cs="Arial"/>
                <w:noProof/>
              </w:rPr>
              <w:t>4.1 Three proposed investment projects using PBP, ARR, NPV, PI, and IRR</w:t>
            </w:r>
            <w:r>
              <w:rPr>
                <w:noProof/>
                <w:webHidden/>
              </w:rPr>
              <w:tab/>
            </w:r>
            <w:r>
              <w:rPr>
                <w:noProof/>
                <w:webHidden/>
              </w:rPr>
              <w:fldChar w:fldCharType="begin"/>
            </w:r>
            <w:r>
              <w:rPr>
                <w:noProof/>
                <w:webHidden/>
              </w:rPr>
              <w:instrText xml:space="preserve"> PAGEREF _Toc214845229 \h </w:instrText>
            </w:r>
            <w:r>
              <w:rPr>
                <w:noProof/>
                <w:webHidden/>
              </w:rPr>
            </w:r>
            <w:r>
              <w:rPr>
                <w:noProof/>
                <w:webHidden/>
              </w:rPr>
              <w:fldChar w:fldCharType="separate"/>
            </w:r>
            <w:r>
              <w:rPr>
                <w:noProof/>
                <w:webHidden/>
              </w:rPr>
              <w:t>16</w:t>
            </w:r>
            <w:r>
              <w:rPr>
                <w:noProof/>
                <w:webHidden/>
              </w:rPr>
              <w:fldChar w:fldCharType="end"/>
            </w:r>
          </w:hyperlink>
        </w:p>
        <w:p w14:paraId="521F9E80" w14:textId="1DD32D9A" w:rsidR="00B93DC6" w:rsidRDefault="00B93DC6">
          <w:pPr>
            <w:pStyle w:val="TOC2"/>
            <w:tabs>
              <w:tab w:val="right" w:leader="dot" w:pos="9350"/>
            </w:tabs>
            <w:rPr>
              <w:rFonts w:asciiTheme="minorHAnsi" w:eastAsiaTheme="minorEastAsia" w:hAnsiTheme="minorHAnsi"/>
              <w:noProof/>
              <w:lang w:val="en-IN" w:eastAsia="en-IN"/>
            </w:rPr>
          </w:pPr>
          <w:hyperlink w:anchor="_Toc214845230" w:history="1">
            <w:r w:rsidRPr="00C77F7D">
              <w:rPr>
                <w:rStyle w:val="Hyperlink"/>
                <w:rFonts w:ascii="Arial" w:hAnsi="Arial" w:cs="Arial"/>
                <w:noProof/>
              </w:rPr>
              <w:t>4.2 Final investment recommendation assuming capital rationing</w:t>
            </w:r>
            <w:r>
              <w:rPr>
                <w:noProof/>
                <w:webHidden/>
              </w:rPr>
              <w:tab/>
            </w:r>
            <w:r>
              <w:rPr>
                <w:noProof/>
                <w:webHidden/>
              </w:rPr>
              <w:fldChar w:fldCharType="begin"/>
            </w:r>
            <w:r>
              <w:rPr>
                <w:noProof/>
                <w:webHidden/>
              </w:rPr>
              <w:instrText xml:space="preserve"> PAGEREF _Toc214845230 \h </w:instrText>
            </w:r>
            <w:r>
              <w:rPr>
                <w:noProof/>
                <w:webHidden/>
              </w:rPr>
            </w:r>
            <w:r>
              <w:rPr>
                <w:noProof/>
                <w:webHidden/>
              </w:rPr>
              <w:fldChar w:fldCharType="separate"/>
            </w:r>
            <w:r>
              <w:rPr>
                <w:noProof/>
                <w:webHidden/>
              </w:rPr>
              <w:t>19</w:t>
            </w:r>
            <w:r>
              <w:rPr>
                <w:noProof/>
                <w:webHidden/>
              </w:rPr>
              <w:fldChar w:fldCharType="end"/>
            </w:r>
          </w:hyperlink>
        </w:p>
        <w:p w14:paraId="221088DE" w14:textId="2F3183F0" w:rsidR="00B93DC6" w:rsidRDefault="00B93DC6">
          <w:pPr>
            <w:pStyle w:val="TOC2"/>
            <w:tabs>
              <w:tab w:val="right" w:leader="dot" w:pos="9350"/>
            </w:tabs>
            <w:rPr>
              <w:rFonts w:asciiTheme="minorHAnsi" w:eastAsiaTheme="minorEastAsia" w:hAnsiTheme="minorHAnsi"/>
              <w:noProof/>
              <w:lang w:val="en-IN" w:eastAsia="en-IN"/>
            </w:rPr>
          </w:pPr>
          <w:hyperlink w:anchor="_Toc214845231" w:history="1">
            <w:r w:rsidRPr="00C77F7D">
              <w:rPr>
                <w:rStyle w:val="Hyperlink"/>
                <w:rFonts w:ascii="Arial" w:hAnsi="Arial" w:cs="Arial"/>
                <w:noProof/>
              </w:rPr>
              <w:t>4.3 Recommendation regarding the company’s financial performance and project risk characteristics</w:t>
            </w:r>
            <w:r>
              <w:rPr>
                <w:noProof/>
                <w:webHidden/>
              </w:rPr>
              <w:tab/>
            </w:r>
            <w:r>
              <w:rPr>
                <w:noProof/>
                <w:webHidden/>
              </w:rPr>
              <w:fldChar w:fldCharType="begin"/>
            </w:r>
            <w:r>
              <w:rPr>
                <w:noProof/>
                <w:webHidden/>
              </w:rPr>
              <w:instrText xml:space="preserve"> PAGEREF _Toc214845231 \h </w:instrText>
            </w:r>
            <w:r>
              <w:rPr>
                <w:noProof/>
                <w:webHidden/>
              </w:rPr>
            </w:r>
            <w:r>
              <w:rPr>
                <w:noProof/>
                <w:webHidden/>
              </w:rPr>
              <w:fldChar w:fldCharType="separate"/>
            </w:r>
            <w:r>
              <w:rPr>
                <w:noProof/>
                <w:webHidden/>
              </w:rPr>
              <w:t>20</w:t>
            </w:r>
            <w:r>
              <w:rPr>
                <w:noProof/>
                <w:webHidden/>
              </w:rPr>
              <w:fldChar w:fldCharType="end"/>
            </w:r>
          </w:hyperlink>
        </w:p>
        <w:p w14:paraId="6F5F637E" w14:textId="12F96B22" w:rsidR="00B93DC6" w:rsidRDefault="00B93DC6">
          <w:pPr>
            <w:pStyle w:val="TOC1"/>
            <w:tabs>
              <w:tab w:val="right" w:leader="dot" w:pos="9350"/>
            </w:tabs>
            <w:rPr>
              <w:rFonts w:asciiTheme="minorHAnsi" w:eastAsiaTheme="minorEastAsia" w:hAnsiTheme="minorHAnsi"/>
              <w:noProof/>
              <w:lang w:val="en-IN" w:eastAsia="en-IN"/>
            </w:rPr>
          </w:pPr>
          <w:hyperlink w:anchor="_Toc214845232" w:history="1">
            <w:r w:rsidRPr="00C77F7D">
              <w:rPr>
                <w:rStyle w:val="Hyperlink"/>
                <w:noProof/>
              </w:rPr>
              <w:t>References</w:t>
            </w:r>
            <w:r>
              <w:rPr>
                <w:noProof/>
                <w:webHidden/>
              </w:rPr>
              <w:tab/>
            </w:r>
            <w:r>
              <w:rPr>
                <w:noProof/>
                <w:webHidden/>
              </w:rPr>
              <w:fldChar w:fldCharType="begin"/>
            </w:r>
            <w:r>
              <w:rPr>
                <w:noProof/>
                <w:webHidden/>
              </w:rPr>
              <w:instrText xml:space="preserve"> PAGEREF _Toc214845232 \h </w:instrText>
            </w:r>
            <w:r>
              <w:rPr>
                <w:noProof/>
                <w:webHidden/>
              </w:rPr>
            </w:r>
            <w:r>
              <w:rPr>
                <w:noProof/>
                <w:webHidden/>
              </w:rPr>
              <w:fldChar w:fldCharType="separate"/>
            </w:r>
            <w:r>
              <w:rPr>
                <w:noProof/>
                <w:webHidden/>
              </w:rPr>
              <w:t>23</w:t>
            </w:r>
            <w:r>
              <w:rPr>
                <w:noProof/>
                <w:webHidden/>
              </w:rPr>
              <w:fldChar w:fldCharType="end"/>
            </w:r>
          </w:hyperlink>
        </w:p>
        <w:p w14:paraId="3978D77A" w14:textId="7400D407" w:rsidR="00B93DC6" w:rsidRDefault="00B93DC6">
          <w:pPr>
            <w:pStyle w:val="TOC1"/>
            <w:tabs>
              <w:tab w:val="right" w:leader="dot" w:pos="9350"/>
            </w:tabs>
            <w:rPr>
              <w:rFonts w:asciiTheme="minorHAnsi" w:eastAsiaTheme="minorEastAsia" w:hAnsiTheme="minorHAnsi"/>
              <w:noProof/>
              <w:lang w:val="en-IN" w:eastAsia="en-IN"/>
            </w:rPr>
          </w:pPr>
          <w:hyperlink w:anchor="_Toc214845233" w:history="1">
            <w:r w:rsidRPr="00C77F7D">
              <w:rPr>
                <w:rStyle w:val="Hyperlink"/>
                <w:noProof/>
              </w:rPr>
              <w:t>Appendix</w:t>
            </w:r>
            <w:r>
              <w:rPr>
                <w:noProof/>
                <w:webHidden/>
              </w:rPr>
              <w:tab/>
            </w:r>
            <w:r>
              <w:rPr>
                <w:noProof/>
                <w:webHidden/>
              </w:rPr>
              <w:fldChar w:fldCharType="begin"/>
            </w:r>
            <w:r>
              <w:rPr>
                <w:noProof/>
                <w:webHidden/>
              </w:rPr>
              <w:instrText xml:space="preserve"> PAGEREF _Toc214845233 \h </w:instrText>
            </w:r>
            <w:r>
              <w:rPr>
                <w:noProof/>
                <w:webHidden/>
              </w:rPr>
            </w:r>
            <w:r>
              <w:rPr>
                <w:noProof/>
                <w:webHidden/>
              </w:rPr>
              <w:fldChar w:fldCharType="separate"/>
            </w:r>
            <w:r>
              <w:rPr>
                <w:noProof/>
                <w:webHidden/>
              </w:rPr>
              <w:t>27</w:t>
            </w:r>
            <w:r>
              <w:rPr>
                <w:noProof/>
                <w:webHidden/>
              </w:rPr>
              <w:fldChar w:fldCharType="end"/>
            </w:r>
          </w:hyperlink>
        </w:p>
        <w:p w14:paraId="1CA857EC" w14:textId="6BEF4327" w:rsidR="006162B7" w:rsidRPr="0077415D" w:rsidRDefault="006162B7" w:rsidP="006162B7">
          <w:pPr>
            <w:rPr>
              <w:rFonts w:ascii="Arial" w:hAnsi="Arial" w:cs="Arial"/>
              <w:color w:val="000000" w:themeColor="text1"/>
            </w:rPr>
          </w:pPr>
          <w:r w:rsidRPr="0077415D">
            <w:rPr>
              <w:rFonts w:ascii="Arial" w:hAnsi="Arial" w:cs="Arial"/>
              <w:b/>
              <w:bCs/>
              <w:noProof/>
              <w:color w:val="000000" w:themeColor="text1"/>
            </w:rPr>
            <w:fldChar w:fldCharType="end"/>
          </w:r>
        </w:p>
      </w:sdtContent>
    </w:sdt>
    <w:p w14:paraId="67117382" w14:textId="6829C2B1" w:rsidR="002A7918" w:rsidRPr="0077415D" w:rsidRDefault="002A7918">
      <w:pPr>
        <w:rPr>
          <w:rFonts w:ascii="Arial" w:hAnsi="Arial" w:cs="Arial"/>
          <w:color w:val="000000" w:themeColor="text1"/>
        </w:rPr>
      </w:pPr>
    </w:p>
    <w:p w14:paraId="70E9FD33" w14:textId="192131C0" w:rsidR="00847A04" w:rsidRPr="0077415D" w:rsidRDefault="002A7918" w:rsidP="00B543BE">
      <w:pPr>
        <w:pStyle w:val="Heading1"/>
        <w:rPr>
          <w:color w:val="000000" w:themeColor="text1"/>
        </w:rPr>
      </w:pPr>
      <w:r w:rsidRPr="0077415D">
        <w:rPr>
          <w:color w:val="000000" w:themeColor="text1"/>
        </w:rPr>
        <w:br w:type="column"/>
      </w:r>
      <w:bookmarkStart w:id="0" w:name="_Toc214845215"/>
      <w:r w:rsidR="00847A04" w:rsidRPr="0077415D">
        <w:rPr>
          <w:color w:val="000000" w:themeColor="text1"/>
        </w:rPr>
        <w:lastRenderedPageBreak/>
        <w:t>Introduction</w:t>
      </w:r>
      <w:bookmarkEnd w:id="0"/>
    </w:p>
    <w:p w14:paraId="6ED9F3E6" w14:textId="5B8ECC17" w:rsidR="00847A04" w:rsidRPr="0077415D" w:rsidRDefault="00847A04" w:rsidP="00847A04">
      <w:pPr>
        <w:rPr>
          <w:rFonts w:ascii="Arial" w:hAnsi="Arial" w:cs="Arial"/>
          <w:color w:val="000000" w:themeColor="text1"/>
        </w:rPr>
      </w:pPr>
      <w:r w:rsidRPr="0077415D">
        <w:rPr>
          <w:rFonts w:ascii="Arial" w:hAnsi="Arial" w:cs="Arial"/>
          <w:color w:val="000000" w:themeColor="text1"/>
        </w:rPr>
        <w:t xml:space="preserve">This report evaluates the financial condition of General Electronics and develops a restructuring roadmap to support </w:t>
      </w:r>
      <w:r w:rsidR="0077415D">
        <w:rPr>
          <w:rFonts w:ascii="Arial" w:hAnsi="Arial" w:cs="Arial"/>
          <w:color w:val="000000" w:themeColor="text1"/>
        </w:rPr>
        <w:t>long-term</w:t>
      </w:r>
      <w:r w:rsidRPr="0077415D">
        <w:rPr>
          <w:rFonts w:ascii="Arial" w:hAnsi="Arial" w:cs="Arial"/>
          <w:color w:val="000000" w:themeColor="text1"/>
        </w:rPr>
        <w:t xml:space="preserve"> recovery. It first conducts a financial health check using </w:t>
      </w:r>
      <w:r w:rsidR="0077415D">
        <w:rPr>
          <w:rFonts w:ascii="Arial" w:hAnsi="Arial" w:cs="Arial"/>
          <w:color w:val="000000" w:themeColor="text1"/>
        </w:rPr>
        <w:t>indicators of profitability, liquidity, efficiency, gearing, cash flow quality, and the Altman Z score</w:t>
      </w:r>
      <w:r w:rsidRPr="0077415D">
        <w:rPr>
          <w:rFonts w:ascii="Arial" w:hAnsi="Arial" w:cs="Arial"/>
          <w:color w:val="000000" w:themeColor="text1"/>
        </w:rPr>
        <w:t xml:space="preserve">. It then examines working capital management, focusing on the cash operating cycle and the balance between receivables, inventories and payables. The next section compares </w:t>
      </w:r>
      <w:r w:rsidR="0077415D">
        <w:rPr>
          <w:rFonts w:ascii="Arial" w:hAnsi="Arial" w:cs="Arial"/>
          <w:color w:val="000000" w:themeColor="text1"/>
        </w:rPr>
        <w:t>short-term</w:t>
      </w:r>
      <w:r w:rsidRPr="0077415D">
        <w:rPr>
          <w:rFonts w:ascii="Arial" w:hAnsi="Arial" w:cs="Arial"/>
          <w:color w:val="000000" w:themeColor="text1"/>
        </w:rPr>
        <w:t xml:space="preserve"> and long-term financing choices</w:t>
      </w:r>
      <w:r w:rsidR="0077415D">
        <w:rPr>
          <w:rFonts w:ascii="Arial" w:hAnsi="Arial" w:cs="Arial"/>
          <w:color w:val="000000" w:themeColor="text1"/>
        </w:rPr>
        <w:t>,</w:t>
      </w:r>
      <w:r w:rsidRPr="0077415D">
        <w:rPr>
          <w:rFonts w:ascii="Arial" w:hAnsi="Arial" w:cs="Arial"/>
          <w:color w:val="000000" w:themeColor="text1"/>
        </w:rPr>
        <w:t xml:space="preserve"> </w:t>
      </w:r>
      <w:r w:rsidR="0077415D" w:rsidRPr="0077415D">
        <w:rPr>
          <w:rFonts w:ascii="Arial" w:hAnsi="Arial" w:cs="Arial"/>
          <w:color w:val="000000" w:themeColor="text1"/>
        </w:rPr>
        <w:t>considering</w:t>
      </w:r>
      <w:r w:rsidRPr="0077415D">
        <w:rPr>
          <w:rFonts w:ascii="Arial" w:hAnsi="Arial" w:cs="Arial"/>
          <w:color w:val="000000" w:themeColor="text1"/>
        </w:rPr>
        <w:t xml:space="preserve"> recent losses and weak interest coverage. </w:t>
      </w:r>
    </w:p>
    <w:p w14:paraId="380B93F2" w14:textId="5E189A72" w:rsidR="005A7F14" w:rsidRPr="0077415D" w:rsidRDefault="005A7F14" w:rsidP="00B543BE">
      <w:pPr>
        <w:pStyle w:val="Heading1"/>
        <w:rPr>
          <w:rFonts w:eastAsiaTheme="minorHAnsi"/>
          <w:color w:val="000000" w:themeColor="text1"/>
        </w:rPr>
      </w:pPr>
      <w:bookmarkStart w:id="1" w:name="_Toc214845216"/>
      <w:r w:rsidRPr="0077415D">
        <w:rPr>
          <w:rFonts w:eastAsiaTheme="minorHAnsi"/>
          <w:color w:val="000000" w:themeColor="text1"/>
        </w:rPr>
        <w:t>1. Financial Health Check</w:t>
      </w:r>
      <w:bookmarkEnd w:id="1"/>
    </w:p>
    <w:p w14:paraId="27338189" w14:textId="2382A98D" w:rsidR="005A7F14" w:rsidRPr="0077415D" w:rsidRDefault="005A7F14" w:rsidP="005A7F14">
      <w:pPr>
        <w:pStyle w:val="Heading2"/>
        <w:rPr>
          <w:rFonts w:ascii="Arial" w:hAnsi="Arial" w:cs="Arial"/>
          <w:color w:val="000000" w:themeColor="text1"/>
        </w:rPr>
      </w:pPr>
      <w:bookmarkStart w:id="2" w:name="_Toc214845217"/>
      <w:r w:rsidRPr="0077415D">
        <w:rPr>
          <w:rFonts w:ascii="Arial" w:hAnsi="Arial" w:cs="Arial"/>
          <w:color w:val="000000" w:themeColor="text1"/>
        </w:rPr>
        <w:t>1.1 Ratio Analysis</w:t>
      </w:r>
      <w:bookmarkEnd w:id="2"/>
    </w:p>
    <w:tbl>
      <w:tblPr>
        <w:tblStyle w:val="TableGrid"/>
        <w:tblW w:w="5000" w:type="pct"/>
        <w:jc w:val="center"/>
        <w:tblLook w:val="04A0" w:firstRow="1" w:lastRow="0" w:firstColumn="1" w:lastColumn="0" w:noHBand="0" w:noVBand="1"/>
      </w:tblPr>
      <w:tblGrid>
        <w:gridCol w:w="2917"/>
        <w:gridCol w:w="1241"/>
        <w:gridCol w:w="1298"/>
        <w:gridCol w:w="1298"/>
        <w:gridCol w:w="1298"/>
        <w:gridCol w:w="1298"/>
      </w:tblGrid>
      <w:tr w:rsidR="00D55096" w:rsidRPr="0077415D" w14:paraId="7886147E" w14:textId="77777777" w:rsidTr="004025ED">
        <w:trPr>
          <w:trHeight w:val="300"/>
          <w:jc w:val="center"/>
        </w:trPr>
        <w:tc>
          <w:tcPr>
            <w:tcW w:w="1218" w:type="pct"/>
            <w:noWrap/>
            <w:hideMark/>
          </w:tcPr>
          <w:p w14:paraId="31C6F935" w14:textId="77777777" w:rsidR="004025ED" w:rsidRPr="0077415D" w:rsidRDefault="004025ED" w:rsidP="004025ED">
            <w:pPr>
              <w:spacing w:line="240" w:lineRule="auto"/>
              <w:jc w:val="left"/>
              <w:rPr>
                <w:rFonts w:ascii="Arial" w:eastAsia="Times New Roman" w:hAnsi="Arial" w:cs="Arial"/>
                <w:color w:val="000000" w:themeColor="text1"/>
                <w:kern w:val="0"/>
                <w14:ligatures w14:val="none"/>
              </w:rPr>
            </w:pPr>
          </w:p>
        </w:tc>
        <w:tc>
          <w:tcPr>
            <w:tcW w:w="756" w:type="pct"/>
            <w:noWrap/>
            <w:hideMark/>
          </w:tcPr>
          <w:p w14:paraId="395330A9"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2020</w:t>
            </w:r>
          </w:p>
        </w:tc>
        <w:tc>
          <w:tcPr>
            <w:tcW w:w="756" w:type="pct"/>
            <w:noWrap/>
            <w:hideMark/>
          </w:tcPr>
          <w:p w14:paraId="477E8508"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2021</w:t>
            </w:r>
          </w:p>
        </w:tc>
        <w:tc>
          <w:tcPr>
            <w:tcW w:w="756" w:type="pct"/>
            <w:noWrap/>
            <w:hideMark/>
          </w:tcPr>
          <w:p w14:paraId="5BC2623D"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2022</w:t>
            </w:r>
          </w:p>
        </w:tc>
        <w:tc>
          <w:tcPr>
            <w:tcW w:w="756" w:type="pct"/>
            <w:noWrap/>
            <w:hideMark/>
          </w:tcPr>
          <w:p w14:paraId="4B3FB24C"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2023</w:t>
            </w:r>
          </w:p>
        </w:tc>
        <w:tc>
          <w:tcPr>
            <w:tcW w:w="756" w:type="pct"/>
            <w:noWrap/>
            <w:hideMark/>
          </w:tcPr>
          <w:p w14:paraId="65A7FC47"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2024</w:t>
            </w:r>
          </w:p>
        </w:tc>
      </w:tr>
      <w:tr w:rsidR="00D55096" w:rsidRPr="0077415D" w14:paraId="292F2A74" w14:textId="77777777" w:rsidTr="004025ED">
        <w:trPr>
          <w:trHeight w:val="300"/>
          <w:jc w:val="center"/>
        </w:trPr>
        <w:tc>
          <w:tcPr>
            <w:tcW w:w="1218" w:type="pct"/>
            <w:noWrap/>
            <w:hideMark/>
          </w:tcPr>
          <w:p w14:paraId="4ACD2AC5"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Gross Margin (%)</w:t>
            </w:r>
          </w:p>
        </w:tc>
        <w:tc>
          <w:tcPr>
            <w:tcW w:w="756" w:type="pct"/>
            <w:noWrap/>
            <w:hideMark/>
          </w:tcPr>
          <w:p w14:paraId="3BEEB14A"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28.67%</w:t>
            </w:r>
          </w:p>
        </w:tc>
        <w:tc>
          <w:tcPr>
            <w:tcW w:w="756" w:type="pct"/>
            <w:noWrap/>
            <w:hideMark/>
          </w:tcPr>
          <w:p w14:paraId="4F144909"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28.76%</w:t>
            </w:r>
          </w:p>
        </w:tc>
        <w:tc>
          <w:tcPr>
            <w:tcW w:w="756" w:type="pct"/>
            <w:noWrap/>
            <w:hideMark/>
          </w:tcPr>
          <w:p w14:paraId="5842C059"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28.06%</w:t>
            </w:r>
          </w:p>
        </w:tc>
        <w:tc>
          <w:tcPr>
            <w:tcW w:w="756" w:type="pct"/>
            <w:noWrap/>
            <w:hideMark/>
          </w:tcPr>
          <w:p w14:paraId="13DA0D9F"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23.20%</w:t>
            </w:r>
          </w:p>
        </w:tc>
        <w:tc>
          <w:tcPr>
            <w:tcW w:w="756" w:type="pct"/>
            <w:noWrap/>
            <w:hideMark/>
          </w:tcPr>
          <w:p w14:paraId="2F4946D5"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28.87%</w:t>
            </w:r>
          </w:p>
        </w:tc>
      </w:tr>
      <w:tr w:rsidR="00D55096" w:rsidRPr="0077415D" w14:paraId="14C5B0F2" w14:textId="77777777" w:rsidTr="004025ED">
        <w:trPr>
          <w:trHeight w:val="300"/>
          <w:jc w:val="center"/>
        </w:trPr>
        <w:tc>
          <w:tcPr>
            <w:tcW w:w="1218" w:type="pct"/>
            <w:noWrap/>
            <w:hideMark/>
          </w:tcPr>
          <w:p w14:paraId="117C6C26"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Operating Margin (%)</w:t>
            </w:r>
          </w:p>
        </w:tc>
        <w:tc>
          <w:tcPr>
            <w:tcW w:w="756" w:type="pct"/>
            <w:noWrap/>
            <w:hideMark/>
          </w:tcPr>
          <w:p w14:paraId="6D4DB6A2"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6.06%</w:t>
            </w:r>
          </w:p>
        </w:tc>
        <w:tc>
          <w:tcPr>
            <w:tcW w:w="756" w:type="pct"/>
            <w:noWrap/>
            <w:hideMark/>
          </w:tcPr>
          <w:p w14:paraId="596453F8"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3.87%</w:t>
            </w:r>
          </w:p>
        </w:tc>
        <w:tc>
          <w:tcPr>
            <w:tcW w:w="756" w:type="pct"/>
            <w:noWrap/>
            <w:hideMark/>
          </w:tcPr>
          <w:p w14:paraId="78F63951"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2.68%</w:t>
            </w:r>
          </w:p>
        </w:tc>
        <w:tc>
          <w:tcPr>
            <w:tcW w:w="756" w:type="pct"/>
            <w:noWrap/>
            <w:hideMark/>
          </w:tcPr>
          <w:p w14:paraId="1901CBAB"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-20.29%</w:t>
            </w:r>
          </w:p>
        </w:tc>
        <w:tc>
          <w:tcPr>
            <w:tcW w:w="756" w:type="pct"/>
            <w:noWrap/>
            <w:hideMark/>
          </w:tcPr>
          <w:p w14:paraId="74EF20AE"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-3.87%</w:t>
            </w:r>
          </w:p>
        </w:tc>
      </w:tr>
      <w:tr w:rsidR="00D55096" w:rsidRPr="0077415D" w14:paraId="72785377" w14:textId="77777777" w:rsidTr="004025ED">
        <w:trPr>
          <w:trHeight w:val="300"/>
          <w:jc w:val="center"/>
        </w:trPr>
        <w:tc>
          <w:tcPr>
            <w:tcW w:w="1218" w:type="pct"/>
            <w:noWrap/>
            <w:hideMark/>
          </w:tcPr>
          <w:p w14:paraId="7F21DF98"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Net Margin (%)</w:t>
            </w:r>
          </w:p>
        </w:tc>
        <w:tc>
          <w:tcPr>
            <w:tcW w:w="756" w:type="pct"/>
            <w:noWrap/>
            <w:hideMark/>
          </w:tcPr>
          <w:p w14:paraId="518BC673"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6.28%</w:t>
            </w:r>
          </w:p>
        </w:tc>
        <w:tc>
          <w:tcPr>
            <w:tcW w:w="756" w:type="pct"/>
            <w:noWrap/>
            <w:hideMark/>
          </w:tcPr>
          <w:p w14:paraId="7A4909E8"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0.88%</w:t>
            </w:r>
          </w:p>
        </w:tc>
        <w:tc>
          <w:tcPr>
            <w:tcW w:w="756" w:type="pct"/>
            <w:noWrap/>
            <w:hideMark/>
          </w:tcPr>
          <w:p w14:paraId="5F0E0B35"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0.07%</w:t>
            </w:r>
          </w:p>
        </w:tc>
        <w:tc>
          <w:tcPr>
            <w:tcW w:w="756" w:type="pct"/>
            <w:noWrap/>
            <w:hideMark/>
          </w:tcPr>
          <w:p w14:paraId="38D0C8E5"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-23.36%</w:t>
            </w:r>
          </w:p>
        </w:tc>
        <w:tc>
          <w:tcPr>
            <w:tcW w:w="756" w:type="pct"/>
            <w:noWrap/>
            <w:hideMark/>
          </w:tcPr>
          <w:p w14:paraId="3CB7CE76"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-6.09%</w:t>
            </w:r>
          </w:p>
        </w:tc>
      </w:tr>
      <w:tr w:rsidR="00D55096" w:rsidRPr="0077415D" w14:paraId="3F5A7ACA" w14:textId="77777777" w:rsidTr="004025ED">
        <w:trPr>
          <w:trHeight w:val="300"/>
          <w:jc w:val="center"/>
        </w:trPr>
        <w:tc>
          <w:tcPr>
            <w:tcW w:w="1218" w:type="pct"/>
            <w:noWrap/>
            <w:hideMark/>
          </w:tcPr>
          <w:p w14:paraId="0D26EAD4"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Current Ratio</w:t>
            </w:r>
          </w:p>
        </w:tc>
        <w:tc>
          <w:tcPr>
            <w:tcW w:w="756" w:type="pct"/>
            <w:noWrap/>
            <w:hideMark/>
          </w:tcPr>
          <w:p w14:paraId="290B7E64"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1.821</w:t>
            </w:r>
          </w:p>
        </w:tc>
        <w:tc>
          <w:tcPr>
            <w:tcW w:w="756" w:type="pct"/>
            <w:noWrap/>
            <w:hideMark/>
          </w:tcPr>
          <w:p w14:paraId="38FC7EB9"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1.555</w:t>
            </w:r>
          </w:p>
        </w:tc>
        <w:tc>
          <w:tcPr>
            <w:tcW w:w="756" w:type="pct"/>
            <w:noWrap/>
            <w:hideMark/>
          </w:tcPr>
          <w:p w14:paraId="4996421E"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1.562</w:t>
            </w:r>
          </w:p>
        </w:tc>
        <w:tc>
          <w:tcPr>
            <w:tcW w:w="756" w:type="pct"/>
            <w:noWrap/>
            <w:hideMark/>
          </w:tcPr>
          <w:p w14:paraId="24735A9B"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1.606</w:t>
            </w:r>
          </w:p>
        </w:tc>
        <w:tc>
          <w:tcPr>
            <w:tcW w:w="756" w:type="pct"/>
            <w:noWrap/>
            <w:hideMark/>
          </w:tcPr>
          <w:p w14:paraId="7867C0C0"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1.532</w:t>
            </w:r>
          </w:p>
        </w:tc>
      </w:tr>
      <w:tr w:rsidR="00D55096" w:rsidRPr="0077415D" w14:paraId="5309A164" w14:textId="77777777" w:rsidTr="004025ED">
        <w:trPr>
          <w:trHeight w:val="300"/>
          <w:jc w:val="center"/>
        </w:trPr>
        <w:tc>
          <w:tcPr>
            <w:tcW w:w="1218" w:type="pct"/>
            <w:noWrap/>
            <w:hideMark/>
          </w:tcPr>
          <w:p w14:paraId="0D2566BC"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Quick Ratio</w:t>
            </w:r>
          </w:p>
        </w:tc>
        <w:tc>
          <w:tcPr>
            <w:tcW w:w="756" w:type="pct"/>
            <w:noWrap/>
            <w:hideMark/>
          </w:tcPr>
          <w:p w14:paraId="6EE2FB7B"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1.150</w:t>
            </w:r>
          </w:p>
        </w:tc>
        <w:tc>
          <w:tcPr>
            <w:tcW w:w="756" w:type="pct"/>
            <w:noWrap/>
            <w:hideMark/>
          </w:tcPr>
          <w:p w14:paraId="14D69EF0"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0.935</w:t>
            </w:r>
          </w:p>
        </w:tc>
        <w:tc>
          <w:tcPr>
            <w:tcW w:w="756" w:type="pct"/>
            <w:noWrap/>
            <w:hideMark/>
          </w:tcPr>
          <w:p w14:paraId="089C1D68"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0.914</w:t>
            </w:r>
          </w:p>
        </w:tc>
        <w:tc>
          <w:tcPr>
            <w:tcW w:w="756" w:type="pct"/>
            <w:noWrap/>
            <w:hideMark/>
          </w:tcPr>
          <w:p w14:paraId="6820C571"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1.059</w:t>
            </w:r>
          </w:p>
        </w:tc>
        <w:tc>
          <w:tcPr>
            <w:tcW w:w="756" w:type="pct"/>
            <w:noWrap/>
            <w:hideMark/>
          </w:tcPr>
          <w:p w14:paraId="4C4375C3"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1.031</w:t>
            </w:r>
          </w:p>
        </w:tc>
      </w:tr>
      <w:tr w:rsidR="00D55096" w:rsidRPr="0077415D" w14:paraId="7B80999B" w14:textId="77777777" w:rsidTr="004025ED">
        <w:trPr>
          <w:trHeight w:val="300"/>
          <w:jc w:val="center"/>
        </w:trPr>
        <w:tc>
          <w:tcPr>
            <w:tcW w:w="1218" w:type="pct"/>
            <w:noWrap/>
            <w:hideMark/>
          </w:tcPr>
          <w:p w14:paraId="33815438"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Cash Ratio</w:t>
            </w:r>
          </w:p>
        </w:tc>
        <w:tc>
          <w:tcPr>
            <w:tcW w:w="756" w:type="pct"/>
            <w:noWrap/>
            <w:hideMark/>
          </w:tcPr>
          <w:p w14:paraId="0388A87D"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0.318</w:t>
            </w:r>
          </w:p>
        </w:tc>
        <w:tc>
          <w:tcPr>
            <w:tcW w:w="756" w:type="pct"/>
            <w:noWrap/>
            <w:hideMark/>
          </w:tcPr>
          <w:p w14:paraId="2CB4631B"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0.281</w:t>
            </w:r>
          </w:p>
        </w:tc>
        <w:tc>
          <w:tcPr>
            <w:tcW w:w="756" w:type="pct"/>
            <w:noWrap/>
            <w:hideMark/>
          </w:tcPr>
          <w:p w14:paraId="1F4AD648"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0.308</w:t>
            </w:r>
          </w:p>
        </w:tc>
        <w:tc>
          <w:tcPr>
            <w:tcW w:w="756" w:type="pct"/>
            <w:noWrap/>
            <w:hideMark/>
          </w:tcPr>
          <w:p w14:paraId="150B48F9"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0.265</w:t>
            </w:r>
          </w:p>
        </w:tc>
        <w:tc>
          <w:tcPr>
            <w:tcW w:w="756" w:type="pct"/>
            <w:noWrap/>
            <w:hideMark/>
          </w:tcPr>
          <w:p w14:paraId="6CFB3080"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0.169</w:t>
            </w:r>
          </w:p>
        </w:tc>
      </w:tr>
      <w:tr w:rsidR="00D55096" w:rsidRPr="0077415D" w14:paraId="2DC7D276" w14:textId="77777777" w:rsidTr="004025ED">
        <w:trPr>
          <w:trHeight w:val="300"/>
          <w:jc w:val="center"/>
        </w:trPr>
        <w:tc>
          <w:tcPr>
            <w:tcW w:w="1218" w:type="pct"/>
            <w:noWrap/>
            <w:hideMark/>
          </w:tcPr>
          <w:p w14:paraId="0F91B9EF"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Inventory Turnover (times)</w:t>
            </w:r>
          </w:p>
        </w:tc>
        <w:tc>
          <w:tcPr>
            <w:tcW w:w="756" w:type="pct"/>
            <w:noWrap/>
            <w:hideMark/>
          </w:tcPr>
          <w:p w14:paraId="6496CB95"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-3.64048825</w:t>
            </w:r>
          </w:p>
        </w:tc>
        <w:tc>
          <w:tcPr>
            <w:tcW w:w="756" w:type="pct"/>
            <w:noWrap/>
            <w:hideMark/>
          </w:tcPr>
          <w:p w14:paraId="080CF118"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-3.187247618</w:t>
            </w:r>
          </w:p>
        </w:tc>
        <w:tc>
          <w:tcPr>
            <w:tcW w:w="756" w:type="pct"/>
            <w:noWrap/>
            <w:hideMark/>
          </w:tcPr>
          <w:p w14:paraId="7389D0A6"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-2.785391744</w:t>
            </w:r>
          </w:p>
        </w:tc>
        <w:tc>
          <w:tcPr>
            <w:tcW w:w="756" w:type="pct"/>
            <w:noWrap/>
            <w:hideMark/>
          </w:tcPr>
          <w:p w14:paraId="09167395"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-3.657936175</w:t>
            </w:r>
          </w:p>
        </w:tc>
        <w:tc>
          <w:tcPr>
            <w:tcW w:w="756" w:type="pct"/>
            <w:noWrap/>
            <w:hideMark/>
          </w:tcPr>
          <w:p w14:paraId="3D5CD799"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-3.539600529</w:t>
            </w:r>
          </w:p>
        </w:tc>
      </w:tr>
      <w:tr w:rsidR="00D55096" w:rsidRPr="0077415D" w14:paraId="582A33A5" w14:textId="77777777" w:rsidTr="004025ED">
        <w:trPr>
          <w:trHeight w:val="300"/>
          <w:jc w:val="center"/>
        </w:trPr>
        <w:tc>
          <w:tcPr>
            <w:tcW w:w="1218" w:type="pct"/>
            <w:noWrap/>
            <w:hideMark/>
          </w:tcPr>
          <w:p w14:paraId="65E1D673"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Days Inventory Outstanding (days)</w:t>
            </w:r>
          </w:p>
        </w:tc>
        <w:tc>
          <w:tcPr>
            <w:tcW w:w="756" w:type="pct"/>
            <w:noWrap/>
            <w:hideMark/>
          </w:tcPr>
          <w:p w14:paraId="23ECF4F6"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0.004181704</w:t>
            </w:r>
          </w:p>
        </w:tc>
        <w:tc>
          <w:tcPr>
            <w:tcW w:w="756" w:type="pct"/>
            <w:noWrap/>
            <w:hideMark/>
          </w:tcPr>
          <w:p w14:paraId="547E4C85"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0.004889681</w:t>
            </w:r>
          </w:p>
        </w:tc>
        <w:tc>
          <w:tcPr>
            <w:tcW w:w="756" w:type="pct"/>
            <w:noWrap/>
            <w:hideMark/>
          </w:tcPr>
          <w:p w14:paraId="0C4A6B47"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0.005812935</w:t>
            </w:r>
          </w:p>
        </w:tc>
        <w:tc>
          <w:tcPr>
            <w:tcW w:w="756" w:type="pct"/>
            <w:noWrap/>
            <w:hideMark/>
          </w:tcPr>
          <w:p w14:paraId="1E0237EB"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0.008180372</w:t>
            </w:r>
          </w:p>
        </w:tc>
        <w:tc>
          <w:tcPr>
            <w:tcW w:w="756" w:type="pct"/>
            <w:noWrap/>
            <w:hideMark/>
          </w:tcPr>
          <w:p w14:paraId="562803E4"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0.010670331</w:t>
            </w:r>
          </w:p>
        </w:tc>
      </w:tr>
      <w:tr w:rsidR="00D55096" w:rsidRPr="0077415D" w14:paraId="20065ED4" w14:textId="77777777" w:rsidTr="004025ED">
        <w:trPr>
          <w:trHeight w:val="300"/>
          <w:jc w:val="center"/>
        </w:trPr>
        <w:tc>
          <w:tcPr>
            <w:tcW w:w="1218" w:type="pct"/>
            <w:noWrap/>
            <w:hideMark/>
          </w:tcPr>
          <w:p w14:paraId="660C1768"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Receivables Turnover (times)</w:t>
            </w:r>
          </w:p>
        </w:tc>
        <w:tc>
          <w:tcPr>
            <w:tcW w:w="756" w:type="pct"/>
            <w:noWrap/>
            <w:hideMark/>
          </w:tcPr>
          <w:p w14:paraId="78EAE225"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0.003286263</w:t>
            </w:r>
          </w:p>
        </w:tc>
        <w:tc>
          <w:tcPr>
            <w:tcW w:w="756" w:type="pct"/>
            <w:noWrap/>
            <w:hideMark/>
          </w:tcPr>
          <w:p w14:paraId="65F29ED3"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0.003359364</w:t>
            </w:r>
          </w:p>
        </w:tc>
        <w:tc>
          <w:tcPr>
            <w:tcW w:w="756" w:type="pct"/>
            <w:noWrap/>
            <w:hideMark/>
          </w:tcPr>
          <w:p w14:paraId="27C3E862"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0.003725465</w:t>
            </w:r>
          </w:p>
        </w:tc>
        <w:tc>
          <w:tcPr>
            <w:tcW w:w="756" w:type="pct"/>
            <w:noWrap/>
            <w:hideMark/>
          </w:tcPr>
          <w:p w14:paraId="21B6C860"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0.004811431</w:t>
            </w:r>
          </w:p>
        </w:tc>
        <w:tc>
          <w:tcPr>
            <w:tcW w:w="756" w:type="pct"/>
            <w:noWrap/>
            <w:hideMark/>
          </w:tcPr>
          <w:p w14:paraId="7C31DD5E"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0.005125621</w:t>
            </w:r>
          </w:p>
        </w:tc>
      </w:tr>
      <w:tr w:rsidR="00D55096" w:rsidRPr="0077415D" w14:paraId="7B750B53" w14:textId="77777777" w:rsidTr="004025ED">
        <w:trPr>
          <w:trHeight w:val="300"/>
          <w:jc w:val="center"/>
        </w:trPr>
        <w:tc>
          <w:tcPr>
            <w:tcW w:w="1218" w:type="pct"/>
            <w:noWrap/>
            <w:hideMark/>
          </w:tcPr>
          <w:p w14:paraId="2F70B246"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Days Sales Outstanding (days)</w:t>
            </w:r>
          </w:p>
        </w:tc>
        <w:tc>
          <w:tcPr>
            <w:tcW w:w="756" w:type="pct"/>
            <w:noWrap/>
            <w:hideMark/>
          </w:tcPr>
          <w:p w14:paraId="1173F74E"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0.018518519</w:t>
            </w:r>
          </w:p>
        </w:tc>
        <w:tc>
          <w:tcPr>
            <w:tcW w:w="756" w:type="pct"/>
            <w:noWrap/>
            <w:hideMark/>
          </w:tcPr>
          <w:p w14:paraId="28E336F1"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0.01809708</w:t>
            </w:r>
          </w:p>
        </w:tc>
        <w:tc>
          <w:tcPr>
            <w:tcW w:w="756" w:type="pct"/>
            <w:noWrap/>
            <w:hideMark/>
          </w:tcPr>
          <w:p w14:paraId="2FBF7998"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0.014916224</w:t>
            </w:r>
          </w:p>
        </w:tc>
        <w:tc>
          <w:tcPr>
            <w:tcW w:w="756" w:type="pct"/>
            <w:noWrap/>
            <w:hideMark/>
          </w:tcPr>
          <w:p w14:paraId="5FA87EFA"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0.01439899</w:t>
            </w:r>
          </w:p>
        </w:tc>
        <w:tc>
          <w:tcPr>
            <w:tcW w:w="756" w:type="pct"/>
            <w:noWrap/>
            <w:hideMark/>
          </w:tcPr>
          <w:p w14:paraId="5E1C36F4"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0.015184292</w:t>
            </w:r>
          </w:p>
        </w:tc>
      </w:tr>
      <w:tr w:rsidR="00D55096" w:rsidRPr="0077415D" w14:paraId="1B41E978" w14:textId="77777777" w:rsidTr="004025ED">
        <w:trPr>
          <w:trHeight w:val="300"/>
          <w:jc w:val="center"/>
        </w:trPr>
        <w:tc>
          <w:tcPr>
            <w:tcW w:w="1218" w:type="pct"/>
            <w:noWrap/>
            <w:hideMark/>
          </w:tcPr>
          <w:p w14:paraId="54406371"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Payables Turnover (times)</w:t>
            </w:r>
          </w:p>
        </w:tc>
        <w:tc>
          <w:tcPr>
            <w:tcW w:w="756" w:type="pct"/>
            <w:noWrap/>
            <w:hideMark/>
          </w:tcPr>
          <w:p w14:paraId="4533BC4B"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0.145396962</w:t>
            </w:r>
          </w:p>
        </w:tc>
        <w:tc>
          <w:tcPr>
            <w:tcW w:w="756" w:type="pct"/>
            <w:noWrap/>
            <w:hideMark/>
          </w:tcPr>
          <w:p w14:paraId="6CCB65B5"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0.150092833</w:t>
            </w:r>
          </w:p>
        </w:tc>
        <w:tc>
          <w:tcPr>
            <w:tcW w:w="756" w:type="pct"/>
            <w:noWrap/>
            <w:hideMark/>
          </w:tcPr>
          <w:p w14:paraId="5209B023"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0.159174998</w:t>
            </w:r>
          </w:p>
        </w:tc>
        <w:tc>
          <w:tcPr>
            <w:tcW w:w="756" w:type="pct"/>
            <w:noWrap/>
            <w:hideMark/>
          </w:tcPr>
          <w:p w14:paraId="58B71165"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0.157370673</w:t>
            </w:r>
          </w:p>
        </w:tc>
        <w:tc>
          <w:tcPr>
            <w:tcW w:w="756" w:type="pct"/>
            <w:noWrap/>
            <w:hideMark/>
          </w:tcPr>
          <w:p w14:paraId="02233200"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0.156184891</w:t>
            </w:r>
          </w:p>
        </w:tc>
      </w:tr>
      <w:tr w:rsidR="00D55096" w:rsidRPr="0077415D" w14:paraId="6D1E4E63" w14:textId="77777777" w:rsidTr="004025ED">
        <w:trPr>
          <w:trHeight w:val="300"/>
          <w:jc w:val="center"/>
        </w:trPr>
        <w:tc>
          <w:tcPr>
            <w:tcW w:w="1218" w:type="pct"/>
            <w:noWrap/>
            <w:hideMark/>
          </w:tcPr>
          <w:p w14:paraId="4AA64E4D"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Days Payable Outstanding (days)</w:t>
            </w:r>
          </w:p>
        </w:tc>
        <w:tc>
          <w:tcPr>
            <w:tcW w:w="756" w:type="pct"/>
            <w:noWrap/>
            <w:hideMark/>
          </w:tcPr>
          <w:p w14:paraId="6916C92B"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0.018696855</w:t>
            </w:r>
          </w:p>
        </w:tc>
        <w:tc>
          <w:tcPr>
            <w:tcW w:w="756" w:type="pct"/>
            <w:noWrap/>
            <w:hideMark/>
          </w:tcPr>
          <w:p w14:paraId="2A3077B9"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0.018390689</w:t>
            </w:r>
          </w:p>
        </w:tc>
        <w:tc>
          <w:tcPr>
            <w:tcW w:w="756" w:type="pct"/>
            <w:noWrap/>
            <w:hideMark/>
          </w:tcPr>
          <w:p w14:paraId="206DCCC6"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0.016898931</w:t>
            </w:r>
          </w:p>
        </w:tc>
        <w:tc>
          <w:tcPr>
            <w:tcW w:w="756" w:type="pct"/>
            <w:noWrap/>
            <w:hideMark/>
          </w:tcPr>
          <w:p w14:paraId="2F55963B"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0.019526026</w:t>
            </w:r>
          </w:p>
        </w:tc>
        <w:tc>
          <w:tcPr>
            <w:tcW w:w="756" w:type="pct"/>
            <w:noWrap/>
            <w:hideMark/>
          </w:tcPr>
          <w:p w14:paraId="01712829"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0.025485267</w:t>
            </w:r>
          </w:p>
        </w:tc>
      </w:tr>
      <w:tr w:rsidR="00D55096" w:rsidRPr="0077415D" w14:paraId="30C3F223" w14:textId="77777777" w:rsidTr="004025ED">
        <w:trPr>
          <w:trHeight w:val="300"/>
          <w:jc w:val="center"/>
        </w:trPr>
        <w:tc>
          <w:tcPr>
            <w:tcW w:w="1218" w:type="pct"/>
            <w:noWrap/>
            <w:hideMark/>
          </w:tcPr>
          <w:p w14:paraId="3EB20D39"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Cash Conversion Cycle (days)</w:t>
            </w:r>
          </w:p>
        </w:tc>
        <w:tc>
          <w:tcPr>
            <w:tcW w:w="756" w:type="pct"/>
            <w:noWrap/>
            <w:hideMark/>
          </w:tcPr>
          <w:p w14:paraId="4FB2203E"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573519</w:t>
            </w:r>
          </w:p>
        </w:tc>
        <w:tc>
          <w:tcPr>
            <w:tcW w:w="756" w:type="pct"/>
            <w:noWrap/>
            <w:hideMark/>
          </w:tcPr>
          <w:p w14:paraId="7F8BD0DF"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547055</w:t>
            </w:r>
          </w:p>
        </w:tc>
        <w:tc>
          <w:tcPr>
            <w:tcW w:w="756" w:type="pct"/>
            <w:noWrap/>
            <w:hideMark/>
          </w:tcPr>
          <w:p w14:paraId="31D8FFDC"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487536</w:t>
            </w:r>
          </w:p>
        </w:tc>
        <w:tc>
          <w:tcPr>
            <w:tcW w:w="756" w:type="pct"/>
            <w:noWrap/>
            <w:hideMark/>
          </w:tcPr>
          <w:p w14:paraId="6CDC76B5"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357905</w:t>
            </w:r>
          </w:p>
        </w:tc>
        <w:tc>
          <w:tcPr>
            <w:tcW w:w="756" w:type="pct"/>
            <w:noWrap/>
            <w:hideMark/>
          </w:tcPr>
          <w:p w14:paraId="60C2EB26"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358425</w:t>
            </w:r>
          </w:p>
        </w:tc>
      </w:tr>
      <w:tr w:rsidR="00D55096" w:rsidRPr="0077415D" w14:paraId="6110A3FE" w14:textId="77777777" w:rsidTr="004025ED">
        <w:trPr>
          <w:trHeight w:val="300"/>
          <w:jc w:val="center"/>
        </w:trPr>
        <w:tc>
          <w:tcPr>
            <w:tcW w:w="1218" w:type="pct"/>
            <w:noWrap/>
            <w:hideMark/>
          </w:tcPr>
          <w:p w14:paraId="682D00AE"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Debt to Equity (times)</w:t>
            </w:r>
          </w:p>
        </w:tc>
        <w:tc>
          <w:tcPr>
            <w:tcW w:w="756" w:type="pct"/>
            <w:noWrap/>
            <w:hideMark/>
          </w:tcPr>
          <w:p w14:paraId="217FF67E"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w:t>
            </w:r>
          </w:p>
        </w:tc>
        <w:tc>
          <w:tcPr>
            <w:tcW w:w="756" w:type="pct"/>
            <w:noWrap/>
            <w:hideMark/>
          </w:tcPr>
          <w:p w14:paraId="45200D19"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w:t>
            </w:r>
          </w:p>
        </w:tc>
        <w:tc>
          <w:tcPr>
            <w:tcW w:w="756" w:type="pct"/>
            <w:noWrap/>
            <w:hideMark/>
          </w:tcPr>
          <w:p w14:paraId="79A3634D"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w:t>
            </w:r>
          </w:p>
        </w:tc>
        <w:tc>
          <w:tcPr>
            <w:tcW w:w="756" w:type="pct"/>
            <w:noWrap/>
            <w:hideMark/>
          </w:tcPr>
          <w:p w14:paraId="0C257E68"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0.360748584</w:t>
            </w:r>
          </w:p>
        </w:tc>
        <w:tc>
          <w:tcPr>
            <w:tcW w:w="756" w:type="pct"/>
            <w:noWrap/>
            <w:hideMark/>
          </w:tcPr>
          <w:p w14:paraId="156F11F5"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0.452907727</w:t>
            </w:r>
          </w:p>
        </w:tc>
      </w:tr>
      <w:tr w:rsidR="00D55096" w:rsidRPr="0077415D" w14:paraId="33523170" w14:textId="77777777" w:rsidTr="004025ED">
        <w:trPr>
          <w:trHeight w:val="300"/>
          <w:jc w:val="center"/>
        </w:trPr>
        <w:tc>
          <w:tcPr>
            <w:tcW w:w="1218" w:type="pct"/>
            <w:noWrap/>
            <w:hideMark/>
          </w:tcPr>
          <w:p w14:paraId="567025C2"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Interest Coverage (times)</w:t>
            </w:r>
          </w:p>
        </w:tc>
        <w:tc>
          <w:tcPr>
            <w:tcW w:w="756" w:type="pct"/>
            <w:noWrap/>
            <w:hideMark/>
          </w:tcPr>
          <w:p w14:paraId="27655F31"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0.789</w:t>
            </w:r>
          </w:p>
        </w:tc>
        <w:tc>
          <w:tcPr>
            <w:tcW w:w="756" w:type="pct"/>
            <w:noWrap/>
            <w:hideMark/>
          </w:tcPr>
          <w:p w14:paraId="77019ADD"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0.866</w:t>
            </w:r>
          </w:p>
        </w:tc>
        <w:tc>
          <w:tcPr>
            <w:tcW w:w="756" w:type="pct"/>
            <w:noWrap/>
            <w:hideMark/>
          </w:tcPr>
          <w:p w14:paraId="139EF5BE"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0.904</w:t>
            </w:r>
          </w:p>
        </w:tc>
        <w:tc>
          <w:tcPr>
            <w:tcW w:w="756" w:type="pct"/>
            <w:noWrap/>
            <w:hideMark/>
          </w:tcPr>
          <w:p w14:paraId="54462B66"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1.874</w:t>
            </w:r>
          </w:p>
        </w:tc>
        <w:tc>
          <w:tcPr>
            <w:tcW w:w="756" w:type="pct"/>
            <w:noWrap/>
            <w:hideMark/>
          </w:tcPr>
          <w:p w14:paraId="22FBDCCC"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1.134</w:t>
            </w:r>
          </w:p>
        </w:tc>
      </w:tr>
      <w:tr w:rsidR="00D55096" w:rsidRPr="0077415D" w14:paraId="0B09DA05" w14:textId="77777777" w:rsidTr="004025ED">
        <w:trPr>
          <w:trHeight w:val="300"/>
          <w:jc w:val="center"/>
        </w:trPr>
        <w:tc>
          <w:tcPr>
            <w:tcW w:w="1218" w:type="pct"/>
            <w:noWrap/>
            <w:hideMark/>
          </w:tcPr>
          <w:p w14:paraId="733F596B"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ROA (%)</w:t>
            </w:r>
          </w:p>
        </w:tc>
        <w:tc>
          <w:tcPr>
            <w:tcW w:w="756" w:type="pct"/>
            <w:noWrap/>
            <w:hideMark/>
          </w:tcPr>
          <w:p w14:paraId="605665DD"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7.56%</w:t>
            </w:r>
          </w:p>
        </w:tc>
        <w:tc>
          <w:tcPr>
            <w:tcW w:w="756" w:type="pct"/>
            <w:noWrap/>
            <w:hideMark/>
          </w:tcPr>
          <w:p w14:paraId="6D8EC332"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1.04%</w:t>
            </w:r>
          </w:p>
        </w:tc>
        <w:tc>
          <w:tcPr>
            <w:tcW w:w="756" w:type="pct"/>
            <w:noWrap/>
            <w:hideMark/>
          </w:tcPr>
          <w:p w14:paraId="18E3554B"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0.08%</w:t>
            </w:r>
          </w:p>
        </w:tc>
        <w:tc>
          <w:tcPr>
            <w:tcW w:w="756" w:type="pct"/>
            <w:noWrap/>
            <w:hideMark/>
          </w:tcPr>
          <w:p w14:paraId="644BE919"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-27.60%</w:t>
            </w:r>
          </w:p>
        </w:tc>
        <w:tc>
          <w:tcPr>
            <w:tcW w:w="756" w:type="pct"/>
            <w:noWrap/>
            <w:hideMark/>
          </w:tcPr>
          <w:p w14:paraId="4F3A4F87"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-7.43%</w:t>
            </w:r>
          </w:p>
        </w:tc>
      </w:tr>
      <w:tr w:rsidR="00D55096" w:rsidRPr="0077415D" w14:paraId="1CB1A4B8" w14:textId="77777777" w:rsidTr="004025ED">
        <w:trPr>
          <w:trHeight w:val="300"/>
          <w:jc w:val="center"/>
        </w:trPr>
        <w:tc>
          <w:tcPr>
            <w:tcW w:w="1218" w:type="pct"/>
            <w:noWrap/>
            <w:hideMark/>
          </w:tcPr>
          <w:p w14:paraId="13FD9B7B" w14:textId="77777777" w:rsidR="004025ED" w:rsidRPr="0077415D" w:rsidRDefault="004025ED" w:rsidP="004025E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ROE (%)</w:t>
            </w:r>
          </w:p>
        </w:tc>
        <w:tc>
          <w:tcPr>
            <w:tcW w:w="756" w:type="pct"/>
            <w:noWrap/>
            <w:hideMark/>
          </w:tcPr>
          <w:p w14:paraId="034270DD"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12.31%</w:t>
            </w:r>
          </w:p>
        </w:tc>
        <w:tc>
          <w:tcPr>
            <w:tcW w:w="756" w:type="pct"/>
            <w:noWrap/>
            <w:hideMark/>
          </w:tcPr>
          <w:p w14:paraId="26F08416"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1.92%</w:t>
            </w:r>
          </w:p>
        </w:tc>
        <w:tc>
          <w:tcPr>
            <w:tcW w:w="756" w:type="pct"/>
            <w:noWrap/>
            <w:hideMark/>
          </w:tcPr>
          <w:p w14:paraId="74080381"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0.15%</w:t>
            </w:r>
          </w:p>
        </w:tc>
        <w:tc>
          <w:tcPr>
            <w:tcW w:w="756" w:type="pct"/>
            <w:noWrap/>
            <w:hideMark/>
          </w:tcPr>
          <w:p w14:paraId="727B4F97"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-54.91%</w:t>
            </w:r>
          </w:p>
        </w:tc>
        <w:tc>
          <w:tcPr>
            <w:tcW w:w="756" w:type="pct"/>
            <w:noWrap/>
            <w:hideMark/>
          </w:tcPr>
          <w:p w14:paraId="7FA94B10" w14:textId="77777777" w:rsidR="004025ED" w:rsidRPr="0077415D" w:rsidRDefault="004025ED" w:rsidP="004025E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-15.69%</w:t>
            </w:r>
          </w:p>
        </w:tc>
      </w:tr>
    </w:tbl>
    <w:p w14:paraId="49F8059E" w14:textId="77777777" w:rsidR="00CC170A" w:rsidRPr="0077415D" w:rsidRDefault="00CC170A" w:rsidP="00A8790A">
      <w:pPr>
        <w:jc w:val="center"/>
        <w:rPr>
          <w:rFonts w:ascii="Arial" w:hAnsi="Arial" w:cs="Arial"/>
          <w:b/>
          <w:bCs/>
          <w:color w:val="000000" w:themeColor="text1"/>
        </w:rPr>
      </w:pPr>
    </w:p>
    <w:p w14:paraId="4D3C748E" w14:textId="2EAF4E8A" w:rsidR="00CC170A" w:rsidRPr="0077415D" w:rsidRDefault="00CC170A" w:rsidP="00A8790A">
      <w:pPr>
        <w:jc w:val="center"/>
        <w:rPr>
          <w:rFonts w:ascii="Arial" w:hAnsi="Arial" w:cs="Arial"/>
          <w:b/>
          <w:bCs/>
          <w:color w:val="000000" w:themeColor="text1"/>
        </w:rPr>
      </w:pPr>
      <w:r w:rsidRPr="0077415D">
        <w:rPr>
          <w:rFonts w:ascii="Arial" w:hAnsi="Arial" w:cs="Arial"/>
          <w:noProof/>
          <w:color w:val="000000" w:themeColor="text1"/>
        </w:rPr>
        <w:lastRenderedPageBreak/>
        <w:drawing>
          <wp:inline distT="0" distB="0" distL="0" distR="0" wp14:anchorId="1664C6AC" wp14:editId="4B68C23B">
            <wp:extent cx="4572000" cy="2743200"/>
            <wp:effectExtent l="0" t="0" r="0" b="0"/>
            <wp:docPr id="1888411680" name="Chart 1">
              <a:extLst xmlns:a="http://schemas.openxmlformats.org/drawingml/2006/main">
                <a:ext uri="{FF2B5EF4-FFF2-40B4-BE49-F238E27FC236}">
                  <a16:creationId xmlns:a16="http://schemas.microsoft.com/office/drawing/2014/main" id="{E73B4955-703F-EF72-EAA0-0954275648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2E82A41" w14:textId="4AFC5457" w:rsidR="00A8790A" w:rsidRPr="0077415D" w:rsidRDefault="00A8790A" w:rsidP="00A8790A">
      <w:pPr>
        <w:jc w:val="center"/>
        <w:rPr>
          <w:rFonts w:ascii="Arial" w:hAnsi="Arial" w:cs="Arial"/>
          <w:b/>
          <w:bCs/>
          <w:color w:val="000000" w:themeColor="text1"/>
        </w:rPr>
      </w:pPr>
      <w:r w:rsidRPr="0077415D">
        <w:rPr>
          <w:rFonts w:ascii="Arial" w:hAnsi="Arial" w:cs="Arial"/>
          <w:b/>
          <w:bCs/>
          <w:color w:val="000000" w:themeColor="text1"/>
        </w:rPr>
        <w:t>Table 1: Ratio Analysis</w:t>
      </w:r>
    </w:p>
    <w:p w14:paraId="6E43180D" w14:textId="77777777" w:rsidR="007337D7" w:rsidRPr="0077415D" w:rsidRDefault="007337D7" w:rsidP="007337D7">
      <w:pPr>
        <w:jc w:val="center"/>
        <w:rPr>
          <w:rFonts w:ascii="Arial" w:hAnsi="Arial" w:cs="Arial"/>
          <w:color w:val="000000" w:themeColor="text1"/>
        </w:rPr>
      </w:pPr>
      <w:r w:rsidRPr="0077415D">
        <w:rPr>
          <w:rFonts w:ascii="Arial" w:hAnsi="Arial" w:cs="Arial"/>
          <w:color w:val="000000" w:themeColor="text1"/>
        </w:rPr>
        <w:t>(Source: Generated by MS Excel)</w:t>
      </w:r>
    </w:p>
    <w:p w14:paraId="056DF2E5" w14:textId="40B729CB" w:rsidR="005A7F14" w:rsidRPr="0077415D" w:rsidRDefault="005A7F14" w:rsidP="005A7F14">
      <w:pPr>
        <w:rPr>
          <w:rFonts w:ascii="Arial" w:hAnsi="Arial" w:cs="Arial"/>
          <w:b/>
          <w:bCs/>
          <w:color w:val="000000" w:themeColor="text1"/>
        </w:rPr>
      </w:pPr>
      <w:r w:rsidRPr="0077415D">
        <w:rPr>
          <w:rFonts w:ascii="Arial" w:hAnsi="Arial" w:cs="Arial"/>
          <w:b/>
          <w:bCs/>
          <w:color w:val="000000" w:themeColor="text1"/>
        </w:rPr>
        <w:t>Profitability ratio</w:t>
      </w:r>
    </w:p>
    <w:p w14:paraId="3BC64D1B" w14:textId="5CEFFCE2" w:rsidR="007D3A57" w:rsidRPr="0077415D" w:rsidRDefault="007D3A57" w:rsidP="007D3A57">
      <w:pPr>
        <w:rPr>
          <w:rFonts w:ascii="Arial" w:hAnsi="Arial" w:cs="Arial"/>
          <w:color w:val="000000" w:themeColor="text1"/>
        </w:rPr>
      </w:pPr>
      <w:r w:rsidRPr="0077415D">
        <w:rPr>
          <w:rFonts w:ascii="Arial" w:hAnsi="Arial" w:cs="Arial"/>
          <w:color w:val="000000" w:themeColor="text1"/>
        </w:rPr>
        <w:t xml:space="preserve">Gross margin has been widely stable between </w:t>
      </w:r>
      <w:r w:rsidR="00B66F53" w:rsidRPr="0077415D">
        <w:rPr>
          <w:rFonts w:ascii="Arial" w:hAnsi="Arial" w:cs="Arial"/>
          <w:color w:val="000000" w:themeColor="text1"/>
        </w:rPr>
        <w:t>28 and</w:t>
      </w:r>
      <w:r w:rsidRPr="0077415D">
        <w:rPr>
          <w:rFonts w:ascii="Arial" w:hAnsi="Arial" w:cs="Arial"/>
          <w:color w:val="000000" w:themeColor="text1"/>
        </w:rPr>
        <w:t xml:space="preserve"> 29</w:t>
      </w:r>
      <w:r w:rsidR="00C65FD6" w:rsidRPr="0077415D">
        <w:rPr>
          <w:rFonts w:ascii="Arial" w:hAnsi="Arial" w:cs="Arial"/>
          <w:color w:val="000000" w:themeColor="text1"/>
        </w:rPr>
        <w:t>%</w:t>
      </w:r>
      <w:r w:rsidRPr="0077415D">
        <w:rPr>
          <w:rFonts w:ascii="Arial" w:hAnsi="Arial" w:cs="Arial"/>
          <w:color w:val="000000" w:themeColor="text1"/>
        </w:rPr>
        <w:t xml:space="preserve"> in 2020</w:t>
      </w:r>
      <w:r w:rsidR="001F5688" w:rsidRPr="0077415D">
        <w:rPr>
          <w:rFonts w:ascii="Arial" w:hAnsi="Arial" w:cs="Arial"/>
          <w:color w:val="000000" w:themeColor="text1"/>
        </w:rPr>
        <w:t>-</w:t>
      </w:r>
      <w:r w:rsidRPr="0077415D">
        <w:rPr>
          <w:rFonts w:ascii="Arial" w:hAnsi="Arial" w:cs="Arial"/>
          <w:color w:val="000000" w:themeColor="text1"/>
        </w:rPr>
        <w:t>22, then it significantly dropped to 23.20</w:t>
      </w:r>
      <w:r w:rsidR="00C65FD6" w:rsidRPr="0077415D">
        <w:rPr>
          <w:rFonts w:ascii="Arial" w:hAnsi="Arial" w:cs="Arial"/>
          <w:color w:val="000000" w:themeColor="text1"/>
        </w:rPr>
        <w:t>%</w:t>
      </w:r>
      <w:r w:rsidRPr="0077415D">
        <w:rPr>
          <w:rFonts w:ascii="Arial" w:hAnsi="Arial" w:cs="Arial"/>
          <w:color w:val="000000" w:themeColor="text1"/>
        </w:rPr>
        <w:t xml:space="preserve"> in 2023 before recovering to 28.87</w:t>
      </w:r>
      <w:r w:rsidR="00C65FD6" w:rsidRPr="0077415D">
        <w:rPr>
          <w:rFonts w:ascii="Arial" w:hAnsi="Arial" w:cs="Arial"/>
          <w:color w:val="000000" w:themeColor="text1"/>
        </w:rPr>
        <w:t>%</w:t>
      </w:r>
      <w:r w:rsidRPr="0077415D">
        <w:rPr>
          <w:rFonts w:ascii="Arial" w:hAnsi="Arial" w:cs="Arial"/>
          <w:color w:val="000000" w:themeColor="text1"/>
        </w:rPr>
        <w:t xml:space="preserve"> in 2024. This trend implies that the core product price and head-on cost location continued to be competitive over </w:t>
      </w:r>
      <w:r w:rsidR="001F5688" w:rsidRPr="0077415D">
        <w:rPr>
          <w:rFonts w:ascii="Arial" w:hAnsi="Arial" w:cs="Arial"/>
          <w:color w:val="000000" w:themeColor="text1"/>
        </w:rPr>
        <w:t>most of</w:t>
      </w:r>
      <w:r w:rsidRPr="0077415D">
        <w:rPr>
          <w:rFonts w:ascii="Arial" w:hAnsi="Arial" w:cs="Arial"/>
          <w:color w:val="000000" w:themeColor="text1"/>
        </w:rPr>
        <w:t xml:space="preserve"> the time, and 2023 will probably represent a momentary shock in input prices, </w:t>
      </w:r>
      <w:r w:rsidR="006D26E9" w:rsidRPr="0077415D">
        <w:rPr>
          <w:rFonts w:ascii="Arial" w:hAnsi="Arial" w:cs="Arial"/>
          <w:color w:val="000000" w:themeColor="text1"/>
        </w:rPr>
        <w:t>unfavorable</w:t>
      </w:r>
      <w:r w:rsidRPr="0077415D">
        <w:rPr>
          <w:rFonts w:ascii="Arial" w:hAnsi="Arial" w:cs="Arial"/>
          <w:color w:val="000000" w:themeColor="text1"/>
        </w:rPr>
        <w:t xml:space="preserve"> combination, or discounting to protect volumes. The 2024 recovery suggests that the company has </w:t>
      </w:r>
      <w:r w:rsidR="001F5688" w:rsidRPr="0077415D">
        <w:rPr>
          <w:rFonts w:ascii="Arial" w:hAnsi="Arial" w:cs="Arial"/>
          <w:color w:val="000000" w:themeColor="text1"/>
        </w:rPr>
        <w:t>several</w:t>
      </w:r>
      <w:r w:rsidRPr="0077415D">
        <w:rPr>
          <w:rFonts w:ascii="Arial" w:hAnsi="Arial" w:cs="Arial"/>
          <w:color w:val="000000" w:themeColor="text1"/>
        </w:rPr>
        <w:t xml:space="preserve"> options: fixed pricing, achieved procurement savings, or </w:t>
      </w:r>
      <w:r w:rsidR="00B66F53" w:rsidRPr="0077415D">
        <w:rPr>
          <w:rFonts w:ascii="Arial" w:hAnsi="Arial" w:cs="Arial"/>
          <w:color w:val="000000" w:themeColor="text1"/>
        </w:rPr>
        <w:t xml:space="preserve">a </w:t>
      </w:r>
      <w:r w:rsidR="006D26E9" w:rsidRPr="0077415D">
        <w:rPr>
          <w:rFonts w:ascii="Arial" w:hAnsi="Arial" w:cs="Arial"/>
          <w:color w:val="000000" w:themeColor="text1"/>
        </w:rPr>
        <w:t>normalized</w:t>
      </w:r>
      <w:r w:rsidRPr="0077415D">
        <w:rPr>
          <w:rFonts w:ascii="Arial" w:hAnsi="Arial" w:cs="Arial"/>
          <w:color w:val="000000" w:themeColor="text1"/>
        </w:rPr>
        <w:t xml:space="preserve"> mix</w:t>
      </w:r>
      <w:r w:rsidR="000C1C1D" w:rsidRPr="0077415D">
        <w:rPr>
          <w:rFonts w:ascii="Arial" w:hAnsi="Arial" w:cs="Arial"/>
          <w:color w:val="000000" w:themeColor="text1"/>
        </w:rPr>
        <w:t xml:space="preserve"> (Rafid et al. 2024)</w:t>
      </w:r>
      <w:r w:rsidRPr="0077415D">
        <w:rPr>
          <w:rFonts w:ascii="Arial" w:hAnsi="Arial" w:cs="Arial"/>
          <w:color w:val="000000" w:themeColor="text1"/>
        </w:rPr>
        <w:t>.</w:t>
      </w:r>
      <w:r w:rsidR="000C1C1D" w:rsidRPr="0077415D">
        <w:rPr>
          <w:rFonts w:ascii="Arial" w:hAnsi="Arial" w:cs="Arial"/>
          <w:color w:val="000000" w:themeColor="text1"/>
        </w:rPr>
        <w:t xml:space="preserve"> </w:t>
      </w:r>
      <w:r w:rsidRPr="0077415D">
        <w:rPr>
          <w:rFonts w:ascii="Arial" w:hAnsi="Arial" w:cs="Arial"/>
          <w:color w:val="000000" w:themeColor="text1"/>
        </w:rPr>
        <w:t>Profitability of operations is worse. The operating margin decreases to 6.06</w:t>
      </w:r>
      <w:r w:rsidR="0035256D" w:rsidRPr="0077415D">
        <w:rPr>
          <w:rFonts w:ascii="Arial" w:hAnsi="Arial" w:cs="Arial"/>
          <w:color w:val="000000" w:themeColor="text1"/>
        </w:rPr>
        <w:t>%</w:t>
      </w:r>
      <w:r w:rsidRPr="0077415D">
        <w:rPr>
          <w:rFonts w:ascii="Arial" w:hAnsi="Arial" w:cs="Arial"/>
          <w:color w:val="000000" w:themeColor="text1"/>
        </w:rPr>
        <w:t xml:space="preserve"> in 2020</w:t>
      </w:r>
      <w:r w:rsidR="00C65FD6" w:rsidRPr="0077415D">
        <w:rPr>
          <w:rFonts w:ascii="Arial" w:hAnsi="Arial" w:cs="Arial"/>
          <w:color w:val="000000" w:themeColor="text1"/>
        </w:rPr>
        <w:t>,</w:t>
      </w:r>
      <w:r w:rsidRPr="0077415D">
        <w:rPr>
          <w:rFonts w:ascii="Arial" w:hAnsi="Arial" w:cs="Arial"/>
          <w:color w:val="000000" w:themeColor="text1"/>
        </w:rPr>
        <w:t xml:space="preserve"> to 3.87 percent</w:t>
      </w:r>
      <w:r w:rsidR="00C65FD6" w:rsidRPr="0077415D">
        <w:rPr>
          <w:rFonts w:ascii="Arial" w:hAnsi="Arial" w:cs="Arial"/>
          <w:color w:val="000000" w:themeColor="text1"/>
        </w:rPr>
        <w:t>age</w:t>
      </w:r>
      <w:r w:rsidRPr="0077415D">
        <w:rPr>
          <w:rFonts w:ascii="Arial" w:hAnsi="Arial" w:cs="Arial"/>
          <w:color w:val="000000" w:themeColor="text1"/>
        </w:rPr>
        <w:t xml:space="preserve"> in 2022 and then falls to negative 20.29 percent</w:t>
      </w:r>
      <w:r w:rsidR="00C65FD6" w:rsidRPr="0077415D">
        <w:rPr>
          <w:rFonts w:ascii="Arial" w:hAnsi="Arial" w:cs="Arial"/>
          <w:color w:val="000000" w:themeColor="text1"/>
        </w:rPr>
        <w:t>age</w:t>
      </w:r>
      <w:r w:rsidRPr="0077415D">
        <w:rPr>
          <w:rFonts w:ascii="Arial" w:hAnsi="Arial" w:cs="Arial"/>
          <w:color w:val="000000" w:themeColor="text1"/>
        </w:rPr>
        <w:t xml:space="preserve"> in 2023 and 2024</w:t>
      </w:r>
      <w:r w:rsidR="00C65FD6" w:rsidRPr="0077415D">
        <w:rPr>
          <w:rFonts w:ascii="Arial" w:hAnsi="Arial" w:cs="Arial"/>
          <w:color w:val="000000" w:themeColor="text1"/>
        </w:rPr>
        <w:t>,</w:t>
      </w:r>
      <w:r w:rsidRPr="0077415D">
        <w:rPr>
          <w:rFonts w:ascii="Arial" w:hAnsi="Arial" w:cs="Arial"/>
          <w:color w:val="000000" w:themeColor="text1"/>
        </w:rPr>
        <w:t xml:space="preserve"> respectively. This has increased the difference between gross and operating margins</w:t>
      </w:r>
      <w:r w:rsidR="00C65FD6" w:rsidRPr="0077415D">
        <w:rPr>
          <w:rFonts w:ascii="Arial" w:hAnsi="Arial" w:cs="Arial"/>
          <w:color w:val="000000" w:themeColor="text1"/>
        </w:rPr>
        <w:t>,</w:t>
      </w:r>
      <w:r w:rsidRPr="0077415D">
        <w:rPr>
          <w:rFonts w:ascii="Arial" w:hAnsi="Arial" w:cs="Arial"/>
          <w:color w:val="000000" w:themeColor="text1"/>
        </w:rPr>
        <w:t xml:space="preserve"> indicating inflation in overheads, </w:t>
      </w:r>
      <w:r w:rsidR="00C65FD6" w:rsidRPr="0077415D">
        <w:rPr>
          <w:rFonts w:ascii="Arial" w:hAnsi="Arial" w:cs="Arial"/>
          <w:color w:val="000000" w:themeColor="text1"/>
        </w:rPr>
        <w:t xml:space="preserve">an </w:t>
      </w:r>
      <w:r w:rsidRPr="0077415D">
        <w:rPr>
          <w:rFonts w:ascii="Arial" w:hAnsi="Arial" w:cs="Arial"/>
          <w:color w:val="000000" w:themeColor="text1"/>
        </w:rPr>
        <w:t>increase in logistic and services costs or exceptional items (</w:t>
      </w:r>
      <w:proofErr w:type="spellStart"/>
      <w:r w:rsidRPr="0077415D">
        <w:rPr>
          <w:rFonts w:ascii="Arial" w:hAnsi="Arial" w:cs="Arial"/>
          <w:color w:val="000000" w:themeColor="text1"/>
        </w:rPr>
        <w:t>Mpete</w:t>
      </w:r>
      <w:proofErr w:type="spellEnd"/>
      <w:r w:rsidRPr="0077415D">
        <w:rPr>
          <w:rFonts w:ascii="Arial" w:hAnsi="Arial" w:cs="Arial"/>
          <w:color w:val="000000" w:themeColor="text1"/>
        </w:rPr>
        <w:t xml:space="preserve"> and Maier, 2024). The major loss in 2023 falls in line with restructuring expenses, impairments, or a radical de-leverage of revenue on a substantial fixed cost base. The partial repair performed in 2024 is </w:t>
      </w:r>
      <w:r w:rsidR="00C65FD6" w:rsidRPr="0077415D">
        <w:rPr>
          <w:rFonts w:ascii="Arial" w:hAnsi="Arial" w:cs="Arial"/>
          <w:color w:val="000000" w:themeColor="text1"/>
        </w:rPr>
        <w:t>an</w:t>
      </w:r>
      <w:r w:rsidRPr="0077415D">
        <w:rPr>
          <w:rFonts w:ascii="Arial" w:hAnsi="Arial" w:cs="Arial"/>
          <w:color w:val="000000" w:themeColor="text1"/>
        </w:rPr>
        <w:t xml:space="preserve"> indication of progress, yet the operating result is negative.</w:t>
      </w:r>
    </w:p>
    <w:p w14:paraId="4188D32F" w14:textId="0365F433" w:rsidR="007D3A57" w:rsidRPr="0077415D" w:rsidRDefault="007D3A57" w:rsidP="007D3A57">
      <w:pPr>
        <w:rPr>
          <w:rFonts w:ascii="Arial" w:hAnsi="Arial" w:cs="Arial"/>
          <w:color w:val="000000" w:themeColor="text1"/>
        </w:rPr>
      </w:pPr>
      <w:r w:rsidRPr="0077415D">
        <w:rPr>
          <w:rFonts w:ascii="Arial" w:hAnsi="Arial" w:cs="Arial"/>
          <w:color w:val="000000" w:themeColor="text1"/>
        </w:rPr>
        <w:lastRenderedPageBreak/>
        <w:t>The next line is that of net margin: in 2020, net margin is 6.28</w:t>
      </w:r>
      <w:r w:rsidR="00C65FD6" w:rsidRPr="0077415D">
        <w:rPr>
          <w:rFonts w:ascii="Arial" w:hAnsi="Arial" w:cs="Arial"/>
          <w:color w:val="000000" w:themeColor="text1"/>
        </w:rPr>
        <w:t>%</w:t>
      </w:r>
      <w:r w:rsidRPr="0077415D">
        <w:rPr>
          <w:rFonts w:ascii="Arial" w:hAnsi="Arial" w:cs="Arial"/>
          <w:color w:val="000000" w:themeColor="text1"/>
        </w:rPr>
        <w:t>, in 2021 it is 0.88</w:t>
      </w:r>
      <w:r w:rsidR="00C65FD6" w:rsidRPr="0077415D">
        <w:rPr>
          <w:rFonts w:ascii="Arial" w:hAnsi="Arial" w:cs="Arial"/>
          <w:color w:val="000000" w:themeColor="text1"/>
        </w:rPr>
        <w:t>%</w:t>
      </w:r>
      <w:r w:rsidRPr="0077415D">
        <w:rPr>
          <w:rFonts w:ascii="Arial" w:hAnsi="Arial" w:cs="Arial"/>
          <w:color w:val="000000" w:themeColor="text1"/>
        </w:rPr>
        <w:t xml:space="preserve"> and in 2022 it is 0.07</w:t>
      </w:r>
      <w:r w:rsidR="00C65FD6" w:rsidRPr="0077415D">
        <w:rPr>
          <w:rFonts w:ascii="Arial" w:hAnsi="Arial" w:cs="Arial"/>
          <w:color w:val="000000" w:themeColor="text1"/>
        </w:rPr>
        <w:t>%</w:t>
      </w:r>
      <w:r w:rsidRPr="0077415D">
        <w:rPr>
          <w:rFonts w:ascii="Arial" w:hAnsi="Arial" w:cs="Arial"/>
          <w:color w:val="000000" w:themeColor="text1"/>
        </w:rPr>
        <w:t xml:space="preserve">, after which it drops to negative 23.36 </w:t>
      </w:r>
      <w:r w:rsidR="00C65FD6" w:rsidRPr="0077415D">
        <w:rPr>
          <w:rFonts w:ascii="Arial" w:hAnsi="Arial" w:cs="Arial"/>
          <w:color w:val="000000" w:themeColor="text1"/>
        </w:rPr>
        <w:t>%</w:t>
      </w:r>
      <w:r w:rsidRPr="0077415D">
        <w:rPr>
          <w:rFonts w:ascii="Arial" w:hAnsi="Arial" w:cs="Arial"/>
          <w:color w:val="000000" w:themeColor="text1"/>
        </w:rPr>
        <w:t>in 2023 and negative 6.09</w:t>
      </w:r>
      <w:r w:rsidR="00C65FD6" w:rsidRPr="0077415D">
        <w:rPr>
          <w:rFonts w:ascii="Arial" w:hAnsi="Arial" w:cs="Arial"/>
          <w:color w:val="000000" w:themeColor="text1"/>
        </w:rPr>
        <w:t>%</w:t>
      </w:r>
      <w:r w:rsidRPr="0077415D">
        <w:rPr>
          <w:rFonts w:ascii="Arial" w:hAnsi="Arial" w:cs="Arial"/>
          <w:color w:val="000000" w:themeColor="text1"/>
        </w:rPr>
        <w:t xml:space="preserve"> in 2024. The 2023</w:t>
      </w:r>
      <w:r w:rsidR="001F5688" w:rsidRPr="0077415D">
        <w:rPr>
          <w:rFonts w:ascii="Arial" w:hAnsi="Arial" w:cs="Arial"/>
          <w:color w:val="000000" w:themeColor="text1"/>
        </w:rPr>
        <w:t>-</w:t>
      </w:r>
      <w:r w:rsidRPr="0077415D">
        <w:rPr>
          <w:rFonts w:ascii="Arial" w:hAnsi="Arial" w:cs="Arial"/>
          <w:color w:val="000000" w:themeColor="text1"/>
        </w:rPr>
        <w:t xml:space="preserve">2024 period thus drained the earnings at the disposal of the equity holders and </w:t>
      </w:r>
      <w:r w:rsidR="00C65FD6" w:rsidRPr="0077415D">
        <w:rPr>
          <w:rFonts w:ascii="Arial" w:hAnsi="Arial" w:cs="Arial"/>
          <w:color w:val="000000" w:themeColor="text1"/>
        </w:rPr>
        <w:t>limited</w:t>
      </w:r>
      <w:r w:rsidRPr="0077415D">
        <w:rPr>
          <w:rFonts w:ascii="Arial" w:hAnsi="Arial" w:cs="Arial"/>
          <w:color w:val="000000" w:themeColor="text1"/>
        </w:rPr>
        <w:t xml:space="preserve"> dividend payouts. The stress is verified by the return metrics. The return on assets </w:t>
      </w:r>
      <w:r w:rsidR="00C65FD6" w:rsidRPr="0077415D">
        <w:rPr>
          <w:rFonts w:ascii="Arial" w:hAnsi="Arial" w:cs="Arial"/>
          <w:color w:val="000000" w:themeColor="text1"/>
        </w:rPr>
        <w:t>decayed</w:t>
      </w:r>
      <w:r w:rsidRPr="0077415D">
        <w:rPr>
          <w:rFonts w:ascii="Arial" w:hAnsi="Arial" w:cs="Arial"/>
          <w:color w:val="000000" w:themeColor="text1"/>
        </w:rPr>
        <w:t xml:space="preserve"> in 2020 by 7.56</w:t>
      </w:r>
      <w:r w:rsidR="00C65FD6" w:rsidRPr="0077415D">
        <w:rPr>
          <w:rFonts w:ascii="Arial" w:hAnsi="Arial" w:cs="Arial"/>
          <w:color w:val="000000" w:themeColor="text1"/>
        </w:rPr>
        <w:t>%</w:t>
      </w:r>
      <w:r w:rsidRPr="0077415D">
        <w:rPr>
          <w:rFonts w:ascii="Arial" w:hAnsi="Arial" w:cs="Arial"/>
          <w:color w:val="000000" w:themeColor="text1"/>
        </w:rPr>
        <w:t xml:space="preserve"> to </w:t>
      </w:r>
      <w:r w:rsidR="001F5688" w:rsidRPr="0077415D">
        <w:rPr>
          <w:rFonts w:ascii="Arial" w:hAnsi="Arial" w:cs="Arial"/>
          <w:color w:val="000000" w:themeColor="text1"/>
        </w:rPr>
        <w:t>slightly</w:t>
      </w:r>
      <w:r w:rsidRPr="0077415D">
        <w:rPr>
          <w:rFonts w:ascii="Arial" w:hAnsi="Arial" w:cs="Arial"/>
          <w:color w:val="000000" w:themeColor="text1"/>
        </w:rPr>
        <w:t xml:space="preserve"> negative 0.08</w:t>
      </w:r>
      <w:r w:rsidR="00C65FD6" w:rsidRPr="0077415D">
        <w:rPr>
          <w:rFonts w:ascii="Arial" w:hAnsi="Arial" w:cs="Arial"/>
          <w:color w:val="000000" w:themeColor="text1"/>
        </w:rPr>
        <w:t>%</w:t>
      </w:r>
      <w:r w:rsidRPr="0077415D">
        <w:rPr>
          <w:rFonts w:ascii="Arial" w:hAnsi="Arial" w:cs="Arial"/>
          <w:color w:val="000000" w:themeColor="text1"/>
        </w:rPr>
        <w:t xml:space="preserve"> in 2022</w:t>
      </w:r>
      <w:r w:rsidR="00C65FD6" w:rsidRPr="0077415D">
        <w:rPr>
          <w:rFonts w:ascii="Arial" w:hAnsi="Arial" w:cs="Arial"/>
          <w:color w:val="000000" w:themeColor="text1"/>
        </w:rPr>
        <w:t>,</w:t>
      </w:r>
      <w:r w:rsidRPr="0077415D">
        <w:rPr>
          <w:rFonts w:ascii="Arial" w:hAnsi="Arial" w:cs="Arial"/>
          <w:color w:val="000000" w:themeColor="text1"/>
        </w:rPr>
        <w:t xml:space="preserve"> and negative </w:t>
      </w:r>
      <w:r w:rsidR="00C65FD6" w:rsidRPr="0077415D">
        <w:rPr>
          <w:rFonts w:ascii="Arial" w:hAnsi="Arial" w:cs="Arial"/>
          <w:color w:val="000000" w:themeColor="text1"/>
        </w:rPr>
        <w:t>27.60%</w:t>
      </w:r>
      <w:r w:rsidRPr="0077415D">
        <w:rPr>
          <w:rFonts w:ascii="Arial" w:hAnsi="Arial" w:cs="Arial"/>
          <w:color w:val="000000" w:themeColor="text1"/>
        </w:rPr>
        <w:t xml:space="preserve"> in 2023 and negative 7.43</w:t>
      </w:r>
      <w:r w:rsidR="00C65FD6" w:rsidRPr="0077415D">
        <w:rPr>
          <w:rFonts w:ascii="Arial" w:hAnsi="Arial" w:cs="Arial"/>
          <w:color w:val="000000" w:themeColor="text1"/>
        </w:rPr>
        <w:t xml:space="preserve">% </w:t>
      </w:r>
      <w:r w:rsidRPr="0077415D">
        <w:rPr>
          <w:rFonts w:ascii="Arial" w:hAnsi="Arial" w:cs="Arial"/>
          <w:color w:val="000000" w:themeColor="text1"/>
        </w:rPr>
        <w:t>in 2024. ROE moves down to 12.31</w:t>
      </w:r>
      <w:r w:rsidR="00C65FD6" w:rsidRPr="0077415D">
        <w:rPr>
          <w:rFonts w:ascii="Arial" w:hAnsi="Arial" w:cs="Arial"/>
          <w:color w:val="000000" w:themeColor="text1"/>
        </w:rPr>
        <w:t>%</w:t>
      </w:r>
      <w:r w:rsidRPr="0077415D">
        <w:rPr>
          <w:rFonts w:ascii="Arial" w:hAnsi="Arial" w:cs="Arial"/>
          <w:color w:val="000000" w:themeColor="text1"/>
        </w:rPr>
        <w:t xml:space="preserve"> to 1.92</w:t>
      </w:r>
      <w:r w:rsidR="00C65FD6" w:rsidRPr="0077415D">
        <w:rPr>
          <w:rFonts w:ascii="Arial" w:hAnsi="Arial" w:cs="Arial"/>
          <w:color w:val="000000" w:themeColor="text1"/>
        </w:rPr>
        <w:t>%</w:t>
      </w:r>
      <w:r w:rsidRPr="0077415D">
        <w:rPr>
          <w:rFonts w:ascii="Arial" w:hAnsi="Arial" w:cs="Arial"/>
          <w:color w:val="000000" w:themeColor="text1"/>
        </w:rPr>
        <w:t xml:space="preserve"> and 0.15</w:t>
      </w:r>
      <w:r w:rsidR="00C65FD6" w:rsidRPr="0077415D">
        <w:rPr>
          <w:rFonts w:ascii="Arial" w:hAnsi="Arial" w:cs="Arial"/>
          <w:color w:val="000000" w:themeColor="text1"/>
        </w:rPr>
        <w:t>%</w:t>
      </w:r>
      <w:r w:rsidRPr="0077415D">
        <w:rPr>
          <w:rFonts w:ascii="Arial" w:hAnsi="Arial" w:cs="Arial"/>
          <w:color w:val="000000" w:themeColor="text1"/>
        </w:rPr>
        <w:t xml:space="preserve"> in </w:t>
      </w:r>
      <w:r w:rsidR="00B66F53" w:rsidRPr="0077415D">
        <w:rPr>
          <w:rFonts w:ascii="Arial" w:hAnsi="Arial" w:cs="Arial"/>
          <w:color w:val="000000" w:themeColor="text1"/>
        </w:rPr>
        <w:t>2020-22 and</w:t>
      </w:r>
      <w:r w:rsidRPr="0077415D">
        <w:rPr>
          <w:rFonts w:ascii="Arial" w:hAnsi="Arial" w:cs="Arial"/>
          <w:color w:val="000000" w:themeColor="text1"/>
        </w:rPr>
        <w:t xml:space="preserve"> then </w:t>
      </w:r>
      <w:r w:rsidR="00C65FD6" w:rsidRPr="0077415D">
        <w:rPr>
          <w:rFonts w:ascii="Arial" w:hAnsi="Arial" w:cs="Arial"/>
          <w:color w:val="000000" w:themeColor="text1"/>
        </w:rPr>
        <w:t>goes</w:t>
      </w:r>
      <w:r w:rsidRPr="0077415D">
        <w:rPr>
          <w:rFonts w:ascii="Arial" w:hAnsi="Arial" w:cs="Arial"/>
          <w:color w:val="000000" w:themeColor="text1"/>
        </w:rPr>
        <w:t xml:space="preserve"> negative 54.91</w:t>
      </w:r>
      <w:r w:rsidR="00C65FD6" w:rsidRPr="0077415D">
        <w:rPr>
          <w:rFonts w:ascii="Arial" w:hAnsi="Arial" w:cs="Arial"/>
          <w:color w:val="000000" w:themeColor="text1"/>
        </w:rPr>
        <w:t>%</w:t>
      </w:r>
      <w:r w:rsidRPr="0077415D">
        <w:rPr>
          <w:rFonts w:ascii="Arial" w:hAnsi="Arial" w:cs="Arial"/>
          <w:color w:val="000000" w:themeColor="text1"/>
        </w:rPr>
        <w:t xml:space="preserve"> in 2023 and negative </w:t>
      </w:r>
      <w:r w:rsidR="00C65FD6" w:rsidRPr="0077415D">
        <w:rPr>
          <w:rFonts w:ascii="Arial" w:hAnsi="Arial" w:cs="Arial"/>
          <w:color w:val="000000" w:themeColor="text1"/>
        </w:rPr>
        <w:t>15.69%</w:t>
      </w:r>
      <w:r w:rsidRPr="0077415D">
        <w:rPr>
          <w:rFonts w:ascii="Arial" w:hAnsi="Arial" w:cs="Arial"/>
          <w:color w:val="000000" w:themeColor="text1"/>
        </w:rPr>
        <w:t xml:space="preserve"> in 2024. To </w:t>
      </w:r>
      <w:proofErr w:type="spellStart"/>
      <w:r w:rsidRPr="0077415D">
        <w:rPr>
          <w:rFonts w:ascii="Arial" w:hAnsi="Arial" w:cs="Arial"/>
          <w:color w:val="000000" w:themeColor="text1"/>
        </w:rPr>
        <w:t>summarise</w:t>
      </w:r>
      <w:proofErr w:type="spellEnd"/>
      <w:r w:rsidRPr="0077415D">
        <w:rPr>
          <w:rFonts w:ascii="Arial" w:hAnsi="Arial" w:cs="Arial"/>
          <w:color w:val="000000" w:themeColor="text1"/>
        </w:rPr>
        <w:t xml:space="preserve">, profitability had become increasingly weaker until 2022, then worsened sharply in 2023 </w:t>
      </w:r>
      <w:r w:rsidR="001F5688" w:rsidRPr="0077415D">
        <w:rPr>
          <w:rFonts w:ascii="Arial" w:hAnsi="Arial" w:cs="Arial"/>
          <w:color w:val="000000" w:themeColor="text1"/>
        </w:rPr>
        <w:t>and</w:t>
      </w:r>
      <w:r w:rsidRPr="0077415D">
        <w:rPr>
          <w:rFonts w:ascii="Arial" w:hAnsi="Arial" w:cs="Arial"/>
          <w:color w:val="000000" w:themeColor="text1"/>
        </w:rPr>
        <w:t xml:space="preserve"> only partially recovered in 2024. </w:t>
      </w:r>
    </w:p>
    <w:p w14:paraId="68736CD0" w14:textId="77777777" w:rsidR="00672C0B" w:rsidRPr="0077415D" w:rsidRDefault="00672C0B" w:rsidP="00672C0B">
      <w:pPr>
        <w:rPr>
          <w:rFonts w:ascii="Arial" w:hAnsi="Arial" w:cs="Arial"/>
          <w:b/>
          <w:bCs/>
          <w:color w:val="000000" w:themeColor="text1"/>
        </w:rPr>
      </w:pPr>
      <w:r w:rsidRPr="0077415D">
        <w:rPr>
          <w:rFonts w:ascii="Arial" w:hAnsi="Arial" w:cs="Arial"/>
          <w:b/>
          <w:bCs/>
          <w:color w:val="000000" w:themeColor="text1"/>
        </w:rPr>
        <w:t>Liquidity ratio</w:t>
      </w:r>
    </w:p>
    <w:p w14:paraId="4A70A1F0" w14:textId="7955ED17" w:rsidR="007D3A57" w:rsidRPr="0077415D" w:rsidRDefault="007D3A57" w:rsidP="007D3A57">
      <w:pPr>
        <w:rPr>
          <w:rFonts w:ascii="Arial" w:hAnsi="Arial" w:cs="Arial"/>
          <w:color w:val="000000" w:themeColor="text1"/>
        </w:rPr>
      </w:pPr>
      <w:r w:rsidRPr="0077415D">
        <w:rPr>
          <w:rFonts w:ascii="Arial" w:hAnsi="Arial" w:cs="Arial"/>
          <w:color w:val="000000" w:themeColor="text1"/>
        </w:rPr>
        <w:t xml:space="preserve">The present ratio lies between 1.53 and 1.82. This is a safe yet acceptable band which suggests a relationship of current assets more than current liabilities throughout. The quick ratio is between 0.91 to 1.15, which is narrower but mostly close to unity, meaning that the liabilities within the short-term do not require the use of inventory to meet short-term liabilities through the warrants and cash. It shows that </w:t>
      </w:r>
      <w:r w:rsidR="00B66F53" w:rsidRPr="0077415D">
        <w:rPr>
          <w:rFonts w:ascii="Arial" w:hAnsi="Arial" w:cs="Arial"/>
          <w:color w:val="000000" w:themeColor="text1"/>
        </w:rPr>
        <w:t xml:space="preserve">the </w:t>
      </w:r>
      <w:r w:rsidRPr="0077415D">
        <w:rPr>
          <w:rFonts w:ascii="Arial" w:hAnsi="Arial" w:cs="Arial"/>
          <w:color w:val="000000" w:themeColor="text1"/>
        </w:rPr>
        <w:t xml:space="preserve">cash </w:t>
      </w:r>
      <w:r w:rsidR="00672C0B" w:rsidRPr="0077415D">
        <w:rPr>
          <w:rFonts w:ascii="Arial" w:hAnsi="Arial" w:cs="Arial"/>
          <w:color w:val="000000" w:themeColor="text1"/>
        </w:rPr>
        <w:t>ratio</w:t>
      </w:r>
      <w:r w:rsidRPr="0077415D">
        <w:rPr>
          <w:rFonts w:ascii="Arial" w:hAnsi="Arial" w:cs="Arial"/>
          <w:color w:val="000000" w:themeColor="text1"/>
        </w:rPr>
        <w:t xml:space="preserve"> worsened in 2021 with 0.318, versus 2024 with </w:t>
      </w:r>
      <w:r w:rsidR="00672C0B" w:rsidRPr="0077415D">
        <w:rPr>
          <w:rFonts w:ascii="Arial" w:hAnsi="Arial" w:cs="Arial"/>
          <w:color w:val="000000" w:themeColor="text1"/>
        </w:rPr>
        <w:t>0.169,</w:t>
      </w:r>
      <w:r w:rsidRPr="0077415D">
        <w:rPr>
          <w:rFonts w:ascii="Arial" w:hAnsi="Arial" w:cs="Arial"/>
          <w:color w:val="000000" w:themeColor="text1"/>
        </w:rPr>
        <w:t xml:space="preserve"> indicating a progressive erosion of pure cash buffers. </w:t>
      </w:r>
    </w:p>
    <w:p w14:paraId="6801FD41" w14:textId="1AD44F6A" w:rsidR="00672C0B" w:rsidRPr="0077415D" w:rsidRDefault="00672C0B" w:rsidP="00672C0B">
      <w:pPr>
        <w:rPr>
          <w:rFonts w:ascii="Arial" w:hAnsi="Arial" w:cs="Arial"/>
          <w:b/>
          <w:bCs/>
          <w:color w:val="000000" w:themeColor="text1"/>
        </w:rPr>
      </w:pPr>
      <w:r w:rsidRPr="0077415D">
        <w:rPr>
          <w:rFonts w:ascii="Arial" w:hAnsi="Arial" w:cs="Arial"/>
          <w:b/>
          <w:bCs/>
          <w:color w:val="000000" w:themeColor="text1"/>
        </w:rPr>
        <w:t xml:space="preserve">Efficiency and </w:t>
      </w:r>
      <w:r w:rsidR="00B66F53" w:rsidRPr="0077415D">
        <w:rPr>
          <w:rFonts w:ascii="Arial" w:hAnsi="Arial" w:cs="Arial"/>
          <w:b/>
          <w:bCs/>
          <w:color w:val="000000" w:themeColor="text1"/>
        </w:rPr>
        <w:t>Working Capital</w:t>
      </w:r>
      <w:r w:rsidRPr="0077415D">
        <w:rPr>
          <w:rFonts w:ascii="Arial" w:hAnsi="Arial" w:cs="Arial"/>
          <w:b/>
          <w:bCs/>
          <w:color w:val="000000" w:themeColor="text1"/>
        </w:rPr>
        <w:t xml:space="preserve"> Ratio</w:t>
      </w:r>
    </w:p>
    <w:p w14:paraId="744626C3" w14:textId="77E0D909" w:rsidR="007D3A57" w:rsidRPr="0077415D" w:rsidRDefault="007D3A57" w:rsidP="007D3A57">
      <w:pPr>
        <w:rPr>
          <w:rFonts w:ascii="Arial" w:hAnsi="Arial" w:cs="Arial"/>
          <w:color w:val="000000" w:themeColor="text1"/>
        </w:rPr>
      </w:pPr>
      <w:r w:rsidRPr="0077415D">
        <w:rPr>
          <w:rFonts w:ascii="Arial" w:hAnsi="Arial" w:cs="Arial"/>
          <w:color w:val="000000" w:themeColor="text1"/>
        </w:rPr>
        <w:t xml:space="preserve">The working-capital turnover statistics presented have abnormal magnitudes and signs. Inventory turnover is </w:t>
      </w:r>
      <w:r w:rsidR="00672C0B" w:rsidRPr="0077415D">
        <w:rPr>
          <w:rFonts w:ascii="Arial" w:hAnsi="Arial" w:cs="Arial"/>
          <w:color w:val="000000" w:themeColor="text1"/>
        </w:rPr>
        <w:t>negative,</w:t>
      </w:r>
      <w:r w:rsidRPr="0077415D">
        <w:rPr>
          <w:rFonts w:ascii="Arial" w:hAnsi="Arial" w:cs="Arial"/>
          <w:color w:val="000000" w:themeColor="text1"/>
        </w:rPr>
        <w:t xml:space="preserve"> and the Days Inventory Outstanding is presented in extremely small fractions of a </w:t>
      </w:r>
      <w:r w:rsidR="00672C0B" w:rsidRPr="0077415D">
        <w:rPr>
          <w:rFonts w:ascii="Arial" w:hAnsi="Arial" w:cs="Arial"/>
          <w:color w:val="000000" w:themeColor="text1"/>
        </w:rPr>
        <w:t>day,</w:t>
      </w:r>
      <w:r w:rsidRPr="0077415D">
        <w:rPr>
          <w:rFonts w:ascii="Arial" w:hAnsi="Arial" w:cs="Arial"/>
          <w:color w:val="000000" w:themeColor="text1"/>
        </w:rPr>
        <w:t xml:space="preserve"> and the cash conversion cycle is presented in the thousands of days in the hundreds. Such outputs cannot be considered economically meaningful in absolute </w:t>
      </w:r>
      <w:r w:rsidR="00672C0B" w:rsidRPr="0077415D">
        <w:rPr>
          <w:rFonts w:ascii="Arial" w:hAnsi="Arial" w:cs="Arial"/>
          <w:color w:val="000000" w:themeColor="text1"/>
        </w:rPr>
        <w:t>terms,</w:t>
      </w:r>
      <w:r w:rsidRPr="0077415D">
        <w:rPr>
          <w:rFonts w:ascii="Arial" w:hAnsi="Arial" w:cs="Arial"/>
          <w:color w:val="000000" w:themeColor="text1"/>
        </w:rPr>
        <w:t xml:space="preserve"> and they point to the fact that a unit scaling or sign convention has been adopted in the worksheet inaccurately. With that said, directional observations can be informative in two.</w:t>
      </w:r>
    </w:p>
    <w:p w14:paraId="424A0000" w14:textId="71634A94" w:rsidR="007D3A57" w:rsidRPr="0077415D" w:rsidRDefault="007D3A57" w:rsidP="007D3A57">
      <w:pPr>
        <w:rPr>
          <w:rFonts w:ascii="Arial" w:hAnsi="Arial" w:cs="Arial"/>
          <w:color w:val="000000" w:themeColor="text1"/>
        </w:rPr>
      </w:pPr>
      <w:r w:rsidRPr="0077415D">
        <w:rPr>
          <w:rFonts w:ascii="Arial" w:hAnsi="Arial" w:cs="Arial"/>
          <w:color w:val="000000" w:themeColor="text1"/>
        </w:rPr>
        <w:t xml:space="preserve">First, despite the anomalies, the cash conversion cycle reported has reduced materially between 573,519 and 358,425 over the period in which the sharpest improvement is expected to take place by 2023. When there is a continuity of the same formula, and the use of the same units, then the trend suggests that the operating working capital became </w:t>
      </w:r>
      <w:r w:rsidRPr="0077415D">
        <w:rPr>
          <w:rFonts w:ascii="Arial" w:hAnsi="Arial" w:cs="Arial"/>
          <w:color w:val="000000" w:themeColor="text1"/>
        </w:rPr>
        <w:lastRenderedPageBreak/>
        <w:t>less restrictive on cash either by the reduction of the days of inventory and receivables or by the improvement of the supplier terms (</w:t>
      </w:r>
      <w:proofErr w:type="spellStart"/>
      <w:r w:rsidRPr="0077415D">
        <w:rPr>
          <w:rFonts w:ascii="Arial" w:hAnsi="Arial" w:cs="Arial"/>
          <w:color w:val="000000" w:themeColor="text1"/>
        </w:rPr>
        <w:t>Duffour</w:t>
      </w:r>
      <w:proofErr w:type="spellEnd"/>
      <w:r w:rsidRPr="0077415D">
        <w:rPr>
          <w:rFonts w:ascii="Arial" w:hAnsi="Arial" w:cs="Arial"/>
          <w:color w:val="000000" w:themeColor="text1"/>
        </w:rPr>
        <w:t xml:space="preserve"> and Pattanaik, 2025). Second, the movement of payables indicators is associated with </w:t>
      </w:r>
      <w:r w:rsidR="001A6CA4" w:rsidRPr="0077415D">
        <w:rPr>
          <w:rFonts w:ascii="Arial" w:hAnsi="Arial" w:cs="Arial"/>
          <w:color w:val="000000" w:themeColor="text1"/>
        </w:rPr>
        <w:t>trying</w:t>
      </w:r>
      <w:r w:rsidRPr="0077415D">
        <w:rPr>
          <w:rFonts w:ascii="Arial" w:hAnsi="Arial" w:cs="Arial"/>
          <w:color w:val="000000" w:themeColor="text1"/>
        </w:rPr>
        <w:t xml:space="preserve"> to extend trade credit. Days payable outstanding would increase between the end point and the start point on the series</w:t>
      </w:r>
      <w:r w:rsidR="00B66F53" w:rsidRPr="0077415D">
        <w:rPr>
          <w:rFonts w:ascii="Arial" w:hAnsi="Arial" w:cs="Arial"/>
          <w:color w:val="000000" w:themeColor="text1"/>
        </w:rPr>
        <w:t>,</w:t>
      </w:r>
      <w:r w:rsidRPr="0077415D">
        <w:rPr>
          <w:rFonts w:ascii="Arial" w:hAnsi="Arial" w:cs="Arial"/>
          <w:color w:val="000000" w:themeColor="text1"/>
        </w:rPr>
        <w:t xml:space="preserve"> </w:t>
      </w:r>
      <w:r w:rsidR="00B66F53" w:rsidRPr="0077415D">
        <w:rPr>
          <w:rFonts w:ascii="Arial" w:hAnsi="Arial" w:cs="Arial"/>
          <w:color w:val="000000" w:themeColor="text1"/>
        </w:rPr>
        <w:t>which</w:t>
      </w:r>
      <w:r w:rsidRPr="0077415D">
        <w:rPr>
          <w:rFonts w:ascii="Arial" w:hAnsi="Arial" w:cs="Arial"/>
          <w:color w:val="000000" w:themeColor="text1"/>
        </w:rPr>
        <w:t xml:space="preserve"> would be of help in a </w:t>
      </w:r>
      <w:r w:rsidR="001A6CA4" w:rsidRPr="0077415D">
        <w:rPr>
          <w:rFonts w:ascii="Arial" w:hAnsi="Arial" w:cs="Arial"/>
          <w:color w:val="000000" w:themeColor="text1"/>
        </w:rPr>
        <w:t>downturn</w:t>
      </w:r>
      <w:r w:rsidRPr="0077415D">
        <w:rPr>
          <w:rFonts w:ascii="Arial" w:hAnsi="Arial" w:cs="Arial"/>
          <w:color w:val="000000" w:themeColor="text1"/>
        </w:rPr>
        <w:t xml:space="preserve">. </w:t>
      </w:r>
    </w:p>
    <w:p w14:paraId="752B7CDC" w14:textId="77777777" w:rsidR="006A031C" w:rsidRPr="0077415D" w:rsidRDefault="006A031C" w:rsidP="006A031C">
      <w:pPr>
        <w:rPr>
          <w:rFonts w:ascii="Arial" w:hAnsi="Arial" w:cs="Arial"/>
          <w:b/>
          <w:bCs/>
          <w:color w:val="000000" w:themeColor="text1"/>
        </w:rPr>
      </w:pPr>
      <w:r w:rsidRPr="0077415D">
        <w:rPr>
          <w:rFonts w:ascii="Arial" w:hAnsi="Arial" w:cs="Arial"/>
          <w:b/>
          <w:bCs/>
          <w:color w:val="000000" w:themeColor="text1"/>
        </w:rPr>
        <w:t>Gearing Ratio</w:t>
      </w:r>
    </w:p>
    <w:p w14:paraId="038431AA" w14:textId="643E5AB3" w:rsidR="007D3A57" w:rsidRPr="0077415D" w:rsidRDefault="007D3A57" w:rsidP="007D3A57">
      <w:pPr>
        <w:rPr>
          <w:rFonts w:ascii="Arial" w:hAnsi="Arial" w:cs="Arial"/>
          <w:color w:val="000000" w:themeColor="text1"/>
        </w:rPr>
      </w:pPr>
      <w:r w:rsidRPr="0077415D">
        <w:rPr>
          <w:rFonts w:ascii="Arial" w:hAnsi="Arial" w:cs="Arial"/>
          <w:color w:val="000000" w:themeColor="text1"/>
        </w:rPr>
        <w:t>Debt to equity remains equal to zero between 2020 and 2022, followed by an increase to 0.36 in 2023 and 0.45 in 2024. The change suggests that the company has rolled out borrowings in the earnings trough</w:t>
      </w:r>
      <w:r w:rsidR="00B66F53" w:rsidRPr="0077415D">
        <w:rPr>
          <w:rFonts w:ascii="Arial" w:hAnsi="Arial" w:cs="Arial"/>
          <w:color w:val="000000" w:themeColor="text1"/>
        </w:rPr>
        <w:t>,</w:t>
      </w:r>
      <w:r w:rsidRPr="0077415D">
        <w:rPr>
          <w:rFonts w:ascii="Arial" w:hAnsi="Arial" w:cs="Arial"/>
          <w:color w:val="000000" w:themeColor="text1"/>
        </w:rPr>
        <w:t xml:space="preserve"> and this is an expected reaction to finance losses and stay in business. The series coverage of </w:t>
      </w:r>
      <w:r w:rsidR="00B66F53" w:rsidRPr="0077415D">
        <w:rPr>
          <w:rFonts w:ascii="Arial" w:hAnsi="Arial" w:cs="Arial"/>
          <w:color w:val="000000" w:themeColor="text1"/>
        </w:rPr>
        <w:t>interest</w:t>
      </w:r>
      <w:r w:rsidRPr="0077415D">
        <w:rPr>
          <w:rFonts w:ascii="Arial" w:hAnsi="Arial" w:cs="Arial"/>
          <w:color w:val="000000" w:themeColor="text1"/>
        </w:rPr>
        <w:t xml:space="preserve"> is below a healthy comfort level: 0.789 in 2020, 0.866 in 2021, 0.904 in 2022, temporarily, up to 1.874 in 2023, and then 1.134 in 2024. Coverage close to one denotes weak service capacity that may be affected by </w:t>
      </w:r>
      <w:r w:rsidR="00B66F53" w:rsidRPr="0077415D">
        <w:rPr>
          <w:rFonts w:ascii="Arial" w:hAnsi="Arial" w:cs="Arial"/>
          <w:color w:val="000000" w:themeColor="text1"/>
        </w:rPr>
        <w:t xml:space="preserve">an </w:t>
      </w:r>
      <w:r w:rsidRPr="0077415D">
        <w:rPr>
          <w:rFonts w:ascii="Arial" w:hAnsi="Arial" w:cs="Arial"/>
          <w:color w:val="000000" w:themeColor="text1"/>
        </w:rPr>
        <w:t xml:space="preserve">additional shock </w:t>
      </w:r>
      <w:r w:rsidR="00B66F53" w:rsidRPr="0077415D">
        <w:rPr>
          <w:rFonts w:ascii="Arial" w:hAnsi="Arial" w:cs="Arial"/>
          <w:color w:val="000000" w:themeColor="text1"/>
        </w:rPr>
        <w:t>to</w:t>
      </w:r>
      <w:r w:rsidRPr="0077415D">
        <w:rPr>
          <w:rFonts w:ascii="Arial" w:hAnsi="Arial" w:cs="Arial"/>
          <w:color w:val="000000" w:themeColor="text1"/>
        </w:rPr>
        <w:t xml:space="preserve"> profits or </w:t>
      </w:r>
      <w:r w:rsidR="00B66F53" w:rsidRPr="0077415D">
        <w:rPr>
          <w:rFonts w:ascii="Arial" w:hAnsi="Arial" w:cs="Arial"/>
          <w:color w:val="000000" w:themeColor="text1"/>
        </w:rPr>
        <w:t xml:space="preserve">a </w:t>
      </w:r>
      <w:r w:rsidRPr="0077415D">
        <w:rPr>
          <w:rFonts w:ascii="Arial" w:hAnsi="Arial" w:cs="Arial"/>
          <w:color w:val="000000" w:themeColor="text1"/>
        </w:rPr>
        <w:t>rate upsurge. With operating losses in 20232024, the lenders will pay increased attention to the quality of collateral and covenants</w:t>
      </w:r>
      <w:r w:rsidR="00B66F53" w:rsidRPr="0077415D">
        <w:rPr>
          <w:rFonts w:ascii="Arial" w:hAnsi="Arial" w:cs="Arial"/>
          <w:color w:val="000000" w:themeColor="text1"/>
        </w:rPr>
        <w:t>,</w:t>
      </w:r>
      <w:r w:rsidRPr="0077415D">
        <w:rPr>
          <w:rFonts w:ascii="Arial" w:hAnsi="Arial" w:cs="Arial"/>
          <w:color w:val="000000" w:themeColor="text1"/>
        </w:rPr>
        <w:t xml:space="preserve"> as well as a convincing path of returning to positive EBITDA. </w:t>
      </w:r>
      <w:r w:rsidR="00B66F53" w:rsidRPr="0077415D">
        <w:rPr>
          <w:rFonts w:ascii="Arial" w:hAnsi="Arial" w:cs="Arial"/>
          <w:color w:val="000000" w:themeColor="text1"/>
        </w:rPr>
        <w:t>An increase</w:t>
      </w:r>
      <w:r w:rsidRPr="0077415D">
        <w:rPr>
          <w:rFonts w:ascii="Arial" w:hAnsi="Arial" w:cs="Arial"/>
          <w:color w:val="000000" w:themeColor="text1"/>
        </w:rPr>
        <w:t xml:space="preserve"> in leverage amid the negative operating profitability also raises financial risk to the equity holders and decreases strategic flexibility.</w:t>
      </w:r>
    </w:p>
    <w:p w14:paraId="1095A840" w14:textId="77777777" w:rsidR="00DF480E" w:rsidRPr="0077415D" w:rsidRDefault="00DF480E" w:rsidP="00DF480E">
      <w:pPr>
        <w:rPr>
          <w:rFonts w:ascii="Arial" w:hAnsi="Arial" w:cs="Arial"/>
          <w:b/>
          <w:bCs/>
          <w:color w:val="000000" w:themeColor="text1"/>
        </w:rPr>
      </w:pPr>
      <w:r w:rsidRPr="0077415D">
        <w:rPr>
          <w:rFonts w:ascii="Arial" w:hAnsi="Arial" w:cs="Arial"/>
          <w:b/>
          <w:bCs/>
          <w:color w:val="000000" w:themeColor="text1"/>
        </w:rPr>
        <w:t>Investment ratio</w:t>
      </w:r>
    </w:p>
    <w:p w14:paraId="0AB6B733" w14:textId="753CFB53" w:rsidR="007D3A57" w:rsidRPr="0077415D" w:rsidRDefault="007D3A57" w:rsidP="007D3A57">
      <w:pPr>
        <w:rPr>
          <w:rFonts w:ascii="Arial" w:hAnsi="Arial" w:cs="Arial"/>
          <w:color w:val="000000" w:themeColor="text1"/>
        </w:rPr>
      </w:pPr>
      <w:r w:rsidRPr="0077415D">
        <w:rPr>
          <w:rFonts w:ascii="Arial" w:hAnsi="Arial" w:cs="Arial"/>
          <w:color w:val="000000" w:themeColor="text1"/>
        </w:rPr>
        <w:t xml:space="preserve">There are no explicit market measures, but the pattern of the return </w:t>
      </w:r>
      <w:r w:rsidR="00B66F53" w:rsidRPr="0077415D">
        <w:rPr>
          <w:rFonts w:ascii="Arial" w:hAnsi="Arial" w:cs="Arial"/>
          <w:color w:val="000000" w:themeColor="text1"/>
        </w:rPr>
        <w:t>on</w:t>
      </w:r>
      <w:r w:rsidRPr="0077415D">
        <w:rPr>
          <w:rFonts w:ascii="Arial" w:hAnsi="Arial" w:cs="Arial"/>
          <w:color w:val="000000" w:themeColor="text1"/>
        </w:rPr>
        <w:t xml:space="preserve"> equity shows that the shareholder value is destroyed in 2023 and 2024. The Altman model proxy reveals that the relative equity over liabilities ratio is </w:t>
      </w:r>
      <w:r w:rsidR="00DF480E" w:rsidRPr="0077415D">
        <w:rPr>
          <w:rFonts w:ascii="Arial" w:hAnsi="Arial" w:cs="Arial"/>
          <w:color w:val="000000" w:themeColor="text1"/>
        </w:rPr>
        <w:t>declining,</w:t>
      </w:r>
      <w:r w:rsidRPr="0077415D">
        <w:rPr>
          <w:rFonts w:ascii="Arial" w:hAnsi="Arial" w:cs="Arial"/>
          <w:color w:val="000000" w:themeColor="text1"/>
        </w:rPr>
        <w:t xml:space="preserve"> and this is in tandem with a reduction in the cushion that is available to creditors and owners. Without dividend information, the reasonable assumption is the suspension or a material cut of distributions over the troubled years to save cash.</w:t>
      </w:r>
    </w:p>
    <w:p w14:paraId="5D6015B2" w14:textId="77777777" w:rsidR="00DF480E" w:rsidRPr="0077415D" w:rsidRDefault="00DF480E" w:rsidP="00DF480E">
      <w:pPr>
        <w:rPr>
          <w:rFonts w:ascii="Arial" w:hAnsi="Arial" w:cs="Arial"/>
          <w:b/>
          <w:bCs/>
          <w:color w:val="000000" w:themeColor="text1"/>
        </w:rPr>
      </w:pPr>
      <w:r w:rsidRPr="0077415D">
        <w:rPr>
          <w:rFonts w:ascii="Arial" w:hAnsi="Arial" w:cs="Arial"/>
          <w:b/>
          <w:bCs/>
          <w:color w:val="000000" w:themeColor="text1"/>
        </w:rPr>
        <w:t xml:space="preserve">Cash flow quality: </w:t>
      </w:r>
    </w:p>
    <w:p w14:paraId="1AEE285B" w14:textId="5E1435F6" w:rsidR="005A7F14" w:rsidRPr="0077415D" w:rsidRDefault="007D3A57" w:rsidP="007D3A57">
      <w:pPr>
        <w:rPr>
          <w:rFonts w:ascii="Arial" w:hAnsi="Arial" w:cs="Arial"/>
          <w:color w:val="000000" w:themeColor="text1"/>
        </w:rPr>
      </w:pPr>
      <w:r w:rsidRPr="0077415D">
        <w:rPr>
          <w:rFonts w:ascii="Arial" w:hAnsi="Arial" w:cs="Arial"/>
          <w:color w:val="000000" w:themeColor="text1"/>
        </w:rPr>
        <w:t xml:space="preserve">The ratio set excludes direct operating cash flow, but the negative operating margin and nearly one interest cover in 20232024 </w:t>
      </w:r>
      <w:r w:rsidR="00B66F53" w:rsidRPr="0077415D">
        <w:rPr>
          <w:rFonts w:ascii="Arial" w:hAnsi="Arial" w:cs="Arial"/>
          <w:color w:val="000000" w:themeColor="text1"/>
        </w:rPr>
        <w:t>suggest</w:t>
      </w:r>
      <w:r w:rsidRPr="0077415D">
        <w:rPr>
          <w:rFonts w:ascii="Arial" w:hAnsi="Arial" w:cs="Arial"/>
          <w:color w:val="000000" w:themeColor="text1"/>
        </w:rPr>
        <w:t xml:space="preserve"> that the company will not be generating cash in the core activities and will need to resort to financing. The fact that the operating margin has improved </w:t>
      </w:r>
      <w:r w:rsidR="00B66F53" w:rsidRPr="0077415D">
        <w:rPr>
          <w:rFonts w:ascii="Arial" w:hAnsi="Arial" w:cs="Arial"/>
          <w:color w:val="000000" w:themeColor="text1"/>
        </w:rPr>
        <w:t>from</w:t>
      </w:r>
      <w:r w:rsidRPr="0077415D">
        <w:rPr>
          <w:rFonts w:ascii="Arial" w:hAnsi="Arial" w:cs="Arial"/>
          <w:color w:val="000000" w:themeColor="text1"/>
        </w:rPr>
        <w:t xml:space="preserve"> negative 20.29</w:t>
      </w:r>
      <w:r w:rsidR="00B66F53" w:rsidRPr="0077415D">
        <w:rPr>
          <w:rFonts w:ascii="Arial" w:hAnsi="Arial" w:cs="Arial"/>
          <w:color w:val="000000" w:themeColor="text1"/>
        </w:rPr>
        <w:t>%</w:t>
      </w:r>
      <w:r w:rsidRPr="0077415D">
        <w:rPr>
          <w:rFonts w:ascii="Arial" w:hAnsi="Arial" w:cs="Arial"/>
          <w:color w:val="000000" w:themeColor="text1"/>
        </w:rPr>
        <w:t xml:space="preserve"> to negative 3.87</w:t>
      </w:r>
      <w:r w:rsidR="00B66F53" w:rsidRPr="0077415D">
        <w:rPr>
          <w:rFonts w:ascii="Arial" w:hAnsi="Arial" w:cs="Arial"/>
          <w:color w:val="000000" w:themeColor="text1"/>
        </w:rPr>
        <w:t>%</w:t>
      </w:r>
      <w:r w:rsidRPr="0077415D">
        <w:rPr>
          <w:rFonts w:ascii="Arial" w:hAnsi="Arial" w:cs="Arial"/>
          <w:color w:val="000000" w:themeColor="text1"/>
        </w:rPr>
        <w:t xml:space="preserve"> in 2024 is an indication </w:t>
      </w:r>
      <w:r w:rsidRPr="0077415D">
        <w:rPr>
          <w:rFonts w:ascii="Arial" w:hAnsi="Arial" w:cs="Arial"/>
          <w:color w:val="000000" w:themeColor="text1"/>
        </w:rPr>
        <w:lastRenderedPageBreak/>
        <w:t>that there could be cost take-out or reversal of exceptional items</w:t>
      </w:r>
      <w:r w:rsidR="00B66F53" w:rsidRPr="0077415D">
        <w:rPr>
          <w:rFonts w:ascii="Arial" w:hAnsi="Arial" w:cs="Arial"/>
          <w:color w:val="000000" w:themeColor="text1"/>
        </w:rPr>
        <w:t>,</w:t>
      </w:r>
      <w:r w:rsidRPr="0077415D">
        <w:rPr>
          <w:rFonts w:ascii="Arial" w:hAnsi="Arial" w:cs="Arial"/>
          <w:color w:val="000000" w:themeColor="text1"/>
        </w:rPr>
        <w:t xml:space="preserve"> which would enhance cash conversion when perpetuated. </w:t>
      </w:r>
      <w:r w:rsidR="00B66F53" w:rsidRPr="0077415D">
        <w:rPr>
          <w:rFonts w:ascii="Arial" w:hAnsi="Arial" w:cs="Arial"/>
          <w:color w:val="000000" w:themeColor="text1"/>
        </w:rPr>
        <w:t>The dropping cash ratio</w:t>
      </w:r>
      <w:r w:rsidRPr="0077415D">
        <w:rPr>
          <w:rFonts w:ascii="Arial" w:hAnsi="Arial" w:cs="Arial"/>
          <w:color w:val="000000" w:themeColor="text1"/>
        </w:rPr>
        <w:t xml:space="preserve"> though is an indication that liquid buffers have been tapped into at the time of the trough. Without new equity, the business will have to reestablish cash flows in the business and through </w:t>
      </w:r>
      <w:r w:rsidR="00B66F53" w:rsidRPr="0077415D">
        <w:rPr>
          <w:rFonts w:ascii="Arial" w:hAnsi="Arial" w:cs="Arial"/>
          <w:color w:val="000000" w:themeColor="text1"/>
        </w:rPr>
        <w:t>operations</w:t>
      </w:r>
      <w:r w:rsidRPr="0077415D">
        <w:rPr>
          <w:rFonts w:ascii="Arial" w:hAnsi="Arial" w:cs="Arial"/>
          <w:color w:val="000000" w:themeColor="text1"/>
        </w:rPr>
        <w:t xml:space="preserve"> and working-capital release in 2025 to obtain resilience.</w:t>
      </w:r>
    </w:p>
    <w:p w14:paraId="2F96E170" w14:textId="12FADEDF" w:rsidR="005A7F14" w:rsidRPr="0077415D" w:rsidRDefault="005A7F14" w:rsidP="00A26162">
      <w:pPr>
        <w:pStyle w:val="Heading2"/>
        <w:rPr>
          <w:rFonts w:ascii="Arial" w:hAnsi="Arial" w:cs="Arial"/>
          <w:color w:val="000000" w:themeColor="text1"/>
        </w:rPr>
      </w:pPr>
      <w:bookmarkStart w:id="3" w:name="_Toc214845218"/>
      <w:r w:rsidRPr="0077415D">
        <w:rPr>
          <w:rFonts w:ascii="Arial" w:hAnsi="Arial" w:cs="Arial"/>
          <w:color w:val="000000" w:themeColor="text1"/>
        </w:rPr>
        <w:t>1.</w:t>
      </w:r>
      <w:r w:rsidR="00A26162" w:rsidRPr="0077415D">
        <w:rPr>
          <w:rFonts w:ascii="Arial" w:hAnsi="Arial" w:cs="Arial"/>
          <w:color w:val="000000" w:themeColor="text1"/>
        </w:rPr>
        <w:t>2</w:t>
      </w:r>
      <w:r w:rsidRPr="0077415D">
        <w:rPr>
          <w:rFonts w:ascii="Arial" w:hAnsi="Arial" w:cs="Arial"/>
          <w:color w:val="000000" w:themeColor="text1"/>
        </w:rPr>
        <w:t xml:space="preserve"> Corporate failure risk: Altman Z-Score moves from safe to grey</w:t>
      </w:r>
      <w:bookmarkEnd w:id="3"/>
    </w:p>
    <w:tbl>
      <w:tblPr>
        <w:tblStyle w:val="TableGrid"/>
        <w:tblW w:w="5000" w:type="pct"/>
        <w:tblLook w:val="04A0" w:firstRow="1" w:lastRow="0" w:firstColumn="1" w:lastColumn="0" w:noHBand="0" w:noVBand="1"/>
      </w:tblPr>
      <w:tblGrid>
        <w:gridCol w:w="2882"/>
        <w:gridCol w:w="1363"/>
        <w:gridCol w:w="1363"/>
        <w:gridCol w:w="1363"/>
        <w:gridCol w:w="1377"/>
        <w:gridCol w:w="1002"/>
      </w:tblGrid>
      <w:tr w:rsidR="001D178D" w:rsidRPr="0077415D" w14:paraId="65B0A203" w14:textId="77777777" w:rsidTr="001D178D">
        <w:trPr>
          <w:trHeight w:val="300"/>
        </w:trPr>
        <w:tc>
          <w:tcPr>
            <w:tcW w:w="3758" w:type="pct"/>
            <w:gridSpan w:val="4"/>
            <w:noWrap/>
            <w:hideMark/>
          </w:tcPr>
          <w:p w14:paraId="1278DDDB" w14:textId="7ACE9B55" w:rsidR="001D178D" w:rsidRPr="0077415D" w:rsidRDefault="001D178D" w:rsidP="001D178D">
            <w:pPr>
              <w:spacing w:line="240" w:lineRule="auto"/>
              <w:jc w:val="left"/>
              <w:rPr>
                <w:rFonts w:ascii="Arial" w:eastAsia="Times New Roman" w:hAnsi="Arial" w:cs="Arial"/>
                <w:b/>
                <w:bCs/>
                <w:kern w:val="0"/>
                <w:sz w:val="22"/>
                <w:szCs w:val="22"/>
                <w14:ligatures w14:val="none"/>
              </w:rPr>
            </w:pPr>
            <w:r w:rsidRPr="0077415D">
              <w:rPr>
                <w:rFonts w:ascii="Arial" w:eastAsia="Times New Roman" w:hAnsi="Arial" w:cs="Arial"/>
                <w:b/>
                <w:bCs/>
                <w:kern w:val="0"/>
                <w:sz w:val="22"/>
                <w:szCs w:val="22"/>
                <w14:ligatures w14:val="none"/>
              </w:rPr>
              <w:t>Altman Z-Score (using Book Value of Equity as proxy for Market Value</w:t>
            </w:r>
            <w:r w:rsidR="0077415D">
              <w:rPr>
                <w:rFonts w:ascii="Arial" w:eastAsia="Times New Roman" w:hAnsi="Arial" w:cs="Arial"/>
                <w:b/>
                <w:bCs/>
                <w:kern w:val="0"/>
                <w:sz w:val="22"/>
                <w:szCs w:val="22"/>
                <w14:ligatures w14:val="none"/>
              </w:rPr>
              <w:t>,</w:t>
            </w:r>
            <w:r w:rsidRPr="0077415D">
              <w:rPr>
                <w:rFonts w:ascii="Arial" w:eastAsia="Times New Roman" w:hAnsi="Arial" w:cs="Arial"/>
                <w:b/>
                <w:bCs/>
                <w:kern w:val="0"/>
                <w:sz w:val="22"/>
                <w:szCs w:val="22"/>
                <w14:ligatures w14:val="none"/>
              </w:rPr>
              <w:t xml:space="preserve"> where market value </w:t>
            </w:r>
            <w:r w:rsidR="0077415D">
              <w:rPr>
                <w:rFonts w:ascii="Arial" w:eastAsia="Times New Roman" w:hAnsi="Arial" w:cs="Arial"/>
                <w:b/>
                <w:bCs/>
                <w:kern w:val="0"/>
                <w:sz w:val="22"/>
                <w:szCs w:val="22"/>
                <w14:ligatures w14:val="none"/>
              </w:rPr>
              <w:t xml:space="preserve">is </w:t>
            </w:r>
            <w:r w:rsidRPr="0077415D">
              <w:rPr>
                <w:rFonts w:ascii="Arial" w:eastAsia="Times New Roman" w:hAnsi="Arial" w:cs="Arial"/>
                <w:b/>
                <w:bCs/>
                <w:kern w:val="0"/>
                <w:sz w:val="22"/>
                <w:szCs w:val="22"/>
                <w14:ligatures w14:val="none"/>
              </w:rPr>
              <w:t>unavailable)</w:t>
            </w:r>
          </w:p>
        </w:tc>
        <w:tc>
          <w:tcPr>
            <w:tcW w:w="729" w:type="pct"/>
            <w:noWrap/>
            <w:hideMark/>
          </w:tcPr>
          <w:p w14:paraId="41E3C7D1" w14:textId="77777777" w:rsidR="001D178D" w:rsidRPr="0077415D" w:rsidRDefault="001D178D" w:rsidP="001D178D">
            <w:pPr>
              <w:spacing w:line="240" w:lineRule="auto"/>
              <w:jc w:val="left"/>
              <w:rPr>
                <w:rFonts w:ascii="Arial" w:eastAsia="Times New Roman" w:hAnsi="Arial" w:cs="Arial"/>
                <w:b/>
                <w:bCs/>
                <w:kern w:val="0"/>
                <w:sz w:val="22"/>
                <w:szCs w:val="22"/>
                <w14:ligatures w14:val="none"/>
              </w:rPr>
            </w:pPr>
          </w:p>
        </w:tc>
        <w:tc>
          <w:tcPr>
            <w:tcW w:w="514" w:type="pct"/>
            <w:noWrap/>
            <w:hideMark/>
          </w:tcPr>
          <w:p w14:paraId="5A756BAD" w14:textId="77777777" w:rsidR="001D178D" w:rsidRPr="0077415D" w:rsidRDefault="001D178D" w:rsidP="001D178D">
            <w:pPr>
              <w:spacing w:line="240" w:lineRule="auto"/>
              <w:jc w:val="left"/>
              <w:rPr>
                <w:rFonts w:ascii="Arial" w:eastAsia="Times New Roman" w:hAnsi="Arial" w:cs="Arial"/>
                <w:kern w:val="0"/>
                <w:sz w:val="20"/>
                <w:szCs w:val="20"/>
                <w14:ligatures w14:val="none"/>
              </w:rPr>
            </w:pPr>
          </w:p>
        </w:tc>
      </w:tr>
      <w:tr w:rsidR="001D178D" w:rsidRPr="0077415D" w14:paraId="0AAF4F6C" w14:textId="77777777" w:rsidTr="001D178D">
        <w:trPr>
          <w:trHeight w:val="300"/>
        </w:trPr>
        <w:tc>
          <w:tcPr>
            <w:tcW w:w="5000" w:type="pct"/>
            <w:gridSpan w:val="6"/>
            <w:noWrap/>
            <w:hideMark/>
          </w:tcPr>
          <w:p w14:paraId="444448F2" w14:textId="363617F0"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Explanation: X1=WC</w:t>
            </w:r>
            <w:r w:rsidR="0077415D">
              <w:rPr>
                <w:rFonts w:ascii="Arial" w:eastAsia="Times New Roman" w:hAnsi="Arial" w:cs="Arial"/>
                <w:kern w:val="0"/>
                <w:sz w:val="22"/>
                <w:szCs w:val="22"/>
                <w14:ligatures w14:val="none"/>
              </w:rPr>
              <w:t>/</w:t>
            </w:r>
            <w:r w:rsidRPr="0077415D">
              <w:rPr>
                <w:rFonts w:ascii="Arial" w:eastAsia="Times New Roman" w:hAnsi="Arial" w:cs="Arial"/>
                <w:kern w:val="0"/>
                <w:sz w:val="22"/>
                <w:szCs w:val="22"/>
                <w14:ligatures w14:val="none"/>
              </w:rPr>
              <w:t>Assets, X2=Retained Earnings/Total Assets, X3=EBIT/Total Assets, X4=Market Value Equity/Total Liabilities (book value used as proxy), X5=Sales/Total Assets</w:t>
            </w:r>
          </w:p>
        </w:tc>
      </w:tr>
      <w:tr w:rsidR="001D178D" w:rsidRPr="0077415D" w14:paraId="45A8BF6B" w14:textId="77777777" w:rsidTr="001D178D">
        <w:trPr>
          <w:trHeight w:val="300"/>
        </w:trPr>
        <w:tc>
          <w:tcPr>
            <w:tcW w:w="1595" w:type="pct"/>
            <w:noWrap/>
            <w:hideMark/>
          </w:tcPr>
          <w:p w14:paraId="02869E1B"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p>
        </w:tc>
        <w:tc>
          <w:tcPr>
            <w:tcW w:w="721" w:type="pct"/>
            <w:noWrap/>
            <w:hideMark/>
          </w:tcPr>
          <w:p w14:paraId="016C2A4F" w14:textId="77777777" w:rsidR="001D178D" w:rsidRPr="0077415D" w:rsidRDefault="001D178D" w:rsidP="001D178D">
            <w:pPr>
              <w:spacing w:line="240" w:lineRule="auto"/>
              <w:jc w:val="left"/>
              <w:rPr>
                <w:rFonts w:ascii="Arial" w:eastAsia="Times New Roman" w:hAnsi="Arial" w:cs="Arial"/>
                <w:kern w:val="0"/>
                <w:sz w:val="20"/>
                <w:szCs w:val="20"/>
                <w14:ligatures w14:val="none"/>
              </w:rPr>
            </w:pPr>
          </w:p>
        </w:tc>
        <w:tc>
          <w:tcPr>
            <w:tcW w:w="721" w:type="pct"/>
            <w:noWrap/>
            <w:hideMark/>
          </w:tcPr>
          <w:p w14:paraId="2D9FCA88" w14:textId="77777777" w:rsidR="001D178D" w:rsidRPr="0077415D" w:rsidRDefault="001D178D" w:rsidP="001D178D">
            <w:pPr>
              <w:spacing w:line="240" w:lineRule="auto"/>
              <w:jc w:val="left"/>
              <w:rPr>
                <w:rFonts w:ascii="Arial" w:eastAsia="Times New Roman" w:hAnsi="Arial" w:cs="Arial"/>
                <w:kern w:val="0"/>
                <w:sz w:val="20"/>
                <w:szCs w:val="20"/>
                <w14:ligatures w14:val="none"/>
              </w:rPr>
            </w:pPr>
          </w:p>
        </w:tc>
        <w:tc>
          <w:tcPr>
            <w:tcW w:w="721" w:type="pct"/>
            <w:noWrap/>
            <w:hideMark/>
          </w:tcPr>
          <w:p w14:paraId="662985DC" w14:textId="77777777" w:rsidR="001D178D" w:rsidRPr="0077415D" w:rsidRDefault="001D178D" w:rsidP="001D178D">
            <w:pPr>
              <w:spacing w:line="240" w:lineRule="auto"/>
              <w:jc w:val="left"/>
              <w:rPr>
                <w:rFonts w:ascii="Arial" w:eastAsia="Times New Roman" w:hAnsi="Arial" w:cs="Arial"/>
                <w:kern w:val="0"/>
                <w:sz w:val="20"/>
                <w:szCs w:val="20"/>
                <w14:ligatures w14:val="none"/>
              </w:rPr>
            </w:pPr>
          </w:p>
        </w:tc>
        <w:tc>
          <w:tcPr>
            <w:tcW w:w="729" w:type="pct"/>
            <w:noWrap/>
            <w:hideMark/>
          </w:tcPr>
          <w:p w14:paraId="62013A66" w14:textId="77777777" w:rsidR="001D178D" w:rsidRPr="0077415D" w:rsidRDefault="001D178D" w:rsidP="001D178D">
            <w:pPr>
              <w:spacing w:line="240" w:lineRule="auto"/>
              <w:jc w:val="left"/>
              <w:rPr>
                <w:rFonts w:ascii="Arial" w:eastAsia="Times New Roman" w:hAnsi="Arial" w:cs="Arial"/>
                <w:kern w:val="0"/>
                <w:sz w:val="20"/>
                <w:szCs w:val="20"/>
                <w14:ligatures w14:val="none"/>
              </w:rPr>
            </w:pPr>
          </w:p>
        </w:tc>
        <w:tc>
          <w:tcPr>
            <w:tcW w:w="514" w:type="pct"/>
            <w:noWrap/>
            <w:hideMark/>
          </w:tcPr>
          <w:p w14:paraId="642A4BBF" w14:textId="77777777" w:rsidR="001D178D" w:rsidRPr="0077415D" w:rsidRDefault="001D178D" w:rsidP="001D178D">
            <w:pPr>
              <w:spacing w:line="240" w:lineRule="auto"/>
              <w:jc w:val="left"/>
              <w:rPr>
                <w:rFonts w:ascii="Arial" w:eastAsia="Times New Roman" w:hAnsi="Arial" w:cs="Arial"/>
                <w:kern w:val="0"/>
                <w:sz w:val="20"/>
                <w:szCs w:val="20"/>
                <w14:ligatures w14:val="none"/>
              </w:rPr>
            </w:pPr>
          </w:p>
        </w:tc>
      </w:tr>
      <w:tr w:rsidR="001D178D" w:rsidRPr="0077415D" w14:paraId="3525C006" w14:textId="77777777" w:rsidTr="001D178D">
        <w:trPr>
          <w:trHeight w:val="300"/>
        </w:trPr>
        <w:tc>
          <w:tcPr>
            <w:tcW w:w="1595" w:type="pct"/>
            <w:noWrap/>
            <w:hideMark/>
          </w:tcPr>
          <w:p w14:paraId="75C44E53"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Year</w:t>
            </w:r>
          </w:p>
        </w:tc>
        <w:tc>
          <w:tcPr>
            <w:tcW w:w="721" w:type="pct"/>
            <w:noWrap/>
            <w:hideMark/>
          </w:tcPr>
          <w:p w14:paraId="06FDB9EC" w14:textId="77777777" w:rsidR="001D178D" w:rsidRPr="0077415D" w:rsidRDefault="001D178D" w:rsidP="001D178D">
            <w:pPr>
              <w:spacing w:line="240" w:lineRule="auto"/>
              <w:jc w:val="righ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2020</w:t>
            </w:r>
          </w:p>
        </w:tc>
        <w:tc>
          <w:tcPr>
            <w:tcW w:w="721" w:type="pct"/>
            <w:noWrap/>
            <w:hideMark/>
          </w:tcPr>
          <w:p w14:paraId="4ED23846" w14:textId="77777777" w:rsidR="001D178D" w:rsidRPr="0077415D" w:rsidRDefault="001D178D" w:rsidP="001D178D">
            <w:pPr>
              <w:spacing w:line="240" w:lineRule="auto"/>
              <w:jc w:val="righ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2021</w:t>
            </w:r>
          </w:p>
        </w:tc>
        <w:tc>
          <w:tcPr>
            <w:tcW w:w="721" w:type="pct"/>
            <w:noWrap/>
            <w:hideMark/>
          </w:tcPr>
          <w:p w14:paraId="71C5AF57" w14:textId="77777777" w:rsidR="001D178D" w:rsidRPr="0077415D" w:rsidRDefault="001D178D" w:rsidP="001D178D">
            <w:pPr>
              <w:spacing w:line="240" w:lineRule="auto"/>
              <w:jc w:val="righ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2022</w:t>
            </w:r>
          </w:p>
        </w:tc>
        <w:tc>
          <w:tcPr>
            <w:tcW w:w="729" w:type="pct"/>
            <w:noWrap/>
            <w:hideMark/>
          </w:tcPr>
          <w:p w14:paraId="47E49B9C" w14:textId="77777777" w:rsidR="001D178D" w:rsidRPr="0077415D" w:rsidRDefault="001D178D" w:rsidP="001D178D">
            <w:pPr>
              <w:spacing w:line="240" w:lineRule="auto"/>
              <w:jc w:val="righ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2023</w:t>
            </w:r>
          </w:p>
        </w:tc>
        <w:tc>
          <w:tcPr>
            <w:tcW w:w="514" w:type="pct"/>
            <w:noWrap/>
            <w:hideMark/>
          </w:tcPr>
          <w:p w14:paraId="28328504" w14:textId="77777777" w:rsidR="001D178D" w:rsidRPr="0077415D" w:rsidRDefault="001D178D" w:rsidP="001D178D">
            <w:pPr>
              <w:spacing w:line="240" w:lineRule="auto"/>
              <w:jc w:val="righ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2024</w:t>
            </w:r>
          </w:p>
        </w:tc>
      </w:tr>
      <w:tr w:rsidR="001D178D" w:rsidRPr="0077415D" w14:paraId="2C2E9F98" w14:textId="77777777" w:rsidTr="001D178D">
        <w:trPr>
          <w:trHeight w:val="300"/>
        </w:trPr>
        <w:tc>
          <w:tcPr>
            <w:tcW w:w="1595" w:type="pct"/>
            <w:noWrap/>
            <w:hideMark/>
          </w:tcPr>
          <w:p w14:paraId="04446A4B"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Working Capital</w:t>
            </w:r>
          </w:p>
        </w:tc>
        <w:tc>
          <w:tcPr>
            <w:tcW w:w="721" w:type="pct"/>
            <w:noWrap/>
            <w:hideMark/>
          </w:tcPr>
          <w:p w14:paraId="4FAE76FE"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147,333 </w:t>
            </w:r>
          </w:p>
        </w:tc>
        <w:tc>
          <w:tcPr>
            <w:tcW w:w="721" w:type="pct"/>
            <w:noWrap/>
            <w:hideMark/>
          </w:tcPr>
          <w:p w14:paraId="7317CD81"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120,359 </w:t>
            </w:r>
          </w:p>
        </w:tc>
        <w:tc>
          <w:tcPr>
            <w:tcW w:w="721" w:type="pct"/>
            <w:noWrap/>
            <w:hideMark/>
          </w:tcPr>
          <w:p w14:paraId="7333C8E5"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121,567 </w:t>
            </w:r>
          </w:p>
        </w:tc>
        <w:tc>
          <w:tcPr>
            <w:tcW w:w="729" w:type="pct"/>
            <w:noWrap/>
            <w:hideMark/>
          </w:tcPr>
          <w:p w14:paraId="24AEDCEC"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97,703 </w:t>
            </w:r>
          </w:p>
        </w:tc>
        <w:tc>
          <w:tcPr>
            <w:tcW w:w="514" w:type="pct"/>
            <w:noWrap/>
            <w:hideMark/>
          </w:tcPr>
          <w:p w14:paraId="635E1A95"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84,203 </w:t>
            </w:r>
          </w:p>
        </w:tc>
      </w:tr>
      <w:tr w:rsidR="001D178D" w:rsidRPr="0077415D" w14:paraId="1D1EC457" w14:textId="77777777" w:rsidTr="001D178D">
        <w:trPr>
          <w:trHeight w:val="300"/>
        </w:trPr>
        <w:tc>
          <w:tcPr>
            <w:tcW w:w="1595" w:type="pct"/>
            <w:noWrap/>
            <w:hideMark/>
          </w:tcPr>
          <w:p w14:paraId="13AD5F6A"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Total Assets</w:t>
            </w:r>
          </w:p>
        </w:tc>
        <w:tc>
          <w:tcPr>
            <w:tcW w:w="721" w:type="pct"/>
            <w:noWrap/>
            <w:hideMark/>
          </w:tcPr>
          <w:p w14:paraId="7D322D23"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510,290 </w:t>
            </w:r>
          </w:p>
        </w:tc>
        <w:tc>
          <w:tcPr>
            <w:tcW w:w="721" w:type="pct"/>
            <w:noWrap/>
            <w:hideMark/>
          </w:tcPr>
          <w:p w14:paraId="08FA8A6F"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510,348 </w:t>
            </w:r>
          </w:p>
        </w:tc>
        <w:tc>
          <w:tcPr>
            <w:tcW w:w="721" w:type="pct"/>
            <w:noWrap/>
            <w:hideMark/>
          </w:tcPr>
          <w:p w14:paraId="0E9D7B66"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504,163 </w:t>
            </w:r>
          </w:p>
        </w:tc>
        <w:tc>
          <w:tcPr>
            <w:tcW w:w="729" w:type="pct"/>
            <w:noWrap/>
            <w:hideMark/>
          </w:tcPr>
          <w:p w14:paraId="4A93BEF0"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355,872 </w:t>
            </w:r>
          </w:p>
        </w:tc>
        <w:tc>
          <w:tcPr>
            <w:tcW w:w="514" w:type="pct"/>
            <w:noWrap/>
            <w:hideMark/>
          </w:tcPr>
          <w:p w14:paraId="2110D096"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323,354 </w:t>
            </w:r>
          </w:p>
        </w:tc>
      </w:tr>
      <w:tr w:rsidR="001D178D" w:rsidRPr="0077415D" w14:paraId="5A4C9515" w14:textId="77777777" w:rsidTr="001D178D">
        <w:trPr>
          <w:trHeight w:val="300"/>
        </w:trPr>
        <w:tc>
          <w:tcPr>
            <w:tcW w:w="1595" w:type="pct"/>
            <w:noWrap/>
            <w:hideMark/>
          </w:tcPr>
          <w:p w14:paraId="405EF9C6"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Retained Earnings</w:t>
            </w:r>
          </w:p>
        </w:tc>
        <w:tc>
          <w:tcPr>
            <w:tcW w:w="721" w:type="pct"/>
            <w:noWrap/>
            <w:hideMark/>
          </w:tcPr>
          <w:p w14:paraId="16A0F54D"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324,990 </w:t>
            </w:r>
          </w:p>
        </w:tc>
        <w:tc>
          <w:tcPr>
            <w:tcW w:w="721" w:type="pct"/>
            <w:noWrap/>
            <w:hideMark/>
          </w:tcPr>
          <w:p w14:paraId="37EF52AE"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330,291 </w:t>
            </w:r>
          </w:p>
        </w:tc>
        <w:tc>
          <w:tcPr>
            <w:tcW w:w="721" w:type="pct"/>
            <w:noWrap/>
            <w:hideMark/>
          </w:tcPr>
          <w:p w14:paraId="7343B087"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330,698 </w:t>
            </w:r>
          </w:p>
        </w:tc>
        <w:tc>
          <w:tcPr>
            <w:tcW w:w="729" w:type="pct"/>
            <w:noWrap/>
            <w:hideMark/>
          </w:tcPr>
          <w:p w14:paraId="06D82AA6"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232,460 </w:t>
            </w:r>
          </w:p>
        </w:tc>
        <w:tc>
          <w:tcPr>
            <w:tcW w:w="514" w:type="pct"/>
            <w:noWrap/>
            <w:hideMark/>
          </w:tcPr>
          <w:p w14:paraId="2DE8E2AB"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208,431 </w:t>
            </w:r>
          </w:p>
        </w:tc>
      </w:tr>
      <w:tr w:rsidR="001D178D" w:rsidRPr="0077415D" w14:paraId="2E18ACB6" w14:textId="77777777" w:rsidTr="001D178D">
        <w:trPr>
          <w:trHeight w:val="300"/>
        </w:trPr>
        <w:tc>
          <w:tcPr>
            <w:tcW w:w="1595" w:type="pct"/>
            <w:noWrap/>
            <w:hideMark/>
          </w:tcPr>
          <w:p w14:paraId="47003419"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EBIT (Operating Income)</w:t>
            </w:r>
          </w:p>
        </w:tc>
        <w:tc>
          <w:tcPr>
            <w:tcW w:w="721" w:type="pct"/>
            <w:noWrap/>
            <w:hideMark/>
          </w:tcPr>
          <w:p w14:paraId="6DDB8B61"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37,267 </w:t>
            </w:r>
          </w:p>
        </w:tc>
        <w:tc>
          <w:tcPr>
            <w:tcW w:w="721" w:type="pct"/>
            <w:noWrap/>
            <w:hideMark/>
          </w:tcPr>
          <w:p w14:paraId="1A7F0273"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23,253 </w:t>
            </w:r>
          </w:p>
        </w:tc>
        <w:tc>
          <w:tcPr>
            <w:tcW w:w="721" w:type="pct"/>
            <w:noWrap/>
            <w:hideMark/>
          </w:tcPr>
          <w:p w14:paraId="158DB326"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14,548 </w:t>
            </w:r>
          </w:p>
        </w:tc>
        <w:tc>
          <w:tcPr>
            <w:tcW w:w="729" w:type="pct"/>
            <w:noWrap/>
            <w:hideMark/>
          </w:tcPr>
          <w:p w14:paraId="781E6336"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85,301 </w:t>
            </w:r>
          </w:p>
        </w:tc>
        <w:tc>
          <w:tcPr>
            <w:tcW w:w="514" w:type="pct"/>
            <w:noWrap/>
            <w:hideMark/>
          </w:tcPr>
          <w:p w14:paraId="40D1077A"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15,297 </w:t>
            </w:r>
          </w:p>
        </w:tc>
      </w:tr>
      <w:tr w:rsidR="001D178D" w:rsidRPr="0077415D" w14:paraId="2287FB3C" w14:textId="77777777" w:rsidTr="001D178D">
        <w:trPr>
          <w:trHeight w:val="300"/>
        </w:trPr>
        <w:tc>
          <w:tcPr>
            <w:tcW w:w="1595" w:type="pct"/>
            <w:noWrap/>
            <w:hideMark/>
          </w:tcPr>
          <w:p w14:paraId="03A69059"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Market Value Equity (proxy: Book Equity)</w:t>
            </w:r>
          </w:p>
        </w:tc>
        <w:tc>
          <w:tcPr>
            <w:tcW w:w="721" w:type="pct"/>
            <w:noWrap/>
            <w:hideMark/>
          </w:tcPr>
          <w:p w14:paraId="27FC4BB9"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313,301 </w:t>
            </w:r>
          </w:p>
        </w:tc>
        <w:tc>
          <w:tcPr>
            <w:tcW w:w="721" w:type="pct"/>
            <w:noWrap/>
            <w:hideMark/>
          </w:tcPr>
          <w:p w14:paraId="14F1C430"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275,949 </w:t>
            </w:r>
          </w:p>
        </w:tc>
        <w:tc>
          <w:tcPr>
            <w:tcW w:w="721" w:type="pct"/>
            <w:noWrap/>
            <w:hideMark/>
          </w:tcPr>
          <w:p w14:paraId="1A001FF6"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268,406 </w:t>
            </w:r>
          </w:p>
        </w:tc>
        <w:tc>
          <w:tcPr>
            <w:tcW w:w="729" w:type="pct"/>
            <w:noWrap/>
            <w:hideMark/>
          </w:tcPr>
          <w:p w14:paraId="11D6CE87"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178,920 </w:t>
            </w:r>
          </w:p>
        </w:tc>
        <w:tc>
          <w:tcPr>
            <w:tcW w:w="514" w:type="pct"/>
            <w:noWrap/>
            <w:hideMark/>
          </w:tcPr>
          <w:p w14:paraId="78BDC052"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153,105 </w:t>
            </w:r>
          </w:p>
        </w:tc>
      </w:tr>
      <w:tr w:rsidR="001D178D" w:rsidRPr="0077415D" w14:paraId="0D941FE8" w14:textId="77777777" w:rsidTr="001D178D">
        <w:trPr>
          <w:trHeight w:val="300"/>
        </w:trPr>
        <w:tc>
          <w:tcPr>
            <w:tcW w:w="1595" w:type="pct"/>
            <w:noWrap/>
            <w:hideMark/>
          </w:tcPr>
          <w:p w14:paraId="55BDE092"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Total Liabilities</w:t>
            </w:r>
          </w:p>
        </w:tc>
        <w:tc>
          <w:tcPr>
            <w:tcW w:w="721" w:type="pct"/>
            <w:noWrap/>
            <w:hideMark/>
          </w:tcPr>
          <w:p w14:paraId="705D2E95"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196,989 </w:t>
            </w:r>
          </w:p>
        </w:tc>
        <w:tc>
          <w:tcPr>
            <w:tcW w:w="721" w:type="pct"/>
            <w:noWrap/>
            <w:hideMark/>
          </w:tcPr>
          <w:p w14:paraId="41D0F966"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234,399 </w:t>
            </w:r>
          </w:p>
        </w:tc>
        <w:tc>
          <w:tcPr>
            <w:tcW w:w="721" w:type="pct"/>
            <w:noWrap/>
            <w:hideMark/>
          </w:tcPr>
          <w:p w14:paraId="08FC8DDB"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235,757 </w:t>
            </w:r>
          </w:p>
        </w:tc>
        <w:tc>
          <w:tcPr>
            <w:tcW w:w="729" w:type="pct"/>
            <w:noWrap/>
            <w:hideMark/>
          </w:tcPr>
          <w:p w14:paraId="5BDACF31"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176,952 </w:t>
            </w:r>
          </w:p>
        </w:tc>
        <w:tc>
          <w:tcPr>
            <w:tcW w:w="514" w:type="pct"/>
            <w:noWrap/>
            <w:hideMark/>
          </w:tcPr>
          <w:p w14:paraId="744B7353"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170,249 </w:t>
            </w:r>
          </w:p>
        </w:tc>
      </w:tr>
      <w:tr w:rsidR="001D178D" w:rsidRPr="0077415D" w14:paraId="24ACE040" w14:textId="77777777" w:rsidTr="001D178D">
        <w:trPr>
          <w:trHeight w:val="300"/>
        </w:trPr>
        <w:tc>
          <w:tcPr>
            <w:tcW w:w="1595" w:type="pct"/>
            <w:noWrap/>
            <w:hideMark/>
          </w:tcPr>
          <w:p w14:paraId="0698B85D"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Sales</w:t>
            </w:r>
          </w:p>
        </w:tc>
        <w:tc>
          <w:tcPr>
            <w:tcW w:w="721" w:type="pct"/>
            <w:noWrap/>
            <w:hideMark/>
          </w:tcPr>
          <w:p w14:paraId="2BE57A4A"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614,680 </w:t>
            </w:r>
          </w:p>
        </w:tc>
        <w:tc>
          <w:tcPr>
            <w:tcW w:w="721" w:type="pct"/>
            <w:noWrap/>
            <w:hideMark/>
          </w:tcPr>
          <w:p w14:paraId="1D912CB2"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601,602 </w:t>
            </w:r>
          </w:p>
        </w:tc>
        <w:tc>
          <w:tcPr>
            <w:tcW w:w="721" w:type="pct"/>
            <w:noWrap/>
            <w:hideMark/>
          </w:tcPr>
          <w:p w14:paraId="656C6AE6"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542,751 </w:t>
            </w:r>
          </w:p>
        </w:tc>
        <w:tc>
          <w:tcPr>
            <w:tcW w:w="729" w:type="pct"/>
            <w:noWrap/>
            <w:hideMark/>
          </w:tcPr>
          <w:p w14:paraId="0B4DE947"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420,457 </w:t>
            </w:r>
          </w:p>
        </w:tc>
        <w:tc>
          <w:tcPr>
            <w:tcW w:w="514" w:type="pct"/>
            <w:noWrap/>
            <w:hideMark/>
          </w:tcPr>
          <w:p w14:paraId="46FAF59A" w14:textId="77777777" w:rsidR="001D178D" w:rsidRPr="0077415D" w:rsidRDefault="001D178D" w:rsidP="001D178D">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394,879 </w:t>
            </w:r>
          </w:p>
        </w:tc>
      </w:tr>
      <w:tr w:rsidR="00770FE0" w:rsidRPr="0077415D" w14:paraId="6D6EBFCF" w14:textId="77777777" w:rsidTr="001D178D">
        <w:trPr>
          <w:trHeight w:val="300"/>
        </w:trPr>
        <w:tc>
          <w:tcPr>
            <w:tcW w:w="1595" w:type="pct"/>
            <w:noWrap/>
            <w:hideMark/>
          </w:tcPr>
          <w:p w14:paraId="1723BFC9" w14:textId="77777777" w:rsidR="001D178D" w:rsidRPr="0077415D" w:rsidRDefault="001D178D" w:rsidP="001D178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X1 = WC/TA</w:t>
            </w:r>
          </w:p>
        </w:tc>
        <w:tc>
          <w:tcPr>
            <w:tcW w:w="721" w:type="pct"/>
            <w:noWrap/>
            <w:hideMark/>
          </w:tcPr>
          <w:p w14:paraId="51812EE7"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0.289</w:t>
            </w:r>
          </w:p>
        </w:tc>
        <w:tc>
          <w:tcPr>
            <w:tcW w:w="721" w:type="pct"/>
            <w:noWrap/>
            <w:hideMark/>
          </w:tcPr>
          <w:p w14:paraId="63F12630"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0.236</w:t>
            </w:r>
          </w:p>
        </w:tc>
        <w:tc>
          <w:tcPr>
            <w:tcW w:w="721" w:type="pct"/>
            <w:noWrap/>
            <w:hideMark/>
          </w:tcPr>
          <w:p w14:paraId="3552EA36"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0.241</w:t>
            </w:r>
          </w:p>
        </w:tc>
        <w:tc>
          <w:tcPr>
            <w:tcW w:w="729" w:type="pct"/>
            <w:noWrap/>
            <w:hideMark/>
          </w:tcPr>
          <w:p w14:paraId="48EFED3D"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0.275</w:t>
            </w:r>
          </w:p>
        </w:tc>
        <w:tc>
          <w:tcPr>
            <w:tcW w:w="514" w:type="pct"/>
            <w:noWrap/>
            <w:hideMark/>
          </w:tcPr>
          <w:p w14:paraId="376D0BE9"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0.260</w:t>
            </w:r>
          </w:p>
        </w:tc>
      </w:tr>
      <w:tr w:rsidR="00770FE0" w:rsidRPr="0077415D" w14:paraId="06C563FF" w14:textId="77777777" w:rsidTr="001D178D">
        <w:trPr>
          <w:trHeight w:val="300"/>
        </w:trPr>
        <w:tc>
          <w:tcPr>
            <w:tcW w:w="1595" w:type="pct"/>
            <w:noWrap/>
            <w:hideMark/>
          </w:tcPr>
          <w:p w14:paraId="4CC1640E" w14:textId="77777777" w:rsidR="001D178D" w:rsidRPr="0077415D" w:rsidRDefault="001D178D" w:rsidP="001D178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X2 = RE/TA</w:t>
            </w:r>
          </w:p>
        </w:tc>
        <w:tc>
          <w:tcPr>
            <w:tcW w:w="721" w:type="pct"/>
            <w:noWrap/>
            <w:hideMark/>
          </w:tcPr>
          <w:p w14:paraId="322850AB"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0.637</w:t>
            </w:r>
          </w:p>
        </w:tc>
        <w:tc>
          <w:tcPr>
            <w:tcW w:w="721" w:type="pct"/>
            <w:noWrap/>
            <w:hideMark/>
          </w:tcPr>
          <w:p w14:paraId="4FAB72F5"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0.647</w:t>
            </w:r>
          </w:p>
        </w:tc>
        <w:tc>
          <w:tcPr>
            <w:tcW w:w="721" w:type="pct"/>
            <w:noWrap/>
            <w:hideMark/>
          </w:tcPr>
          <w:p w14:paraId="7F65FBBD"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0.656</w:t>
            </w:r>
          </w:p>
        </w:tc>
        <w:tc>
          <w:tcPr>
            <w:tcW w:w="729" w:type="pct"/>
            <w:noWrap/>
            <w:hideMark/>
          </w:tcPr>
          <w:p w14:paraId="06778098"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0.653</w:t>
            </w:r>
          </w:p>
        </w:tc>
        <w:tc>
          <w:tcPr>
            <w:tcW w:w="514" w:type="pct"/>
            <w:noWrap/>
            <w:hideMark/>
          </w:tcPr>
          <w:p w14:paraId="318CEF4E"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0.645</w:t>
            </w:r>
          </w:p>
        </w:tc>
      </w:tr>
      <w:tr w:rsidR="00770FE0" w:rsidRPr="0077415D" w14:paraId="4D407D4D" w14:textId="77777777" w:rsidTr="001D178D">
        <w:trPr>
          <w:trHeight w:val="300"/>
        </w:trPr>
        <w:tc>
          <w:tcPr>
            <w:tcW w:w="1595" w:type="pct"/>
            <w:noWrap/>
            <w:hideMark/>
          </w:tcPr>
          <w:p w14:paraId="5D99ED40" w14:textId="77777777" w:rsidR="001D178D" w:rsidRPr="0077415D" w:rsidRDefault="001D178D" w:rsidP="001D178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X3 = EBIT/TA</w:t>
            </w:r>
          </w:p>
        </w:tc>
        <w:tc>
          <w:tcPr>
            <w:tcW w:w="721" w:type="pct"/>
            <w:noWrap/>
            <w:hideMark/>
          </w:tcPr>
          <w:p w14:paraId="752F9241"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0.073</w:t>
            </w:r>
          </w:p>
        </w:tc>
        <w:tc>
          <w:tcPr>
            <w:tcW w:w="721" w:type="pct"/>
            <w:noWrap/>
            <w:hideMark/>
          </w:tcPr>
          <w:p w14:paraId="3D0AB7EE"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0.046</w:t>
            </w:r>
          </w:p>
        </w:tc>
        <w:tc>
          <w:tcPr>
            <w:tcW w:w="721" w:type="pct"/>
            <w:noWrap/>
            <w:hideMark/>
          </w:tcPr>
          <w:p w14:paraId="5F3F0A17"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0.029</w:t>
            </w:r>
          </w:p>
        </w:tc>
        <w:tc>
          <w:tcPr>
            <w:tcW w:w="729" w:type="pct"/>
            <w:noWrap/>
            <w:hideMark/>
          </w:tcPr>
          <w:p w14:paraId="1072EC06"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-0.240</w:t>
            </w:r>
          </w:p>
        </w:tc>
        <w:tc>
          <w:tcPr>
            <w:tcW w:w="514" w:type="pct"/>
            <w:noWrap/>
            <w:hideMark/>
          </w:tcPr>
          <w:p w14:paraId="23D56997"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-0.047</w:t>
            </w:r>
          </w:p>
        </w:tc>
      </w:tr>
      <w:tr w:rsidR="00770FE0" w:rsidRPr="0077415D" w14:paraId="676A294D" w14:textId="77777777" w:rsidTr="001D178D">
        <w:trPr>
          <w:trHeight w:val="300"/>
        </w:trPr>
        <w:tc>
          <w:tcPr>
            <w:tcW w:w="1595" w:type="pct"/>
            <w:noWrap/>
            <w:hideMark/>
          </w:tcPr>
          <w:p w14:paraId="3E13DCB2" w14:textId="77777777" w:rsidR="001D178D" w:rsidRPr="0077415D" w:rsidRDefault="001D178D" w:rsidP="001D178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X4 = MVE/TL</w:t>
            </w:r>
          </w:p>
        </w:tc>
        <w:tc>
          <w:tcPr>
            <w:tcW w:w="721" w:type="pct"/>
            <w:noWrap/>
            <w:hideMark/>
          </w:tcPr>
          <w:p w14:paraId="1B067DD2"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1.590</w:t>
            </w:r>
          </w:p>
        </w:tc>
        <w:tc>
          <w:tcPr>
            <w:tcW w:w="721" w:type="pct"/>
            <w:noWrap/>
            <w:hideMark/>
          </w:tcPr>
          <w:p w14:paraId="63159D01"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1.177</w:t>
            </w:r>
          </w:p>
        </w:tc>
        <w:tc>
          <w:tcPr>
            <w:tcW w:w="721" w:type="pct"/>
            <w:noWrap/>
            <w:hideMark/>
          </w:tcPr>
          <w:p w14:paraId="4F3526A6"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1.138</w:t>
            </w:r>
          </w:p>
        </w:tc>
        <w:tc>
          <w:tcPr>
            <w:tcW w:w="729" w:type="pct"/>
            <w:noWrap/>
            <w:hideMark/>
          </w:tcPr>
          <w:p w14:paraId="45188EBD"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1.011</w:t>
            </w:r>
          </w:p>
        </w:tc>
        <w:tc>
          <w:tcPr>
            <w:tcW w:w="514" w:type="pct"/>
            <w:noWrap/>
            <w:hideMark/>
          </w:tcPr>
          <w:p w14:paraId="5A28B9BB"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0.899</w:t>
            </w:r>
          </w:p>
        </w:tc>
      </w:tr>
      <w:tr w:rsidR="00770FE0" w:rsidRPr="0077415D" w14:paraId="0874E7F3" w14:textId="77777777" w:rsidTr="001D178D">
        <w:trPr>
          <w:trHeight w:val="300"/>
        </w:trPr>
        <w:tc>
          <w:tcPr>
            <w:tcW w:w="1595" w:type="pct"/>
            <w:noWrap/>
            <w:hideMark/>
          </w:tcPr>
          <w:p w14:paraId="6EBF5E2A" w14:textId="77777777" w:rsidR="001D178D" w:rsidRPr="0077415D" w:rsidRDefault="001D178D" w:rsidP="001D178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X5 = Sales/TA</w:t>
            </w:r>
          </w:p>
        </w:tc>
        <w:tc>
          <w:tcPr>
            <w:tcW w:w="721" w:type="pct"/>
            <w:noWrap/>
            <w:hideMark/>
          </w:tcPr>
          <w:p w14:paraId="3E8C6060"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1.205</w:t>
            </w:r>
          </w:p>
        </w:tc>
        <w:tc>
          <w:tcPr>
            <w:tcW w:w="721" w:type="pct"/>
            <w:noWrap/>
            <w:hideMark/>
          </w:tcPr>
          <w:p w14:paraId="2A5A2B1A"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1.179</w:t>
            </w:r>
          </w:p>
        </w:tc>
        <w:tc>
          <w:tcPr>
            <w:tcW w:w="721" w:type="pct"/>
            <w:noWrap/>
            <w:hideMark/>
          </w:tcPr>
          <w:p w14:paraId="60345152"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1.077</w:t>
            </w:r>
          </w:p>
        </w:tc>
        <w:tc>
          <w:tcPr>
            <w:tcW w:w="729" w:type="pct"/>
            <w:noWrap/>
            <w:hideMark/>
          </w:tcPr>
          <w:p w14:paraId="52209E90"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1.181</w:t>
            </w:r>
          </w:p>
        </w:tc>
        <w:tc>
          <w:tcPr>
            <w:tcW w:w="514" w:type="pct"/>
            <w:noWrap/>
            <w:hideMark/>
          </w:tcPr>
          <w:p w14:paraId="486FEA1B"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1.221</w:t>
            </w:r>
          </w:p>
        </w:tc>
      </w:tr>
      <w:tr w:rsidR="00770FE0" w:rsidRPr="0077415D" w14:paraId="344232B8" w14:textId="77777777" w:rsidTr="001D178D">
        <w:trPr>
          <w:trHeight w:val="300"/>
        </w:trPr>
        <w:tc>
          <w:tcPr>
            <w:tcW w:w="1595" w:type="pct"/>
            <w:noWrap/>
            <w:hideMark/>
          </w:tcPr>
          <w:p w14:paraId="07F31C77" w14:textId="77777777" w:rsidR="001D178D" w:rsidRPr="0077415D" w:rsidRDefault="001D178D" w:rsidP="001D178D">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Z-Score = 1.2X1+1.4X2+3.3X3+0.6X4+1.0X5</w:t>
            </w:r>
          </w:p>
        </w:tc>
        <w:tc>
          <w:tcPr>
            <w:tcW w:w="721" w:type="pct"/>
            <w:noWrap/>
            <w:hideMark/>
          </w:tcPr>
          <w:p w14:paraId="1497A3C7"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3.638</w:t>
            </w:r>
          </w:p>
        </w:tc>
        <w:tc>
          <w:tcPr>
            <w:tcW w:w="721" w:type="pct"/>
            <w:noWrap/>
            <w:hideMark/>
          </w:tcPr>
          <w:p w14:paraId="1872B2A8"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3.225</w:t>
            </w:r>
          </w:p>
        </w:tc>
        <w:tc>
          <w:tcPr>
            <w:tcW w:w="721" w:type="pct"/>
            <w:noWrap/>
            <w:hideMark/>
          </w:tcPr>
          <w:p w14:paraId="033C94B4"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3.063</w:t>
            </w:r>
          </w:p>
        </w:tc>
        <w:tc>
          <w:tcPr>
            <w:tcW w:w="729" w:type="pct"/>
            <w:noWrap/>
            <w:hideMark/>
          </w:tcPr>
          <w:p w14:paraId="46215D4F"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2.241</w:t>
            </w:r>
          </w:p>
        </w:tc>
        <w:tc>
          <w:tcPr>
            <w:tcW w:w="514" w:type="pct"/>
            <w:noWrap/>
            <w:hideMark/>
          </w:tcPr>
          <w:p w14:paraId="09058815" w14:textId="77777777" w:rsidR="001D178D" w:rsidRPr="0077415D" w:rsidRDefault="001D178D" w:rsidP="001D178D">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2.820</w:t>
            </w:r>
          </w:p>
        </w:tc>
      </w:tr>
    </w:tbl>
    <w:p w14:paraId="7B2597B1" w14:textId="77777777" w:rsidR="001D178D" w:rsidRPr="0077415D" w:rsidRDefault="001D178D" w:rsidP="001D178D">
      <w:pPr>
        <w:rPr>
          <w:rFonts w:ascii="Arial" w:hAnsi="Arial" w:cs="Arial"/>
          <w:color w:val="000000" w:themeColor="text1"/>
        </w:rPr>
      </w:pPr>
    </w:p>
    <w:p w14:paraId="3652B873" w14:textId="5E507A30" w:rsidR="006B5A74" w:rsidRPr="0077415D" w:rsidRDefault="005D32D8" w:rsidP="006B5A74">
      <w:pPr>
        <w:jc w:val="center"/>
        <w:rPr>
          <w:rFonts w:ascii="Arial" w:hAnsi="Arial" w:cs="Arial"/>
          <w:b/>
          <w:bCs/>
          <w:color w:val="000000" w:themeColor="text1"/>
        </w:rPr>
      </w:pPr>
      <w:r w:rsidRPr="0077415D">
        <w:rPr>
          <w:rFonts w:ascii="Arial" w:hAnsi="Arial" w:cs="Arial"/>
          <w:b/>
          <w:bCs/>
          <w:color w:val="000000" w:themeColor="text1"/>
        </w:rPr>
        <w:t xml:space="preserve">Table 2: </w:t>
      </w:r>
      <w:r w:rsidRPr="0077415D">
        <w:rPr>
          <w:rFonts w:ascii="Arial" w:hAnsi="Arial" w:cs="Arial"/>
          <w:b/>
          <w:bCs/>
        </w:rPr>
        <w:t>Altman Z-Score</w:t>
      </w:r>
    </w:p>
    <w:p w14:paraId="6979B07F" w14:textId="38ADE7B1" w:rsidR="005D32D8" w:rsidRPr="0077415D" w:rsidRDefault="005D32D8" w:rsidP="006B5A74">
      <w:pPr>
        <w:jc w:val="center"/>
        <w:rPr>
          <w:rFonts w:ascii="Arial" w:hAnsi="Arial" w:cs="Arial"/>
          <w:color w:val="000000" w:themeColor="text1"/>
        </w:rPr>
      </w:pPr>
      <w:r w:rsidRPr="0077415D">
        <w:rPr>
          <w:rFonts w:ascii="Arial" w:hAnsi="Arial" w:cs="Arial"/>
          <w:color w:val="000000" w:themeColor="text1"/>
        </w:rPr>
        <w:lastRenderedPageBreak/>
        <w:t xml:space="preserve">(Source: </w:t>
      </w:r>
      <w:r w:rsidR="007337D7" w:rsidRPr="0077415D">
        <w:rPr>
          <w:rFonts w:ascii="Arial" w:hAnsi="Arial" w:cs="Arial"/>
          <w:color w:val="000000" w:themeColor="text1"/>
        </w:rPr>
        <w:t>Generated by MS Excel</w:t>
      </w:r>
      <w:r w:rsidRPr="0077415D">
        <w:rPr>
          <w:rFonts w:ascii="Arial" w:hAnsi="Arial" w:cs="Arial"/>
          <w:color w:val="000000" w:themeColor="text1"/>
        </w:rPr>
        <w:t>)</w:t>
      </w:r>
    </w:p>
    <w:p w14:paraId="0028F831" w14:textId="7375A061" w:rsidR="007D3A57" w:rsidRPr="0077415D" w:rsidRDefault="007D3A57" w:rsidP="007D3A57">
      <w:pPr>
        <w:rPr>
          <w:rFonts w:ascii="Arial" w:hAnsi="Arial" w:cs="Arial"/>
          <w:color w:val="000000" w:themeColor="text1"/>
        </w:rPr>
      </w:pPr>
      <w:r w:rsidRPr="0077415D">
        <w:rPr>
          <w:rFonts w:ascii="Arial" w:hAnsi="Arial" w:cs="Arial"/>
          <w:color w:val="000000" w:themeColor="text1"/>
        </w:rPr>
        <w:t xml:space="preserve">The Altman Z-Score, in which book equity is the proxy of market value, falls to </w:t>
      </w:r>
      <w:r w:rsidR="00A46CC0" w:rsidRPr="0077415D">
        <w:rPr>
          <w:rFonts w:ascii="Arial" w:hAnsi="Arial" w:cs="Arial"/>
          <w:color w:val="000000" w:themeColor="text1"/>
        </w:rPr>
        <w:t xml:space="preserve">3.64 in 2020 to </w:t>
      </w:r>
      <w:r w:rsidRPr="0077415D">
        <w:rPr>
          <w:rFonts w:ascii="Arial" w:hAnsi="Arial" w:cs="Arial"/>
          <w:color w:val="000000" w:themeColor="text1"/>
        </w:rPr>
        <w:t>3.22 in 2021 and 3.06 in 2022, followed by a decline to 2.24 in 2023, and an increase to 2.82 in 2024. A score of 2.99 will be considered safe, 1.81</w:t>
      </w:r>
      <w:r w:rsidR="00644251" w:rsidRPr="0077415D">
        <w:rPr>
          <w:rFonts w:ascii="Arial" w:hAnsi="Arial" w:cs="Arial"/>
          <w:color w:val="000000" w:themeColor="text1"/>
        </w:rPr>
        <w:t>-2.</w:t>
      </w:r>
      <w:r w:rsidRPr="0077415D">
        <w:rPr>
          <w:rFonts w:ascii="Arial" w:hAnsi="Arial" w:cs="Arial"/>
          <w:color w:val="000000" w:themeColor="text1"/>
        </w:rPr>
        <w:t>99 grey, and a score below 1.81 distress. The firm has been in the safe zone until the year 2022, followed by entering into the grey zone in 2023 during the operating loss, and recovery in the grey band in 2024.</w:t>
      </w:r>
    </w:p>
    <w:p w14:paraId="3EC61A49" w14:textId="7706560D" w:rsidR="007D3A57" w:rsidRPr="0077415D" w:rsidRDefault="007D3A57" w:rsidP="007D3A57">
      <w:pPr>
        <w:rPr>
          <w:rFonts w:ascii="Arial" w:hAnsi="Arial" w:cs="Arial"/>
          <w:color w:val="000000" w:themeColor="text1"/>
        </w:rPr>
      </w:pPr>
      <w:r w:rsidRPr="0077415D">
        <w:rPr>
          <w:rFonts w:ascii="Arial" w:hAnsi="Arial" w:cs="Arial"/>
          <w:color w:val="000000" w:themeColor="text1"/>
        </w:rPr>
        <w:t xml:space="preserve">The movement is attributed to the factor decomposition. The level of X1 (working capital to assets) is quite steady, as it falls somewhat in 2021 and recovers in 2023 before </w:t>
      </w:r>
      <w:r w:rsidR="00B66F53" w:rsidRPr="0077415D">
        <w:rPr>
          <w:rFonts w:ascii="Arial" w:hAnsi="Arial" w:cs="Arial"/>
          <w:color w:val="000000" w:themeColor="text1"/>
        </w:rPr>
        <w:t xml:space="preserve">a </w:t>
      </w:r>
      <w:r w:rsidRPr="0077415D">
        <w:rPr>
          <w:rFonts w:ascii="Arial" w:hAnsi="Arial" w:cs="Arial"/>
          <w:color w:val="000000" w:themeColor="text1"/>
        </w:rPr>
        <w:t xml:space="preserve">slight decrease in 2024. X2 (retained earnings to assets) is high all the way, typically indicative of cumulative profitability and a conservative dividend policy and the gradual decline of 0.64-0.66 to 0.64 by 2024 indicates earnings pressure. X3 </w:t>
      </w:r>
      <w:r w:rsidR="00644251" w:rsidRPr="0077415D">
        <w:rPr>
          <w:rFonts w:ascii="Arial" w:hAnsi="Arial" w:cs="Arial"/>
          <w:color w:val="000000" w:themeColor="text1"/>
        </w:rPr>
        <w:t>(EBIT</w:t>
      </w:r>
      <w:r w:rsidRPr="0077415D">
        <w:rPr>
          <w:rFonts w:ascii="Arial" w:hAnsi="Arial" w:cs="Arial"/>
          <w:color w:val="000000" w:themeColor="text1"/>
        </w:rPr>
        <w:t xml:space="preserve"> to </w:t>
      </w:r>
      <w:r w:rsidR="00A46CC0" w:rsidRPr="0077415D">
        <w:rPr>
          <w:rFonts w:ascii="Arial" w:hAnsi="Arial" w:cs="Arial"/>
          <w:color w:val="000000" w:themeColor="text1"/>
        </w:rPr>
        <w:t>assets)</w:t>
      </w:r>
      <w:r w:rsidRPr="0077415D">
        <w:rPr>
          <w:rFonts w:ascii="Arial" w:hAnsi="Arial" w:cs="Arial"/>
          <w:color w:val="000000" w:themeColor="text1"/>
        </w:rPr>
        <w:t xml:space="preserve"> becomes negative in 2023 and is negative in 2024, effectively pulling the Z-Score. X4 (equity to liabilities) decreases by 1.59 in 2020 to 0.90 in 24 and represents a thinning cushion of equity as compared to creditors (Teece, 2022). X5 (sales to assets) is also good, and it is above the value of one during </w:t>
      </w:r>
      <w:r w:rsidR="00B66F53" w:rsidRPr="0077415D">
        <w:rPr>
          <w:rFonts w:ascii="Arial" w:hAnsi="Arial" w:cs="Arial"/>
          <w:color w:val="000000" w:themeColor="text1"/>
        </w:rPr>
        <w:t>an</w:t>
      </w:r>
      <w:r w:rsidRPr="0077415D">
        <w:rPr>
          <w:rFonts w:ascii="Arial" w:hAnsi="Arial" w:cs="Arial"/>
          <w:color w:val="000000" w:themeColor="text1"/>
        </w:rPr>
        <w:t xml:space="preserve"> </w:t>
      </w:r>
      <w:r w:rsidR="00B66F53" w:rsidRPr="0077415D">
        <w:rPr>
          <w:rFonts w:ascii="Arial" w:hAnsi="Arial" w:cs="Arial"/>
          <w:color w:val="000000" w:themeColor="text1"/>
        </w:rPr>
        <w:t>increase</w:t>
      </w:r>
      <w:r w:rsidRPr="0077415D">
        <w:rPr>
          <w:rFonts w:ascii="Arial" w:hAnsi="Arial" w:cs="Arial"/>
          <w:color w:val="000000" w:themeColor="text1"/>
        </w:rPr>
        <w:t xml:space="preserve"> in 2024, which is a sign of good </w:t>
      </w:r>
      <w:proofErr w:type="spellStart"/>
      <w:r w:rsidRPr="0077415D">
        <w:rPr>
          <w:rFonts w:ascii="Arial" w:hAnsi="Arial" w:cs="Arial"/>
          <w:color w:val="000000" w:themeColor="text1"/>
        </w:rPr>
        <w:t>utilisation</w:t>
      </w:r>
      <w:proofErr w:type="spellEnd"/>
      <w:r w:rsidRPr="0077415D">
        <w:rPr>
          <w:rFonts w:ascii="Arial" w:hAnsi="Arial" w:cs="Arial"/>
          <w:color w:val="000000" w:themeColor="text1"/>
        </w:rPr>
        <w:t xml:space="preserve"> in the use of assets despite the weakening of the margins. </w:t>
      </w:r>
    </w:p>
    <w:p w14:paraId="0C0A327F" w14:textId="77777777" w:rsidR="00644251" w:rsidRPr="0077415D" w:rsidRDefault="00644251" w:rsidP="00644251">
      <w:pPr>
        <w:pStyle w:val="Heading2"/>
        <w:rPr>
          <w:rFonts w:ascii="Arial" w:hAnsi="Arial" w:cs="Arial"/>
          <w:color w:val="000000" w:themeColor="text1"/>
        </w:rPr>
      </w:pPr>
      <w:bookmarkStart w:id="4" w:name="_Toc214845219"/>
      <w:r w:rsidRPr="0077415D">
        <w:rPr>
          <w:rFonts w:ascii="Arial" w:hAnsi="Arial" w:cs="Arial"/>
          <w:color w:val="000000" w:themeColor="text1"/>
        </w:rPr>
        <w:t>1.3 Strengths and threats: an integrated view</w:t>
      </w:r>
      <w:bookmarkEnd w:id="4"/>
    </w:p>
    <w:p w14:paraId="6B691620" w14:textId="414E2295" w:rsidR="007D3A57" w:rsidRPr="0077415D" w:rsidRDefault="00644251" w:rsidP="00644251">
      <w:pPr>
        <w:rPr>
          <w:rFonts w:ascii="Arial" w:hAnsi="Arial" w:cs="Arial"/>
          <w:color w:val="000000" w:themeColor="text1"/>
        </w:rPr>
      </w:pPr>
      <w:r w:rsidRPr="0077415D">
        <w:rPr>
          <w:rFonts w:ascii="Arial" w:hAnsi="Arial" w:cs="Arial"/>
          <w:b/>
          <w:bCs/>
          <w:color w:val="000000" w:themeColor="text1"/>
        </w:rPr>
        <w:t xml:space="preserve">Strengths and threats: </w:t>
      </w:r>
      <w:r w:rsidRPr="0077415D">
        <w:rPr>
          <w:rFonts w:ascii="Arial" w:hAnsi="Arial" w:cs="Arial"/>
          <w:color w:val="000000" w:themeColor="text1"/>
        </w:rPr>
        <w:t>Under</w:t>
      </w:r>
      <w:r w:rsidR="007D3A57" w:rsidRPr="0077415D">
        <w:rPr>
          <w:rFonts w:ascii="Arial" w:hAnsi="Arial" w:cs="Arial"/>
          <w:color w:val="000000" w:themeColor="text1"/>
        </w:rPr>
        <w:t xml:space="preserve"> normal conditions, the firm will maintain competitive gross margins, and the full recovery will be seen by 2024. The </w:t>
      </w:r>
      <w:proofErr w:type="spellStart"/>
      <w:r w:rsidR="007D3A57" w:rsidRPr="0077415D">
        <w:rPr>
          <w:rFonts w:ascii="Arial" w:hAnsi="Arial" w:cs="Arial"/>
          <w:color w:val="000000" w:themeColor="text1"/>
        </w:rPr>
        <w:t>utilisation</w:t>
      </w:r>
      <w:proofErr w:type="spellEnd"/>
      <w:r w:rsidR="007D3A57" w:rsidRPr="0077415D">
        <w:rPr>
          <w:rFonts w:ascii="Arial" w:hAnsi="Arial" w:cs="Arial"/>
          <w:color w:val="000000" w:themeColor="text1"/>
        </w:rPr>
        <w:t xml:space="preserve"> of assets seems good </w:t>
      </w:r>
      <w:r w:rsidRPr="0077415D">
        <w:rPr>
          <w:rFonts w:ascii="Arial" w:hAnsi="Arial" w:cs="Arial"/>
          <w:color w:val="000000" w:themeColor="text1"/>
        </w:rPr>
        <w:t>based on</w:t>
      </w:r>
      <w:r w:rsidR="007D3A57" w:rsidRPr="0077415D">
        <w:rPr>
          <w:rFonts w:ascii="Arial" w:hAnsi="Arial" w:cs="Arial"/>
          <w:color w:val="000000" w:themeColor="text1"/>
        </w:rPr>
        <w:t xml:space="preserve"> </w:t>
      </w:r>
      <w:r w:rsidRPr="0077415D">
        <w:rPr>
          <w:rFonts w:ascii="Arial" w:hAnsi="Arial" w:cs="Arial"/>
          <w:color w:val="000000" w:themeColor="text1"/>
        </w:rPr>
        <w:t>sales</w:t>
      </w:r>
      <w:r w:rsidR="007D3A57" w:rsidRPr="0077415D">
        <w:rPr>
          <w:rFonts w:ascii="Arial" w:hAnsi="Arial" w:cs="Arial"/>
          <w:color w:val="000000" w:themeColor="text1"/>
        </w:rPr>
        <w:t xml:space="preserve"> to assets. The liquidity is satisfactory since current and quick ratios are within the range of one or more. The retained earnings are large as compared to </w:t>
      </w:r>
      <w:r w:rsidRPr="0077415D">
        <w:rPr>
          <w:rFonts w:ascii="Arial" w:hAnsi="Arial" w:cs="Arial"/>
          <w:color w:val="000000" w:themeColor="text1"/>
        </w:rPr>
        <w:t>assets and</w:t>
      </w:r>
      <w:r w:rsidR="007D3A57" w:rsidRPr="0077415D">
        <w:rPr>
          <w:rFonts w:ascii="Arial" w:hAnsi="Arial" w:cs="Arial"/>
          <w:color w:val="000000" w:themeColor="text1"/>
        </w:rPr>
        <w:t xml:space="preserve"> provide repair ability in case additional losses are enclosed. Key threats persist. 2023 and 2024 Operating expenses and exceptional items annulled earnings. The cash resources were diluted, and it became exposed to slippage in collections and inventory (Panchal et al., 2025). </w:t>
      </w:r>
    </w:p>
    <w:p w14:paraId="4D7755AE" w14:textId="7CA05102" w:rsidR="00A26162" w:rsidRPr="0077415D" w:rsidRDefault="00644251" w:rsidP="007D3A57">
      <w:pPr>
        <w:rPr>
          <w:rFonts w:ascii="Arial" w:hAnsi="Arial" w:cs="Arial"/>
          <w:color w:val="000000" w:themeColor="text1"/>
        </w:rPr>
      </w:pPr>
      <w:r w:rsidRPr="0077415D">
        <w:rPr>
          <w:rFonts w:ascii="Arial" w:hAnsi="Arial" w:cs="Arial"/>
          <w:b/>
          <w:bCs/>
          <w:color w:val="000000" w:themeColor="text1"/>
        </w:rPr>
        <w:t>Data quality and priorities:</w:t>
      </w:r>
      <w:r w:rsidRPr="0077415D">
        <w:rPr>
          <w:rFonts w:ascii="Arial" w:hAnsi="Arial" w:cs="Arial"/>
          <w:color w:val="000000" w:themeColor="text1"/>
        </w:rPr>
        <w:t xml:space="preserve"> </w:t>
      </w:r>
      <w:r w:rsidR="007D3A57" w:rsidRPr="0077415D">
        <w:rPr>
          <w:rFonts w:ascii="Arial" w:hAnsi="Arial" w:cs="Arial"/>
          <w:color w:val="000000" w:themeColor="text1"/>
        </w:rPr>
        <w:t xml:space="preserve">Implausible absolute values in efficiency metrics are probably due to formula errors or unit errors; before establishing targets, reconciliation of formulas should be done. The urgent needs are to close the gap in gross-operating </w:t>
      </w:r>
      <w:r w:rsidR="007D3A57" w:rsidRPr="0077415D">
        <w:rPr>
          <w:rFonts w:ascii="Arial" w:hAnsi="Arial" w:cs="Arial"/>
          <w:color w:val="000000" w:themeColor="text1"/>
        </w:rPr>
        <w:lastRenderedPageBreak/>
        <w:t>margin, remake cash by working-capital discipline, prevent additional structural borrowing and renew the quality of earnings by reporting</w:t>
      </w:r>
      <w:r w:rsidR="00A26162" w:rsidRPr="0077415D">
        <w:rPr>
          <w:rFonts w:ascii="Arial" w:hAnsi="Arial" w:cs="Arial"/>
          <w:color w:val="000000" w:themeColor="text1"/>
        </w:rPr>
        <w:t>.</w:t>
      </w:r>
    </w:p>
    <w:p w14:paraId="2082E2FC" w14:textId="77777777" w:rsidR="00681D99" w:rsidRPr="0077415D" w:rsidRDefault="00681D99" w:rsidP="00B543BE">
      <w:pPr>
        <w:pStyle w:val="Heading1"/>
        <w:rPr>
          <w:color w:val="000000" w:themeColor="text1"/>
        </w:rPr>
      </w:pPr>
      <w:bookmarkStart w:id="5" w:name="_Toc214845220"/>
      <w:r w:rsidRPr="0077415D">
        <w:rPr>
          <w:color w:val="000000" w:themeColor="text1"/>
        </w:rPr>
        <w:t>2. Working Capital Management Analysis</w:t>
      </w:r>
      <w:bookmarkEnd w:id="5"/>
    </w:p>
    <w:p w14:paraId="584A8FF9" w14:textId="77777777" w:rsidR="00681D99" w:rsidRPr="0077415D" w:rsidRDefault="00681D99" w:rsidP="00681D99">
      <w:pPr>
        <w:pStyle w:val="Heading2"/>
        <w:rPr>
          <w:rFonts w:ascii="Arial" w:hAnsi="Arial" w:cs="Arial"/>
          <w:color w:val="000000" w:themeColor="text1"/>
        </w:rPr>
      </w:pPr>
      <w:bookmarkStart w:id="6" w:name="_Toc214845221"/>
      <w:r w:rsidRPr="0077415D">
        <w:rPr>
          <w:rFonts w:ascii="Arial" w:hAnsi="Arial" w:cs="Arial"/>
          <w:color w:val="000000" w:themeColor="text1"/>
        </w:rPr>
        <w:t>2.1 Assess the Cash Operating Cycle</w:t>
      </w:r>
      <w:bookmarkEnd w:id="6"/>
    </w:p>
    <w:tbl>
      <w:tblPr>
        <w:tblStyle w:val="TableGrid"/>
        <w:tblW w:w="5000" w:type="pct"/>
        <w:tblLook w:val="04A0" w:firstRow="1" w:lastRow="0" w:firstColumn="1" w:lastColumn="0" w:noHBand="0" w:noVBand="1"/>
      </w:tblPr>
      <w:tblGrid>
        <w:gridCol w:w="2719"/>
        <w:gridCol w:w="1327"/>
        <w:gridCol w:w="1326"/>
        <w:gridCol w:w="1326"/>
        <w:gridCol w:w="1326"/>
        <w:gridCol w:w="1326"/>
      </w:tblGrid>
      <w:tr w:rsidR="004026EC" w:rsidRPr="0077415D" w14:paraId="16EC563B" w14:textId="77777777" w:rsidTr="004026EC">
        <w:trPr>
          <w:trHeight w:val="300"/>
        </w:trPr>
        <w:tc>
          <w:tcPr>
            <w:tcW w:w="1645" w:type="pct"/>
            <w:noWrap/>
            <w:hideMark/>
          </w:tcPr>
          <w:p w14:paraId="749DEED0" w14:textId="77777777" w:rsidR="004026EC" w:rsidRPr="0077415D" w:rsidRDefault="004026EC" w:rsidP="004026EC">
            <w:pPr>
              <w:spacing w:line="240" w:lineRule="auto"/>
              <w:jc w:val="left"/>
              <w:rPr>
                <w:rFonts w:ascii="Arial" w:eastAsia="Times New Roman" w:hAnsi="Arial" w:cs="Arial"/>
                <w:b/>
                <w:bCs/>
                <w:kern w:val="0"/>
                <w:sz w:val="22"/>
                <w:szCs w:val="22"/>
                <w14:ligatures w14:val="none"/>
              </w:rPr>
            </w:pPr>
            <w:r w:rsidRPr="0077415D">
              <w:rPr>
                <w:rFonts w:ascii="Arial" w:eastAsia="Times New Roman" w:hAnsi="Arial" w:cs="Arial"/>
                <w:b/>
                <w:bCs/>
                <w:kern w:val="0"/>
                <w:sz w:val="22"/>
                <w:szCs w:val="22"/>
                <w14:ligatures w14:val="none"/>
              </w:rPr>
              <w:t>Working Capital &amp; Cash Conversion Cycle (CCC)</w:t>
            </w:r>
          </w:p>
        </w:tc>
        <w:tc>
          <w:tcPr>
            <w:tcW w:w="671" w:type="pct"/>
            <w:noWrap/>
            <w:hideMark/>
          </w:tcPr>
          <w:p w14:paraId="69DFA789" w14:textId="77777777" w:rsidR="004026EC" w:rsidRPr="0077415D" w:rsidRDefault="004026EC" w:rsidP="004026EC">
            <w:pPr>
              <w:spacing w:line="240" w:lineRule="auto"/>
              <w:jc w:val="left"/>
              <w:rPr>
                <w:rFonts w:ascii="Arial" w:eastAsia="Times New Roman" w:hAnsi="Arial" w:cs="Arial"/>
                <w:b/>
                <w:bCs/>
                <w:kern w:val="0"/>
                <w:sz w:val="22"/>
                <w:szCs w:val="22"/>
                <w14:ligatures w14:val="none"/>
              </w:rPr>
            </w:pPr>
          </w:p>
        </w:tc>
        <w:tc>
          <w:tcPr>
            <w:tcW w:w="671" w:type="pct"/>
            <w:noWrap/>
            <w:hideMark/>
          </w:tcPr>
          <w:p w14:paraId="442B0F75" w14:textId="77777777" w:rsidR="004026EC" w:rsidRPr="0077415D" w:rsidRDefault="004026EC" w:rsidP="004026EC">
            <w:pPr>
              <w:spacing w:line="240" w:lineRule="auto"/>
              <w:jc w:val="left"/>
              <w:rPr>
                <w:rFonts w:ascii="Arial" w:eastAsia="Times New Roman" w:hAnsi="Arial" w:cs="Arial"/>
                <w:kern w:val="0"/>
                <w:sz w:val="20"/>
                <w:szCs w:val="20"/>
                <w14:ligatures w14:val="none"/>
              </w:rPr>
            </w:pPr>
          </w:p>
        </w:tc>
        <w:tc>
          <w:tcPr>
            <w:tcW w:w="671" w:type="pct"/>
            <w:noWrap/>
            <w:hideMark/>
          </w:tcPr>
          <w:p w14:paraId="42FCC96E" w14:textId="77777777" w:rsidR="004026EC" w:rsidRPr="0077415D" w:rsidRDefault="004026EC" w:rsidP="004026EC">
            <w:pPr>
              <w:spacing w:line="240" w:lineRule="auto"/>
              <w:jc w:val="left"/>
              <w:rPr>
                <w:rFonts w:ascii="Arial" w:eastAsia="Times New Roman" w:hAnsi="Arial" w:cs="Arial"/>
                <w:kern w:val="0"/>
                <w:sz w:val="20"/>
                <w:szCs w:val="20"/>
                <w14:ligatures w14:val="none"/>
              </w:rPr>
            </w:pPr>
          </w:p>
        </w:tc>
        <w:tc>
          <w:tcPr>
            <w:tcW w:w="671" w:type="pct"/>
            <w:noWrap/>
            <w:hideMark/>
          </w:tcPr>
          <w:p w14:paraId="76C85733" w14:textId="77777777" w:rsidR="004026EC" w:rsidRPr="0077415D" w:rsidRDefault="004026EC" w:rsidP="004026EC">
            <w:pPr>
              <w:spacing w:line="240" w:lineRule="auto"/>
              <w:jc w:val="left"/>
              <w:rPr>
                <w:rFonts w:ascii="Arial" w:eastAsia="Times New Roman" w:hAnsi="Arial" w:cs="Arial"/>
                <w:kern w:val="0"/>
                <w:sz w:val="20"/>
                <w:szCs w:val="20"/>
                <w14:ligatures w14:val="none"/>
              </w:rPr>
            </w:pPr>
          </w:p>
        </w:tc>
        <w:tc>
          <w:tcPr>
            <w:tcW w:w="671" w:type="pct"/>
            <w:noWrap/>
            <w:hideMark/>
          </w:tcPr>
          <w:p w14:paraId="7EC64259" w14:textId="77777777" w:rsidR="004026EC" w:rsidRPr="0077415D" w:rsidRDefault="004026EC" w:rsidP="004026EC">
            <w:pPr>
              <w:spacing w:line="240" w:lineRule="auto"/>
              <w:jc w:val="left"/>
              <w:rPr>
                <w:rFonts w:ascii="Arial" w:eastAsia="Times New Roman" w:hAnsi="Arial" w:cs="Arial"/>
                <w:kern w:val="0"/>
                <w:sz w:val="20"/>
                <w:szCs w:val="20"/>
                <w14:ligatures w14:val="none"/>
              </w:rPr>
            </w:pPr>
          </w:p>
        </w:tc>
      </w:tr>
      <w:tr w:rsidR="004026EC" w:rsidRPr="0077415D" w14:paraId="4CF63D00" w14:textId="77777777" w:rsidTr="004026EC">
        <w:trPr>
          <w:trHeight w:val="300"/>
        </w:trPr>
        <w:tc>
          <w:tcPr>
            <w:tcW w:w="5000" w:type="pct"/>
            <w:gridSpan w:val="6"/>
            <w:noWrap/>
            <w:hideMark/>
          </w:tcPr>
          <w:p w14:paraId="03B4DFB1" w14:textId="6B6D32C8"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Formulas reference </w:t>
            </w:r>
            <w:r w:rsidR="0077415D" w:rsidRPr="0077415D">
              <w:rPr>
                <w:rFonts w:ascii="Arial" w:eastAsia="Times New Roman" w:hAnsi="Arial" w:cs="Arial"/>
                <w:kern w:val="0"/>
                <w:sz w:val="22"/>
                <w:szCs w:val="22"/>
                <w14:ligatures w14:val="none"/>
              </w:rPr>
              <w:t xml:space="preserve">the </w:t>
            </w:r>
            <w:proofErr w:type="spellStart"/>
            <w:r w:rsidRPr="0077415D">
              <w:rPr>
                <w:rFonts w:ascii="Arial" w:eastAsia="Times New Roman" w:hAnsi="Arial" w:cs="Arial"/>
                <w:kern w:val="0"/>
                <w:sz w:val="22"/>
                <w:szCs w:val="22"/>
                <w14:ligatures w14:val="none"/>
              </w:rPr>
              <w:t>Raw_Financials</w:t>
            </w:r>
            <w:proofErr w:type="spellEnd"/>
            <w:r w:rsidRPr="0077415D">
              <w:rPr>
                <w:rFonts w:ascii="Arial" w:eastAsia="Times New Roman" w:hAnsi="Arial" w:cs="Arial"/>
                <w:kern w:val="0"/>
                <w:sz w:val="22"/>
                <w:szCs w:val="22"/>
                <w14:ligatures w14:val="none"/>
              </w:rPr>
              <w:t xml:space="preserve"> sheet. DSO = 365 / (Net Sales / AR). DIO = 365 / (Cost of Sales / Inventories). DPO = 365 / (Cost of Sales / AP).</w:t>
            </w:r>
          </w:p>
        </w:tc>
      </w:tr>
      <w:tr w:rsidR="004026EC" w:rsidRPr="0077415D" w14:paraId="4A939980" w14:textId="77777777" w:rsidTr="004026EC">
        <w:trPr>
          <w:trHeight w:val="300"/>
        </w:trPr>
        <w:tc>
          <w:tcPr>
            <w:tcW w:w="1645" w:type="pct"/>
            <w:noWrap/>
            <w:hideMark/>
          </w:tcPr>
          <w:p w14:paraId="1D8F0F94"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p>
        </w:tc>
        <w:tc>
          <w:tcPr>
            <w:tcW w:w="671" w:type="pct"/>
            <w:noWrap/>
            <w:hideMark/>
          </w:tcPr>
          <w:p w14:paraId="14556DCB" w14:textId="77777777" w:rsidR="004026EC" w:rsidRPr="0077415D" w:rsidRDefault="004026EC" w:rsidP="004026EC">
            <w:pPr>
              <w:spacing w:line="240" w:lineRule="auto"/>
              <w:jc w:val="righ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2020</w:t>
            </w:r>
          </w:p>
        </w:tc>
        <w:tc>
          <w:tcPr>
            <w:tcW w:w="671" w:type="pct"/>
            <w:noWrap/>
            <w:hideMark/>
          </w:tcPr>
          <w:p w14:paraId="2C61D419" w14:textId="77777777" w:rsidR="004026EC" w:rsidRPr="0077415D" w:rsidRDefault="004026EC" w:rsidP="004026EC">
            <w:pPr>
              <w:spacing w:line="240" w:lineRule="auto"/>
              <w:jc w:val="righ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2021</w:t>
            </w:r>
          </w:p>
        </w:tc>
        <w:tc>
          <w:tcPr>
            <w:tcW w:w="671" w:type="pct"/>
            <w:noWrap/>
            <w:hideMark/>
          </w:tcPr>
          <w:p w14:paraId="40128445" w14:textId="77777777" w:rsidR="004026EC" w:rsidRPr="0077415D" w:rsidRDefault="004026EC" w:rsidP="004026EC">
            <w:pPr>
              <w:spacing w:line="240" w:lineRule="auto"/>
              <w:jc w:val="righ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2022</w:t>
            </w:r>
          </w:p>
        </w:tc>
        <w:tc>
          <w:tcPr>
            <w:tcW w:w="671" w:type="pct"/>
            <w:noWrap/>
            <w:hideMark/>
          </w:tcPr>
          <w:p w14:paraId="216925F5" w14:textId="77777777" w:rsidR="004026EC" w:rsidRPr="0077415D" w:rsidRDefault="004026EC" w:rsidP="004026EC">
            <w:pPr>
              <w:spacing w:line="240" w:lineRule="auto"/>
              <w:jc w:val="righ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2023</w:t>
            </w:r>
          </w:p>
        </w:tc>
        <w:tc>
          <w:tcPr>
            <w:tcW w:w="671" w:type="pct"/>
            <w:noWrap/>
            <w:hideMark/>
          </w:tcPr>
          <w:p w14:paraId="59E1E824" w14:textId="77777777" w:rsidR="004026EC" w:rsidRPr="0077415D" w:rsidRDefault="004026EC" w:rsidP="004026EC">
            <w:pPr>
              <w:spacing w:line="240" w:lineRule="auto"/>
              <w:jc w:val="righ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2024</w:t>
            </w:r>
          </w:p>
        </w:tc>
      </w:tr>
      <w:tr w:rsidR="004026EC" w:rsidRPr="0077415D" w14:paraId="3CA2B281" w14:textId="77777777" w:rsidTr="004026EC">
        <w:trPr>
          <w:trHeight w:val="300"/>
        </w:trPr>
        <w:tc>
          <w:tcPr>
            <w:tcW w:w="1645" w:type="pct"/>
            <w:noWrap/>
            <w:hideMark/>
          </w:tcPr>
          <w:p w14:paraId="1B7496F9"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Current Assets</w:t>
            </w:r>
          </w:p>
        </w:tc>
        <w:tc>
          <w:tcPr>
            <w:tcW w:w="671" w:type="pct"/>
            <w:noWrap/>
            <w:hideMark/>
          </w:tcPr>
          <w:p w14:paraId="62D08F45"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326,843 </w:t>
            </w:r>
          </w:p>
        </w:tc>
        <w:tc>
          <w:tcPr>
            <w:tcW w:w="671" w:type="pct"/>
            <w:noWrap/>
            <w:hideMark/>
          </w:tcPr>
          <w:p w14:paraId="76152879"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337,146 </w:t>
            </w:r>
          </w:p>
        </w:tc>
        <w:tc>
          <w:tcPr>
            <w:tcW w:w="671" w:type="pct"/>
            <w:noWrap/>
            <w:hideMark/>
          </w:tcPr>
          <w:p w14:paraId="24BEA511"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338,040 </w:t>
            </w:r>
          </w:p>
        </w:tc>
        <w:tc>
          <w:tcPr>
            <w:tcW w:w="671" w:type="pct"/>
            <w:noWrap/>
            <w:hideMark/>
          </w:tcPr>
          <w:p w14:paraId="40CF4170"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258,851 </w:t>
            </w:r>
          </w:p>
        </w:tc>
        <w:tc>
          <w:tcPr>
            <w:tcW w:w="671" w:type="pct"/>
            <w:noWrap/>
            <w:hideMark/>
          </w:tcPr>
          <w:p w14:paraId="6A0E2B5E"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242,494 </w:t>
            </w:r>
          </w:p>
        </w:tc>
      </w:tr>
      <w:tr w:rsidR="004026EC" w:rsidRPr="0077415D" w14:paraId="7BEC28B5" w14:textId="77777777" w:rsidTr="004026EC">
        <w:trPr>
          <w:trHeight w:val="300"/>
        </w:trPr>
        <w:tc>
          <w:tcPr>
            <w:tcW w:w="1645" w:type="pct"/>
            <w:noWrap/>
            <w:hideMark/>
          </w:tcPr>
          <w:p w14:paraId="48A6D448"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Current Liabilities</w:t>
            </w:r>
          </w:p>
        </w:tc>
        <w:tc>
          <w:tcPr>
            <w:tcW w:w="671" w:type="pct"/>
            <w:noWrap/>
            <w:hideMark/>
          </w:tcPr>
          <w:p w14:paraId="432AAAB1"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179,510 </w:t>
            </w:r>
          </w:p>
        </w:tc>
        <w:tc>
          <w:tcPr>
            <w:tcW w:w="671" w:type="pct"/>
            <w:noWrap/>
            <w:hideMark/>
          </w:tcPr>
          <w:p w14:paraId="56E32EA7"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216,787 </w:t>
            </w:r>
          </w:p>
        </w:tc>
        <w:tc>
          <w:tcPr>
            <w:tcW w:w="671" w:type="pct"/>
            <w:noWrap/>
            <w:hideMark/>
          </w:tcPr>
          <w:p w14:paraId="64819B27"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216,473 </w:t>
            </w:r>
          </w:p>
        </w:tc>
        <w:tc>
          <w:tcPr>
            <w:tcW w:w="671" w:type="pct"/>
            <w:noWrap/>
            <w:hideMark/>
          </w:tcPr>
          <w:p w14:paraId="5B2A02E1"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161,148 </w:t>
            </w:r>
          </w:p>
        </w:tc>
        <w:tc>
          <w:tcPr>
            <w:tcW w:w="671" w:type="pct"/>
            <w:noWrap/>
            <w:hideMark/>
          </w:tcPr>
          <w:p w14:paraId="75BD582A"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158,291 </w:t>
            </w:r>
          </w:p>
        </w:tc>
      </w:tr>
      <w:tr w:rsidR="004026EC" w:rsidRPr="0077415D" w14:paraId="266F5E2A" w14:textId="77777777" w:rsidTr="004026EC">
        <w:trPr>
          <w:trHeight w:val="300"/>
        </w:trPr>
        <w:tc>
          <w:tcPr>
            <w:tcW w:w="1645" w:type="pct"/>
            <w:noWrap/>
            <w:hideMark/>
          </w:tcPr>
          <w:p w14:paraId="2DE2A5DC"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Working Capital</w:t>
            </w:r>
          </w:p>
        </w:tc>
        <w:tc>
          <w:tcPr>
            <w:tcW w:w="671" w:type="pct"/>
            <w:noWrap/>
            <w:hideMark/>
          </w:tcPr>
          <w:p w14:paraId="6B01B75F"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147,333 </w:t>
            </w:r>
          </w:p>
        </w:tc>
        <w:tc>
          <w:tcPr>
            <w:tcW w:w="671" w:type="pct"/>
            <w:noWrap/>
            <w:hideMark/>
          </w:tcPr>
          <w:p w14:paraId="3BE4982B"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120,359 </w:t>
            </w:r>
          </w:p>
        </w:tc>
        <w:tc>
          <w:tcPr>
            <w:tcW w:w="671" w:type="pct"/>
            <w:noWrap/>
            <w:hideMark/>
          </w:tcPr>
          <w:p w14:paraId="4BAE8FBF"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121,567 </w:t>
            </w:r>
          </w:p>
        </w:tc>
        <w:tc>
          <w:tcPr>
            <w:tcW w:w="671" w:type="pct"/>
            <w:noWrap/>
            <w:hideMark/>
          </w:tcPr>
          <w:p w14:paraId="02CD8255"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97,703 </w:t>
            </w:r>
          </w:p>
        </w:tc>
        <w:tc>
          <w:tcPr>
            <w:tcW w:w="671" w:type="pct"/>
            <w:noWrap/>
            <w:hideMark/>
          </w:tcPr>
          <w:p w14:paraId="210DB898"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84,203 </w:t>
            </w:r>
          </w:p>
        </w:tc>
      </w:tr>
      <w:tr w:rsidR="004026EC" w:rsidRPr="0077415D" w14:paraId="2CD7ACA9" w14:textId="77777777" w:rsidTr="004026EC">
        <w:trPr>
          <w:trHeight w:val="300"/>
        </w:trPr>
        <w:tc>
          <w:tcPr>
            <w:tcW w:w="1645" w:type="pct"/>
            <w:noWrap/>
            <w:hideMark/>
          </w:tcPr>
          <w:p w14:paraId="197C2B8E"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Cash and cash equivalents</w:t>
            </w:r>
          </w:p>
        </w:tc>
        <w:tc>
          <w:tcPr>
            <w:tcW w:w="671" w:type="pct"/>
            <w:noWrap/>
            <w:hideMark/>
          </w:tcPr>
          <w:p w14:paraId="4B9FA633"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57,153 </w:t>
            </w:r>
          </w:p>
        </w:tc>
        <w:tc>
          <w:tcPr>
            <w:tcW w:w="671" w:type="pct"/>
            <w:noWrap/>
            <w:hideMark/>
          </w:tcPr>
          <w:p w14:paraId="46B7D489"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60,813 </w:t>
            </w:r>
          </w:p>
        </w:tc>
        <w:tc>
          <w:tcPr>
            <w:tcW w:w="671" w:type="pct"/>
            <w:noWrap/>
            <w:hideMark/>
          </w:tcPr>
          <w:p w14:paraId="156155BA"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66,740 </w:t>
            </w:r>
          </w:p>
        </w:tc>
        <w:tc>
          <w:tcPr>
            <w:tcW w:w="671" w:type="pct"/>
            <w:noWrap/>
            <w:hideMark/>
          </w:tcPr>
          <w:p w14:paraId="52227EC3"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42,751 </w:t>
            </w:r>
          </w:p>
        </w:tc>
        <w:tc>
          <w:tcPr>
            <w:tcW w:w="671" w:type="pct"/>
            <w:noWrap/>
            <w:hideMark/>
          </w:tcPr>
          <w:p w14:paraId="1065CF8A"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26,783 </w:t>
            </w:r>
          </w:p>
        </w:tc>
      </w:tr>
      <w:tr w:rsidR="004026EC" w:rsidRPr="0077415D" w14:paraId="77235684" w14:textId="77777777" w:rsidTr="004026EC">
        <w:trPr>
          <w:trHeight w:val="300"/>
        </w:trPr>
        <w:tc>
          <w:tcPr>
            <w:tcW w:w="1645" w:type="pct"/>
            <w:noWrap/>
            <w:hideMark/>
          </w:tcPr>
          <w:p w14:paraId="6907ACD4"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Accounts receivable</w:t>
            </w:r>
          </w:p>
        </w:tc>
        <w:tc>
          <w:tcPr>
            <w:tcW w:w="671" w:type="pct"/>
            <w:noWrap/>
            <w:hideMark/>
          </w:tcPr>
          <w:p w14:paraId="667E2E42"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129,433 </w:t>
            </w:r>
          </w:p>
        </w:tc>
        <w:tc>
          <w:tcPr>
            <w:tcW w:w="671" w:type="pct"/>
            <w:noWrap/>
            <w:hideMark/>
          </w:tcPr>
          <w:p w14:paraId="11C193BD"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129,215 </w:t>
            </w:r>
          </w:p>
        </w:tc>
        <w:tc>
          <w:tcPr>
            <w:tcW w:w="671" w:type="pct"/>
            <w:noWrap/>
            <w:hideMark/>
          </w:tcPr>
          <w:p w14:paraId="4A4D7381"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112,346 </w:t>
            </w:r>
          </w:p>
        </w:tc>
        <w:tc>
          <w:tcPr>
            <w:tcW w:w="671" w:type="pct"/>
            <w:noWrap/>
            <w:hideMark/>
          </w:tcPr>
          <w:p w14:paraId="1854FE66"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112,596 </w:t>
            </w:r>
          </w:p>
        </w:tc>
        <w:tc>
          <w:tcPr>
            <w:tcW w:w="671" w:type="pct"/>
            <w:noWrap/>
            <w:hideMark/>
          </w:tcPr>
          <w:p w14:paraId="0FB03D10"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114,182 </w:t>
            </w:r>
          </w:p>
        </w:tc>
      </w:tr>
      <w:tr w:rsidR="004026EC" w:rsidRPr="0077415D" w14:paraId="2AD1D4B7" w14:textId="77777777" w:rsidTr="004026EC">
        <w:trPr>
          <w:trHeight w:val="300"/>
        </w:trPr>
        <w:tc>
          <w:tcPr>
            <w:tcW w:w="1645" w:type="pct"/>
            <w:noWrap/>
            <w:hideMark/>
          </w:tcPr>
          <w:p w14:paraId="21BAFFA4"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Inventories</w:t>
            </w:r>
          </w:p>
        </w:tc>
        <w:tc>
          <w:tcPr>
            <w:tcW w:w="671" w:type="pct"/>
            <w:noWrap/>
            <w:hideMark/>
          </w:tcPr>
          <w:p w14:paraId="1DEDE975"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120,430 </w:t>
            </w:r>
          </w:p>
        </w:tc>
        <w:tc>
          <w:tcPr>
            <w:tcW w:w="671" w:type="pct"/>
            <w:noWrap/>
            <w:hideMark/>
          </w:tcPr>
          <w:p w14:paraId="4B21EDCB"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134,469 </w:t>
            </w:r>
          </w:p>
        </w:tc>
        <w:tc>
          <w:tcPr>
            <w:tcW w:w="671" w:type="pct"/>
            <w:noWrap/>
            <w:hideMark/>
          </w:tcPr>
          <w:p w14:paraId="6FAC58BD"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140,181 </w:t>
            </w:r>
          </w:p>
        </w:tc>
        <w:tc>
          <w:tcPr>
            <w:tcW w:w="671" w:type="pct"/>
            <w:noWrap/>
            <w:hideMark/>
          </w:tcPr>
          <w:p w14:paraId="41D53C40"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88,273 </w:t>
            </w:r>
          </w:p>
        </w:tc>
        <w:tc>
          <w:tcPr>
            <w:tcW w:w="671" w:type="pct"/>
            <w:noWrap/>
            <w:hideMark/>
          </w:tcPr>
          <w:p w14:paraId="2C754B2D"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79,355 </w:t>
            </w:r>
          </w:p>
        </w:tc>
      </w:tr>
      <w:tr w:rsidR="004026EC" w:rsidRPr="0077415D" w14:paraId="398959E2" w14:textId="77777777" w:rsidTr="004026EC">
        <w:trPr>
          <w:trHeight w:val="300"/>
        </w:trPr>
        <w:tc>
          <w:tcPr>
            <w:tcW w:w="1645" w:type="pct"/>
            <w:noWrap/>
            <w:hideMark/>
          </w:tcPr>
          <w:p w14:paraId="4EDA4260"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Accounts payable</w:t>
            </w:r>
          </w:p>
        </w:tc>
        <w:tc>
          <w:tcPr>
            <w:tcW w:w="671" w:type="pct"/>
            <w:noWrap/>
            <w:hideMark/>
          </w:tcPr>
          <w:p w14:paraId="26314B2C"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83,229 </w:t>
            </w:r>
          </w:p>
        </w:tc>
        <w:tc>
          <w:tcPr>
            <w:tcW w:w="671" w:type="pct"/>
            <w:noWrap/>
            <w:hideMark/>
          </w:tcPr>
          <w:p w14:paraId="4C1D98D9"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92,707 </w:t>
            </w:r>
          </w:p>
        </w:tc>
        <w:tc>
          <w:tcPr>
            <w:tcW w:w="671" w:type="pct"/>
            <w:noWrap/>
            <w:hideMark/>
          </w:tcPr>
          <w:p w14:paraId="267D89B6"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71,373 </w:t>
            </w:r>
          </w:p>
        </w:tc>
        <w:tc>
          <w:tcPr>
            <w:tcW w:w="671" w:type="pct"/>
            <w:noWrap/>
            <w:hideMark/>
          </w:tcPr>
          <w:p w14:paraId="3918CC88"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57,033 </w:t>
            </w:r>
          </w:p>
        </w:tc>
        <w:tc>
          <w:tcPr>
            <w:tcW w:w="671" w:type="pct"/>
            <w:noWrap/>
            <w:hideMark/>
          </w:tcPr>
          <w:p w14:paraId="076B46D7" w14:textId="77777777" w:rsidR="004026EC" w:rsidRPr="0077415D" w:rsidRDefault="004026EC" w:rsidP="004026EC">
            <w:pPr>
              <w:spacing w:line="240" w:lineRule="auto"/>
              <w:jc w:val="left"/>
              <w:rPr>
                <w:rFonts w:ascii="Arial" w:eastAsia="Times New Roman" w:hAnsi="Arial" w:cs="Arial"/>
                <w:kern w:val="0"/>
                <w:sz w:val="22"/>
                <w:szCs w:val="22"/>
                <w14:ligatures w14:val="none"/>
              </w:rPr>
            </w:pPr>
            <w:r w:rsidRPr="0077415D">
              <w:rPr>
                <w:rFonts w:ascii="Arial" w:eastAsia="Times New Roman" w:hAnsi="Arial" w:cs="Arial"/>
                <w:kern w:val="0"/>
                <w:sz w:val="22"/>
                <w:szCs w:val="22"/>
                <w14:ligatures w14:val="none"/>
              </w:rPr>
              <w:t xml:space="preserve"> £                       72,031 </w:t>
            </w:r>
          </w:p>
        </w:tc>
      </w:tr>
      <w:tr w:rsidR="004026EC" w:rsidRPr="0077415D" w14:paraId="489DF510" w14:textId="77777777" w:rsidTr="004026EC">
        <w:trPr>
          <w:trHeight w:val="300"/>
        </w:trPr>
        <w:tc>
          <w:tcPr>
            <w:tcW w:w="1645" w:type="pct"/>
            <w:noWrap/>
            <w:hideMark/>
          </w:tcPr>
          <w:p w14:paraId="6549FA48" w14:textId="77777777" w:rsidR="004026EC" w:rsidRPr="0077415D" w:rsidRDefault="004026EC" w:rsidP="004026EC">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Receivables Turnover</w:t>
            </w:r>
          </w:p>
        </w:tc>
        <w:tc>
          <w:tcPr>
            <w:tcW w:w="671" w:type="pct"/>
            <w:noWrap/>
            <w:hideMark/>
          </w:tcPr>
          <w:p w14:paraId="62138B6C"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4.75</w:t>
            </w:r>
          </w:p>
        </w:tc>
        <w:tc>
          <w:tcPr>
            <w:tcW w:w="671" w:type="pct"/>
            <w:noWrap/>
            <w:hideMark/>
          </w:tcPr>
          <w:p w14:paraId="22D8A453"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4.66</w:t>
            </w:r>
          </w:p>
        </w:tc>
        <w:tc>
          <w:tcPr>
            <w:tcW w:w="671" w:type="pct"/>
            <w:noWrap/>
            <w:hideMark/>
          </w:tcPr>
          <w:p w14:paraId="6C24C1D1"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4.83</w:t>
            </w:r>
          </w:p>
        </w:tc>
        <w:tc>
          <w:tcPr>
            <w:tcW w:w="671" w:type="pct"/>
            <w:noWrap/>
            <w:hideMark/>
          </w:tcPr>
          <w:p w14:paraId="592C5B92"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3.73</w:t>
            </w:r>
          </w:p>
        </w:tc>
        <w:tc>
          <w:tcPr>
            <w:tcW w:w="671" w:type="pct"/>
            <w:noWrap/>
            <w:hideMark/>
          </w:tcPr>
          <w:p w14:paraId="15C1D891"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3.46</w:t>
            </w:r>
          </w:p>
        </w:tc>
      </w:tr>
      <w:tr w:rsidR="004026EC" w:rsidRPr="0077415D" w14:paraId="3499834E" w14:textId="77777777" w:rsidTr="004026EC">
        <w:trPr>
          <w:trHeight w:val="300"/>
        </w:trPr>
        <w:tc>
          <w:tcPr>
            <w:tcW w:w="1645" w:type="pct"/>
            <w:noWrap/>
            <w:hideMark/>
          </w:tcPr>
          <w:p w14:paraId="6ECF3E1A" w14:textId="77777777" w:rsidR="004026EC" w:rsidRPr="0077415D" w:rsidRDefault="004026EC" w:rsidP="004026EC">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Days Sales Outstanding (DSO)</w:t>
            </w:r>
          </w:p>
        </w:tc>
        <w:tc>
          <w:tcPr>
            <w:tcW w:w="671" w:type="pct"/>
            <w:noWrap/>
            <w:hideMark/>
          </w:tcPr>
          <w:p w14:paraId="1F8E5CBD"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76.86</w:t>
            </w:r>
          </w:p>
        </w:tc>
        <w:tc>
          <w:tcPr>
            <w:tcW w:w="671" w:type="pct"/>
            <w:noWrap/>
            <w:hideMark/>
          </w:tcPr>
          <w:p w14:paraId="33888AB7"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78.40</w:t>
            </w:r>
          </w:p>
        </w:tc>
        <w:tc>
          <w:tcPr>
            <w:tcW w:w="671" w:type="pct"/>
            <w:noWrap/>
            <w:hideMark/>
          </w:tcPr>
          <w:p w14:paraId="183E4FF8"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75.55</w:t>
            </w:r>
          </w:p>
        </w:tc>
        <w:tc>
          <w:tcPr>
            <w:tcW w:w="671" w:type="pct"/>
            <w:noWrap/>
            <w:hideMark/>
          </w:tcPr>
          <w:p w14:paraId="298EAD7E"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97.74</w:t>
            </w:r>
          </w:p>
        </w:tc>
        <w:tc>
          <w:tcPr>
            <w:tcW w:w="671" w:type="pct"/>
            <w:noWrap/>
            <w:hideMark/>
          </w:tcPr>
          <w:p w14:paraId="61A290CA"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105.54</w:t>
            </w:r>
          </w:p>
        </w:tc>
      </w:tr>
      <w:tr w:rsidR="004026EC" w:rsidRPr="0077415D" w14:paraId="4EFE1267" w14:textId="77777777" w:rsidTr="004026EC">
        <w:trPr>
          <w:trHeight w:val="300"/>
        </w:trPr>
        <w:tc>
          <w:tcPr>
            <w:tcW w:w="1645" w:type="pct"/>
            <w:noWrap/>
            <w:hideMark/>
          </w:tcPr>
          <w:p w14:paraId="004F0CB9" w14:textId="77777777" w:rsidR="004026EC" w:rsidRPr="0077415D" w:rsidRDefault="004026EC" w:rsidP="004026EC">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Inventory Turnover</w:t>
            </w:r>
          </w:p>
        </w:tc>
        <w:tc>
          <w:tcPr>
            <w:tcW w:w="671" w:type="pct"/>
            <w:noWrap/>
            <w:hideMark/>
          </w:tcPr>
          <w:p w14:paraId="73A7D053"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-3.64</w:t>
            </w:r>
          </w:p>
        </w:tc>
        <w:tc>
          <w:tcPr>
            <w:tcW w:w="671" w:type="pct"/>
            <w:noWrap/>
            <w:hideMark/>
          </w:tcPr>
          <w:p w14:paraId="07EFE60F"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-3.19</w:t>
            </w:r>
          </w:p>
        </w:tc>
        <w:tc>
          <w:tcPr>
            <w:tcW w:w="671" w:type="pct"/>
            <w:noWrap/>
            <w:hideMark/>
          </w:tcPr>
          <w:p w14:paraId="19599083"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-2.79</w:t>
            </w:r>
          </w:p>
        </w:tc>
        <w:tc>
          <w:tcPr>
            <w:tcW w:w="671" w:type="pct"/>
            <w:noWrap/>
            <w:hideMark/>
          </w:tcPr>
          <w:p w14:paraId="1C09BADF"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-3.66</w:t>
            </w:r>
          </w:p>
        </w:tc>
        <w:tc>
          <w:tcPr>
            <w:tcW w:w="671" w:type="pct"/>
            <w:noWrap/>
            <w:hideMark/>
          </w:tcPr>
          <w:p w14:paraId="3C52C937"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-3.54</w:t>
            </w:r>
          </w:p>
        </w:tc>
      </w:tr>
      <w:tr w:rsidR="004026EC" w:rsidRPr="0077415D" w14:paraId="092D5432" w14:textId="77777777" w:rsidTr="004026EC">
        <w:trPr>
          <w:trHeight w:val="300"/>
        </w:trPr>
        <w:tc>
          <w:tcPr>
            <w:tcW w:w="1645" w:type="pct"/>
            <w:noWrap/>
            <w:hideMark/>
          </w:tcPr>
          <w:p w14:paraId="0414E7F1" w14:textId="77777777" w:rsidR="004026EC" w:rsidRPr="0077415D" w:rsidRDefault="004026EC" w:rsidP="004026EC">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Days Inventory Outstanding (DIO)</w:t>
            </w:r>
          </w:p>
        </w:tc>
        <w:tc>
          <w:tcPr>
            <w:tcW w:w="671" w:type="pct"/>
            <w:noWrap/>
            <w:hideMark/>
          </w:tcPr>
          <w:p w14:paraId="3112B8F5"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-100.26</w:t>
            </w:r>
          </w:p>
        </w:tc>
        <w:tc>
          <w:tcPr>
            <w:tcW w:w="671" w:type="pct"/>
            <w:noWrap/>
            <w:hideMark/>
          </w:tcPr>
          <w:p w14:paraId="364E4F85"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-114.52</w:t>
            </w:r>
          </w:p>
        </w:tc>
        <w:tc>
          <w:tcPr>
            <w:tcW w:w="671" w:type="pct"/>
            <w:noWrap/>
            <w:hideMark/>
          </w:tcPr>
          <w:p w14:paraId="754D63DA"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-131.04</w:t>
            </w:r>
          </w:p>
        </w:tc>
        <w:tc>
          <w:tcPr>
            <w:tcW w:w="671" w:type="pct"/>
            <w:noWrap/>
            <w:hideMark/>
          </w:tcPr>
          <w:p w14:paraId="34FC876D"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-99.78</w:t>
            </w:r>
          </w:p>
        </w:tc>
        <w:tc>
          <w:tcPr>
            <w:tcW w:w="671" w:type="pct"/>
            <w:noWrap/>
            <w:hideMark/>
          </w:tcPr>
          <w:p w14:paraId="56E4235C"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-103.12</w:t>
            </w:r>
          </w:p>
        </w:tc>
      </w:tr>
      <w:tr w:rsidR="004026EC" w:rsidRPr="0077415D" w14:paraId="129D3EC9" w14:textId="77777777" w:rsidTr="004026EC">
        <w:trPr>
          <w:trHeight w:val="300"/>
        </w:trPr>
        <w:tc>
          <w:tcPr>
            <w:tcW w:w="1645" w:type="pct"/>
            <w:noWrap/>
            <w:hideMark/>
          </w:tcPr>
          <w:p w14:paraId="2B03B87D" w14:textId="77777777" w:rsidR="004026EC" w:rsidRPr="0077415D" w:rsidRDefault="004026EC" w:rsidP="004026EC">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Payables Turnover</w:t>
            </w:r>
          </w:p>
        </w:tc>
        <w:tc>
          <w:tcPr>
            <w:tcW w:w="671" w:type="pct"/>
            <w:noWrap/>
            <w:hideMark/>
          </w:tcPr>
          <w:p w14:paraId="48C96156"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-5.27</w:t>
            </w:r>
          </w:p>
        </w:tc>
        <w:tc>
          <w:tcPr>
            <w:tcW w:w="671" w:type="pct"/>
            <w:noWrap/>
            <w:hideMark/>
          </w:tcPr>
          <w:p w14:paraId="70A7F67B"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-4.62</w:t>
            </w:r>
          </w:p>
        </w:tc>
        <w:tc>
          <w:tcPr>
            <w:tcW w:w="671" w:type="pct"/>
            <w:noWrap/>
            <w:hideMark/>
          </w:tcPr>
          <w:p w14:paraId="76A7CF81"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-5.47</w:t>
            </w:r>
          </w:p>
        </w:tc>
        <w:tc>
          <w:tcPr>
            <w:tcW w:w="671" w:type="pct"/>
            <w:noWrap/>
            <w:hideMark/>
          </w:tcPr>
          <w:p w14:paraId="1ED08DC3"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-5.66</w:t>
            </w:r>
          </w:p>
        </w:tc>
        <w:tc>
          <w:tcPr>
            <w:tcW w:w="671" w:type="pct"/>
            <w:noWrap/>
            <w:hideMark/>
          </w:tcPr>
          <w:p w14:paraId="41DB3C18"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-3.90</w:t>
            </w:r>
          </w:p>
        </w:tc>
      </w:tr>
      <w:tr w:rsidR="004026EC" w:rsidRPr="0077415D" w14:paraId="76D376E7" w14:textId="77777777" w:rsidTr="004026EC">
        <w:trPr>
          <w:trHeight w:val="300"/>
        </w:trPr>
        <w:tc>
          <w:tcPr>
            <w:tcW w:w="1645" w:type="pct"/>
            <w:noWrap/>
            <w:hideMark/>
          </w:tcPr>
          <w:p w14:paraId="357E653C" w14:textId="77777777" w:rsidR="004026EC" w:rsidRPr="0077415D" w:rsidRDefault="004026EC" w:rsidP="004026EC">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Days Payable Outstanding (DPO)</w:t>
            </w:r>
          </w:p>
        </w:tc>
        <w:tc>
          <w:tcPr>
            <w:tcW w:w="671" w:type="pct"/>
            <w:noWrap/>
            <w:hideMark/>
          </w:tcPr>
          <w:p w14:paraId="4CFE7BD3"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-69.29</w:t>
            </w:r>
          </w:p>
        </w:tc>
        <w:tc>
          <w:tcPr>
            <w:tcW w:w="671" w:type="pct"/>
            <w:noWrap/>
            <w:hideMark/>
          </w:tcPr>
          <w:p w14:paraId="59E11D00"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-78.95</w:t>
            </w:r>
          </w:p>
        </w:tc>
        <w:tc>
          <w:tcPr>
            <w:tcW w:w="671" w:type="pct"/>
            <w:noWrap/>
            <w:hideMark/>
          </w:tcPr>
          <w:p w14:paraId="2C22708D"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-66.72</w:t>
            </w:r>
          </w:p>
        </w:tc>
        <w:tc>
          <w:tcPr>
            <w:tcW w:w="671" w:type="pct"/>
            <w:noWrap/>
            <w:hideMark/>
          </w:tcPr>
          <w:p w14:paraId="4044AC1C"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-64.47</w:t>
            </w:r>
          </w:p>
        </w:tc>
        <w:tc>
          <w:tcPr>
            <w:tcW w:w="671" w:type="pct"/>
            <w:noWrap/>
            <w:hideMark/>
          </w:tcPr>
          <w:p w14:paraId="258B94AD"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-93.60</w:t>
            </w:r>
          </w:p>
        </w:tc>
      </w:tr>
      <w:tr w:rsidR="004026EC" w:rsidRPr="0077415D" w14:paraId="0B7CB098" w14:textId="77777777" w:rsidTr="004026EC">
        <w:trPr>
          <w:trHeight w:val="300"/>
        </w:trPr>
        <w:tc>
          <w:tcPr>
            <w:tcW w:w="1645" w:type="pct"/>
            <w:noWrap/>
            <w:hideMark/>
          </w:tcPr>
          <w:p w14:paraId="298575C1" w14:textId="77777777" w:rsidR="004026EC" w:rsidRPr="0077415D" w:rsidRDefault="004026EC" w:rsidP="004026EC">
            <w:pPr>
              <w:spacing w:line="240" w:lineRule="auto"/>
              <w:jc w:val="lef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CCC (days)</w:t>
            </w:r>
          </w:p>
        </w:tc>
        <w:tc>
          <w:tcPr>
            <w:tcW w:w="671" w:type="pct"/>
            <w:noWrap/>
            <w:hideMark/>
          </w:tcPr>
          <w:p w14:paraId="00032E15"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45.89</w:t>
            </w:r>
          </w:p>
        </w:tc>
        <w:tc>
          <w:tcPr>
            <w:tcW w:w="671" w:type="pct"/>
            <w:noWrap/>
            <w:hideMark/>
          </w:tcPr>
          <w:p w14:paraId="150B7B40"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42.83</w:t>
            </w:r>
          </w:p>
        </w:tc>
        <w:tc>
          <w:tcPr>
            <w:tcW w:w="671" w:type="pct"/>
            <w:noWrap/>
            <w:hideMark/>
          </w:tcPr>
          <w:p w14:paraId="748412C0"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11.23</w:t>
            </w:r>
          </w:p>
        </w:tc>
        <w:tc>
          <w:tcPr>
            <w:tcW w:w="671" w:type="pct"/>
            <w:noWrap/>
            <w:hideMark/>
          </w:tcPr>
          <w:p w14:paraId="09D048E0"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62.43</w:t>
            </w:r>
          </w:p>
        </w:tc>
        <w:tc>
          <w:tcPr>
            <w:tcW w:w="671" w:type="pct"/>
            <w:noWrap/>
            <w:hideMark/>
          </w:tcPr>
          <w:p w14:paraId="168871A6" w14:textId="77777777" w:rsidR="004026EC" w:rsidRPr="0077415D" w:rsidRDefault="004026EC" w:rsidP="004026EC">
            <w:pPr>
              <w:spacing w:line="240" w:lineRule="auto"/>
              <w:jc w:val="right"/>
              <w:rPr>
                <w:rFonts w:ascii="Arial" w:eastAsia="Times New Roman" w:hAnsi="Arial" w:cs="Arial"/>
                <w:color w:val="000000" w:themeColor="text1"/>
                <w:kern w:val="0"/>
                <w:sz w:val="22"/>
                <w:szCs w:val="22"/>
                <w14:ligatures w14:val="none"/>
              </w:rPr>
            </w:pPr>
            <w:r w:rsidRPr="0077415D">
              <w:rPr>
                <w:rFonts w:ascii="Arial" w:eastAsia="Times New Roman" w:hAnsi="Arial" w:cs="Arial"/>
                <w:color w:val="000000" w:themeColor="text1"/>
                <w:kern w:val="0"/>
                <w:sz w:val="22"/>
                <w:szCs w:val="22"/>
                <w14:ligatures w14:val="none"/>
              </w:rPr>
              <w:t>96.03</w:t>
            </w:r>
          </w:p>
        </w:tc>
      </w:tr>
    </w:tbl>
    <w:p w14:paraId="546E31D0" w14:textId="77777777" w:rsidR="00CC170A" w:rsidRPr="0077415D" w:rsidRDefault="00CC170A" w:rsidP="00622F3E">
      <w:pPr>
        <w:jc w:val="center"/>
        <w:rPr>
          <w:rFonts w:ascii="Arial" w:hAnsi="Arial" w:cs="Arial"/>
          <w:b/>
          <w:bCs/>
          <w:color w:val="000000" w:themeColor="text1"/>
        </w:rPr>
      </w:pPr>
    </w:p>
    <w:p w14:paraId="38D6D094" w14:textId="36CD7CBD" w:rsidR="00CC170A" w:rsidRPr="0077415D" w:rsidRDefault="00A75F94" w:rsidP="00622F3E">
      <w:pPr>
        <w:jc w:val="center"/>
        <w:rPr>
          <w:rFonts w:ascii="Arial" w:hAnsi="Arial" w:cs="Arial"/>
          <w:b/>
          <w:bCs/>
          <w:color w:val="000000" w:themeColor="text1"/>
        </w:rPr>
      </w:pPr>
      <w:r w:rsidRPr="0077415D">
        <w:rPr>
          <w:rFonts w:ascii="Arial" w:hAnsi="Arial" w:cs="Arial"/>
          <w:b/>
          <w:bCs/>
          <w:noProof/>
          <w:color w:val="000000" w:themeColor="text1"/>
        </w:rPr>
        <w:lastRenderedPageBreak/>
        <w:drawing>
          <wp:inline distT="0" distB="0" distL="0" distR="0" wp14:anchorId="6E33E234" wp14:editId="0EED0B0C">
            <wp:extent cx="5175885" cy="3176270"/>
            <wp:effectExtent l="0" t="0" r="5715" b="5080"/>
            <wp:docPr id="8768164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75885" cy="3176270"/>
                    </a:xfrm>
                    <a:prstGeom prst="rect">
                      <a:avLst/>
                    </a:prstGeom>
                    <a:noFill/>
                  </pic:spPr>
                </pic:pic>
              </a:graphicData>
            </a:graphic>
          </wp:inline>
        </w:drawing>
      </w:r>
    </w:p>
    <w:p w14:paraId="2AE7BD18" w14:textId="2279E1C4" w:rsidR="00622F3E" w:rsidRPr="00F011E0" w:rsidRDefault="00622F3E" w:rsidP="00A75F94">
      <w:pPr>
        <w:jc w:val="center"/>
        <w:rPr>
          <w:rFonts w:ascii="Arial" w:hAnsi="Arial" w:cs="Arial"/>
          <w:b/>
          <w:bCs/>
        </w:rPr>
      </w:pPr>
      <w:r w:rsidRPr="00F011E0">
        <w:rPr>
          <w:rFonts w:ascii="Arial" w:hAnsi="Arial" w:cs="Arial"/>
          <w:b/>
          <w:bCs/>
        </w:rPr>
        <w:t>Table 3: Working Capital Table</w:t>
      </w:r>
    </w:p>
    <w:p w14:paraId="7BA1194D" w14:textId="174E0E4C" w:rsidR="00622F3E" w:rsidRPr="0077415D" w:rsidRDefault="00622F3E" w:rsidP="00622F3E">
      <w:pPr>
        <w:jc w:val="center"/>
        <w:rPr>
          <w:rFonts w:ascii="Arial" w:hAnsi="Arial" w:cs="Arial"/>
          <w:color w:val="000000" w:themeColor="text1"/>
        </w:rPr>
      </w:pPr>
      <w:r w:rsidRPr="0077415D">
        <w:rPr>
          <w:rFonts w:ascii="Arial" w:hAnsi="Arial" w:cs="Arial"/>
          <w:color w:val="000000" w:themeColor="text1"/>
        </w:rPr>
        <w:t>(Source: Generated by MS Excel)</w:t>
      </w:r>
    </w:p>
    <w:p w14:paraId="2084F5E9" w14:textId="7DFC07EC" w:rsidR="00A824F0" w:rsidRPr="0077415D" w:rsidRDefault="00A824F0" w:rsidP="00A824F0">
      <w:pPr>
        <w:rPr>
          <w:rFonts w:ascii="Arial" w:hAnsi="Arial" w:cs="Arial"/>
          <w:color w:val="000000" w:themeColor="text1"/>
        </w:rPr>
      </w:pPr>
      <w:r w:rsidRPr="0077415D">
        <w:rPr>
          <w:rFonts w:ascii="Arial" w:hAnsi="Arial" w:cs="Arial"/>
          <w:color w:val="000000" w:themeColor="text1"/>
        </w:rPr>
        <w:t>Comparison of working capital and cash conversion cycle (CCC) of General Electronics in 2020-2024 shows that the company deteriorates slowly in terms of liquidity management. The working capital dropped to 84,203 in 2024 against 147,333 in 2020, which means that the cash availability is limited and flexibility is lower. The current assets were reduced by 26</w:t>
      </w:r>
      <w:r w:rsidR="00B66F53" w:rsidRPr="0077415D">
        <w:rPr>
          <w:rFonts w:ascii="Arial" w:hAnsi="Arial" w:cs="Arial"/>
          <w:color w:val="000000" w:themeColor="text1"/>
        </w:rPr>
        <w:t>%</w:t>
      </w:r>
      <w:r w:rsidRPr="0077415D">
        <w:rPr>
          <w:rFonts w:ascii="Arial" w:hAnsi="Arial" w:cs="Arial"/>
          <w:color w:val="000000" w:themeColor="text1"/>
        </w:rPr>
        <w:t xml:space="preserve"> and current liabilities were only reduced by 12</w:t>
      </w:r>
      <w:r w:rsidR="00B66F53" w:rsidRPr="0077415D">
        <w:rPr>
          <w:rFonts w:ascii="Arial" w:hAnsi="Arial" w:cs="Arial"/>
          <w:color w:val="000000" w:themeColor="text1"/>
        </w:rPr>
        <w:t>%</w:t>
      </w:r>
      <w:r w:rsidR="00644251" w:rsidRPr="0077415D">
        <w:rPr>
          <w:rFonts w:ascii="Arial" w:hAnsi="Arial" w:cs="Arial"/>
          <w:color w:val="000000" w:themeColor="text1"/>
        </w:rPr>
        <w:t>,</w:t>
      </w:r>
      <w:r w:rsidRPr="0077415D">
        <w:rPr>
          <w:rFonts w:ascii="Arial" w:hAnsi="Arial" w:cs="Arial"/>
          <w:color w:val="000000" w:themeColor="text1"/>
        </w:rPr>
        <w:t xml:space="preserve"> which placed </w:t>
      </w:r>
      <w:r w:rsidR="00B66F53" w:rsidRPr="0077415D">
        <w:rPr>
          <w:rFonts w:ascii="Arial" w:hAnsi="Arial" w:cs="Arial"/>
          <w:color w:val="000000" w:themeColor="text1"/>
        </w:rPr>
        <w:t xml:space="preserve">a </w:t>
      </w:r>
      <w:r w:rsidRPr="0077415D">
        <w:rPr>
          <w:rFonts w:ascii="Arial" w:hAnsi="Arial" w:cs="Arial"/>
          <w:color w:val="000000" w:themeColor="text1"/>
        </w:rPr>
        <w:t xml:space="preserve">strain on the </w:t>
      </w:r>
      <w:r w:rsidR="00644251" w:rsidRPr="0077415D">
        <w:rPr>
          <w:rFonts w:ascii="Arial" w:hAnsi="Arial" w:cs="Arial"/>
          <w:color w:val="000000" w:themeColor="text1"/>
        </w:rPr>
        <w:t>day-to-day</w:t>
      </w:r>
      <w:r w:rsidRPr="0077415D">
        <w:rPr>
          <w:rFonts w:ascii="Arial" w:hAnsi="Arial" w:cs="Arial"/>
          <w:color w:val="000000" w:themeColor="text1"/>
        </w:rPr>
        <w:t xml:space="preserve"> running of </w:t>
      </w:r>
      <w:r w:rsidR="00B66F53" w:rsidRPr="0077415D">
        <w:rPr>
          <w:rFonts w:ascii="Arial" w:hAnsi="Arial" w:cs="Arial"/>
          <w:color w:val="000000" w:themeColor="text1"/>
        </w:rPr>
        <w:t xml:space="preserve">the </w:t>
      </w:r>
      <w:r w:rsidRPr="0077415D">
        <w:rPr>
          <w:rFonts w:ascii="Arial" w:hAnsi="Arial" w:cs="Arial"/>
          <w:color w:val="000000" w:themeColor="text1"/>
        </w:rPr>
        <w:t>business. The worst depreciation is on cash and cash equivalents</w:t>
      </w:r>
      <w:r w:rsidR="00B66F53" w:rsidRPr="0077415D">
        <w:rPr>
          <w:rFonts w:ascii="Arial" w:hAnsi="Arial" w:cs="Arial"/>
          <w:color w:val="000000" w:themeColor="text1"/>
        </w:rPr>
        <w:t>,</w:t>
      </w:r>
      <w:r w:rsidRPr="0077415D">
        <w:rPr>
          <w:rFonts w:ascii="Arial" w:hAnsi="Arial" w:cs="Arial"/>
          <w:color w:val="000000" w:themeColor="text1"/>
        </w:rPr>
        <w:t xml:space="preserve"> which </w:t>
      </w:r>
      <w:r w:rsidR="00B66F53" w:rsidRPr="0077415D">
        <w:rPr>
          <w:rFonts w:ascii="Arial" w:hAnsi="Arial" w:cs="Arial"/>
          <w:color w:val="000000" w:themeColor="text1"/>
        </w:rPr>
        <w:t>decreased</w:t>
      </w:r>
      <w:r w:rsidRPr="0077415D">
        <w:rPr>
          <w:rFonts w:ascii="Arial" w:hAnsi="Arial" w:cs="Arial"/>
          <w:color w:val="000000" w:themeColor="text1"/>
        </w:rPr>
        <w:t xml:space="preserve"> </w:t>
      </w:r>
      <w:r w:rsidR="00B66F53" w:rsidRPr="0077415D">
        <w:rPr>
          <w:rFonts w:ascii="Arial" w:hAnsi="Arial" w:cs="Arial"/>
          <w:color w:val="000000" w:themeColor="text1"/>
        </w:rPr>
        <w:t xml:space="preserve">by </w:t>
      </w:r>
      <w:r w:rsidRPr="0077415D">
        <w:rPr>
          <w:rFonts w:ascii="Arial" w:hAnsi="Arial" w:cs="Arial"/>
          <w:color w:val="000000" w:themeColor="text1"/>
        </w:rPr>
        <w:t>more than 57,153 in 2020 to 26,783 in 2024.</w:t>
      </w:r>
    </w:p>
    <w:p w14:paraId="27DAA4BE" w14:textId="79A10F4B"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The CCC varied significantly, which indicated poor management of cash flow. It was 45.9 days in 2020, and this increased slightly to 42.8 in 2021, after which it decreased significantly to 11.2 in 2022, followed by a significant increase to 62.4 in 2023 and </w:t>
      </w:r>
      <w:r w:rsidR="0077415D">
        <w:rPr>
          <w:rFonts w:ascii="Arial" w:hAnsi="Arial" w:cs="Arial"/>
          <w:color w:val="000000" w:themeColor="text1"/>
        </w:rPr>
        <w:t>96.0</w:t>
      </w:r>
      <w:r w:rsidRPr="0077415D">
        <w:rPr>
          <w:rFonts w:ascii="Arial" w:hAnsi="Arial" w:cs="Arial"/>
          <w:color w:val="000000" w:themeColor="text1"/>
        </w:rPr>
        <w:t xml:space="preserve"> in 2024. </w:t>
      </w:r>
    </w:p>
    <w:p w14:paraId="09EED03D" w14:textId="5D91B683" w:rsidR="00A824F0" w:rsidRPr="0077415D" w:rsidRDefault="00B66F53" w:rsidP="00A824F0">
      <w:pPr>
        <w:rPr>
          <w:rFonts w:ascii="Arial" w:hAnsi="Arial" w:cs="Arial"/>
          <w:color w:val="000000" w:themeColor="text1"/>
        </w:rPr>
      </w:pPr>
      <w:r w:rsidRPr="0077415D">
        <w:rPr>
          <w:rFonts w:ascii="Arial" w:hAnsi="Arial" w:cs="Arial"/>
          <w:color w:val="000000" w:themeColor="text1"/>
        </w:rPr>
        <w:t>The efficiency</w:t>
      </w:r>
      <w:r w:rsidR="00A824F0" w:rsidRPr="0077415D">
        <w:rPr>
          <w:rFonts w:ascii="Arial" w:hAnsi="Arial" w:cs="Arial"/>
          <w:color w:val="000000" w:themeColor="text1"/>
        </w:rPr>
        <w:t xml:space="preserve"> of receivables </w:t>
      </w:r>
      <w:r w:rsidR="00041188" w:rsidRPr="0077415D">
        <w:rPr>
          <w:rFonts w:ascii="Arial" w:hAnsi="Arial" w:cs="Arial"/>
          <w:color w:val="000000" w:themeColor="text1"/>
        </w:rPr>
        <w:t>declined</w:t>
      </w:r>
      <w:r w:rsidR="00A824F0" w:rsidRPr="0077415D">
        <w:rPr>
          <w:rFonts w:ascii="Arial" w:hAnsi="Arial" w:cs="Arial"/>
          <w:color w:val="000000" w:themeColor="text1"/>
        </w:rPr>
        <w:t xml:space="preserve"> due to the growth of </w:t>
      </w:r>
      <w:r w:rsidR="00A824F0" w:rsidRPr="0077415D">
        <w:rPr>
          <w:rFonts w:ascii="Arial" w:hAnsi="Arial" w:cs="Arial"/>
          <w:b/>
          <w:bCs/>
          <w:color w:val="000000" w:themeColor="text1"/>
        </w:rPr>
        <w:t>Days Sales Outstanding (DSO)</w:t>
      </w:r>
      <w:r w:rsidR="00041188" w:rsidRPr="0077415D">
        <w:rPr>
          <w:rFonts w:ascii="Arial" w:hAnsi="Arial" w:cs="Arial"/>
          <w:b/>
          <w:bCs/>
          <w:color w:val="000000" w:themeColor="text1"/>
        </w:rPr>
        <w:t xml:space="preserve"> </w:t>
      </w:r>
      <w:r w:rsidRPr="0077415D">
        <w:rPr>
          <w:rFonts w:ascii="Arial" w:hAnsi="Arial" w:cs="Arial"/>
          <w:color w:val="000000" w:themeColor="text1"/>
        </w:rPr>
        <w:t>from</w:t>
      </w:r>
      <w:r w:rsidRPr="0077415D">
        <w:rPr>
          <w:rFonts w:ascii="Arial" w:hAnsi="Arial" w:cs="Arial"/>
          <w:b/>
          <w:bCs/>
          <w:color w:val="000000" w:themeColor="text1"/>
        </w:rPr>
        <w:t xml:space="preserve"> </w:t>
      </w:r>
      <w:r w:rsidR="00041188" w:rsidRPr="0077415D">
        <w:rPr>
          <w:rFonts w:ascii="Arial" w:hAnsi="Arial" w:cs="Arial"/>
          <w:color w:val="000000" w:themeColor="text1"/>
        </w:rPr>
        <w:t xml:space="preserve">76.9 to </w:t>
      </w:r>
      <w:r w:rsidR="00A824F0" w:rsidRPr="0077415D">
        <w:rPr>
          <w:rFonts w:ascii="Arial" w:hAnsi="Arial" w:cs="Arial"/>
          <w:color w:val="000000" w:themeColor="text1"/>
        </w:rPr>
        <w:t xml:space="preserve">105.5 days. The gradual lengthening indicates slower collections, lax credit policies and less effective follow-up in financial distress. High DSO freezes capital and puts pressure on liquidity. On the other hand, inventory management depicts a </w:t>
      </w:r>
      <w:r w:rsidR="00A824F0" w:rsidRPr="0077415D">
        <w:rPr>
          <w:rFonts w:ascii="Arial" w:hAnsi="Arial" w:cs="Arial"/>
          <w:color w:val="000000" w:themeColor="text1"/>
        </w:rPr>
        <w:lastRenderedPageBreak/>
        <w:t>decrease in inventory levels in the year 2020 of 120,430 to 79,355 in the year 2024. Even though this can indicate an improved level of control, the negative turnover indicators in the data give an indication of possible inconsistencies in the formulas (</w:t>
      </w:r>
      <w:proofErr w:type="spellStart"/>
      <w:r w:rsidR="00A824F0" w:rsidRPr="0077415D">
        <w:rPr>
          <w:rFonts w:ascii="Arial" w:hAnsi="Arial" w:cs="Arial"/>
          <w:color w:val="000000" w:themeColor="text1"/>
        </w:rPr>
        <w:t>Muojekwu</w:t>
      </w:r>
      <w:proofErr w:type="spellEnd"/>
      <w:r w:rsidR="00A824F0" w:rsidRPr="0077415D">
        <w:rPr>
          <w:rFonts w:ascii="Arial" w:hAnsi="Arial" w:cs="Arial"/>
          <w:color w:val="000000" w:themeColor="text1"/>
        </w:rPr>
        <w:t xml:space="preserve"> et al., 2025). </w:t>
      </w:r>
    </w:p>
    <w:p w14:paraId="29B76504" w14:textId="499E415D" w:rsidR="00A824F0" w:rsidRPr="0077415D" w:rsidRDefault="00A824F0" w:rsidP="00A824F0">
      <w:pPr>
        <w:rPr>
          <w:rFonts w:ascii="Arial" w:hAnsi="Arial" w:cs="Arial"/>
          <w:color w:val="000000" w:themeColor="text1"/>
        </w:rPr>
      </w:pPr>
      <w:r w:rsidRPr="0077415D">
        <w:rPr>
          <w:rFonts w:ascii="Arial" w:hAnsi="Arial" w:cs="Arial"/>
          <w:b/>
          <w:bCs/>
          <w:color w:val="000000" w:themeColor="text1"/>
        </w:rPr>
        <w:t>The Days Payables Outstanding (DPO)</w:t>
      </w:r>
      <w:r w:rsidRPr="0077415D">
        <w:rPr>
          <w:rFonts w:ascii="Arial" w:hAnsi="Arial" w:cs="Arial"/>
          <w:color w:val="000000" w:themeColor="text1"/>
        </w:rPr>
        <w:t xml:space="preserve"> increased to approximately 93 days</w:t>
      </w:r>
      <w:r w:rsidR="00B66F53" w:rsidRPr="0077415D">
        <w:rPr>
          <w:rFonts w:ascii="Arial" w:hAnsi="Arial" w:cs="Arial"/>
          <w:color w:val="000000" w:themeColor="text1"/>
        </w:rPr>
        <w:t>,</w:t>
      </w:r>
      <w:r w:rsidRPr="0077415D">
        <w:rPr>
          <w:rFonts w:ascii="Arial" w:hAnsi="Arial" w:cs="Arial"/>
          <w:color w:val="000000" w:themeColor="text1"/>
        </w:rPr>
        <w:t xml:space="preserve"> and the dependency on supplier credit increased. Although this will save cash in the short run, it may destroy supplier relationships and purchasing conditions unless done openly. The resultant CCC volatility of 11 to 96 days indicates a low correlation among working-capital elements and that there is an urgent requirement to manage cash </w:t>
      </w:r>
      <w:r w:rsidR="00041188" w:rsidRPr="0077415D">
        <w:rPr>
          <w:rFonts w:ascii="Arial" w:hAnsi="Arial" w:cs="Arial"/>
          <w:color w:val="000000" w:themeColor="text1"/>
        </w:rPr>
        <w:t>cycles</w:t>
      </w:r>
      <w:r w:rsidRPr="0077415D">
        <w:rPr>
          <w:rFonts w:ascii="Arial" w:hAnsi="Arial" w:cs="Arial"/>
          <w:color w:val="000000" w:themeColor="text1"/>
        </w:rPr>
        <w:t>.</w:t>
      </w:r>
    </w:p>
    <w:p w14:paraId="52E68950" w14:textId="77777777" w:rsidR="00B31A80" w:rsidRPr="0077415D" w:rsidRDefault="00B31A80" w:rsidP="00B31A80">
      <w:pPr>
        <w:pStyle w:val="Heading2"/>
        <w:rPr>
          <w:rFonts w:ascii="Arial" w:hAnsi="Arial" w:cs="Arial"/>
          <w:color w:val="000000" w:themeColor="text1"/>
        </w:rPr>
      </w:pPr>
      <w:bookmarkStart w:id="7" w:name="_Toc214845222"/>
      <w:r w:rsidRPr="0077415D">
        <w:rPr>
          <w:rFonts w:ascii="Arial" w:hAnsi="Arial" w:cs="Arial"/>
          <w:color w:val="000000" w:themeColor="text1"/>
        </w:rPr>
        <w:t>2.2 Recommend Strategies to Improve Liquidity through Working Capital Reforms</w:t>
      </w:r>
      <w:bookmarkEnd w:id="7"/>
    </w:p>
    <w:p w14:paraId="6C54C8AE" w14:textId="3762E7CE" w:rsidR="00A824F0" w:rsidRPr="0077415D" w:rsidRDefault="00B31A80" w:rsidP="00A824F0">
      <w:pPr>
        <w:rPr>
          <w:rFonts w:ascii="Arial" w:hAnsi="Arial" w:cs="Arial"/>
          <w:color w:val="000000" w:themeColor="text1"/>
        </w:rPr>
      </w:pPr>
      <w:r w:rsidRPr="0077415D">
        <w:rPr>
          <w:rFonts w:ascii="Arial" w:hAnsi="Arial" w:cs="Arial"/>
          <w:color w:val="000000" w:themeColor="text1"/>
        </w:rPr>
        <w:t>To</w:t>
      </w:r>
      <w:r w:rsidR="00A824F0" w:rsidRPr="0077415D">
        <w:rPr>
          <w:rFonts w:ascii="Arial" w:hAnsi="Arial" w:cs="Arial"/>
          <w:color w:val="000000" w:themeColor="text1"/>
        </w:rPr>
        <w:t xml:space="preserve"> reestablish liquidity and reduce the CCC, all three working-capital elements, receivables, inventory, </w:t>
      </w:r>
      <w:r w:rsidR="00B66F53" w:rsidRPr="0077415D">
        <w:rPr>
          <w:rFonts w:ascii="Arial" w:hAnsi="Arial" w:cs="Arial"/>
          <w:color w:val="000000" w:themeColor="text1"/>
        </w:rPr>
        <w:t xml:space="preserve">and </w:t>
      </w:r>
      <w:r w:rsidR="00A824F0" w:rsidRPr="0077415D">
        <w:rPr>
          <w:rFonts w:ascii="Arial" w:hAnsi="Arial" w:cs="Arial"/>
          <w:color w:val="000000" w:themeColor="text1"/>
        </w:rPr>
        <w:t>payables</w:t>
      </w:r>
      <w:r w:rsidR="0077415D">
        <w:rPr>
          <w:rFonts w:ascii="Arial" w:hAnsi="Arial" w:cs="Arial"/>
          <w:color w:val="000000" w:themeColor="text1"/>
        </w:rPr>
        <w:t>,</w:t>
      </w:r>
      <w:r w:rsidR="00A824F0" w:rsidRPr="0077415D">
        <w:rPr>
          <w:rFonts w:ascii="Arial" w:hAnsi="Arial" w:cs="Arial"/>
          <w:color w:val="000000" w:themeColor="text1"/>
        </w:rPr>
        <w:t xml:space="preserve"> should be subjected to a systematic set of reforms.</w:t>
      </w:r>
    </w:p>
    <w:p w14:paraId="0BA3A2D7" w14:textId="3624CA6A" w:rsidR="00A824F0" w:rsidRPr="0077415D" w:rsidRDefault="00A824F0" w:rsidP="00A824F0">
      <w:pPr>
        <w:rPr>
          <w:rFonts w:ascii="Arial" w:hAnsi="Arial" w:cs="Arial"/>
          <w:color w:val="000000" w:themeColor="text1"/>
        </w:rPr>
      </w:pPr>
      <w:r w:rsidRPr="0077415D">
        <w:rPr>
          <w:rFonts w:ascii="Arial" w:hAnsi="Arial" w:cs="Arial"/>
          <w:b/>
          <w:bCs/>
          <w:color w:val="000000" w:themeColor="text1"/>
        </w:rPr>
        <w:t>Receivables management reforms.</w:t>
      </w:r>
      <w:r w:rsidRPr="0077415D">
        <w:rPr>
          <w:rFonts w:ascii="Arial" w:hAnsi="Arial" w:cs="Arial"/>
          <w:color w:val="000000" w:themeColor="text1"/>
        </w:rPr>
        <w:t xml:space="preserve"> The redesign of the credit policy should enable the company to </w:t>
      </w:r>
      <w:r w:rsidR="00B66F53" w:rsidRPr="0077415D">
        <w:rPr>
          <w:rFonts w:ascii="Arial" w:hAnsi="Arial" w:cs="Arial"/>
          <w:color w:val="000000" w:themeColor="text1"/>
        </w:rPr>
        <w:t>balance</w:t>
      </w:r>
      <w:r w:rsidRPr="0077415D">
        <w:rPr>
          <w:rFonts w:ascii="Arial" w:hAnsi="Arial" w:cs="Arial"/>
          <w:color w:val="000000" w:themeColor="text1"/>
        </w:rPr>
        <w:t xml:space="preserve"> the sales volume and the cash </w:t>
      </w:r>
      <w:r w:rsidR="0077415D">
        <w:rPr>
          <w:rFonts w:ascii="Arial" w:hAnsi="Arial" w:cs="Arial"/>
          <w:color w:val="000000" w:themeColor="text1"/>
        </w:rPr>
        <w:t>flow</w:t>
      </w:r>
      <w:r w:rsidRPr="0077415D">
        <w:rPr>
          <w:rFonts w:ascii="Arial" w:hAnsi="Arial" w:cs="Arial"/>
          <w:color w:val="000000" w:themeColor="text1"/>
        </w:rPr>
        <w:t xml:space="preserve">. The predictability will be enhanced through the introduction of credit scoring systems, dynamism in credit limits and the provision of different terms to the high- and low-risk clients. The collections can be accelerated by automated </w:t>
      </w:r>
      <w:r w:rsidR="00B31A80" w:rsidRPr="0077415D">
        <w:rPr>
          <w:rFonts w:ascii="Arial" w:hAnsi="Arial" w:cs="Arial"/>
          <w:color w:val="000000" w:themeColor="text1"/>
        </w:rPr>
        <w:t>invoices</w:t>
      </w:r>
      <w:r w:rsidRPr="0077415D">
        <w:rPr>
          <w:rFonts w:ascii="Arial" w:hAnsi="Arial" w:cs="Arial"/>
          <w:color w:val="000000" w:themeColor="text1"/>
        </w:rPr>
        <w:t xml:space="preserve">, reminders, and electronic payments. Discounts or loyalty credits might also be provided as incentives to make payments on time (Kumar, 2024). </w:t>
      </w:r>
    </w:p>
    <w:p w14:paraId="1FAACDAD" w14:textId="1600BCB6" w:rsidR="00A824F0" w:rsidRPr="0077415D" w:rsidRDefault="00A824F0" w:rsidP="00A824F0">
      <w:pPr>
        <w:rPr>
          <w:rFonts w:ascii="Arial" w:hAnsi="Arial" w:cs="Arial"/>
          <w:color w:val="000000" w:themeColor="text1"/>
        </w:rPr>
      </w:pPr>
      <w:r w:rsidRPr="0077415D">
        <w:rPr>
          <w:rFonts w:ascii="Arial" w:hAnsi="Arial" w:cs="Arial"/>
          <w:b/>
          <w:bCs/>
          <w:color w:val="000000" w:themeColor="text1"/>
        </w:rPr>
        <w:t>Reforms in inventory management.</w:t>
      </w:r>
      <w:r w:rsidRPr="0077415D">
        <w:rPr>
          <w:rFonts w:ascii="Arial" w:hAnsi="Arial" w:cs="Arial"/>
          <w:color w:val="000000" w:themeColor="text1"/>
        </w:rPr>
        <w:t xml:space="preserve"> The decreasing levels of the stock of the firm are indicative of defensive management of the cash</w:t>
      </w:r>
      <w:r w:rsidR="0077415D">
        <w:rPr>
          <w:rFonts w:ascii="Arial" w:hAnsi="Arial" w:cs="Arial"/>
          <w:color w:val="000000" w:themeColor="text1"/>
        </w:rPr>
        <w:t>,</w:t>
      </w:r>
      <w:r w:rsidRPr="0077415D">
        <w:rPr>
          <w:rFonts w:ascii="Arial" w:hAnsi="Arial" w:cs="Arial"/>
          <w:color w:val="000000" w:themeColor="text1"/>
        </w:rPr>
        <w:t xml:space="preserve"> other than strategic </w:t>
      </w:r>
      <w:proofErr w:type="spellStart"/>
      <w:r w:rsidRPr="0077415D">
        <w:rPr>
          <w:rFonts w:ascii="Arial" w:hAnsi="Arial" w:cs="Arial"/>
          <w:color w:val="000000" w:themeColor="text1"/>
        </w:rPr>
        <w:t>optimisation</w:t>
      </w:r>
      <w:proofErr w:type="spellEnd"/>
      <w:r w:rsidRPr="0077415D">
        <w:rPr>
          <w:rFonts w:ascii="Arial" w:hAnsi="Arial" w:cs="Arial"/>
          <w:color w:val="000000" w:themeColor="text1"/>
        </w:rPr>
        <w:t>. The company is recommended to implement the principles of just-in-time, the ABC classification, and the digital analytics demand forecasting to attain sustainable efficiency. The replenishment time may be shortened through supplier collaboration</w:t>
      </w:r>
      <w:r w:rsidR="0077415D">
        <w:rPr>
          <w:rFonts w:ascii="Arial" w:hAnsi="Arial" w:cs="Arial"/>
          <w:color w:val="000000" w:themeColor="text1"/>
        </w:rPr>
        <w:t>,</w:t>
      </w:r>
      <w:r w:rsidRPr="0077415D">
        <w:rPr>
          <w:rFonts w:ascii="Arial" w:hAnsi="Arial" w:cs="Arial"/>
          <w:color w:val="000000" w:themeColor="text1"/>
        </w:rPr>
        <w:t xml:space="preserve"> through either vendor-managed inventory or framework agreements. The procurement and sales information incorporated in the enterprise resource planning (ERP) system would allow real-time visibility and avoid excess holding</w:t>
      </w:r>
      <w:r w:rsidR="00214A29" w:rsidRPr="0077415D">
        <w:rPr>
          <w:rFonts w:ascii="Arial" w:hAnsi="Arial" w:cs="Arial"/>
          <w:color w:val="000000" w:themeColor="text1"/>
        </w:rPr>
        <w:t>,</w:t>
      </w:r>
      <w:r w:rsidRPr="0077415D">
        <w:rPr>
          <w:rFonts w:ascii="Arial" w:hAnsi="Arial" w:cs="Arial"/>
          <w:color w:val="000000" w:themeColor="text1"/>
        </w:rPr>
        <w:t xml:space="preserve"> as well as avoid a stockout. </w:t>
      </w:r>
    </w:p>
    <w:p w14:paraId="76A128D5" w14:textId="40604B08" w:rsidR="00A824F0" w:rsidRPr="0077415D" w:rsidRDefault="00A824F0" w:rsidP="00A824F0">
      <w:pPr>
        <w:rPr>
          <w:rFonts w:ascii="Arial" w:hAnsi="Arial" w:cs="Arial"/>
          <w:color w:val="000000" w:themeColor="text1"/>
        </w:rPr>
      </w:pPr>
      <w:r w:rsidRPr="0077415D">
        <w:rPr>
          <w:rFonts w:ascii="Arial" w:hAnsi="Arial" w:cs="Arial"/>
          <w:b/>
          <w:bCs/>
          <w:color w:val="000000" w:themeColor="text1"/>
        </w:rPr>
        <w:lastRenderedPageBreak/>
        <w:t>Reforms in payables management.</w:t>
      </w:r>
      <w:r w:rsidRPr="0077415D">
        <w:rPr>
          <w:rFonts w:ascii="Arial" w:hAnsi="Arial" w:cs="Arial"/>
          <w:color w:val="000000" w:themeColor="text1"/>
        </w:rPr>
        <w:t xml:space="preserve"> Liquidity can be improved by extension of payment terms, whereas the unchecked extension generates counterparty risk. The management must incorporate a segmented approach </w:t>
      </w:r>
      <w:r w:rsidR="00214A29" w:rsidRPr="0077415D">
        <w:rPr>
          <w:rFonts w:ascii="Arial" w:hAnsi="Arial" w:cs="Arial"/>
          <w:color w:val="000000" w:themeColor="text1"/>
        </w:rPr>
        <w:t>to</w:t>
      </w:r>
      <w:r w:rsidRPr="0077415D">
        <w:rPr>
          <w:rFonts w:ascii="Arial" w:hAnsi="Arial" w:cs="Arial"/>
          <w:color w:val="000000" w:themeColor="text1"/>
        </w:rPr>
        <w:t xml:space="preserve"> the payables, where the major and non-major suppliers are differentiated. In the case of important suppliers, </w:t>
      </w:r>
      <w:r w:rsidR="00D2718B" w:rsidRPr="0077415D">
        <w:rPr>
          <w:rFonts w:ascii="Arial" w:hAnsi="Arial" w:cs="Arial"/>
          <w:color w:val="000000" w:themeColor="text1"/>
        </w:rPr>
        <w:t>trust</w:t>
      </w:r>
      <w:r w:rsidRPr="0077415D">
        <w:rPr>
          <w:rFonts w:ascii="Arial" w:hAnsi="Arial" w:cs="Arial"/>
          <w:color w:val="000000" w:themeColor="text1"/>
        </w:rPr>
        <w:t xml:space="preserve"> can be preserved through open negotiation of formal payment terms or dynamic discounting contracts and the optimal use of cash (</w:t>
      </w:r>
      <w:proofErr w:type="spellStart"/>
      <w:r w:rsidRPr="0077415D">
        <w:rPr>
          <w:rFonts w:ascii="Arial" w:hAnsi="Arial" w:cs="Arial"/>
          <w:color w:val="000000" w:themeColor="text1"/>
        </w:rPr>
        <w:t>Campino</w:t>
      </w:r>
      <w:proofErr w:type="spellEnd"/>
      <w:r w:rsidRPr="0077415D">
        <w:rPr>
          <w:rFonts w:ascii="Arial" w:hAnsi="Arial" w:cs="Arial"/>
          <w:color w:val="000000" w:themeColor="text1"/>
        </w:rPr>
        <w:t xml:space="preserve"> and Rodrigues, 2024). In the case of smaller vendors, predictive scheduling and electronic payment </w:t>
      </w:r>
      <w:r w:rsidR="00D2718B" w:rsidRPr="0077415D">
        <w:rPr>
          <w:rFonts w:ascii="Arial" w:hAnsi="Arial" w:cs="Arial"/>
          <w:color w:val="000000" w:themeColor="text1"/>
        </w:rPr>
        <w:t>systems</w:t>
      </w:r>
      <w:r w:rsidRPr="0077415D">
        <w:rPr>
          <w:rFonts w:ascii="Arial" w:hAnsi="Arial" w:cs="Arial"/>
          <w:color w:val="000000" w:themeColor="text1"/>
        </w:rPr>
        <w:t xml:space="preserve"> might provide flexibility and control.</w:t>
      </w:r>
    </w:p>
    <w:p w14:paraId="1FA85C0E" w14:textId="58A26F58" w:rsidR="00A824F0" w:rsidRPr="0077415D" w:rsidRDefault="00A824F0" w:rsidP="00A824F0">
      <w:pPr>
        <w:rPr>
          <w:rFonts w:ascii="Arial" w:hAnsi="Arial" w:cs="Arial"/>
          <w:color w:val="000000" w:themeColor="text1"/>
        </w:rPr>
      </w:pPr>
      <w:r w:rsidRPr="0077415D">
        <w:rPr>
          <w:rFonts w:ascii="Arial" w:hAnsi="Arial" w:cs="Arial"/>
          <w:b/>
          <w:bCs/>
          <w:color w:val="000000" w:themeColor="text1"/>
        </w:rPr>
        <w:t>Policy integration.</w:t>
      </w:r>
      <w:r w:rsidRPr="0077415D">
        <w:rPr>
          <w:rFonts w:ascii="Arial" w:hAnsi="Arial" w:cs="Arial"/>
          <w:color w:val="000000" w:themeColor="text1"/>
        </w:rPr>
        <w:t xml:space="preserve"> The </w:t>
      </w:r>
      <w:proofErr w:type="spellStart"/>
      <w:r w:rsidRPr="0077415D">
        <w:rPr>
          <w:rFonts w:ascii="Arial" w:hAnsi="Arial" w:cs="Arial"/>
          <w:color w:val="000000" w:themeColor="text1"/>
        </w:rPr>
        <w:t>optimisation</w:t>
      </w:r>
      <w:proofErr w:type="spellEnd"/>
      <w:r w:rsidRPr="0077415D">
        <w:rPr>
          <w:rFonts w:ascii="Arial" w:hAnsi="Arial" w:cs="Arial"/>
          <w:color w:val="000000" w:themeColor="text1"/>
        </w:rPr>
        <w:t xml:space="preserve"> of liquidity requires </w:t>
      </w:r>
      <w:r w:rsidR="00D2718B" w:rsidRPr="0077415D">
        <w:rPr>
          <w:rFonts w:ascii="Arial" w:hAnsi="Arial" w:cs="Arial"/>
          <w:color w:val="000000" w:themeColor="text1"/>
        </w:rPr>
        <w:t>an</w:t>
      </w:r>
      <w:r w:rsidRPr="0077415D">
        <w:rPr>
          <w:rFonts w:ascii="Arial" w:hAnsi="Arial" w:cs="Arial"/>
          <w:color w:val="000000" w:themeColor="text1"/>
        </w:rPr>
        <w:t xml:space="preserve"> integrated governance framework. The formation of </w:t>
      </w:r>
      <w:r w:rsidR="00214A29" w:rsidRPr="0077415D">
        <w:rPr>
          <w:rFonts w:ascii="Arial" w:hAnsi="Arial" w:cs="Arial"/>
          <w:color w:val="000000" w:themeColor="text1"/>
        </w:rPr>
        <w:t xml:space="preserve">a </w:t>
      </w:r>
      <w:r w:rsidRPr="0077415D">
        <w:rPr>
          <w:rFonts w:ascii="Arial" w:hAnsi="Arial" w:cs="Arial"/>
          <w:color w:val="000000" w:themeColor="text1"/>
        </w:rPr>
        <w:t xml:space="preserve">cross-functional working-capital committee that entails </w:t>
      </w:r>
      <w:r w:rsidR="00D2718B" w:rsidRPr="0077415D">
        <w:rPr>
          <w:rFonts w:ascii="Arial" w:hAnsi="Arial" w:cs="Arial"/>
          <w:color w:val="000000" w:themeColor="text1"/>
        </w:rPr>
        <w:t>finance</w:t>
      </w:r>
      <w:r w:rsidRPr="0077415D">
        <w:rPr>
          <w:rFonts w:ascii="Arial" w:hAnsi="Arial" w:cs="Arial"/>
          <w:color w:val="000000" w:themeColor="text1"/>
        </w:rPr>
        <w:t xml:space="preserve">, operations and procurement will </w:t>
      </w:r>
      <w:proofErr w:type="spellStart"/>
      <w:r w:rsidR="00214A29" w:rsidRPr="0077415D">
        <w:rPr>
          <w:rFonts w:ascii="Arial" w:hAnsi="Arial" w:cs="Arial"/>
          <w:color w:val="000000" w:themeColor="text1"/>
        </w:rPr>
        <w:t>instil</w:t>
      </w:r>
      <w:proofErr w:type="spellEnd"/>
      <w:r w:rsidRPr="0077415D">
        <w:rPr>
          <w:rFonts w:ascii="Arial" w:hAnsi="Arial" w:cs="Arial"/>
          <w:color w:val="000000" w:themeColor="text1"/>
        </w:rPr>
        <w:t xml:space="preserve"> accountability. Reforms will be achieved by tracking the CCC monthly, rolling cash-flow </w:t>
      </w:r>
      <w:r w:rsidR="00D2718B" w:rsidRPr="0077415D">
        <w:rPr>
          <w:rFonts w:ascii="Arial" w:hAnsi="Arial" w:cs="Arial"/>
          <w:color w:val="000000" w:themeColor="text1"/>
        </w:rPr>
        <w:t>projections</w:t>
      </w:r>
      <w:r w:rsidRPr="0077415D">
        <w:rPr>
          <w:rFonts w:ascii="Arial" w:hAnsi="Arial" w:cs="Arial"/>
          <w:color w:val="000000" w:themeColor="text1"/>
        </w:rPr>
        <w:t xml:space="preserve">, and </w:t>
      </w:r>
      <w:r w:rsidR="00214A29" w:rsidRPr="0077415D">
        <w:rPr>
          <w:rFonts w:ascii="Arial" w:hAnsi="Arial" w:cs="Arial"/>
          <w:color w:val="000000" w:themeColor="text1"/>
        </w:rPr>
        <w:t>linking</w:t>
      </w:r>
      <w:r w:rsidRPr="0077415D">
        <w:rPr>
          <w:rFonts w:ascii="Arial" w:hAnsi="Arial" w:cs="Arial"/>
          <w:color w:val="000000" w:themeColor="text1"/>
        </w:rPr>
        <w:t xml:space="preserve"> cash performance to management incentives. </w:t>
      </w:r>
    </w:p>
    <w:p w14:paraId="4DE405A6" w14:textId="77777777" w:rsidR="00D2718B" w:rsidRPr="0077415D" w:rsidRDefault="00D2718B" w:rsidP="00D2718B">
      <w:pPr>
        <w:pStyle w:val="Heading2"/>
        <w:rPr>
          <w:rFonts w:ascii="Arial" w:hAnsi="Arial" w:cs="Arial"/>
          <w:color w:val="000000" w:themeColor="text1"/>
        </w:rPr>
      </w:pPr>
      <w:bookmarkStart w:id="8" w:name="_Toc214845223"/>
      <w:r w:rsidRPr="0077415D">
        <w:rPr>
          <w:rFonts w:ascii="Arial" w:hAnsi="Arial" w:cs="Arial"/>
          <w:color w:val="000000" w:themeColor="text1"/>
        </w:rPr>
        <w:t>2.3 Compare Short-Term vs Long-Term Financing Options</w:t>
      </w:r>
      <w:bookmarkEnd w:id="8"/>
    </w:p>
    <w:p w14:paraId="713C4C10" w14:textId="5B3E6CC0"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Since the company has lost its profitability and experienced uneven cash flows, </w:t>
      </w:r>
      <w:r w:rsidR="00214A29" w:rsidRPr="0077415D">
        <w:rPr>
          <w:rFonts w:ascii="Arial" w:hAnsi="Arial" w:cs="Arial"/>
          <w:color w:val="000000" w:themeColor="text1"/>
        </w:rPr>
        <w:t xml:space="preserve">the </w:t>
      </w:r>
      <w:r w:rsidRPr="0077415D">
        <w:rPr>
          <w:rFonts w:ascii="Arial" w:hAnsi="Arial" w:cs="Arial"/>
          <w:color w:val="000000" w:themeColor="text1"/>
        </w:rPr>
        <w:t>financing strategy should be well-balanced between flexibility and low costs.</w:t>
      </w:r>
    </w:p>
    <w:p w14:paraId="313EEFBC" w14:textId="612E1307" w:rsidR="00A824F0" w:rsidRPr="0077415D" w:rsidRDefault="00A824F0" w:rsidP="00A824F0">
      <w:pPr>
        <w:rPr>
          <w:rFonts w:ascii="Arial" w:hAnsi="Arial" w:cs="Arial"/>
          <w:color w:val="000000" w:themeColor="text1"/>
        </w:rPr>
      </w:pPr>
      <w:r w:rsidRPr="0077415D">
        <w:rPr>
          <w:rFonts w:ascii="Arial" w:hAnsi="Arial" w:cs="Arial"/>
          <w:b/>
          <w:bCs/>
          <w:color w:val="000000" w:themeColor="text1"/>
        </w:rPr>
        <w:t>Short-term financing.</w:t>
      </w:r>
      <w:r w:rsidRPr="0077415D">
        <w:rPr>
          <w:rFonts w:ascii="Arial" w:hAnsi="Arial" w:cs="Arial"/>
          <w:color w:val="000000" w:themeColor="text1"/>
        </w:rPr>
        <w:t xml:space="preserve"> Short-term instruments offer agility in the case of short-term liquidity </w:t>
      </w:r>
      <w:r w:rsidR="00D2718B" w:rsidRPr="0077415D">
        <w:rPr>
          <w:rFonts w:ascii="Arial" w:hAnsi="Arial" w:cs="Arial"/>
          <w:color w:val="000000" w:themeColor="text1"/>
        </w:rPr>
        <w:t>requirements</w:t>
      </w:r>
      <w:r w:rsidRPr="0077415D">
        <w:rPr>
          <w:rFonts w:ascii="Arial" w:hAnsi="Arial" w:cs="Arial"/>
          <w:color w:val="000000" w:themeColor="text1"/>
        </w:rPr>
        <w:t xml:space="preserve">. Operation shortfalls may be financed by revolving credit facilities, overdrafts, </w:t>
      </w:r>
      <w:r w:rsidR="00214A29" w:rsidRPr="0077415D">
        <w:rPr>
          <w:rFonts w:ascii="Arial" w:hAnsi="Arial" w:cs="Arial"/>
          <w:color w:val="000000" w:themeColor="text1"/>
        </w:rPr>
        <w:t>finance trade</w:t>
      </w:r>
      <w:r w:rsidRPr="0077415D">
        <w:rPr>
          <w:rFonts w:ascii="Arial" w:hAnsi="Arial" w:cs="Arial"/>
          <w:color w:val="000000" w:themeColor="text1"/>
        </w:rPr>
        <w:t xml:space="preserve"> lines and even supplier-financing arrangements</w:t>
      </w:r>
      <w:r w:rsidR="00214A29" w:rsidRPr="0077415D">
        <w:rPr>
          <w:rFonts w:ascii="Arial" w:hAnsi="Arial" w:cs="Arial"/>
          <w:color w:val="000000" w:themeColor="text1"/>
        </w:rPr>
        <w:t>,</w:t>
      </w:r>
      <w:r w:rsidRPr="0077415D">
        <w:rPr>
          <w:rFonts w:ascii="Arial" w:hAnsi="Arial" w:cs="Arial"/>
          <w:color w:val="000000" w:themeColor="text1"/>
        </w:rPr>
        <w:t xml:space="preserve"> but without structural leverage. These are fast sources of cash, but in </w:t>
      </w:r>
      <w:r w:rsidR="00D2718B" w:rsidRPr="0077415D">
        <w:rPr>
          <w:rFonts w:ascii="Arial" w:hAnsi="Arial" w:cs="Arial"/>
          <w:color w:val="000000" w:themeColor="text1"/>
        </w:rPr>
        <w:t>most</w:t>
      </w:r>
      <w:r w:rsidRPr="0077415D">
        <w:rPr>
          <w:rFonts w:ascii="Arial" w:hAnsi="Arial" w:cs="Arial"/>
          <w:color w:val="000000" w:themeColor="text1"/>
        </w:rPr>
        <w:t xml:space="preserve"> cases, the interest rate and the risk of renewal are increased</w:t>
      </w:r>
      <w:r w:rsidR="000C1C1D" w:rsidRPr="0077415D">
        <w:rPr>
          <w:rFonts w:ascii="Arial" w:hAnsi="Arial" w:cs="Arial"/>
          <w:color w:val="000000" w:themeColor="text1"/>
        </w:rPr>
        <w:t xml:space="preserve"> (</w:t>
      </w:r>
      <w:proofErr w:type="spellStart"/>
      <w:r w:rsidR="000C1C1D" w:rsidRPr="0077415D">
        <w:rPr>
          <w:rFonts w:ascii="Arial" w:hAnsi="Arial" w:cs="Arial"/>
          <w:color w:val="000000" w:themeColor="text1"/>
        </w:rPr>
        <w:t>Sudacevschi</w:t>
      </w:r>
      <w:proofErr w:type="spellEnd"/>
      <w:r w:rsidR="000C1C1D" w:rsidRPr="0077415D">
        <w:rPr>
          <w:rFonts w:ascii="Arial" w:hAnsi="Arial" w:cs="Arial"/>
          <w:color w:val="000000" w:themeColor="text1"/>
        </w:rPr>
        <w:t xml:space="preserve"> and Stefan Duicu, 2024)</w:t>
      </w:r>
      <w:r w:rsidRPr="0077415D">
        <w:rPr>
          <w:rFonts w:ascii="Arial" w:hAnsi="Arial" w:cs="Arial"/>
          <w:color w:val="000000" w:themeColor="text1"/>
        </w:rPr>
        <w:t>. Specifically, invoice discounting or factoring will allow accelerating inflows by converting receivables into cash, decreasing reliance on traditional borrowing. Nevertheless, the company should also check the effective cost of these facilities and make sure that they do not replace the improvements that can be made.</w:t>
      </w:r>
    </w:p>
    <w:p w14:paraId="567FC4C1" w14:textId="1E06C226" w:rsidR="00A824F0" w:rsidRPr="0077415D" w:rsidRDefault="00A824F0" w:rsidP="00A824F0">
      <w:pPr>
        <w:rPr>
          <w:rFonts w:ascii="Arial" w:hAnsi="Arial" w:cs="Arial"/>
          <w:color w:val="000000" w:themeColor="text1"/>
        </w:rPr>
      </w:pPr>
      <w:r w:rsidRPr="0077415D">
        <w:rPr>
          <w:rFonts w:ascii="Arial" w:hAnsi="Arial" w:cs="Arial"/>
          <w:b/>
          <w:bCs/>
          <w:color w:val="000000" w:themeColor="text1"/>
        </w:rPr>
        <w:t>Long-term financing.</w:t>
      </w:r>
      <w:r w:rsidRPr="0077415D">
        <w:rPr>
          <w:rFonts w:ascii="Arial" w:hAnsi="Arial" w:cs="Arial"/>
          <w:color w:val="000000" w:themeColor="text1"/>
        </w:rPr>
        <w:t xml:space="preserve"> Long-term instruments, such as term loans, equipment </w:t>
      </w:r>
      <w:r w:rsidR="00214A29" w:rsidRPr="0077415D">
        <w:rPr>
          <w:rFonts w:ascii="Arial" w:hAnsi="Arial" w:cs="Arial"/>
          <w:color w:val="000000" w:themeColor="text1"/>
        </w:rPr>
        <w:t>leases</w:t>
      </w:r>
      <w:r w:rsidRPr="0077415D">
        <w:rPr>
          <w:rFonts w:ascii="Arial" w:hAnsi="Arial" w:cs="Arial"/>
          <w:color w:val="000000" w:themeColor="text1"/>
        </w:rPr>
        <w:t xml:space="preserve">, or bonds, are stable and suitable when </w:t>
      </w:r>
      <w:r w:rsidR="003C2DA0" w:rsidRPr="0077415D">
        <w:rPr>
          <w:rFonts w:ascii="Arial" w:hAnsi="Arial" w:cs="Arial"/>
          <w:color w:val="000000" w:themeColor="text1"/>
        </w:rPr>
        <w:t>funding</w:t>
      </w:r>
      <w:r w:rsidRPr="0077415D">
        <w:rPr>
          <w:rFonts w:ascii="Arial" w:hAnsi="Arial" w:cs="Arial"/>
          <w:color w:val="000000" w:themeColor="text1"/>
        </w:rPr>
        <w:t xml:space="preserve"> fixed needs such as production upgrades or </w:t>
      </w:r>
      <w:proofErr w:type="spellStart"/>
      <w:r w:rsidRPr="0077415D">
        <w:rPr>
          <w:rFonts w:ascii="Arial" w:hAnsi="Arial" w:cs="Arial"/>
          <w:color w:val="000000" w:themeColor="text1"/>
        </w:rPr>
        <w:t>modernising</w:t>
      </w:r>
      <w:proofErr w:type="spellEnd"/>
      <w:r w:rsidRPr="0077415D">
        <w:rPr>
          <w:rFonts w:ascii="Arial" w:hAnsi="Arial" w:cs="Arial"/>
          <w:color w:val="000000" w:themeColor="text1"/>
        </w:rPr>
        <w:t xml:space="preserve"> a system</w:t>
      </w:r>
      <w:r w:rsidR="000C1C1D" w:rsidRPr="0077415D">
        <w:rPr>
          <w:rFonts w:ascii="Arial" w:hAnsi="Arial" w:cs="Arial"/>
          <w:color w:val="000000" w:themeColor="text1"/>
        </w:rPr>
        <w:t xml:space="preserve"> (Rashid, 2021)</w:t>
      </w:r>
      <w:r w:rsidRPr="0077415D">
        <w:rPr>
          <w:rFonts w:ascii="Arial" w:hAnsi="Arial" w:cs="Arial"/>
          <w:color w:val="000000" w:themeColor="text1"/>
        </w:rPr>
        <w:t xml:space="preserve">. However, the operating losses in </w:t>
      </w:r>
      <w:r w:rsidR="003C2DA0" w:rsidRPr="0077415D">
        <w:rPr>
          <w:rFonts w:ascii="Arial" w:hAnsi="Arial" w:cs="Arial"/>
          <w:color w:val="000000" w:themeColor="text1"/>
        </w:rPr>
        <w:t>recent</w:t>
      </w:r>
      <w:r w:rsidRPr="0077415D">
        <w:rPr>
          <w:rFonts w:ascii="Arial" w:hAnsi="Arial" w:cs="Arial"/>
          <w:color w:val="000000" w:themeColor="text1"/>
        </w:rPr>
        <w:t xml:space="preserve"> years and interest coverage of about one time would render additional long-term debt to increase </w:t>
      </w:r>
      <w:r w:rsidRPr="0077415D">
        <w:rPr>
          <w:rFonts w:ascii="Arial" w:hAnsi="Arial" w:cs="Arial"/>
          <w:color w:val="000000" w:themeColor="text1"/>
        </w:rPr>
        <w:lastRenderedPageBreak/>
        <w:t>the financial risk. Until profitability rises, the company should not make capital investments in large quantities (Kratochvil et al., 2023). Alternatively, safer long-term liquidity absorbers could be found by retaining earnings or making limited equity injections.</w:t>
      </w:r>
    </w:p>
    <w:p w14:paraId="7EAC088F" w14:textId="35E09481" w:rsidR="00A824F0" w:rsidRPr="0077415D" w:rsidRDefault="00A824F0" w:rsidP="00A824F0">
      <w:pPr>
        <w:rPr>
          <w:rFonts w:ascii="Arial" w:hAnsi="Arial" w:cs="Arial"/>
          <w:color w:val="000000" w:themeColor="text1"/>
        </w:rPr>
      </w:pPr>
      <w:r w:rsidRPr="0077415D">
        <w:rPr>
          <w:rFonts w:ascii="Arial" w:hAnsi="Arial" w:cs="Arial"/>
          <w:b/>
          <w:bCs/>
          <w:color w:val="000000" w:themeColor="text1"/>
        </w:rPr>
        <w:t>Comparative assessment.</w:t>
      </w:r>
      <w:r w:rsidRPr="0077415D">
        <w:rPr>
          <w:rFonts w:ascii="Arial" w:hAnsi="Arial" w:cs="Arial"/>
          <w:color w:val="000000" w:themeColor="text1"/>
        </w:rPr>
        <w:t xml:space="preserve"> Short-term funds can be used </w:t>
      </w:r>
      <w:r w:rsidR="003C2DA0" w:rsidRPr="0077415D">
        <w:rPr>
          <w:rFonts w:ascii="Arial" w:hAnsi="Arial" w:cs="Arial"/>
          <w:color w:val="000000" w:themeColor="text1"/>
        </w:rPr>
        <w:t>for</w:t>
      </w:r>
      <w:r w:rsidRPr="0077415D">
        <w:rPr>
          <w:rFonts w:ascii="Arial" w:hAnsi="Arial" w:cs="Arial"/>
          <w:color w:val="000000" w:themeColor="text1"/>
        </w:rPr>
        <w:t xml:space="preserve"> </w:t>
      </w:r>
      <w:r w:rsidR="00214A29" w:rsidRPr="0077415D">
        <w:rPr>
          <w:rFonts w:ascii="Arial" w:hAnsi="Arial" w:cs="Arial"/>
          <w:color w:val="000000" w:themeColor="text1"/>
        </w:rPr>
        <w:t>seasonal</w:t>
      </w:r>
      <w:r w:rsidRPr="0077415D">
        <w:rPr>
          <w:rFonts w:ascii="Arial" w:hAnsi="Arial" w:cs="Arial"/>
          <w:color w:val="000000" w:themeColor="text1"/>
        </w:rPr>
        <w:t xml:space="preserve"> or cyclical working-capital requirements</w:t>
      </w:r>
      <w:r w:rsidR="002F29F7" w:rsidRPr="0077415D">
        <w:rPr>
          <w:rFonts w:ascii="Arial" w:hAnsi="Arial" w:cs="Arial"/>
          <w:color w:val="000000" w:themeColor="text1"/>
        </w:rPr>
        <w:t>,</w:t>
      </w:r>
      <w:r w:rsidRPr="0077415D">
        <w:rPr>
          <w:rFonts w:ascii="Arial" w:hAnsi="Arial" w:cs="Arial"/>
          <w:color w:val="000000" w:themeColor="text1"/>
        </w:rPr>
        <w:t xml:space="preserve"> whereas long-term funds can be used </w:t>
      </w:r>
      <w:r w:rsidR="003C2DA0" w:rsidRPr="0077415D">
        <w:rPr>
          <w:rFonts w:ascii="Arial" w:hAnsi="Arial" w:cs="Arial"/>
          <w:color w:val="000000" w:themeColor="text1"/>
        </w:rPr>
        <w:t>for</w:t>
      </w:r>
      <w:r w:rsidRPr="0077415D">
        <w:rPr>
          <w:rFonts w:ascii="Arial" w:hAnsi="Arial" w:cs="Arial"/>
          <w:color w:val="000000" w:themeColor="text1"/>
        </w:rPr>
        <w:t xml:space="preserve"> strategic transformation after the cash flow is stable. Flexibility of liquidity is the focus </w:t>
      </w:r>
      <w:r w:rsidR="003C2DA0" w:rsidRPr="0077415D">
        <w:rPr>
          <w:rFonts w:ascii="Arial" w:hAnsi="Arial" w:cs="Arial"/>
          <w:color w:val="000000" w:themeColor="text1"/>
        </w:rPr>
        <w:t>now</w:t>
      </w:r>
      <w:r w:rsidRPr="0077415D">
        <w:rPr>
          <w:rFonts w:ascii="Arial" w:hAnsi="Arial" w:cs="Arial"/>
          <w:color w:val="000000" w:themeColor="text1"/>
        </w:rPr>
        <w:t xml:space="preserve"> instead of increasing leverage. Thus, the company needs to depend on short-term, revolving facilities with strong working-capital reforms. </w:t>
      </w:r>
    </w:p>
    <w:p w14:paraId="319F0593" w14:textId="77777777" w:rsidR="00C12C38" w:rsidRPr="0077415D" w:rsidRDefault="00C12C38" w:rsidP="00B543BE">
      <w:pPr>
        <w:pStyle w:val="Heading1"/>
        <w:rPr>
          <w:color w:val="000000" w:themeColor="text1"/>
        </w:rPr>
      </w:pPr>
      <w:bookmarkStart w:id="9" w:name="_Toc214845224"/>
      <w:r w:rsidRPr="0077415D">
        <w:rPr>
          <w:color w:val="000000" w:themeColor="text1"/>
        </w:rPr>
        <w:t>3. Strategic Financial Restructuring Plan</w:t>
      </w:r>
      <w:bookmarkEnd w:id="9"/>
    </w:p>
    <w:p w14:paraId="3CA5B623" w14:textId="77777777" w:rsidR="00C12C38" w:rsidRPr="0077415D" w:rsidRDefault="00C12C38" w:rsidP="00C12C38">
      <w:pPr>
        <w:pStyle w:val="Heading2"/>
        <w:rPr>
          <w:rFonts w:ascii="Arial" w:hAnsi="Arial" w:cs="Arial"/>
          <w:color w:val="000000" w:themeColor="text1"/>
        </w:rPr>
      </w:pPr>
      <w:bookmarkStart w:id="10" w:name="_Toc214845225"/>
      <w:r w:rsidRPr="0077415D">
        <w:rPr>
          <w:rFonts w:ascii="Arial" w:hAnsi="Arial" w:cs="Arial"/>
          <w:color w:val="000000" w:themeColor="text1"/>
        </w:rPr>
        <w:t>3.1 Recommend financial restructuring options</w:t>
      </w:r>
      <w:bookmarkEnd w:id="10"/>
      <w:r w:rsidRPr="0077415D">
        <w:rPr>
          <w:rFonts w:ascii="Arial" w:hAnsi="Arial" w:cs="Arial"/>
          <w:color w:val="000000" w:themeColor="text1"/>
        </w:rPr>
        <w:t xml:space="preserve"> </w:t>
      </w:r>
    </w:p>
    <w:p w14:paraId="220FB4C7" w14:textId="3464292B"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General Electronics needs </w:t>
      </w:r>
      <w:r w:rsidR="00214A29" w:rsidRPr="0077415D">
        <w:rPr>
          <w:rFonts w:ascii="Arial" w:hAnsi="Arial" w:cs="Arial"/>
          <w:color w:val="000000" w:themeColor="text1"/>
        </w:rPr>
        <w:t>a well-</w:t>
      </w:r>
      <w:proofErr w:type="spellStart"/>
      <w:r w:rsidR="00214A29" w:rsidRPr="0077415D">
        <w:rPr>
          <w:rFonts w:ascii="Arial" w:hAnsi="Arial" w:cs="Arial"/>
          <w:color w:val="000000" w:themeColor="text1"/>
        </w:rPr>
        <w:t>organised</w:t>
      </w:r>
      <w:proofErr w:type="spellEnd"/>
      <w:r w:rsidRPr="0077415D">
        <w:rPr>
          <w:rFonts w:ascii="Arial" w:hAnsi="Arial" w:cs="Arial"/>
          <w:color w:val="000000" w:themeColor="text1"/>
        </w:rPr>
        <w:t xml:space="preserve"> strategy that enhances solvency, reinstates cash flow, and regains trust. The trends </w:t>
      </w:r>
      <w:r w:rsidR="00832446" w:rsidRPr="0077415D">
        <w:rPr>
          <w:rFonts w:ascii="Arial" w:hAnsi="Arial" w:cs="Arial"/>
          <w:color w:val="000000" w:themeColor="text1"/>
        </w:rPr>
        <w:t xml:space="preserve">in ratios and the Altman score indicate that </w:t>
      </w:r>
      <w:r w:rsidRPr="0077415D">
        <w:rPr>
          <w:rFonts w:ascii="Arial" w:hAnsi="Arial" w:cs="Arial"/>
          <w:color w:val="000000" w:themeColor="text1"/>
        </w:rPr>
        <w:t>risk increases due to operating losses, exhausted cash, and new debt</w:t>
      </w:r>
      <w:r w:rsidR="000C1C1D" w:rsidRPr="0077415D">
        <w:rPr>
          <w:rFonts w:ascii="Arial" w:hAnsi="Arial" w:cs="Arial"/>
          <w:color w:val="000000" w:themeColor="text1"/>
        </w:rPr>
        <w:t xml:space="preserve"> (</w:t>
      </w:r>
      <w:proofErr w:type="spellStart"/>
      <w:r w:rsidR="000C1C1D" w:rsidRPr="0077415D">
        <w:rPr>
          <w:rFonts w:ascii="Arial" w:hAnsi="Arial" w:cs="Arial"/>
          <w:color w:val="000000" w:themeColor="text1"/>
        </w:rPr>
        <w:t>Mavlutova</w:t>
      </w:r>
      <w:proofErr w:type="spellEnd"/>
      <w:r w:rsidR="000C1C1D" w:rsidRPr="0077415D">
        <w:rPr>
          <w:rFonts w:ascii="Arial" w:hAnsi="Arial" w:cs="Arial"/>
          <w:color w:val="000000" w:themeColor="text1"/>
        </w:rPr>
        <w:t xml:space="preserve"> et al. 2021)</w:t>
      </w:r>
      <w:r w:rsidRPr="0077415D">
        <w:rPr>
          <w:rFonts w:ascii="Arial" w:hAnsi="Arial" w:cs="Arial"/>
          <w:color w:val="000000" w:themeColor="text1"/>
        </w:rPr>
        <w:t xml:space="preserve">. An acceptable strategy must entail increasing liquidity, strengthening capital and </w:t>
      </w:r>
      <w:proofErr w:type="spellStart"/>
      <w:r w:rsidR="002F29F7" w:rsidRPr="0077415D">
        <w:rPr>
          <w:rFonts w:ascii="Arial" w:hAnsi="Arial" w:cs="Arial"/>
          <w:color w:val="000000" w:themeColor="text1"/>
        </w:rPr>
        <w:t>emphasising</w:t>
      </w:r>
      <w:proofErr w:type="spellEnd"/>
      <w:r w:rsidRPr="0077415D">
        <w:rPr>
          <w:rFonts w:ascii="Arial" w:hAnsi="Arial" w:cs="Arial"/>
          <w:color w:val="000000" w:themeColor="text1"/>
        </w:rPr>
        <w:t xml:space="preserve"> operations.</w:t>
      </w:r>
    </w:p>
    <w:p w14:paraId="4F9701BF" w14:textId="4C2D4775"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Non-core activities can be divested selectively to bring cash </w:t>
      </w:r>
      <w:r w:rsidR="002F29F7" w:rsidRPr="0077415D">
        <w:rPr>
          <w:rFonts w:ascii="Arial" w:hAnsi="Arial" w:cs="Arial"/>
          <w:color w:val="000000" w:themeColor="text1"/>
        </w:rPr>
        <w:t>fast but</w:t>
      </w:r>
      <w:r w:rsidRPr="0077415D">
        <w:rPr>
          <w:rFonts w:ascii="Arial" w:hAnsi="Arial" w:cs="Arial"/>
          <w:color w:val="000000" w:themeColor="text1"/>
        </w:rPr>
        <w:t xml:space="preserve"> focus strategic coherence further. Some of the candidates are peripheral product lines, surplus real estate and low </w:t>
      </w:r>
      <w:proofErr w:type="spellStart"/>
      <w:r w:rsidRPr="0077415D">
        <w:rPr>
          <w:rFonts w:ascii="Arial" w:hAnsi="Arial" w:cs="Arial"/>
          <w:color w:val="000000" w:themeColor="text1"/>
        </w:rPr>
        <w:t>utilisation</w:t>
      </w:r>
      <w:proofErr w:type="spellEnd"/>
      <w:r w:rsidRPr="0077415D">
        <w:rPr>
          <w:rFonts w:ascii="Arial" w:hAnsi="Arial" w:cs="Arial"/>
          <w:color w:val="000000" w:themeColor="text1"/>
        </w:rPr>
        <w:t xml:space="preserve"> equipment. The proceeds of sales must </w:t>
      </w:r>
      <w:r w:rsidR="00832446" w:rsidRPr="0077415D">
        <w:rPr>
          <w:rFonts w:ascii="Arial" w:hAnsi="Arial" w:cs="Arial"/>
          <w:color w:val="000000" w:themeColor="text1"/>
        </w:rPr>
        <w:t xml:space="preserve">be used to fund working capital, pay for costly short-term facilities, and support </w:t>
      </w:r>
      <w:r w:rsidRPr="0077415D">
        <w:rPr>
          <w:rFonts w:ascii="Arial" w:hAnsi="Arial" w:cs="Arial"/>
          <w:color w:val="000000" w:themeColor="text1"/>
        </w:rPr>
        <w:t>process enhancements (</w:t>
      </w:r>
      <w:proofErr w:type="spellStart"/>
      <w:r w:rsidRPr="0077415D">
        <w:rPr>
          <w:rFonts w:ascii="Arial" w:hAnsi="Arial" w:cs="Arial"/>
          <w:color w:val="000000" w:themeColor="text1"/>
        </w:rPr>
        <w:t>Sivararajan</w:t>
      </w:r>
      <w:proofErr w:type="spellEnd"/>
      <w:r w:rsidRPr="0077415D">
        <w:rPr>
          <w:rFonts w:ascii="Arial" w:hAnsi="Arial" w:cs="Arial"/>
          <w:color w:val="000000" w:themeColor="text1"/>
        </w:rPr>
        <w:t>, 2024). Value shall be preserved and stranded costs reduced through independent valuations, competitive bidding and careful disentangling of shared services.</w:t>
      </w:r>
    </w:p>
    <w:p w14:paraId="6F2AE9DB" w14:textId="528CB564"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The second pillar is an equity injection. Further leverage is not safe, as debt to equity is increasing, and interest cover is low. Premeditation is maintained </w:t>
      </w:r>
      <w:r w:rsidR="00832446" w:rsidRPr="0077415D">
        <w:rPr>
          <w:rFonts w:ascii="Arial" w:hAnsi="Arial" w:cs="Arial"/>
          <w:color w:val="000000" w:themeColor="text1"/>
        </w:rPr>
        <w:t>as</w:t>
      </w:r>
      <w:r w:rsidRPr="0077415D">
        <w:rPr>
          <w:rFonts w:ascii="Arial" w:hAnsi="Arial" w:cs="Arial"/>
          <w:color w:val="000000" w:themeColor="text1"/>
        </w:rPr>
        <w:t xml:space="preserve"> a rights issue to current shareholders, and fairness is indicated. The fresh equity is to be </w:t>
      </w:r>
      <w:r w:rsidR="00832446" w:rsidRPr="0077415D">
        <w:rPr>
          <w:rFonts w:ascii="Arial" w:hAnsi="Arial" w:cs="Arial"/>
          <w:color w:val="000000" w:themeColor="text1"/>
        </w:rPr>
        <w:t>ring-fenced</w:t>
      </w:r>
      <w:r w:rsidRPr="0077415D">
        <w:rPr>
          <w:rFonts w:ascii="Arial" w:hAnsi="Arial" w:cs="Arial"/>
          <w:color w:val="000000" w:themeColor="text1"/>
        </w:rPr>
        <w:t xml:space="preserve"> to finance the milestones of restructuring</w:t>
      </w:r>
      <w:r w:rsidR="00832446" w:rsidRPr="0077415D">
        <w:rPr>
          <w:rFonts w:ascii="Arial" w:hAnsi="Arial" w:cs="Arial"/>
          <w:color w:val="000000" w:themeColor="text1"/>
        </w:rPr>
        <w:t>,</w:t>
      </w:r>
      <w:r w:rsidRPr="0077415D">
        <w:rPr>
          <w:rFonts w:ascii="Arial" w:hAnsi="Arial" w:cs="Arial"/>
          <w:color w:val="000000" w:themeColor="text1"/>
        </w:rPr>
        <w:t xml:space="preserve"> such as </w:t>
      </w:r>
      <w:proofErr w:type="spellStart"/>
      <w:r w:rsidRPr="0077415D">
        <w:rPr>
          <w:rFonts w:ascii="Arial" w:hAnsi="Arial" w:cs="Arial"/>
          <w:color w:val="000000" w:themeColor="text1"/>
        </w:rPr>
        <w:t>modernisation</w:t>
      </w:r>
      <w:proofErr w:type="spellEnd"/>
      <w:r w:rsidRPr="0077415D">
        <w:rPr>
          <w:rFonts w:ascii="Arial" w:hAnsi="Arial" w:cs="Arial"/>
          <w:color w:val="000000" w:themeColor="text1"/>
        </w:rPr>
        <w:t xml:space="preserve"> of systems, inventory analytics, and product </w:t>
      </w:r>
      <w:proofErr w:type="spellStart"/>
      <w:r w:rsidRPr="0077415D">
        <w:rPr>
          <w:rFonts w:ascii="Arial" w:hAnsi="Arial" w:cs="Arial"/>
          <w:color w:val="000000" w:themeColor="text1"/>
        </w:rPr>
        <w:t>rationalisation</w:t>
      </w:r>
      <w:proofErr w:type="spellEnd"/>
      <w:r w:rsidRPr="0077415D">
        <w:rPr>
          <w:rFonts w:ascii="Arial" w:hAnsi="Arial" w:cs="Arial"/>
          <w:color w:val="000000" w:themeColor="text1"/>
        </w:rPr>
        <w:t xml:space="preserve"> to ensure that investors </w:t>
      </w:r>
      <w:r w:rsidR="00C12C38" w:rsidRPr="0077415D">
        <w:rPr>
          <w:rFonts w:ascii="Arial" w:hAnsi="Arial" w:cs="Arial"/>
          <w:color w:val="000000" w:themeColor="text1"/>
        </w:rPr>
        <w:t>can</w:t>
      </w:r>
      <w:r w:rsidRPr="0077415D">
        <w:rPr>
          <w:rFonts w:ascii="Arial" w:hAnsi="Arial" w:cs="Arial"/>
          <w:color w:val="000000" w:themeColor="text1"/>
        </w:rPr>
        <w:t xml:space="preserve"> monitor progress in relation to well-promulgated goals.</w:t>
      </w:r>
    </w:p>
    <w:p w14:paraId="5C5A5EDB" w14:textId="3E25C1B6" w:rsidR="00A824F0" w:rsidRPr="0077415D" w:rsidRDefault="00A824F0" w:rsidP="00A824F0">
      <w:pPr>
        <w:rPr>
          <w:rFonts w:ascii="Arial" w:hAnsi="Arial" w:cs="Arial"/>
          <w:color w:val="000000" w:themeColor="text1"/>
        </w:rPr>
      </w:pPr>
      <w:r w:rsidRPr="0077415D">
        <w:rPr>
          <w:rFonts w:ascii="Arial" w:hAnsi="Arial" w:cs="Arial"/>
          <w:color w:val="000000" w:themeColor="text1"/>
        </w:rPr>
        <w:lastRenderedPageBreak/>
        <w:t xml:space="preserve">Repair can be fastened through a strategic merger or joint venture. This would enable the buying of scale, joint research and footprints of manufacturing that are </w:t>
      </w:r>
      <w:proofErr w:type="spellStart"/>
      <w:r w:rsidRPr="0077415D">
        <w:rPr>
          <w:rFonts w:ascii="Arial" w:hAnsi="Arial" w:cs="Arial"/>
          <w:color w:val="000000" w:themeColor="text1"/>
        </w:rPr>
        <w:t>rationalised</w:t>
      </w:r>
      <w:proofErr w:type="spellEnd"/>
      <w:r w:rsidRPr="0077415D">
        <w:rPr>
          <w:rFonts w:ascii="Arial" w:hAnsi="Arial" w:cs="Arial"/>
          <w:color w:val="000000" w:themeColor="text1"/>
        </w:rPr>
        <w:t xml:space="preserve"> by buying a complementary electronics player</w:t>
      </w:r>
      <w:r w:rsidR="000C1C1D" w:rsidRPr="0077415D">
        <w:rPr>
          <w:rFonts w:ascii="Arial" w:hAnsi="Arial" w:cs="Arial"/>
          <w:color w:val="000000" w:themeColor="text1"/>
        </w:rPr>
        <w:t xml:space="preserve"> (</w:t>
      </w:r>
      <w:proofErr w:type="spellStart"/>
      <w:r w:rsidR="000C1C1D" w:rsidRPr="0077415D">
        <w:rPr>
          <w:rFonts w:ascii="Arial" w:hAnsi="Arial" w:cs="Arial"/>
          <w:color w:val="000000" w:themeColor="text1"/>
        </w:rPr>
        <w:t>Oyeyipo</w:t>
      </w:r>
      <w:proofErr w:type="spellEnd"/>
      <w:r w:rsidR="000C1C1D" w:rsidRPr="0077415D">
        <w:rPr>
          <w:rFonts w:ascii="Arial" w:hAnsi="Arial" w:cs="Arial"/>
          <w:color w:val="000000" w:themeColor="text1"/>
        </w:rPr>
        <w:t xml:space="preserve"> et al. 2023)</w:t>
      </w:r>
      <w:r w:rsidRPr="0077415D">
        <w:rPr>
          <w:rFonts w:ascii="Arial" w:hAnsi="Arial" w:cs="Arial"/>
          <w:color w:val="000000" w:themeColor="text1"/>
        </w:rPr>
        <w:t xml:space="preserve">. An alliance with a distribution expert would </w:t>
      </w:r>
      <w:r w:rsidR="00C12C38" w:rsidRPr="0077415D">
        <w:rPr>
          <w:rFonts w:ascii="Arial" w:hAnsi="Arial" w:cs="Arial"/>
          <w:color w:val="000000" w:themeColor="text1"/>
        </w:rPr>
        <w:t>open</w:t>
      </w:r>
      <w:r w:rsidRPr="0077415D">
        <w:rPr>
          <w:rFonts w:ascii="Arial" w:hAnsi="Arial" w:cs="Arial"/>
          <w:color w:val="000000" w:themeColor="text1"/>
        </w:rPr>
        <w:t xml:space="preserve"> international markets at reduced initial risk. All the transactions </w:t>
      </w:r>
      <w:r w:rsidR="00C12C38" w:rsidRPr="0077415D">
        <w:rPr>
          <w:rFonts w:ascii="Arial" w:hAnsi="Arial" w:cs="Arial"/>
          <w:color w:val="000000" w:themeColor="text1"/>
        </w:rPr>
        <w:t>must</w:t>
      </w:r>
      <w:r w:rsidRPr="0077415D">
        <w:rPr>
          <w:rFonts w:ascii="Arial" w:hAnsi="Arial" w:cs="Arial"/>
          <w:color w:val="000000" w:themeColor="text1"/>
        </w:rPr>
        <w:t xml:space="preserve"> be supported by strong due diligence, sporadic synergy suppositions, and </w:t>
      </w:r>
      <w:r w:rsidR="00832446" w:rsidRPr="0077415D">
        <w:rPr>
          <w:rFonts w:ascii="Arial" w:hAnsi="Arial" w:cs="Arial"/>
          <w:color w:val="000000" w:themeColor="text1"/>
        </w:rPr>
        <w:t xml:space="preserve">an </w:t>
      </w:r>
      <w:r w:rsidRPr="0077415D">
        <w:rPr>
          <w:rFonts w:ascii="Arial" w:hAnsi="Arial" w:cs="Arial"/>
          <w:color w:val="000000" w:themeColor="text1"/>
        </w:rPr>
        <w:t xml:space="preserve">integration blueprint that </w:t>
      </w:r>
      <w:r w:rsidR="00832446" w:rsidRPr="0077415D">
        <w:rPr>
          <w:rFonts w:ascii="Arial" w:hAnsi="Arial" w:cs="Arial"/>
          <w:color w:val="000000" w:themeColor="text1"/>
        </w:rPr>
        <w:t>safeguards</w:t>
      </w:r>
      <w:r w:rsidRPr="0077415D">
        <w:rPr>
          <w:rFonts w:ascii="Arial" w:hAnsi="Arial" w:cs="Arial"/>
          <w:color w:val="000000" w:themeColor="text1"/>
        </w:rPr>
        <w:t xml:space="preserve"> customers and talent.</w:t>
      </w:r>
    </w:p>
    <w:p w14:paraId="2348CFDC" w14:textId="0853C5EB"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These measures should be backed by debt restructuring. The management is to negotiate maturity extensions, covenant resets based on EBITDA milestones, as well as </w:t>
      </w:r>
      <w:r w:rsidR="00832446" w:rsidRPr="0077415D">
        <w:rPr>
          <w:rFonts w:ascii="Arial" w:hAnsi="Arial" w:cs="Arial"/>
          <w:color w:val="000000" w:themeColor="text1"/>
        </w:rPr>
        <w:t xml:space="preserve">the </w:t>
      </w:r>
      <w:r w:rsidRPr="0077415D">
        <w:rPr>
          <w:rFonts w:ascii="Arial" w:hAnsi="Arial" w:cs="Arial"/>
          <w:color w:val="000000" w:themeColor="text1"/>
        </w:rPr>
        <w:t xml:space="preserve">conversion of volatile overdrafts into committed revolving credit facilities. Where suitable, partial </w:t>
      </w:r>
      <w:r w:rsidR="00832446" w:rsidRPr="0077415D">
        <w:rPr>
          <w:rFonts w:ascii="Arial" w:hAnsi="Arial" w:cs="Arial"/>
          <w:color w:val="000000" w:themeColor="text1"/>
        </w:rPr>
        <w:t>debt-to-equity</w:t>
      </w:r>
      <w:r w:rsidRPr="0077415D">
        <w:rPr>
          <w:rFonts w:ascii="Arial" w:hAnsi="Arial" w:cs="Arial"/>
          <w:color w:val="000000" w:themeColor="text1"/>
        </w:rPr>
        <w:t xml:space="preserve"> swaps may reduce cash interest and make lender incentives consistent with the turnaround</w:t>
      </w:r>
      <w:r w:rsidR="000C1C1D" w:rsidRPr="0077415D">
        <w:rPr>
          <w:rFonts w:ascii="Arial" w:hAnsi="Arial" w:cs="Arial"/>
          <w:color w:val="000000" w:themeColor="text1"/>
        </w:rPr>
        <w:t xml:space="preserve"> (</w:t>
      </w:r>
      <w:proofErr w:type="spellStart"/>
      <w:r w:rsidR="000C1C1D" w:rsidRPr="0077415D">
        <w:rPr>
          <w:rFonts w:ascii="Arial" w:hAnsi="Arial" w:cs="Arial"/>
          <w:color w:val="000000" w:themeColor="text1"/>
        </w:rPr>
        <w:t>Alsharari</w:t>
      </w:r>
      <w:proofErr w:type="spellEnd"/>
      <w:r w:rsidR="000C1C1D" w:rsidRPr="0077415D">
        <w:rPr>
          <w:rFonts w:ascii="Arial" w:hAnsi="Arial" w:cs="Arial"/>
          <w:color w:val="000000" w:themeColor="text1"/>
        </w:rPr>
        <w:t>, 2024)</w:t>
      </w:r>
      <w:r w:rsidRPr="0077415D">
        <w:rPr>
          <w:rFonts w:ascii="Arial" w:hAnsi="Arial" w:cs="Arial"/>
          <w:color w:val="000000" w:themeColor="text1"/>
        </w:rPr>
        <w:t>. The goal is that it will have a smoother repayment profile that would be equal to operating cash generation.</w:t>
      </w:r>
      <w:r w:rsidR="00EE7B45" w:rsidRPr="0077415D">
        <w:rPr>
          <w:rFonts w:ascii="Arial" w:hAnsi="Arial" w:cs="Arial"/>
          <w:color w:val="000000" w:themeColor="text1"/>
        </w:rPr>
        <w:t xml:space="preserve"> </w:t>
      </w:r>
      <w:r w:rsidRPr="0077415D">
        <w:rPr>
          <w:rFonts w:ascii="Arial" w:hAnsi="Arial" w:cs="Arial"/>
          <w:color w:val="000000" w:themeColor="text1"/>
        </w:rPr>
        <w:t xml:space="preserve">Lastly, an operation excellence </w:t>
      </w:r>
      <w:proofErr w:type="spellStart"/>
      <w:r w:rsidRPr="0077415D">
        <w:rPr>
          <w:rFonts w:ascii="Arial" w:hAnsi="Arial" w:cs="Arial"/>
          <w:color w:val="000000" w:themeColor="text1"/>
        </w:rPr>
        <w:t>programme</w:t>
      </w:r>
      <w:proofErr w:type="spellEnd"/>
      <w:r w:rsidRPr="0077415D">
        <w:rPr>
          <w:rFonts w:ascii="Arial" w:hAnsi="Arial" w:cs="Arial"/>
          <w:color w:val="000000" w:themeColor="text1"/>
        </w:rPr>
        <w:t xml:space="preserve"> should be accompanied </w:t>
      </w:r>
      <w:r w:rsidR="00C12C38" w:rsidRPr="0077415D">
        <w:rPr>
          <w:rFonts w:ascii="Arial" w:hAnsi="Arial" w:cs="Arial"/>
          <w:color w:val="000000" w:themeColor="text1"/>
        </w:rPr>
        <w:t>by</w:t>
      </w:r>
      <w:r w:rsidRPr="0077415D">
        <w:rPr>
          <w:rFonts w:ascii="Arial" w:hAnsi="Arial" w:cs="Arial"/>
          <w:color w:val="000000" w:themeColor="text1"/>
        </w:rPr>
        <w:t xml:space="preserve"> financial repair. </w:t>
      </w:r>
    </w:p>
    <w:p w14:paraId="252FFD9F" w14:textId="77777777" w:rsidR="002824C5" w:rsidRPr="0077415D" w:rsidRDefault="002824C5" w:rsidP="002824C5">
      <w:pPr>
        <w:pStyle w:val="Heading2"/>
        <w:rPr>
          <w:rFonts w:ascii="Arial" w:hAnsi="Arial" w:cs="Arial"/>
          <w:color w:val="000000" w:themeColor="text1"/>
        </w:rPr>
      </w:pPr>
      <w:bookmarkStart w:id="11" w:name="_Toc214845226"/>
      <w:r w:rsidRPr="0077415D">
        <w:rPr>
          <w:rFonts w:ascii="Arial" w:hAnsi="Arial" w:cs="Arial"/>
          <w:color w:val="000000" w:themeColor="text1"/>
        </w:rPr>
        <w:t>3.2 Evaluate impact on shareholder value, debt structure, and operational flexibility</w:t>
      </w:r>
      <w:bookmarkEnd w:id="11"/>
    </w:p>
    <w:p w14:paraId="2B6B5A30" w14:textId="0B05AB38"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The suggested options affect the creation of value in three ways. To begin with, divestiture </w:t>
      </w:r>
      <w:r w:rsidR="00F011E0">
        <w:rPr>
          <w:rFonts w:ascii="Arial" w:hAnsi="Arial" w:cs="Arial"/>
          <w:color w:val="000000" w:themeColor="text1"/>
        </w:rPr>
        <w:t>influences</w:t>
      </w:r>
      <w:r w:rsidRPr="0077415D">
        <w:rPr>
          <w:rFonts w:ascii="Arial" w:hAnsi="Arial" w:cs="Arial"/>
          <w:color w:val="000000" w:themeColor="text1"/>
        </w:rPr>
        <w:t xml:space="preserve"> earnings mix and capital intensity. Selling </w:t>
      </w:r>
      <w:r w:rsidR="00F011E0">
        <w:rPr>
          <w:rFonts w:ascii="Arial" w:hAnsi="Arial" w:cs="Arial"/>
          <w:color w:val="000000" w:themeColor="text1"/>
        </w:rPr>
        <w:t>low pay</w:t>
      </w:r>
      <w:r w:rsidR="0077415D">
        <w:rPr>
          <w:rFonts w:ascii="Arial" w:hAnsi="Arial" w:cs="Arial"/>
          <w:color w:val="000000" w:themeColor="text1"/>
        </w:rPr>
        <w:t>-off</w:t>
      </w:r>
      <w:r w:rsidRPr="0077415D">
        <w:rPr>
          <w:rFonts w:ascii="Arial" w:hAnsi="Arial" w:cs="Arial"/>
          <w:color w:val="000000" w:themeColor="text1"/>
        </w:rPr>
        <w:t xml:space="preserve"> assets generally amplifies the returns on the capital invested and decreases </w:t>
      </w:r>
      <w:r w:rsidR="002824C5" w:rsidRPr="0077415D">
        <w:rPr>
          <w:rFonts w:ascii="Arial" w:hAnsi="Arial" w:cs="Arial"/>
          <w:color w:val="000000" w:themeColor="text1"/>
        </w:rPr>
        <w:t>volatility</w:t>
      </w:r>
      <w:r w:rsidRPr="0077415D">
        <w:rPr>
          <w:rFonts w:ascii="Arial" w:hAnsi="Arial" w:cs="Arial"/>
          <w:color w:val="000000" w:themeColor="text1"/>
        </w:rPr>
        <w:t>. When the proceeds to purchase expensive debt, interest savings increase the quality of earnings and boost valuation multiples</w:t>
      </w:r>
      <w:r w:rsidR="000C1C1D" w:rsidRPr="0077415D">
        <w:rPr>
          <w:rFonts w:ascii="Arial" w:hAnsi="Arial" w:cs="Arial"/>
          <w:color w:val="000000" w:themeColor="text1"/>
        </w:rPr>
        <w:t xml:space="preserve"> (</w:t>
      </w:r>
      <w:proofErr w:type="spellStart"/>
      <w:r w:rsidR="000C1C1D" w:rsidRPr="0077415D">
        <w:rPr>
          <w:rFonts w:ascii="Arial" w:hAnsi="Arial" w:cs="Arial"/>
          <w:color w:val="000000" w:themeColor="text1"/>
        </w:rPr>
        <w:t>Ritchken</w:t>
      </w:r>
      <w:proofErr w:type="spellEnd"/>
      <w:r w:rsidR="000C1C1D" w:rsidRPr="0077415D">
        <w:rPr>
          <w:rFonts w:ascii="Arial" w:hAnsi="Arial" w:cs="Arial"/>
          <w:color w:val="000000" w:themeColor="text1"/>
        </w:rPr>
        <w:t xml:space="preserve"> and Wu, 2021)</w:t>
      </w:r>
      <w:r w:rsidRPr="0077415D">
        <w:rPr>
          <w:rFonts w:ascii="Arial" w:hAnsi="Arial" w:cs="Arial"/>
          <w:color w:val="000000" w:themeColor="text1"/>
        </w:rPr>
        <w:t>. The danger is that of selling strategic options at a low price. Strict portfolio testing should be conducted so that the rest of the core is able to continue to scale and innovate.</w:t>
      </w:r>
    </w:p>
    <w:p w14:paraId="506FBC60" w14:textId="12A1C5D9"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Second, issuance of equity dilutes </w:t>
      </w:r>
      <w:r w:rsidR="002824C5" w:rsidRPr="0077415D">
        <w:rPr>
          <w:rFonts w:ascii="Arial" w:hAnsi="Arial" w:cs="Arial"/>
          <w:color w:val="000000" w:themeColor="text1"/>
        </w:rPr>
        <w:t>ownership</w:t>
      </w:r>
      <w:r w:rsidRPr="0077415D">
        <w:rPr>
          <w:rFonts w:ascii="Arial" w:hAnsi="Arial" w:cs="Arial"/>
          <w:color w:val="000000" w:themeColor="text1"/>
        </w:rPr>
        <w:t xml:space="preserve"> but reduces financial risk. Credible </w:t>
      </w:r>
      <w:proofErr w:type="spellStart"/>
      <w:r w:rsidRPr="0077415D">
        <w:rPr>
          <w:rFonts w:ascii="Arial" w:hAnsi="Arial" w:cs="Arial"/>
          <w:color w:val="000000" w:themeColor="text1"/>
        </w:rPr>
        <w:t>recapitalisations</w:t>
      </w:r>
      <w:proofErr w:type="spellEnd"/>
      <w:r w:rsidRPr="0077415D">
        <w:rPr>
          <w:rFonts w:ascii="Arial" w:hAnsi="Arial" w:cs="Arial"/>
          <w:color w:val="000000" w:themeColor="text1"/>
        </w:rPr>
        <w:t xml:space="preserve"> that </w:t>
      </w:r>
      <w:proofErr w:type="spellStart"/>
      <w:r w:rsidRPr="0077415D">
        <w:rPr>
          <w:rFonts w:ascii="Arial" w:hAnsi="Arial" w:cs="Arial"/>
          <w:color w:val="000000" w:themeColor="text1"/>
        </w:rPr>
        <w:t>stabilise</w:t>
      </w:r>
      <w:proofErr w:type="spellEnd"/>
      <w:r w:rsidRPr="0077415D">
        <w:rPr>
          <w:rFonts w:ascii="Arial" w:hAnsi="Arial" w:cs="Arial"/>
          <w:color w:val="000000" w:themeColor="text1"/>
        </w:rPr>
        <w:t xml:space="preserve"> the firm and safeguard going concern value are usually rewarded by investors. In case there is an additional equity </w:t>
      </w:r>
      <w:r w:rsidR="002824C5" w:rsidRPr="0077415D">
        <w:rPr>
          <w:rFonts w:ascii="Arial" w:hAnsi="Arial" w:cs="Arial"/>
          <w:color w:val="000000" w:themeColor="text1"/>
        </w:rPr>
        <w:t>rise</w:t>
      </w:r>
      <w:r w:rsidRPr="0077415D">
        <w:rPr>
          <w:rFonts w:ascii="Arial" w:hAnsi="Arial" w:cs="Arial"/>
          <w:color w:val="000000" w:themeColor="text1"/>
        </w:rPr>
        <w:t xml:space="preserve"> amounting to fifty million and used in </w:t>
      </w:r>
      <w:proofErr w:type="spellStart"/>
      <w:r w:rsidRPr="0077415D">
        <w:rPr>
          <w:rFonts w:ascii="Arial" w:hAnsi="Arial" w:cs="Arial"/>
          <w:color w:val="000000" w:themeColor="text1"/>
        </w:rPr>
        <w:t>unleveraging</w:t>
      </w:r>
      <w:proofErr w:type="spellEnd"/>
      <w:r w:rsidRPr="0077415D">
        <w:rPr>
          <w:rFonts w:ascii="Arial" w:hAnsi="Arial" w:cs="Arial"/>
          <w:color w:val="000000" w:themeColor="text1"/>
        </w:rPr>
        <w:t xml:space="preserve"> and working capital, the interest coverage should be enhanced significantly. The market will compare the governance of proceeds (De Smet et al., 2023). Value leakage is alleviated through </w:t>
      </w:r>
      <w:r w:rsidR="00832446" w:rsidRPr="0077415D">
        <w:rPr>
          <w:rFonts w:ascii="Arial" w:hAnsi="Arial" w:cs="Arial"/>
          <w:color w:val="000000" w:themeColor="text1"/>
        </w:rPr>
        <w:t>ring-fenced</w:t>
      </w:r>
      <w:r w:rsidRPr="0077415D">
        <w:rPr>
          <w:rFonts w:ascii="Arial" w:hAnsi="Arial" w:cs="Arial"/>
          <w:color w:val="000000" w:themeColor="text1"/>
        </w:rPr>
        <w:t xml:space="preserve"> spending and milestone reporting and </w:t>
      </w:r>
      <w:r w:rsidR="00832446" w:rsidRPr="0077415D">
        <w:rPr>
          <w:rFonts w:ascii="Arial" w:hAnsi="Arial" w:cs="Arial"/>
          <w:color w:val="000000" w:themeColor="text1"/>
        </w:rPr>
        <w:t>board-level</w:t>
      </w:r>
      <w:r w:rsidRPr="0077415D">
        <w:rPr>
          <w:rFonts w:ascii="Arial" w:hAnsi="Arial" w:cs="Arial"/>
          <w:color w:val="000000" w:themeColor="text1"/>
        </w:rPr>
        <w:t xml:space="preserve"> oversight.</w:t>
      </w:r>
    </w:p>
    <w:p w14:paraId="699AA004" w14:textId="764264FD" w:rsidR="00A824F0" w:rsidRPr="0077415D" w:rsidRDefault="00A824F0" w:rsidP="00A824F0">
      <w:pPr>
        <w:rPr>
          <w:rFonts w:ascii="Arial" w:hAnsi="Arial" w:cs="Arial"/>
          <w:color w:val="000000" w:themeColor="text1"/>
        </w:rPr>
      </w:pPr>
      <w:r w:rsidRPr="0077415D">
        <w:rPr>
          <w:rFonts w:ascii="Arial" w:hAnsi="Arial" w:cs="Arial"/>
          <w:color w:val="000000" w:themeColor="text1"/>
        </w:rPr>
        <w:lastRenderedPageBreak/>
        <w:t xml:space="preserve">Third, through mergers or </w:t>
      </w:r>
      <w:r w:rsidR="00832446" w:rsidRPr="0077415D">
        <w:rPr>
          <w:rFonts w:ascii="Arial" w:hAnsi="Arial" w:cs="Arial"/>
          <w:color w:val="000000" w:themeColor="text1"/>
        </w:rPr>
        <w:t>joint ventures</w:t>
      </w:r>
      <w:r w:rsidRPr="0077415D">
        <w:rPr>
          <w:rFonts w:ascii="Arial" w:hAnsi="Arial" w:cs="Arial"/>
          <w:color w:val="000000" w:themeColor="text1"/>
        </w:rPr>
        <w:t xml:space="preserve">, step change value can be achieved in case synergies are actual and integration is rigorous. The advantages are that there will be procurement discounts, sharing of development costs and enhancement of load factors among the plants. These expenses are transaction costs, cultural friction, and system </w:t>
      </w:r>
      <w:r w:rsidR="000C1C1D" w:rsidRPr="0077415D">
        <w:rPr>
          <w:rFonts w:ascii="Arial" w:hAnsi="Arial" w:cs="Arial"/>
          <w:color w:val="000000" w:themeColor="text1"/>
        </w:rPr>
        <w:t>harmonization (Putri and Willim, 2024)</w:t>
      </w:r>
      <w:r w:rsidRPr="0077415D">
        <w:rPr>
          <w:rFonts w:ascii="Arial" w:hAnsi="Arial" w:cs="Arial"/>
          <w:color w:val="000000" w:themeColor="text1"/>
        </w:rPr>
        <w:t xml:space="preserve">. The management is supposed to establish a synergy </w:t>
      </w:r>
      <w:proofErr w:type="spellStart"/>
      <w:r w:rsidRPr="0077415D">
        <w:rPr>
          <w:rFonts w:ascii="Arial" w:hAnsi="Arial" w:cs="Arial"/>
          <w:color w:val="000000" w:themeColor="text1"/>
        </w:rPr>
        <w:t>realisation</w:t>
      </w:r>
      <w:proofErr w:type="spellEnd"/>
      <w:r w:rsidRPr="0077415D">
        <w:rPr>
          <w:rFonts w:ascii="Arial" w:hAnsi="Arial" w:cs="Arial"/>
          <w:color w:val="000000" w:themeColor="text1"/>
        </w:rPr>
        <w:t xml:space="preserve"> office with specific responsibilities, protection of day one customers and quarterly scorecards to ensure that the benefits are transferred to cash.</w:t>
      </w:r>
    </w:p>
    <w:p w14:paraId="6BF99DEE" w14:textId="5D937DC9"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The plan increases the strength of the debt structure. </w:t>
      </w:r>
      <w:r w:rsidR="00832446" w:rsidRPr="0077415D">
        <w:rPr>
          <w:rFonts w:ascii="Arial" w:hAnsi="Arial" w:cs="Arial"/>
          <w:color w:val="000000" w:themeColor="text1"/>
        </w:rPr>
        <w:t>Short-term</w:t>
      </w:r>
      <w:r w:rsidRPr="0077415D">
        <w:rPr>
          <w:rFonts w:ascii="Arial" w:hAnsi="Arial" w:cs="Arial"/>
          <w:color w:val="000000" w:themeColor="text1"/>
        </w:rPr>
        <w:t xml:space="preserve">, </w:t>
      </w:r>
      <w:r w:rsidR="002824C5" w:rsidRPr="0077415D">
        <w:rPr>
          <w:rFonts w:ascii="Arial" w:hAnsi="Arial" w:cs="Arial"/>
          <w:color w:val="000000" w:themeColor="text1"/>
        </w:rPr>
        <w:t>high-cost</w:t>
      </w:r>
      <w:r w:rsidRPr="0077415D">
        <w:rPr>
          <w:rFonts w:ascii="Arial" w:hAnsi="Arial" w:cs="Arial"/>
          <w:color w:val="000000" w:themeColor="text1"/>
        </w:rPr>
        <w:t xml:space="preserve"> instruments with short duration can be retired by asset sale proceeds and equity inflows. </w:t>
      </w:r>
      <w:r w:rsidR="002824C5" w:rsidRPr="0077415D">
        <w:rPr>
          <w:rFonts w:ascii="Arial" w:hAnsi="Arial" w:cs="Arial"/>
          <w:color w:val="000000" w:themeColor="text1"/>
        </w:rPr>
        <w:t>Recovery</w:t>
      </w:r>
      <w:r w:rsidRPr="0077415D">
        <w:rPr>
          <w:rFonts w:ascii="Arial" w:hAnsi="Arial" w:cs="Arial"/>
          <w:color w:val="000000" w:themeColor="text1"/>
        </w:rPr>
        <w:t xml:space="preserve"> allows flexibility with longer maturities on maintenance covenants with interest cover as opposed to leverage</w:t>
      </w:r>
      <w:r w:rsidR="0064373F" w:rsidRPr="0077415D">
        <w:rPr>
          <w:rFonts w:ascii="Arial" w:hAnsi="Arial" w:cs="Arial"/>
          <w:color w:val="000000" w:themeColor="text1"/>
        </w:rPr>
        <w:t xml:space="preserve"> (Nguyen, 2024)</w:t>
      </w:r>
      <w:r w:rsidRPr="0077415D">
        <w:rPr>
          <w:rFonts w:ascii="Arial" w:hAnsi="Arial" w:cs="Arial"/>
          <w:color w:val="000000" w:themeColor="text1"/>
        </w:rPr>
        <w:t xml:space="preserve">. The refinancing concentration risk is diminished through the diversification of the banks and capital market instruments. The interest rate exposure must be balanced by a combination of both the fixed and floating </w:t>
      </w:r>
      <w:proofErr w:type="spellStart"/>
      <w:r w:rsidRPr="0077415D">
        <w:rPr>
          <w:rFonts w:ascii="Arial" w:hAnsi="Arial" w:cs="Arial"/>
          <w:color w:val="000000" w:themeColor="text1"/>
        </w:rPr>
        <w:t>tranching</w:t>
      </w:r>
      <w:proofErr w:type="spellEnd"/>
      <w:r w:rsidRPr="0077415D">
        <w:rPr>
          <w:rFonts w:ascii="Arial" w:hAnsi="Arial" w:cs="Arial"/>
          <w:color w:val="000000" w:themeColor="text1"/>
        </w:rPr>
        <w:t xml:space="preserve"> in accordance </w:t>
      </w:r>
      <w:r w:rsidR="002824C5" w:rsidRPr="0077415D">
        <w:rPr>
          <w:rFonts w:ascii="Arial" w:hAnsi="Arial" w:cs="Arial"/>
          <w:color w:val="000000" w:themeColor="text1"/>
        </w:rPr>
        <w:t>with</w:t>
      </w:r>
      <w:r w:rsidRPr="0077415D">
        <w:rPr>
          <w:rFonts w:ascii="Arial" w:hAnsi="Arial" w:cs="Arial"/>
          <w:color w:val="000000" w:themeColor="text1"/>
        </w:rPr>
        <w:t xml:space="preserve"> the anticipated seasonal cash flow.</w:t>
      </w:r>
    </w:p>
    <w:p w14:paraId="622CA38D" w14:textId="56118F23"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There is increased operational flexibility with a decline in financial stress. A less weighted balance sheet liberates the resources to invest in working capital systems, product redesign, and channel alliances. </w:t>
      </w:r>
    </w:p>
    <w:p w14:paraId="18A9F2D8" w14:textId="77777777" w:rsidR="002824C5" w:rsidRPr="0077415D" w:rsidRDefault="002824C5" w:rsidP="002824C5">
      <w:pPr>
        <w:pStyle w:val="Heading2"/>
        <w:rPr>
          <w:rFonts w:ascii="Arial" w:hAnsi="Arial" w:cs="Arial"/>
          <w:color w:val="000000" w:themeColor="text1"/>
        </w:rPr>
      </w:pPr>
      <w:bookmarkStart w:id="12" w:name="_Toc214845227"/>
      <w:r w:rsidRPr="0077415D">
        <w:rPr>
          <w:rFonts w:ascii="Arial" w:hAnsi="Arial" w:cs="Arial"/>
          <w:color w:val="000000" w:themeColor="text1"/>
        </w:rPr>
        <w:t>3.3 Include international and ethical considerations</w:t>
      </w:r>
      <w:bookmarkEnd w:id="12"/>
      <w:r w:rsidRPr="0077415D">
        <w:rPr>
          <w:rFonts w:ascii="Arial" w:hAnsi="Arial" w:cs="Arial"/>
          <w:color w:val="000000" w:themeColor="text1"/>
        </w:rPr>
        <w:t xml:space="preserve"> </w:t>
      </w:r>
    </w:p>
    <w:p w14:paraId="2C4530DC" w14:textId="59D1080E"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The restructuring decisions must be subjected to </w:t>
      </w:r>
      <w:r w:rsidR="00832446" w:rsidRPr="0077415D">
        <w:rPr>
          <w:rFonts w:ascii="Arial" w:hAnsi="Arial" w:cs="Arial"/>
          <w:color w:val="000000" w:themeColor="text1"/>
        </w:rPr>
        <w:t>cross-border</w:t>
      </w:r>
      <w:r w:rsidRPr="0077415D">
        <w:rPr>
          <w:rFonts w:ascii="Arial" w:hAnsi="Arial" w:cs="Arial"/>
          <w:color w:val="000000" w:themeColor="text1"/>
        </w:rPr>
        <w:t xml:space="preserve"> and ethical limitations. The effects of taxation may be considerable. Capital gains may be </w:t>
      </w:r>
      <w:proofErr w:type="spellStart"/>
      <w:r w:rsidRPr="0077415D">
        <w:rPr>
          <w:rFonts w:ascii="Arial" w:hAnsi="Arial" w:cs="Arial"/>
          <w:color w:val="000000" w:themeColor="text1"/>
        </w:rPr>
        <w:t>crystallised</w:t>
      </w:r>
      <w:proofErr w:type="spellEnd"/>
      <w:r w:rsidRPr="0077415D">
        <w:rPr>
          <w:rFonts w:ascii="Arial" w:hAnsi="Arial" w:cs="Arial"/>
          <w:color w:val="000000" w:themeColor="text1"/>
        </w:rPr>
        <w:t xml:space="preserve"> through asset sales. The </w:t>
      </w:r>
      <w:r w:rsidR="002824C5" w:rsidRPr="0077415D">
        <w:rPr>
          <w:rFonts w:ascii="Arial" w:hAnsi="Arial" w:cs="Arial"/>
          <w:color w:val="000000" w:themeColor="text1"/>
        </w:rPr>
        <w:t>cross-border</w:t>
      </w:r>
      <w:r w:rsidRPr="0077415D">
        <w:rPr>
          <w:rFonts w:ascii="Arial" w:hAnsi="Arial" w:cs="Arial"/>
          <w:color w:val="000000" w:themeColor="text1"/>
        </w:rPr>
        <w:t xml:space="preserve"> mergers can generate withholding taxes and transfer pricing investigations</w:t>
      </w:r>
      <w:r w:rsidR="0064373F" w:rsidRPr="0077415D">
        <w:rPr>
          <w:rFonts w:ascii="Arial" w:hAnsi="Arial" w:cs="Arial"/>
          <w:color w:val="000000" w:themeColor="text1"/>
        </w:rPr>
        <w:t xml:space="preserve"> (Islam, Haque and Moutushi, 2022)</w:t>
      </w:r>
      <w:r w:rsidRPr="0077415D">
        <w:rPr>
          <w:rFonts w:ascii="Arial" w:hAnsi="Arial" w:cs="Arial"/>
          <w:color w:val="000000" w:themeColor="text1"/>
        </w:rPr>
        <w:t>. Timely interference of tax advisors can order the transactions in such a way that they avoid double taxation without violating the OECD system.</w:t>
      </w:r>
    </w:p>
    <w:p w14:paraId="75703253" w14:textId="1ABF1EC1"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Currency </w:t>
      </w:r>
      <w:r w:rsidR="002824C5" w:rsidRPr="0077415D">
        <w:rPr>
          <w:rFonts w:ascii="Arial" w:hAnsi="Arial" w:cs="Arial"/>
          <w:color w:val="000000" w:themeColor="text1"/>
        </w:rPr>
        <w:t>risks occur</w:t>
      </w:r>
      <w:r w:rsidRPr="0077415D">
        <w:rPr>
          <w:rFonts w:ascii="Arial" w:hAnsi="Arial" w:cs="Arial"/>
          <w:color w:val="000000" w:themeColor="text1"/>
        </w:rPr>
        <w:t xml:space="preserve"> in cases where </w:t>
      </w:r>
      <w:r w:rsidR="002824C5" w:rsidRPr="0077415D">
        <w:rPr>
          <w:rFonts w:ascii="Arial" w:hAnsi="Arial" w:cs="Arial"/>
          <w:color w:val="000000" w:themeColor="text1"/>
        </w:rPr>
        <w:t>input</w:t>
      </w:r>
      <w:r w:rsidRPr="0077415D">
        <w:rPr>
          <w:rFonts w:ascii="Arial" w:hAnsi="Arial" w:cs="Arial"/>
          <w:color w:val="000000" w:themeColor="text1"/>
        </w:rPr>
        <w:t>, revenues, or financing is done using other currencies. Natural hedges ought to be embraced by matching the currency of costs and revenues in the contracts</w:t>
      </w:r>
      <w:r w:rsidR="000C1C1D" w:rsidRPr="0077415D">
        <w:rPr>
          <w:rFonts w:ascii="Arial" w:hAnsi="Arial" w:cs="Arial"/>
          <w:color w:val="000000" w:themeColor="text1"/>
        </w:rPr>
        <w:t xml:space="preserve"> (Ramadhan, 2024)</w:t>
      </w:r>
      <w:r w:rsidRPr="0077415D">
        <w:rPr>
          <w:rFonts w:ascii="Arial" w:hAnsi="Arial" w:cs="Arial"/>
          <w:color w:val="000000" w:themeColor="text1"/>
        </w:rPr>
        <w:t xml:space="preserve">. </w:t>
      </w:r>
    </w:p>
    <w:p w14:paraId="6C478227" w14:textId="1058DFEC"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Continuous inflation will have an impact on the real cost of debt and working capital required to finance sales. Pricing models should be able to enable a timely transmission </w:t>
      </w:r>
      <w:r w:rsidRPr="0077415D">
        <w:rPr>
          <w:rFonts w:ascii="Arial" w:hAnsi="Arial" w:cs="Arial"/>
          <w:color w:val="000000" w:themeColor="text1"/>
        </w:rPr>
        <w:lastRenderedPageBreak/>
        <w:t>of input inflation</w:t>
      </w:r>
      <w:r w:rsidR="000C1C1D" w:rsidRPr="0077415D">
        <w:rPr>
          <w:rFonts w:ascii="Arial" w:hAnsi="Arial" w:cs="Arial"/>
          <w:color w:val="000000" w:themeColor="text1"/>
        </w:rPr>
        <w:t xml:space="preserve"> (Kuzmina, 2023)</w:t>
      </w:r>
      <w:r w:rsidRPr="0077415D">
        <w:rPr>
          <w:rFonts w:ascii="Arial" w:hAnsi="Arial" w:cs="Arial"/>
          <w:color w:val="000000" w:themeColor="text1"/>
        </w:rPr>
        <w:t xml:space="preserve">. The cost trends should be reflected in inventory valuation techniques </w:t>
      </w:r>
      <w:r w:rsidR="002824C5" w:rsidRPr="0077415D">
        <w:rPr>
          <w:rFonts w:ascii="Arial" w:hAnsi="Arial" w:cs="Arial"/>
          <w:color w:val="000000" w:themeColor="text1"/>
        </w:rPr>
        <w:t>to</w:t>
      </w:r>
      <w:r w:rsidRPr="0077415D">
        <w:rPr>
          <w:rFonts w:ascii="Arial" w:hAnsi="Arial" w:cs="Arial"/>
          <w:color w:val="000000" w:themeColor="text1"/>
        </w:rPr>
        <w:t xml:space="preserve"> prevent margin illusion and stock misstatements (Bourgoin and Harms, 2024). The structural cost increases which push the operating margin down can be </w:t>
      </w:r>
      <w:r w:rsidR="002824C5" w:rsidRPr="0077415D">
        <w:rPr>
          <w:rFonts w:ascii="Arial" w:hAnsi="Arial" w:cs="Arial"/>
          <w:color w:val="000000" w:themeColor="text1"/>
        </w:rPr>
        <w:t>compensated for</w:t>
      </w:r>
      <w:r w:rsidRPr="0077415D">
        <w:rPr>
          <w:rFonts w:ascii="Arial" w:hAnsi="Arial" w:cs="Arial"/>
          <w:color w:val="000000" w:themeColor="text1"/>
        </w:rPr>
        <w:t xml:space="preserve"> by investments in energy efficiency and logistics </w:t>
      </w:r>
      <w:proofErr w:type="spellStart"/>
      <w:r w:rsidRPr="0077415D">
        <w:rPr>
          <w:rFonts w:ascii="Arial" w:hAnsi="Arial" w:cs="Arial"/>
          <w:color w:val="000000" w:themeColor="text1"/>
        </w:rPr>
        <w:t>optimisation</w:t>
      </w:r>
      <w:proofErr w:type="spellEnd"/>
      <w:r w:rsidRPr="0077415D">
        <w:rPr>
          <w:rFonts w:ascii="Arial" w:hAnsi="Arial" w:cs="Arial"/>
          <w:color w:val="000000" w:themeColor="text1"/>
        </w:rPr>
        <w:t>.</w:t>
      </w:r>
    </w:p>
    <w:p w14:paraId="0E58F082" w14:textId="490A38ED"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Ethical matters are inseparable. The </w:t>
      </w:r>
      <w:r w:rsidR="002824C5" w:rsidRPr="0077415D">
        <w:rPr>
          <w:rFonts w:ascii="Arial" w:hAnsi="Arial" w:cs="Arial"/>
          <w:color w:val="000000" w:themeColor="text1"/>
        </w:rPr>
        <w:t>divestiture</w:t>
      </w:r>
      <w:r w:rsidRPr="0077415D">
        <w:rPr>
          <w:rFonts w:ascii="Arial" w:hAnsi="Arial" w:cs="Arial"/>
          <w:color w:val="000000" w:themeColor="text1"/>
        </w:rPr>
        <w:t xml:space="preserve"> and expenses can have an impact on the employees and localities</w:t>
      </w:r>
      <w:r w:rsidR="000C1C1D" w:rsidRPr="0077415D">
        <w:rPr>
          <w:rFonts w:ascii="Arial" w:hAnsi="Arial" w:cs="Arial"/>
          <w:color w:val="000000" w:themeColor="text1"/>
        </w:rPr>
        <w:t xml:space="preserve"> (</w:t>
      </w:r>
      <w:proofErr w:type="spellStart"/>
      <w:r w:rsidR="000C1C1D" w:rsidRPr="0077415D">
        <w:rPr>
          <w:rFonts w:ascii="Arial" w:hAnsi="Arial" w:cs="Arial"/>
          <w:color w:val="000000" w:themeColor="text1"/>
        </w:rPr>
        <w:t>Istan</w:t>
      </w:r>
      <w:proofErr w:type="spellEnd"/>
      <w:r w:rsidR="000C1C1D" w:rsidRPr="0077415D">
        <w:rPr>
          <w:rFonts w:ascii="Arial" w:hAnsi="Arial" w:cs="Arial"/>
          <w:color w:val="000000" w:themeColor="text1"/>
        </w:rPr>
        <w:t>, 2024)</w:t>
      </w:r>
      <w:r w:rsidRPr="0077415D">
        <w:rPr>
          <w:rFonts w:ascii="Arial" w:hAnsi="Arial" w:cs="Arial"/>
          <w:color w:val="000000" w:themeColor="text1"/>
        </w:rPr>
        <w:t>. The management should also engage the workforce representatives and offer to redeploy them well</w:t>
      </w:r>
      <w:r w:rsidR="00F011E0">
        <w:rPr>
          <w:rFonts w:ascii="Arial" w:hAnsi="Arial" w:cs="Arial"/>
          <w:color w:val="000000" w:themeColor="text1"/>
        </w:rPr>
        <w:t>,</w:t>
      </w:r>
      <w:r w:rsidRPr="0077415D">
        <w:rPr>
          <w:rFonts w:ascii="Arial" w:hAnsi="Arial" w:cs="Arial"/>
          <w:color w:val="000000" w:themeColor="text1"/>
        </w:rPr>
        <w:t xml:space="preserve"> and offer decent severance. Attempts towards supplier finance reforms must not impose unwarranted pressure on small suppliers. </w:t>
      </w:r>
    </w:p>
    <w:p w14:paraId="050F52B8" w14:textId="65F3F48D" w:rsidR="00A824F0" w:rsidRPr="0077415D" w:rsidRDefault="002824C5" w:rsidP="00A824F0">
      <w:pPr>
        <w:rPr>
          <w:rFonts w:ascii="Arial" w:hAnsi="Arial" w:cs="Arial"/>
          <w:color w:val="000000" w:themeColor="text1"/>
        </w:rPr>
      </w:pPr>
      <w:r w:rsidRPr="0077415D">
        <w:rPr>
          <w:rFonts w:ascii="Arial" w:hAnsi="Arial" w:cs="Arial"/>
          <w:color w:val="000000" w:themeColor="text1"/>
        </w:rPr>
        <w:t>International</w:t>
      </w:r>
      <w:r w:rsidR="00A824F0" w:rsidRPr="0077415D">
        <w:rPr>
          <w:rFonts w:ascii="Arial" w:hAnsi="Arial" w:cs="Arial"/>
          <w:color w:val="000000" w:themeColor="text1"/>
        </w:rPr>
        <w:t xml:space="preserve"> governance is also important. The partners involved in </w:t>
      </w:r>
      <w:r w:rsidR="00832446" w:rsidRPr="0077415D">
        <w:rPr>
          <w:rFonts w:ascii="Arial" w:hAnsi="Arial" w:cs="Arial"/>
          <w:color w:val="000000" w:themeColor="text1"/>
        </w:rPr>
        <w:t>cross-border</w:t>
      </w:r>
      <w:r w:rsidR="00A824F0" w:rsidRPr="0077415D">
        <w:rPr>
          <w:rFonts w:ascii="Arial" w:hAnsi="Arial" w:cs="Arial"/>
          <w:color w:val="000000" w:themeColor="text1"/>
        </w:rPr>
        <w:t xml:space="preserve"> </w:t>
      </w:r>
      <w:r w:rsidR="00832446" w:rsidRPr="0077415D">
        <w:rPr>
          <w:rFonts w:ascii="Arial" w:hAnsi="Arial" w:cs="Arial"/>
          <w:color w:val="000000" w:themeColor="text1"/>
        </w:rPr>
        <w:t>transactions</w:t>
      </w:r>
      <w:r w:rsidR="00A824F0" w:rsidRPr="0077415D">
        <w:rPr>
          <w:rFonts w:ascii="Arial" w:hAnsi="Arial" w:cs="Arial"/>
          <w:color w:val="000000" w:themeColor="text1"/>
        </w:rPr>
        <w:t xml:space="preserve"> require the compliance standards concerning data protection, export controls, and </w:t>
      </w:r>
      <w:r w:rsidR="00832446" w:rsidRPr="0077415D">
        <w:rPr>
          <w:rFonts w:ascii="Arial" w:hAnsi="Arial" w:cs="Arial"/>
          <w:color w:val="000000" w:themeColor="text1"/>
        </w:rPr>
        <w:t>anti-bribery</w:t>
      </w:r>
      <w:r w:rsidR="00A824F0" w:rsidRPr="0077415D">
        <w:rPr>
          <w:rFonts w:ascii="Arial" w:hAnsi="Arial" w:cs="Arial"/>
          <w:color w:val="000000" w:themeColor="text1"/>
        </w:rPr>
        <w:t xml:space="preserve"> to be shared</w:t>
      </w:r>
      <w:r w:rsidR="000C1C1D" w:rsidRPr="0077415D">
        <w:rPr>
          <w:rFonts w:ascii="Arial" w:hAnsi="Arial" w:cs="Arial"/>
          <w:color w:val="000000" w:themeColor="text1"/>
        </w:rPr>
        <w:t xml:space="preserve"> (Wu, </w:t>
      </w:r>
      <w:proofErr w:type="spellStart"/>
      <w:r w:rsidR="000C1C1D" w:rsidRPr="0077415D">
        <w:rPr>
          <w:rFonts w:ascii="Arial" w:hAnsi="Arial" w:cs="Arial"/>
          <w:color w:val="000000" w:themeColor="text1"/>
        </w:rPr>
        <w:t>Alkaraan</w:t>
      </w:r>
      <w:proofErr w:type="spellEnd"/>
      <w:r w:rsidR="000C1C1D" w:rsidRPr="0077415D">
        <w:rPr>
          <w:rFonts w:ascii="Arial" w:hAnsi="Arial" w:cs="Arial"/>
          <w:color w:val="000000" w:themeColor="text1"/>
        </w:rPr>
        <w:t xml:space="preserve"> and Le, 2023)</w:t>
      </w:r>
      <w:r w:rsidR="00A824F0" w:rsidRPr="0077415D">
        <w:rPr>
          <w:rFonts w:ascii="Arial" w:hAnsi="Arial" w:cs="Arial"/>
          <w:color w:val="000000" w:themeColor="text1"/>
        </w:rPr>
        <w:t xml:space="preserve">. </w:t>
      </w:r>
    </w:p>
    <w:p w14:paraId="4080AD4A" w14:textId="77777777" w:rsidR="00B75795" w:rsidRPr="0077415D" w:rsidRDefault="00B75795" w:rsidP="00B543BE">
      <w:pPr>
        <w:pStyle w:val="Heading1"/>
        <w:rPr>
          <w:color w:val="000000" w:themeColor="text1"/>
        </w:rPr>
      </w:pPr>
      <w:bookmarkStart w:id="13" w:name="_Toc214845228"/>
      <w:bookmarkStart w:id="14" w:name="_Hlk213948866"/>
      <w:r w:rsidRPr="0077415D">
        <w:rPr>
          <w:color w:val="000000" w:themeColor="text1"/>
        </w:rPr>
        <w:t>4. Investment Appraisal and Capital Budgeting</w:t>
      </w:r>
      <w:bookmarkEnd w:id="13"/>
    </w:p>
    <w:p w14:paraId="2384B80A" w14:textId="02118F66" w:rsidR="00B75795" w:rsidRPr="0077415D" w:rsidRDefault="00B75795" w:rsidP="00B75795">
      <w:pPr>
        <w:pStyle w:val="Heading2"/>
        <w:rPr>
          <w:rFonts w:ascii="Arial" w:hAnsi="Arial" w:cs="Arial"/>
          <w:color w:val="000000" w:themeColor="text1"/>
        </w:rPr>
      </w:pPr>
      <w:bookmarkStart w:id="15" w:name="_Toc214845229"/>
      <w:r w:rsidRPr="0077415D">
        <w:rPr>
          <w:rFonts w:ascii="Arial" w:hAnsi="Arial" w:cs="Arial"/>
          <w:color w:val="000000" w:themeColor="text1"/>
        </w:rPr>
        <w:t xml:space="preserve">4.1 </w:t>
      </w:r>
      <w:r w:rsidR="00182E7A" w:rsidRPr="0077415D">
        <w:rPr>
          <w:rFonts w:ascii="Arial" w:hAnsi="Arial" w:cs="Arial"/>
          <w:color w:val="000000" w:themeColor="text1"/>
        </w:rPr>
        <w:t>T</w:t>
      </w:r>
      <w:r w:rsidRPr="0077415D">
        <w:rPr>
          <w:rFonts w:ascii="Arial" w:hAnsi="Arial" w:cs="Arial"/>
          <w:color w:val="000000" w:themeColor="text1"/>
        </w:rPr>
        <w:t>hree proposed investment projects using PBP, ARR, NPV, PI, and IRR</w:t>
      </w:r>
      <w:bookmarkEnd w:id="15"/>
    </w:p>
    <w:tbl>
      <w:tblPr>
        <w:tblStyle w:val="TableGrid"/>
        <w:tblW w:w="5000" w:type="pct"/>
        <w:tblLook w:val="04A0" w:firstRow="1" w:lastRow="0" w:firstColumn="1" w:lastColumn="0" w:noHBand="0" w:noVBand="1"/>
      </w:tblPr>
      <w:tblGrid>
        <w:gridCol w:w="2919"/>
        <w:gridCol w:w="1076"/>
        <w:gridCol w:w="981"/>
        <w:gridCol w:w="1044"/>
        <w:gridCol w:w="1108"/>
        <w:gridCol w:w="1082"/>
        <w:gridCol w:w="1140"/>
      </w:tblGrid>
      <w:tr w:rsidR="00A935C0" w:rsidRPr="0077415D" w14:paraId="74F6FA29" w14:textId="77777777" w:rsidTr="00A935C0">
        <w:trPr>
          <w:trHeight w:val="300"/>
        </w:trPr>
        <w:tc>
          <w:tcPr>
            <w:tcW w:w="1785" w:type="pct"/>
            <w:noWrap/>
            <w:hideMark/>
          </w:tcPr>
          <w:p w14:paraId="1AD6398F" w14:textId="77777777" w:rsidR="00A935C0" w:rsidRPr="00F011E0" w:rsidRDefault="00A935C0" w:rsidP="00A935C0">
            <w:pPr>
              <w:spacing w:line="240" w:lineRule="auto"/>
              <w:jc w:val="left"/>
              <w:rPr>
                <w:rFonts w:ascii="Arial" w:eastAsia="Times New Roman" w:hAnsi="Arial" w:cs="Arial"/>
                <w:b/>
                <w:bCs/>
                <w:kern w:val="0"/>
                <w:sz w:val="22"/>
                <w:szCs w:val="22"/>
                <w14:ligatures w14:val="none"/>
              </w:rPr>
            </w:pPr>
            <w:r w:rsidRPr="00F011E0">
              <w:rPr>
                <w:rFonts w:ascii="Arial" w:eastAsia="Times New Roman" w:hAnsi="Arial" w:cs="Arial"/>
                <w:b/>
                <w:bCs/>
                <w:kern w:val="0"/>
                <w:sz w:val="22"/>
                <w:szCs w:val="22"/>
                <w14:ligatures w14:val="none"/>
              </w:rPr>
              <w:t>Investment Appraisal - Projects A, B, C (All £m)</w:t>
            </w:r>
          </w:p>
        </w:tc>
        <w:tc>
          <w:tcPr>
            <w:tcW w:w="545" w:type="pct"/>
            <w:noWrap/>
            <w:hideMark/>
          </w:tcPr>
          <w:p w14:paraId="276AEE54" w14:textId="77777777" w:rsidR="00A935C0" w:rsidRPr="00F011E0" w:rsidRDefault="00A935C0" w:rsidP="00A935C0">
            <w:pPr>
              <w:spacing w:line="240" w:lineRule="auto"/>
              <w:jc w:val="left"/>
              <w:rPr>
                <w:rFonts w:ascii="Arial" w:eastAsia="Times New Roman" w:hAnsi="Arial" w:cs="Arial"/>
                <w:b/>
                <w:bCs/>
                <w:kern w:val="0"/>
                <w:sz w:val="22"/>
                <w:szCs w:val="22"/>
                <w14:ligatures w14:val="none"/>
              </w:rPr>
            </w:pPr>
          </w:p>
        </w:tc>
        <w:tc>
          <w:tcPr>
            <w:tcW w:w="484" w:type="pct"/>
            <w:noWrap/>
            <w:hideMark/>
          </w:tcPr>
          <w:p w14:paraId="4C45DC04"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c>
          <w:tcPr>
            <w:tcW w:w="514" w:type="pct"/>
            <w:noWrap/>
            <w:hideMark/>
          </w:tcPr>
          <w:p w14:paraId="2F165494"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c>
          <w:tcPr>
            <w:tcW w:w="552" w:type="pct"/>
            <w:noWrap/>
            <w:hideMark/>
          </w:tcPr>
          <w:p w14:paraId="06B7846A"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c>
          <w:tcPr>
            <w:tcW w:w="545" w:type="pct"/>
            <w:noWrap/>
            <w:hideMark/>
          </w:tcPr>
          <w:p w14:paraId="495F9765"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c>
          <w:tcPr>
            <w:tcW w:w="575" w:type="pct"/>
            <w:noWrap/>
            <w:hideMark/>
          </w:tcPr>
          <w:p w14:paraId="733FE311"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r>
      <w:tr w:rsidR="00A935C0" w:rsidRPr="0077415D" w14:paraId="043795F9" w14:textId="77777777" w:rsidTr="00A935C0">
        <w:trPr>
          <w:trHeight w:val="300"/>
        </w:trPr>
        <w:tc>
          <w:tcPr>
            <w:tcW w:w="1785" w:type="pct"/>
            <w:noWrap/>
            <w:hideMark/>
          </w:tcPr>
          <w:p w14:paraId="41E7E1D1" w14:textId="77777777" w:rsidR="00A935C0" w:rsidRPr="00F011E0" w:rsidRDefault="00A935C0" w:rsidP="00A935C0">
            <w:pPr>
              <w:spacing w:line="240" w:lineRule="auto"/>
              <w:jc w:val="left"/>
              <w:rPr>
                <w:rFonts w:ascii="Arial" w:eastAsia="Times New Roman" w:hAnsi="Arial" w:cs="Arial"/>
                <w:b/>
                <w:bCs/>
                <w:kern w:val="0"/>
                <w:sz w:val="22"/>
                <w:szCs w:val="22"/>
                <w14:ligatures w14:val="none"/>
              </w:rPr>
            </w:pPr>
            <w:r w:rsidRPr="00F011E0">
              <w:rPr>
                <w:rFonts w:ascii="Arial" w:eastAsia="Times New Roman" w:hAnsi="Arial" w:cs="Arial"/>
                <w:b/>
                <w:bCs/>
                <w:kern w:val="0"/>
                <w:sz w:val="22"/>
                <w:szCs w:val="22"/>
                <w14:ligatures w14:val="none"/>
              </w:rPr>
              <w:t>Project</w:t>
            </w:r>
          </w:p>
        </w:tc>
        <w:tc>
          <w:tcPr>
            <w:tcW w:w="545" w:type="pct"/>
            <w:noWrap/>
            <w:hideMark/>
          </w:tcPr>
          <w:p w14:paraId="77CEF08E" w14:textId="77777777" w:rsidR="00A935C0" w:rsidRPr="00F011E0" w:rsidRDefault="00A935C0" w:rsidP="00A935C0">
            <w:pPr>
              <w:spacing w:line="240" w:lineRule="auto"/>
              <w:jc w:val="left"/>
              <w:rPr>
                <w:rFonts w:ascii="Arial" w:eastAsia="Times New Roman" w:hAnsi="Arial" w:cs="Arial"/>
                <w:b/>
                <w:bCs/>
                <w:kern w:val="0"/>
                <w:sz w:val="22"/>
                <w:szCs w:val="22"/>
                <w14:ligatures w14:val="none"/>
              </w:rPr>
            </w:pPr>
            <w:r w:rsidRPr="00F011E0">
              <w:rPr>
                <w:rFonts w:ascii="Arial" w:eastAsia="Times New Roman" w:hAnsi="Arial" w:cs="Arial"/>
                <w:b/>
                <w:bCs/>
                <w:kern w:val="0"/>
                <w:sz w:val="22"/>
                <w:szCs w:val="22"/>
                <w14:ligatures w14:val="none"/>
              </w:rPr>
              <w:t>A</w:t>
            </w:r>
          </w:p>
        </w:tc>
        <w:tc>
          <w:tcPr>
            <w:tcW w:w="484" w:type="pct"/>
            <w:noWrap/>
            <w:hideMark/>
          </w:tcPr>
          <w:p w14:paraId="58EF6B6D" w14:textId="77777777" w:rsidR="00A935C0" w:rsidRPr="00F011E0" w:rsidRDefault="00A935C0" w:rsidP="00A935C0">
            <w:pPr>
              <w:spacing w:line="240" w:lineRule="auto"/>
              <w:jc w:val="left"/>
              <w:rPr>
                <w:rFonts w:ascii="Arial" w:eastAsia="Times New Roman" w:hAnsi="Arial" w:cs="Arial"/>
                <w:b/>
                <w:bCs/>
                <w:kern w:val="0"/>
                <w:sz w:val="22"/>
                <w:szCs w:val="22"/>
                <w14:ligatures w14:val="none"/>
              </w:rPr>
            </w:pPr>
            <w:r w:rsidRPr="00F011E0">
              <w:rPr>
                <w:rFonts w:ascii="Arial" w:eastAsia="Times New Roman" w:hAnsi="Arial" w:cs="Arial"/>
                <w:b/>
                <w:bCs/>
                <w:kern w:val="0"/>
                <w:sz w:val="22"/>
                <w:szCs w:val="22"/>
                <w14:ligatures w14:val="none"/>
              </w:rPr>
              <w:t>B</w:t>
            </w:r>
          </w:p>
        </w:tc>
        <w:tc>
          <w:tcPr>
            <w:tcW w:w="514" w:type="pct"/>
            <w:noWrap/>
            <w:hideMark/>
          </w:tcPr>
          <w:p w14:paraId="73F9078A" w14:textId="77777777" w:rsidR="00A935C0" w:rsidRPr="00F011E0" w:rsidRDefault="00A935C0" w:rsidP="00A935C0">
            <w:pPr>
              <w:spacing w:line="240" w:lineRule="auto"/>
              <w:jc w:val="left"/>
              <w:rPr>
                <w:rFonts w:ascii="Arial" w:eastAsia="Times New Roman" w:hAnsi="Arial" w:cs="Arial"/>
                <w:b/>
                <w:bCs/>
                <w:kern w:val="0"/>
                <w:sz w:val="22"/>
                <w:szCs w:val="22"/>
                <w14:ligatures w14:val="none"/>
              </w:rPr>
            </w:pPr>
            <w:r w:rsidRPr="00F011E0">
              <w:rPr>
                <w:rFonts w:ascii="Arial" w:eastAsia="Times New Roman" w:hAnsi="Arial" w:cs="Arial"/>
                <w:b/>
                <w:bCs/>
                <w:kern w:val="0"/>
                <w:sz w:val="22"/>
                <w:szCs w:val="22"/>
                <w14:ligatures w14:val="none"/>
              </w:rPr>
              <w:t>C</w:t>
            </w:r>
          </w:p>
        </w:tc>
        <w:tc>
          <w:tcPr>
            <w:tcW w:w="552" w:type="pct"/>
            <w:noWrap/>
            <w:hideMark/>
          </w:tcPr>
          <w:p w14:paraId="33A33C42"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cumulative (A)</w:t>
            </w:r>
          </w:p>
        </w:tc>
        <w:tc>
          <w:tcPr>
            <w:tcW w:w="545" w:type="pct"/>
            <w:noWrap/>
            <w:hideMark/>
          </w:tcPr>
          <w:p w14:paraId="184B8506"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cumulative (B)</w:t>
            </w:r>
          </w:p>
        </w:tc>
        <w:tc>
          <w:tcPr>
            <w:tcW w:w="575" w:type="pct"/>
            <w:noWrap/>
            <w:hideMark/>
          </w:tcPr>
          <w:p w14:paraId="243AF0E0"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cumulative (C)</w:t>
            </w:r>
          </w:p>
        </w:tc>
      </w:tr>
      <w:tr w:rsidR="00A935C0" w:rsidRPr="0077415D" w14:paraId="063FF330" w14:textId="77777777" w:rsidTr="00A935C0">
        <w:trPr>
          <w:trHeight w:val="300"/>
        </w:trPr>
        <w:tc>
          <w:tcPr>
            <w:tcW w:w="1785" w:type="pct"/>
            <w:noWrap/>
            <w:hideMark/>
          </w:tcPr>
          <w:p w14:paraId="638127B4"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Initial Investment (enter negative number)</w:t>
            </w:r>
          </w:p>
        </w:tc>
        <w:tc>
          <w:tcPr>
            <w:tcW w:w="545" w:type="pct"/>
            <w:noWrap/>
            <w:hideMark/>
          </w:tcPr>
          <w:p w14:paraId="6CDD11B5"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40.00 </w:t>
            </w:r>
          </w:p>
        </w:tc>
        <w:tc>
          <w:tcPr>
            <w:tcW w:w="484" w:type="pct"/>
            <w:noWrap/>
            <w:hideMark/>
          </w:tcPr>
          <w:p w14:paraId="77FD4D7A"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30.00 </w:t>
            </w:r>
          </w:p>
        </w:tc>
        <w:tc>
          <w:tcPr>
            <w:tcW w:w="514" w:type="pct"/>
            <w:noWrap/>
            <w:hideMark/>
          </w:tcPr>
          <w:p w14:paraId="4B9243EC"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50.00 </w:t>
            </w:r>
          </w:p>
        </w:tc>
        <w:tc>
          <w:tcPr>
            <w:tcW w:w="552" w:type="pct"/>
            <w:noWrap/>
            <w:hideMark/>
          </w:tcPr>
          <w:p w14:paraId="45447F4A"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40.00 </w:t>
            </w:r>
          </w:p>
        </w:tc>
        <w:tc>
          <w:tcPr>
            <w:tcW w:w="545" w:type="pct"/>
            <w:noWrap/>
            <w:hideMark/>
          </w:tcPr>
          <w:p w14:paraId="6FD40974"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30.00 </w:t>
            </w:r>
          </w:p>
        </w:tc>
        <w:tc>
          <w:tcPr>
            <w:tcW w:w="575" w:type="pct"/>
            <w:noWrap/>
            <w:hideMark/>
          </w:tcPr>
          <w:p w14:paraId="347BA399"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50.00 </w:t>
            </w:r>
          </w:p>
        </w:tc>
      </w:tr>
      <w:tr w:rsidR="00A935C0" w:rsidRPr="0077415D" w14:paraId="1C1240AD" w14:textId="77777777" w:rsidTr="00A935C0">
        <w:trPr>
          <w:trHeight w:val="300"/>
        </w:trPr>
        <w:tc>
          <w:tcPr>
            <w:tcW w:w="1785" w:type="pct"/>
            <w:noWrap/>
            <w:hideMark/>
          </w:tcPr>
          <w:p w14:paraId="5E611A4E"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Year 1 Cash Inflow</w:t>
            </w:r>
          </w:p>
        </w:tc>
        <w:tc>
          <w:tcPr>
            <w:tcW w:w="545" w:type="pct"/>
            <w:noWrap/>
            <w:hideMark/>
          </w:tcPr>
          <w:p w14:paraId="4E3B0012"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10.00 </w:t>
            </w:r>
          </w:p>
        </w:tc>
        <w:tc>
          <w:tcPr>
            <w:tcW w:w="484" w:type="pct"/>
            <w:noWrap/>
            <w:hideMark/>
          </w:tcPr>
          <w:p w14:paraId="487E954B"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6.00 </w:t>
            </w:r>
          </w:p>
        </w:tc>
        <w:tc>
          <w:tcPr>
            <w:tcW w:w="514" w:type="pct"/>
            <w:noWrap/>
            <w:hideMark/>
          </w:tcPr>
          <w:p w14:paraId="3B324785"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5.00 </w:t>
            </w:r>
          </w:p>
        </w:tc>
        <w:tc>
          <w:tcPr>
            <w:tcW w:w="552" w:type="pct"/>
            <w:noWrap/>
            <w:hideMark/>
          </w:tcPr>
          <w:p w14:paraId="12EE9B07"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30.00 </w:t>
            </w:r>
          </w:p>
        </w:tc>
        <w:tc>
          <w:tcPr>
            <w:tcW w:w="545" w:type="pct"/>
            <w:noWrap/>
            <w:hideMark/>
          </w:tcPr>
          <w:p w14:paraId="66BE099F"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24.00 </w:t>
            </w:r>
          </w:p>
        </w:tc>
        <w:tc>
          <w:tcPr>
            <w:tcW w:w="575" w:type="pct"/>
            <w:noWrap/>
            <w:hideMark/>
          </w:tcPr>
          <w:p w14:paraId="23840DCD"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45.00 </w:t>
            </w:r>
          </w:p>
        </w:tc>
      </w:tr>
      <w:tr w:rsidR="00A935C0" w:rsidRPr="0077415D" w14:paraId="59E34818" w14:textId="77777777" w:rsidTr="00A935C0">
        <w:trPr>
          <w:trHeight w:val="300"/>
        </w:trPr>
        <w:tc>
          <w:tcPr>
            <w:tcW w:w="1785" w:type="pct"/>
            <w:noWrap/>
            <w:hideMark/>
          </w:tcPr>
          <w:p w14:paraId="0347E01A"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Year 2 Cash Inflow</w:t>
            </w:r>
          </w:p>
        </w:tc>
        <w:tc>
          <w:tcPr>
            <w:tcW w:w="545" w:type="pct"/>
            <w:noWrap/>
            <w:hideMark/>
          </w:tcPr>
          <w:p w14:paraId="776D0236"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12.00 </w:t>
            </w:r>
          </w:p>
        </w:tc>
        <w:tc>
          <w:tcPr>
            <w:tcW w:w="484" w:type="pct"/>
            <w:noWrap/>
            <w:hideMark/>
          </w:tcPr>
          <w:p w14:paraId="2BFAB760"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6.00 </w:t>
            </w:r>
          </w:p>
        </w:tc>
        <w:tc>
          <w:tcPr>
            <w:tcW w:w="514" w:type="pct"/>
            <w:noWrap/>
            <w:hideMark/>
          </w:tcPr>
          <w:p w14:paraId="4C599BB1"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10.00 </w:t>
            </w:r>
          </w:p>
        </w:tc>
        <w:tc>
          <w:tcPr>
            <w:tcW w:w="552" w:type="pct"/>
            <w:noWrap/>
            <w:hideMark/>
          </w:tcPr>
          <w:p w14:paraId="24B6A986"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18.00 </w:t>
            </w:r>
          </w:p>
        </w:tc>
        <w:tc>
          <w:tcPr>
            <w:tcW w:w="545" w:type="pct"/>
            <w:noWrap/>
            <w:hideMark/>
          </w:tcPr>
          <w:p w14:paraId="0E923374"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18.00 </w:t>
            </w:r>
          </w:p>
        </w:tc>
        <w:tc>
          <w:tcPr>
            <w:tcW w:w="575" w:type="pct"/>
            <w:noWrap/>
            <w:hideMark/>
          </w:tcPr>
          <w:p w14:paraId="19CC9E58"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35.00 </w:t>
            </w:r>
          </w:p>
        </w:tc>
      </w:tr>
      <w:tr w:rsidR="00A935C0" w:rsidRPr="0077415D" w14:paraId="2B151709" w14:textId="77777777" w:rsidTr="00A935C0">
        <w:trPr>
          <w:trHeight w:val="300"/>
        </w:trPr>
        <w:tc>
          <w:tcPr>
            <w:tcW w:w="1785" w:type="pct"/>
            <w:noWrap/>
            <w:hideMark/>
          </w:tcPr>
          <w:p w14:paraId="7F51AE69"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Year 3 Cash Inflow</w:t>
            </w:r>
          </w:p>
        </w:tc>
        <w:tc>
          <w:tcPr>
            <w:tcW w:w="545" w:type="pct"/>
            <w:noWrap/>
            <w:hideMark/>
          </w:tcPr>
          <w:p w14:paraId="7B9CEF59"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14.00 </w:t>
            </w:r>
          </w:p>
        </w:tc>
        <w:tc>
          <w:tcPr>
            <w:tcW w:w="484" w:type="pct"/>
            <w:noWrap/>
            <w:hideMark/>
          </w:tcPr>
          <w:p w14:paraId="4E971740"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6.00 </w:t>
            </w:r>
          </w:p>
        </w:tc>
        <w:tc>
          <w:tcPr>
            <w:tcW w:w="514" w:type="pct"/>
            <w:noWrap/>
            <w:hideMark/>
          </w:tcPr>
          <w:p w14:paraId="1563DE13"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20.00 </w:t>
            </w:r>
          </w:p>
        </w:tc>
        <w:tc>
          <w:tcPr>
            <w:tcW w:w="552" w:type="pct"/>
            <w:noWrap/>
            <w:hideMark/>
          </w:tcPr>
          <w:p w14:paraId="334B40FD"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4.00 </w:t>
            </w:r>
          </w:p>
        </w:tc>
        <w:tc>
          <w:tcPr>
            <w:tcW w:w="545" w:type="pct"/>
            <w:noWrap/>
            <w:hideMark/>
          </w:tcPr>
          <w:p w14:paraId="69090BB0"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12.00 </w:t>
            </w:r>
          </w:p>
        </w:tc>
        <w:tc>
          <w:tcPr>
            <w:tcW w:w="575" w:type="pct"/>
            <w:noWrap/>
            <w:hideMark/>
          </w:tcPr>
          <w:p w14:paraId="1B1260B7"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15.00 </w:t>
            </w:r>
          </w:p>
        </w:tc>
      </w:tr>
      <w:tr w:rsidR="00A935C0" w:rsidRPr="0077415D" w14:paraId="69FA3A1D" w14:textId="77777777" w:rsidTr="00A935C0">
        <w:trPr>
          <w:trHeight w:val="300"/>
        </w:trPr>
        <w:tc>
          <w:tcPr>
            <w:tcW w:w="1785" w:type="pct"/>
            <w:noWrap/>
            <w:hideMark/>
          </w:tcPr>
          <w:p w14:paraId="632183D7"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Year 4 Cash Inflow</w:t>
            </w:r>
          </w:p>
        </w:tc>
        <w:tc>
          <w:tcPr>
            <w:tcW w:w="545" w:type="pct"/>
            <w:noWrap/>
            <w:hideMark/>
          </w:tcPr>
          <w:p w14:paraId="17CBCB90"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10.00 </w:t>
            </w:r>
          </w:p>
        </w:tc>
        <w:tc>
          <w:tcPr>
            <w:tcW w:w="484" w:type="pct"/>
            <w:noWrap/>
            <w:hideMark/>
          </w:tcPr>
          <w:p w14:paraId="004D21D7"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6.00 </w:t>
            </w:r>
          </w:p>
        </w:tc>
        <w:tc>
          <w:tcPr>
            <w:tcW w:w="514" w:type="pct"/>
            <w:noWrap/>
            <w:hideMark/>
          </w:tcPr>
          <w:p w14:paraId="2A17F65F"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25.00 </w:t>
            </w:r>
          </w:p>
        </w:tc>
        <w:tc>
          <w:tcPr>
            <w:tcW w:w="552" w:type="pct"/>
            <w:noWrap/>
            <w:hideMark/>
          </w:tcPr>
          <w:p w14:paraId="74535601"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6.00 </w:t>
            </w:r>
          </w:p>
        </w:tc>
        <w:tc>
          <w:tcPr>
            <w:tcW w:w="545" w:type="pct"/>
            <w:noWrap/>
            <w:hideMark/>
          </w:tcPr>
          <w:p w14:paraId="3C175522"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6.00 </w:t>
            </w:r>
          </w:p>
        </w:tc>
        <w:tc>
          <w:tcPr>
            <w:tcW w:w="575" w:type="pct"/>
            <w:noWrap/>
            <w:hideMark/>
          </w:tcPr>
          <w:p w14:paraId="6629BB10"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10.00 </w:t>
            </w:r>
          </w:p>
        </w:tc>
      </w:tr>
      <w:tr w:rsidR="00A935C0" w:rsidRPr="0077415D" w14:paraId="2C535A85" w14:textId="77777777" w:rsidTr="00A935C0">
        <w:trPr>
          <w:trHeight w:val="300"/>
        </w:trPr>
        <w:tc>
          <w:tcPr>
            <w:tcW w:w="1785" w:type="pct"/>
            <w:noWrap/>
            <w:hideMark/>
          </w:tcPr>
          <w:p w14:paraId="3F945A8E"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Year 5 Cash Inflow</w:t>
            </w:r>
          </w:p>
        </w:tc>
        <w:tc>
          <w:tcPr>
            <w:tcW w:w="545" w:type="pct"/>
            <w:noWrap/>
            <w:hideMark/>
          </w:tcPr>
          <w:p w14:paraId="3962C244"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8.00 </w:t>
            </w:r>
          </w:p>
        </w:tc>
        <w:tc>
          <w:tcPr>
            <w:tcW w:w="484" w:type="pct"/>
            <w:noWrap/>
            <w:hideMark/>
          </w:tcPr>
          <w:p w14:paraId="1CC38BE3"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6.00 </w:t>
            </w:r>
          </w:p>
        </w:tc>
        <w:tc>
          <w:tcPr>
            <w:tcW w:w="514" w:type="pct"/>
            <w:noWrap/>
            <w:hideMark/>
          </w:tcPr>
          <w:p w14:paraId="14DA4D7F"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15.00 </w:t>
            </w:r>
          </w:p>
        </w:tc>
        <w:tc>
          <w:tcPr>
            <w:tcW w:w="552" w:type="pct"/>
            <w:noWrap/>
            <w:hideMark/>
          </w:tcPr>
          <w:p w14:paraId="15DBC64C"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14.00 </w:t>
            </w:r>
          </w:p>
        </w:tc>
        <w:tc>
          <w:tcPr>
            <w:tcW w:w="545" w:type="pct"/>
            <w:noWrap/>
            <w:hideMark/>
          </w:tcPr>
          <w:p w14:paraId="2B531E30"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   </w:t>
            </w:r>
          </w:p>
        </w:tc>
        <w:tc>
          <w:tcPr>
            <w:tcW w:w="575" w:type="pct"/>
            <w:noWrap/>
            <w:hideMark/>
          </w:tcPr>
          <w:p w14:paraId="2EB9E357"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25.00 </w:t>
            </w:r>
          </w:p>
        </w:tc>
      </w:tr>
      <w:tr w:rsidR="00A935C0" w:rsidRPr="0077415D" w14:paraId="7AC5BBEA" w14:textId="77777777" w:rsidTr="00A935C0">
        <w:trPr>
          <w:trHeight w:val="300"/>
        </w:trPr>
        <w:tc>
          <w:tcPr>
            <w:tcW w:w="1785" w:type="pct"/>
            <w:noWrap/>
            <w:hideMark/>
          </w:tcPr>
          <w:p w14:paraId="14C478F6"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Depreciation (SL)</w:t>
            </w:r>
          </w:p>
        </w:tc>
        <w:tc>
          <w:tcPr>
            <w:tcW w:w="545" w:type="pct"/>
            <w:noWrap/>
            <w:hideMark/>
          </w:tcPr>
          <w:p w14:paraId="50612446"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   </w:t>
            </w:r>
          </w:p>
        </w:tc>
        <w:tc>
          <w:tcPr>
            <w:tcW w:w="484" w:type="pct"/>
            <w:noWrap/>
            <w:hideMark/>
          </w:tcPr>
          <w:p w14:paraId="39B96008"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   </w:t>
            </w:r>
          </w:p>
        </w:tc>
        <w:tc>
          <w:tcPr>
            <w:tcW w:w="514" w:type="pct"/>
            <w:noWrap/>
            <w:hideMark/>
          </w:tcPr>
          <w:p w14:paraId="17A5DB24"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   </w:t>
            </w:r>
          </w:p>
        </w:tc>
        <w:tc>
          <w:tcPr>
            <w:tcW w:w="552" w:type="pct"/>
            <w:noWrap/>
            <w:hideMark/>
          </w:tcPr>
          <w:p w14:paraId="50D4AB73"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14.00 </w:t>
            </w:r>
          </w:p>
        </w:tc>
        <w:tc>
          <w:tcPr>
            <w:tcW w:w="545" w:type="pct"/>
            <w:noWrap/>
            <w:hideMark/>
          </w:tcPr>
          <w:p w14:paraId="09C23D89"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   </w:t>
            </w:r>
          </w:p>
        </w:tc>
        <w:tc>
          <w:tcPr>
            <w:tcW w:w="575" w:type="pct"/>
            <w:noWrap/>
            <w:hideMark/>
          </w:tcPr>
          <w:p w14:paraId="7BBF73AD"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25.00 </w:t>
            </w:r>
          </w:p>
        </w:tc>
      </w:tr>
      <w:tr w:rsidR="00A935C0" w:rsidRPr="0077415D" w14:paraId="0D8427C7" w14:textId="77777777" w:rsidTr="00A935C0">
        <w:trPr>
          <w:trHeight w:val="300"/>
        </w:trPr>
        <w:tc>
          <w:tcPr>
            <w:tcW w:w="1785" w:type="pct"/>
            <w:noWrap/>
            <w:hideMark/>
          </w:tcPr>
          <w:p w14:paraId="0EC6FAD2"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Annual Accounting Profit (Cash inflow - Depreciation)</w:t>
            </w:r>
          </w:p>
        </w:tc>
        <w:tc>
          <w:tcPr>
            <w:tcW w:w="545" w:type="pct"/>
            <w:noWrap/>
            <w:hideMark/>
          </w:tcPr>
          <w:p w14:paraId="0290F2AE"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10.00 </w:t>
            </w:r>
          </w:p>
        </w:tc>
        <w:tc>
          <w:tcPr>
            <w:tcW w:w="484" w:type="pct"/>
            <w:noWrap/>
            <w:hideMark/>
          </w:tcPr>
          <w:p w14:paraId="0DBAAD05"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6.00 </w:t>
            </w:r>
          </w:p>
        </w:tc>
        <w:tc>
          <w:tcPr>
            <w:tcW w:w="514" w:type="pct"/>
            <w:noWrap/>
            <w:hideMark/>
          </w:tcPr>
          <w:p w14:paraId="4D8C47F3"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5.00 </w:t>
            </w:r>
          </w:p>
        </w:tc>
        <w:tc>
          <w:tcPr>
            <w:tcW w:w="552" w:type="pct"/>
            <w:noWrap/>
            <w:hideMark/>
          </w:tcPr>
          <w:p w14:paraId="19B1096D"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24.00 </w:t>
            </w:r>
          </w:p>
        </w:tc>
        <w:tc>
          <w:tcPr>
            <w:tcW w:w="545" w:type="pct"/>
            <w:noWrap/>
            <w:hideMark/>
          </w:tcPr>
          <w:p w14:paraId="37C34D66"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6.00 </w:t>
            </w:r>
          </w:p>
        </w:tc>
        <w:tc>
          <w:tcPr>
            <w:tcW w:w="575" w:type="pct"/>
            <w:noWrap/>
            <w:hideMark/>
          </w:tcPr>
          <w:p w14:paraId="5A7D21BD"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30.00 </w:t>
            </w:r>
          </w:p>
        </w:tc>
      </w:tr>
      <w:tr w:rsidR="00A935C0" w:rsidRPr="0077415D" w14:paraId="2E543893" w14:textId="77777777" w:rsidTr="00A935C0">
        <w:trPr>
          <w:trHeight w:val="300"/>
        </w:trPr>
        <w:tc>
          <w:tcPr>
            <w:tcW w:w="1785" w:type="pct"/>
            <w:noWrap/>
            <w:hideMark/>
          </w:tcPr>
          <w:p w14:paraId="21F6C826"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NPV @10%</w:t>
            </w:r>
          </w:p>
        </w:tc>
        <w:tc>
          <w:tcPr>
            <w:tcW w:w="545" w:type="pct"/>
            <w:noWrap/>
            <w:hideMark/>
          </w:tcPr>
          <w:p w14:paraId="13691EE4"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1.32 </w:t>
            </w:r>
          </w:p>
        </w:tc>
        <w:tc>
          <w:tcPr>
            <w:tcW w:w="484" w:type="pct"/>
            <w:noWrap/>
            <w:hideMark/>
          </w:tcPr>
          <w:p w14:paraId="42D2D670"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7.26 </w:t>
            </w:r>
          </w:p>
        </w:tc>
        <w:tc>
          <w:tcPr>
            <w:tcW w:w="514" w:type="pct"/>
            <w:noWrap/>
            <w:hideMark/>
          </w:tcPr>
          <w:p w14:paraId="2D7956B6"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4.23 </w:t>
            </w:r>
          </w:p>
        </w:tc>
        <w:tc>
          <w:tcPr>
            <w:tcW w:w="552" w:type="pct"/>
            <w:noWrap/>
            <w:hideMark/>
          </w:tcPr>
          <w:p w14:paraId="23005DA9"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p>
        </w:tc>
        <w:tc>
          <w:tcPr>
            <w:tcW w:w="545" w:type="pct"/>
            <w:noWrap/>
            <w:hideMark/>
          </w:tcPr>
          <w:p w14:paraId="6015D231"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c>
          <w:tcPr>
            <w:tcW w:w="575" w:type="pct"/>
            <w:noWrap/>
            <w:hideMark/>
          </w:tcPr>
          <w:p w14:paraId="402D8BAD"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r>
      <w:tr w:rsidR="00A935C0" w:rsidRPr="0077415D" w14:paraId="64645B2E" w14:textId="77777777" w:rsidTr="00A935C0">
        <w:trPr>
          <w:trHeight w:val="300"/>
        </w:trPr>
        <w:tc>
          <w:tcPr>
            <w:tcW w:w="1785" w:type="pct"/>
            <w:noWrap/>
            <w:hideMark/>
          </w:tcPr>
          <w:p w14:paraId="700B393D"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lastRenderedPageBreak/>
              <w:t>PV of Inflows</w:t>
            </w:r>
          </w:p>
        </w:tc>
        <w:tc>
          <w:tcPr>
            <w:tcW w:w="545" w:type="pct"/>
            <w:noWrap/>
            <w:hideMark/>
          </w:tcPr>
          <w:p w14:paraId="799FD131"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41.32 </w:t>
            </w:r>
          </w:p>
        </w:tc>
        <w:tc>
          <w:tcPr>
            <w:tcW w:w="484" w:type="pct"/>
            <w:noWrap/>
            <w:hideMark/>
          </w:tcPr>
          <w:p w14:paraId="032944B5"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22.74 </w:t>
            </w:r>
          </w:p>
        </w:tc>
        <w:tc>
          <w:tcPr>
            <w:tcW w:w="514" w:type="pct"/>
            <w:noWrap/>
            <w:hideMark/>
          </w:tcPr>
          <w:p w14:paraId="613D89A0"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 xml:space="preserve"> £             54.23 </w:t>
            </w:r>
          </w:p>
        </w:tc>
        <w:tc>
          <w:tcPr>
            <w:tcW w:w="552" w:type="pct"/>
            <w:noWrap/>
            <w:hideMark/>
          </w:tcPr>
          <w:p w14:paraId="10D5AFF9"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p>
        </w:tc>
        <w:tc>
          <w:tcPr>
            <w:tcW w:w="545" w:type="pct"/>
            <w:noWrap/>
            <w:hideMark/>
          </w:tcPr>
          <w:p w14:paraId="70CC9CB3"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c>
          <w:tcPr>
            <w:tcW w:w="575" w:type="pct"/>
            <w:noWrap/>
            <w:hideMark/>
          </w:tcPr>
          <w:p w14:paraId="74A47689"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r>
      <w:tr w:rsidR="00A935C0" w:rsidRPr="0077415D" w14:paraId="0964EDE0" w14:textId="77777777" w:rsidTr="00A935C0">
        <w:trPr>
          <w:trHeight w:val="300"/>
        </w:trPr>
        <w:tc>
          <w:tcPr>
            <w:tcW w:w="1785" w:type="pct"/>
            <w:noWrap/>
            <w:hideMark/>
          </w:tcPr>
          <w:p w14:paraId="790AE5D3"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IRR</w:t>
            </w:r>
          </w:p>
        </w:tc>
        <w:tc>
          <w:tcPr>
            <w:tcW w:w="545" w:type="pct"/>
            <w:noWrap/>
            <w:hideMark/>
          </w:tcPr>
          <w:p w14:paraId="321FC1FE" w14:textId="77777777" w:rsidR="00A935C0" w:rsidRPr="00F011E0" w:rsidRDefault="00A935C0" w:rsidP="00A935C0">
            <w:pPr>
              <w:spacing w:line="240" w:lineRule="auto"/>
              <w:jc w:val="righ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11%</w:t>
            </w:r>
          </w:p>
        </w:tc>
        <w:tc>
          <w:tcPr>
            <w:tcW w:w="484" w:type="pct"/>
            <w:noWrap/>
            <w:hideMark/>
          </w:tcPr>
          <w:p w14:paraId="07620E4F" w14:textId="77777777" w:rsidR="00A935C0" w:rsidRPr="00F011E0" w:rsidRDefault="00A935C0" w:rsidP="00A935C0">
            <w:pPr>
              <w:spacing w:line="240" w:lineRule="auto"/>
              <w:jc w:val="righ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0%</w:t>
            </w:r>
          </w:p>
        </w:tc>
        <w:tc>
          <w:tcPr>
            <w:tcW w:w="514" w:type="pct"/>
            <w:noWrap/>
            <w:hideMark/>
          </w:tcPr>
          <w:p w14:paraId="57CBA8CA" w14:textId="77777777" w:rsidR="00A935C0" w:rsidRPr="00F011E0" w:rsidRDefault="00A935C0" w:rsidP="00A935C0">
            <w:pPr>
              <w:spacing w:line="240" w:lineRule="auto"/>
              <w:jc w:val="righ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13%</w:t>
            </w:r>
          </w:p>
        </w:tc>
        <w:tc>
          <w:tcPr>
            <w:tcW w:w="552" w:type="pct"/>
            <w:noWrap/>
            <w:hideMark/>
          </w:tcPr>
          <w:p w14:paraId="3B174126" w14:textId="77777777" w:rsidR="00A935C0" w:rsidRPr="00F011E0" w:rsidRDefault="00A935C0" w:rsidP="00A935C0">
            <w:pPr>
              <w:spacing w:line="240" w:lineRule="auto"/>
              <w:jc w:val="right"/>
              <w:rPr>
                <w:rFonts w:ascii="Arial" w:eastAsia="Times New Roman" w:hAnsi="Arial" w:cs="Arial"/>
                <w:kern w:val="0"/>
                <w:sz w:val="22"/>
                <w:szCs w:val="22"/>
                <w14:ligatures w14:val="none"/>
              </w:rPr>
            </w:pPr>
          </w:p>
        </w:tc>
        <w:tc>
          <w:tcPr>
            <w:tcW w:w="545" w:type="pct"/>
            <w:noWrap/>
            <w:hideMark/>
          </w:tcPr>
          <w:p w14:paraId="062B1AA3"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c>
          <w:tcPr>
            <w:tcW w:w="575" w:type="pct"/>
            <w:noWrap/>
            <w:hideMark/>
          </w:tcPr>
          <w:p w14:paraId="3EA98BCC"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r>
      <w:tr w:rsidR="00A935C0" w:rsidRPr="0077415D" w14:paraId="258FD051" w14:textId="77777777" w:rsidTr="00A935C0">
        <w:trPr>
          <w:trHeight w:val="300"/>
        </w:trPr>
        <w:tc>
          <w:tcPr>
            <w:tcW w:w="1785" w:type="pct"/>
            <w:noWrap/>
            <w:hideMark/>
          </w:tcPr>
          <w:p w14:paraId="000658E9"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Profitability Index (PI)</w:t>
            </w:r>
          </w:p>
        </w:tc>
        <w:tc>
          <w:tcPr>
            <w:tcW w:w="545" w:type="pct"/>
            <w:noWrap/>
            <w:hideMark/>
          </w:tcPr>
          <w:p w14:paraId="0E8D8E68" w14:textId="77777777" w:rsidR="00A935C0" w:rsidRPr="00F011E0" w:rsidRDefault="00A935C0" w:rsidP="00A935C0">
            <w:pPr>
              <w:spacing w:line="240" w:lineRule="auto"/>
              <w:jc w:val="righ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1.03</w:t>
            </w:r>
          </w:p>
        </w:tc>
        <w:tc>
          <w:tcPr>
            <w:tcW w:w="484" w:type="pct"/>
            <w:noWrap/>
            <w:hideMark/>
          </w:tcPr>
          <w:p w14:paraId="679CE241" w14:textId="77777777" w:rsidR="00A935C0" w:rsidRPr="00F011E0" w:rsidRDefault="00A935C0" w:rsidP="00A935C0">
            <w:pPr>
              <w:spacing w:line="240" w:lineRule="auto"/>
              <w:jc w:val="righ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0.76</w:t>
            </w:r>
          </w:p>
        </w:tc>
        <w:tc>
          <w:tcPr>
            <w:tcW w:w="514" w:type="pct"/>
            <w:noWrap/>
            <w:hideMark/>
          </w:tcPr>
          <w:p w14:paraId="08A0C122" w14:textId="77777777" w:rsidR="00A935C0" w:rsidRPr="00F011E0" w:rsidRDefault="00A935C0" w:rsidP="00A935C0">
            <w:pPr>
              <w:spacing w:line="240" w:lineRule="auto"/>
              <w:jc w:val="righ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1.08</w:t>
            </w:r>
          </w:p>
        </w:tc>
        <w:tc>
          <w:tcPr>
            <w:tcW w:w="552" w:type="pct"/>
            <w:noWrap/>
            <w:hideMark/>
          </w:tcPr>
          <w:p w14:paraId="1A1DFDBC" w14:textId="77777777" w:rsidR="00A935C0" w:rsidRPr="00F011E0" w:rsidRDefault="00A935C0" w:rsidP="00A935C0">
            <w:pPr>
              <w:spacing w:line="240" w:lineRule="auto"/>
              <w:jc w:val="right"/>
              <w:rPr>
                <w:rFonts w:ascii="Arial" w:eastAsia="Times New Roman" w:hAnsi="Arial" w:cs="Arial"/>
                <w:kern w:val="0"/>
                <w:sz w:val="22"/>
                <w:szCs w:val="22"/>
                <w14:ligatures w14:val="none"/>
              </w:rPr>
            </w:pPr>
          </w:p>
        </w:tc>
        <w:tc>
          <w:tcPr>
            <w:tcW w:w="545" w:type="pct"/>
            <w:noWrap/>
            <w:hideMark/>
          </w:tcPr>
          <w:p w14:paraId="0B9BDA9C"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c>
          <w:tcPr>
            <w:tcW w:w="575" w:type="pct"/>
            <w:noWrap/>
            <w:hideMark/>
          </w:tcPr>
          <w:p w14:paraId="751E46D2"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r>
      <w:tr w:rsidR="00A935C0" w:rsidRPr="0077415D" w14:paraId="05662A02" w14:textId="77777777" w:rsidTr="00A935C0">
        <w:trPr>
          <w:trHeight w:val="300"/>
        </w:trPr>
        <w:tc>
          <w:tcPr>
            <w:tcW w:w="1785" w:type="pct"/>
            <w:noWrap/>
            <w:hideMark/>
          </w:tcPr>
          <w:p w14:paraId="193767CE"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Payback Period (yrs)</w:t>
            </w:r>
          </w:p>
        </w:tc>
        <w:tc>
          <w:tcPr>
            <w:tcW w:w="545" w:type="pct"/>
            <w:noWrap/>
            <w:hideMark/>
          </w:tcPr>
          <w:p w14:paraId="7D95FC09" w14:textId="146B177F" w:rsidR="00A935C0" w:rsidRPr="00F011E0" w:rsidRDefault="00631DA0" w:rsidP="00A935C0">
            <w:pPr>
              <w:spacing w:line="240" w:lineRule="auto"/>
              <w:jc w:val="right"/>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3.4</w:t>
            </w:r>
          </w:p>
        </w:tc>
        <w:tc>
          <w:tcPr>
            <w:tcW w:w="484" w:type="pct"/>
            <w:noWrap/>
            <w:hideMark/>
          </w:tcPr>
          <w:p w14:paraId="7DF2D9EE" w14:textId="6F743490" w:rsidR="00A935C0" w:rsidRPr="00F011E0" w:rsidRDefault="00631DA0" w:rsidP="00A935C0">
            <w:pPr>
              <w:spacing w:line="240" w:lineRule="auto"/>
              <w:jc w:val="right"/>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5</w:t>
            </w:r>
          </w:p>
        </w:tc>
        <w:tc>
          <w:tcPr>
            <w:tcW w:w="514" w:type="pct"/>
            <w:noWrap/>
            <w:hideMark/>
          </w:tcPr>
          <w:p w14:paraId="689F789E" w14:textId="2F2CCA04" w:rsidR="00A935C0" w:rsidRPr="00F011E0" w:rsidRDefault="00631DA0" w:rsidP="00A935C0">
            <w:pPr>
              <w:spacing w:line="240" w:lineRule="auto"/>
              <w:jc w:val="right"/>
              <w:rPr>
                <w:rFonts w:ascii="Arial" w:eastAsia="Times New Roman" w:hAnsi="Arial" w:cs="Arial"/>
                <w:kern w:val="0"/>
                <w:sz w:val="22"/>
                <w:szCs w:val="22"/>
                <w14:ligatures w14:val="none"/>
              </w:rPr>
            </w:pPr>
            <w:r>
              <w:rPr>
                <w:rFonts w:ascii="Arial" w:eastAsia="Times New Roman" w:hAnsi="Arial" w:cs="Arial"/>
                <w:kern w:val="0"/>
                <w:sz w:val="22"/>
                <w:szCs w:val="22"/>
                <w14:ligatures w14:val="none"/>
              </w:rPr>
              <w:t>3.60</w:t>
            </w:r>
          </w:p>
        </w:tc>
        <w:tc>
          <w:tcPr>
            <w:tcW w:w="552" w:type="pct"/>
            <w:noWrap/>
            <w:hideMark/>
          </w:tcPr>
          <w:p w14:paraId="48E33AA9" w14:textId="77777777" w:rsidR="00A935C0" w:rsidRPr="00F011E0" w:rsidRDefault="00A935C0" w:rsidP="00A935C0">
            <w:pPr>
              <w:spacing w:line="240" w:lineRule="auto"/>
              <w:jc w:val="right"/>
              <w:rPr>
                <w:rFonts w:ascii="Arial" w:eastAsia="Times New Roman" w:hAnsi="Arial" w:cs="Arial"/>
                <w:kern w:val="0"/>
                <w:sz w:val="22"/>
                <w:szCs w:val="22"/>
                <w14:ligatures w14:val="none"/>
              </w:rPr>
            </w:pPr>
          </w:p>
        </w:tc>
        <w:tc>
          <w:tcPr>
            <w:tcW w:w="545" w:type="pct"/>
            <w:noWrap/>
            <w:hideMark/>
          </w:tcPr>
          <w:p w14:paraId="504E4980"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c>
          <w:tcPr>
            <w:tcW w:w="575" w:type="pct"/>
            <w:noWrap/>
            <w:hideMark/>
          </w:tcPr>
          <w:p w14:paraId="666680C0"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r>
      <w:tr w:rsidR="00A935C0" w:rsidRPr="0077415D" w14:paraId="7CDBD049" w14:textId="77777777" w:rsidTr="00A935C0">
        <w:trPr>
          <w:trHeight w:val="300"/>
        </w:trPr>
        <w:tc>
          <w:tcPr>
            <w:tcW w:w="1785" w:type="pct"/>
            <w:noWrap/>
            <w:hideMark/>
          </w:tcPr>
          <w:p w14:paraId="3B66438D" w14:textId="77777777" w:rsidR="00A935C0" w:rsidRPr="00F011E0" w:rsidRDefault="00A935C0" w:rsidP="00A935C0">
            <w:pPr>
              <w:spacing w:line="240" w:lineRule="auto"/>
              <w:jc w:val="lef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ARR (%)</w:t>
            </w:r>
          </w:p>
        </w:tc>
        <w:tc>
          <w:tcPr>
            <w:tcW w:w="545" w:type="pct"/>
            <w:noWrap/>
            <w:hideMark/>
          </w:tcPr>
          <w:p w14:paraId="5D3A543C" w14:textId="77777777" w:rsidR="00A935C0" w:rsidRPr="00F011E0" w:rsidRDefault="00A935C0" w:rsidP="00A935C0">
            <w:pPr>
              <w:spacing w:line="240" w:lineRule="auto"/>
              <w:jc w:val="righ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53.79%</w:t>
            </w:r>
          </w:p>
        </w:tc>
        <w:tc>
          <w:tcPr>
            <w:tcW w:w="484" w:type="pct"/>
            <w:noWrap/>
            <w:hideMark/>
          </w:tcPr>
          <w:p w14:paraId="21BE5DBC" w14:textId="77777777" w:rsidR="00A935C0" w:rsidRPr="00F011E0" w:rsidRDefault="00A935C0" w:rsidP="00A935C0">
            <w:pPr>
              <w:spacing w:line="240" w:lineRule="auto"/>
              <w:jc w:val="righ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29.66%</w:t>
            </w:r>
          </w:p>
        </w:tc>
        <w:tc>
          <w:tcPr>
            <w:tcW w:w="514" w:type="pct"/>
            <w:noWrap/>
            <w:hideMark/>
          </w:tcPr>
          <w:p w14:paraId="1F1ECA45" w14:textId="77777777" w:rsidR="00A935C0" w:rsidRPr="00F011E0" w:rsidRDefault="00A935C0" w:rsidP="00A935C0">
            <w:pPr>
              <w:spacing w:line="240" w:lineRule="auto"/>
              <w:jc w:val="right"/>
              <w:rPr>
                <w:rFonts w:ascii="Arial" w:eastAsia="Times New Roman" w:hAnsi="Arial" w:cs="Arial"/>
                <w:kern w:val="0"/>
                <w:sz w:val="22"/>
                <w:szCs w:val="22"/>
                <w14:ligatures w14:val="none"/>
              </w:rPr>
            </w:pPr>
            <w:r w:rsidRPr="00F011E0">
              <w:rPr>
                <w:rFonts w:ascii="Arial" w:eastAsia="Times New Roman" w:hAnsi="Arial" w:cs="Arial"/>
                <w:kern w:val="0"/>
                <w:sz w:val="22"/>
                <w:szCs w:val="22"/>
                <w14:ligatures w14:val="none"/>
              </w:rPr>
              <w:t>51.73%</w:t>
            </w:r>
          </w:p>
        </w:tc>
        <w:tc>
          <w:tcPr>
            <w:tcW w:w="552" w:type="pct"/>
            <w:noWrap/>
            <w:hideMark/>
          </w:tcPr>
          <w:p w14:paraId="7B426BCA" w14:textId="77777777" w:rsidR="00A935C0" w:rsidRPr="00F011E0" w:rsidRDefault="00A935C0" w:rsidP="00A935C0">
            <w:pPr>
              <w:spacing w:line="240" w:lineRule="auto"/>
              <w:jc w:val="right"/>
              <w:rPr>
                <w:rFonts w:ascii="Arial" w:eastAsia="Times New Roman" w:hAnsi="Arial" w:cs="Arial"/>
                <w:kern w:val="0"/>
                <w:sz w:val="22"/>
                <w:szCs w:val="22"/>
                <w14:ligatures w14:val="none"/>
              </w:rPr>
            </w:pPr>
          </w:p>
        </w:tc>
        <w:tc>
          <w:tcPr>
            <w:tcW w:w="545" w:type="pct"/>
            <w:noWrap/>
            <w:hideMark/>
          </w:tcPr>
          <w:p w14:paraId="3E2E2376"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c>
          <w:tcPr>
            <w:tcW w:w="575" w:type="pct"/>
            <w:noWrap/>
            <w:hideMark/>
          </w:tcPr>
          <w:p w14:paraId="0B13421C" w14:textId="77777777" w:rsidR="00A935C0" w:rsidRPr="00F011E0" w:rsidRDefault="00A935C0" w:rsidP="00A935C0">
            <w:pPr>
              <w:spacing w:line="240" w:lineRule="auto"/>
              <w:jc w:val="left"/>
              <w:rPr>
                <w:rFonts w:ascii="Arial" w:eastAsia="Times New Roman" w:hAnsi="Arial" w:cs="Arial"/>
                <w:kern w:val="0"/>
                <w:sz w:val="20"/>
                <w:szCs w:val="20"/>
                <w14:ligatures w14:val="none"/>
              </w:rPr>
            </w:pPr>
          </w:p>
        </w:tc>
      </w:tr>
    </w:tbl>
    <w:p w14:paraId="595A2A31" w14:textId="77777777" w:rsidR="0064373F" w:rsidRPr="0077415D" w:rsidRDefault="0064373F" w:rsidP="00823AFA">
      <w:pPr>
        <w:jc w:val="center"/>
        <w:rPr>
          <w:rFonts w:ascii="Arial" w:hAnsi="Arial" w:cs="Arial"/>
          <w:color w:val="000000" w:themeColor="text1"/>
        </w:rPr>
      </w:pPr>
    </w:p>
    <w:p w14:paraId="021B51F9" w14:textId="4F96415F" w:rsidR="0012545A" w:rsidRPr="0077415D" w:rsidRDefault="0012545A" w:rsidP="00823AFA">
      <w:pPr>
        <w:jc w:val="center"/>
        <w:rPr>
          <w:rFonts w:ascii="Arial" w:hAnsi="Arial" w:cs="Arial"/>
          <w:color w:val="000000" w:themeColor="text1"/>
        </w:rPr>
      </w:pPr>
      <w:r w:rsidRPr="0077415D">
        <w:rPr>
          <w:rFonts w:ascii="Arial" w:hAnsi="Arial" w:cs="Arial"/>
          <w:noProof/>
          <w:color w:val="000000" w:themeColor="text1"/>
        </w:rPr>
        <w:drawing>
          <wp:inline distT="0" distB="0" distL="0" distR="0" wp14:anchorId="5256B24D" wp14:editId="7AFF86C6">
            <wp:extent cx="4572000" cy="2743200"/>
            <wp:effectExtent l="0" t="0" r="0" b="0"/>
            <wp:docPr id="1837095462" name="Chart 1">
              <a:extLst xmlns:a="http://schemas.openxmlformats.org/drawingml/2006/main">
                <a:ext uri="{FF2B5EF4-FFF2-40B4-BE49-F238E27FC236}">
                  <a16:creationId xmlns:a16="http://schemas.microsoft.com/office/drawing/2014/main" id="{B1125E13-EFF0-DD91-2B9C-20DF770F68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FA8E22E" w14:textId="103EEEC1" w:rsidR="00823AFA" w:rsidRPr="00F011E0" w:rsidRDefault="00823AFA" w:rsidP="00823AFA">
      <w:pPr>
        <w:jc w:val="center"/>
        <w:rPr>
          <w:rFonts w:ascii="Arial" w:hAnsi="Arial" w:cs="Arial"/>
          <w:b/>
          <w:bCs/>
        </w:rPr>
      </w:pPr>
      <w:r w:rsidRPr="00F011E0">
        <w:rPr>
          <w:rFonts w:ascii="Arial" w:hAnsi="Arial" w:cs="Arial"/>
          <w:b/>
          <w:bCs/>
        </w:rPr>
        <w:t>Table 4: Investment Appraisal</w:t>
      </w:r>
    </w:p>
    <w:p w14:paraId="591C3A5D" w14:textId="4B989A89" w:rsidR="00823AFA" w:rsidRPr="0077415D" w:rsidRDefault="00823AFA" w:rsidP="00823AFA">
      <w:pPr>
        <w:jc w:val="center"/>
        <w:rPr>
          <w:rFonts w:ascii="Arial" w:hAnsi="Arial" w:cs="Arial"/>
          <w:color w:val="000000" w:themeColor="text1"/>
        </w:rPr>
      </w:pPr>
      <w:r w:rsidRPr="0077415D">
        <w:rPr>
          <w:rFonts w:ascii="Arial" w:hAnsi="Arial" w:cs="Arial"/>
          <w:color w:val="000000" w:themeColor="text1"/>
        </w:rPr>
        <w:t>(Source: Generated by MS Excel)</w:t>
      </w:r>
    </w:p>
    <w:p w14:paraId="5BB6F047" w14:textId="155EE607" w:rsidR="0064373F" w:rsidRPr="0077415D" w:rsidRDefault="0064373F" w:rsidP="00A824F0">
      <w:pPr>
        <w:rPr>
          <w:rFonts w:ascii="Arial" w:hAnsi="Arial" w:cs="Arial"/>
          <w:b/>
          <w:bCs/>
          <w:color w:val="000000" w:themeColor="text1"/>
        </w:rPr>
      </w:pPr>
      <w:r w:rsidRPr="0077415D">
        <w:rPr>
          <w:rFonts w:ascii="Arial" w:hAnsi="Arial" w:cs="Arial"/>
          <w:b/>
          <w:bCs/>
          <w:color w:val="000000" w:themeColor="text1"/>
        </w:rPr>
        <w:t>Investment Appraisal Overview</w:t>
      </w:r>
    </w:p>
    <w:p w14:paraId="3F24F66A" w14:textId="07093581" w:rsidR="003748C1" w:rsidRPr="0077415D" w:rsidRDefault="00F011E0" w:rsidP="003748C1">
      <w:pPr>
        <w:rPr>
          <w:rFonts w:ascii="Arial" w:hAnsi="Arial" w:cs="Arial"/>
          <w:color w:val="000000" w:themeColor="text1"/>
        </w:rPr>
      </w:pPr>
      <w:r>
        <w:rPr>
          <w:rFonts w:ascii="Arial" w:hAnsi="Arial" w:cs="Arial"/>
          <w:color w:val="000000" w:themeColor="text1"/>
        </w:rPr>
        <w:t>Projects</w:t>
      </w:r>
      <w:r w:rsidR="003748C1" w:rsidRPr="0077415D">
        <w:rPr>
          <w:rFonts w:ascii="Arial" w:hAnsi="Arial" w:cs="Arial"/>
          <w:color w:val="000000" w:themeColor="text1"/>
        </w:rPr>
        <w:t xml:space="preserve"> A, B, and C have been </w:t>
      </w:r>
      <w:proofErr w:type="spellStart"/>
      <w:r>
        <w:rPr>
          <w:rFonts w:ascii="Arial" w:hAnsi="Arial" w:cs="Arial"/>
          <w:color w:val="000000" w:themeColor="text1"/>
        </w:rPr>
        <w:t>analysed</w:t>
      </w:r>
      <w:proofErr w:type="spellEnd"/>
      <w:r w:rsidR="003748C1" w:rsidRPr="0077415D">
        <w:rPr>
          <w:rFonts w:ascii="Arial" w:hAnsi="Arial" w:cs="Arial"/>
          <w:color w:val="000000" w:themeColor="text1"/>
        </w:rPr>
        <w:t xml:space="preserve"> through the normal capital-budgeting methods, with the Net Present Value, Internal rate of Return, Profitability Index, Accounting rate of return and Payback Period being the evaluation appraisals. All these indicators evaluate </w:t>
      </w:r>
      <w:r>
        <w:rPr>
          <w:rFonts w:ascii="Arial" w:hAnsi="Arial" w:cs="Arial"/>
          <w:color w:val="000000" w:themeColor="text1"/>
        </w:rPr>
        <w:t xml:space="preserve">the </w:t>
      </w:r>
      <w:r w:rsidR="003748C1" w:rsidRPr="0077415D">
        <w:rPr>
          <w:rFonts w:ascii="Arial" w:hAnsi="Arial" w:cs="Arial"/>
          <w:color w:val="000000" w:themeColor="text1"/>
        </w:rPr>
        <w:t>liquidity impact of the projects, exposure to risks, and value creation in the long-term at the discount rate of 10% of the company</w:t>
      </w:r>
      <w:r w:rsidR="000D41CE" w:rsidRPr="0077415D">
        <w:rPr>
          <w:rFonts w:ascii="Arial" w:hAnsi="Arial" w:cs="Arial"/>
          <w:color w:val="000000" w:themeColor="text1"/>
        </w:rPr>
        <w:t>.</w:t>
      </w:r>
    </w:p>
    <w:p w14:paraId="0D92A774" w14:textId="77777777" w:rsidR="003748C1" w:rsidRPr="0077415D" w:rsidRDefault="003748C1" w:rsidP="003748C1">
      <w:pPr>
        <w:rPr>
          <w:rFonts w:ascii="Arial" w:hAnsi="Arial" w:cs="Arial"/>
          <w:b/>
          <w:bCs/>
          <w:color w:val="000000" w:themeColor="text1"/>
        </w:rPr>
      </w:pPr>
      <w:r w:rsidRPr="0077415D">
        <w:rPr>
          <w:rFonts w:ascii="Arial" w:hAnsi="Arial" w:cs="Arial"/>
          <w:b/>
          <w:bCs/>
          <w:color w:val="000000" w:themeColor="text1"/>
        </w:rPr>
        <w:t>Evaluation of Project A</w:t>
      </w:r>
    </w:p>
    <w:p w14:paraId="21602B22" w14:textId="3DBD1804" w:rsidR="003748C1" w:rsidRPr="0077415D" w:rsidRDefault="003748C1" w:rsidP="003748C1">
      <w:pPr>
        <w:rPr>
          <w:rFonts w:ascii="Arial" w:hAnsi="Arial" w:cs="Arial"/>
          <w:color w:val="000000" w:themeColor="text1"/>
        </w:rPr>
      </w:pPr>
      <w:r w:rsidRPr="0077415D">
        <w:rPr>
          <w:rFonts w:ascii="Arial" w:hAnsi="Arial" w:cs="Arial"/>
          <w:color w:val="000000" w:themeColor="text1"/>
        </w:rPr>
        <w:t xml:space="preserve">Project A has an initial investment of </w:t>
      </w:r>
      <w:bookmarkStart w:id="16" w:name="_Hlk213948715"/>
      <w:r w:rsidRPr="0077415D">
        <w:rPr>
          <w:rFonts w:ascii="Arial" w:hAnsi="Arial" w:cs="Arial"/>
          <w:color w:val="000000" w:themeColor="text1"/>
        </w:rPr>
        <w:t>£</w:t>
      </w:r>
      <w:bookmarkEnd w:id="16"/>
      <w:r w:rsidRPr="0077415D">
        <w:rPr>
          <w:rFonts w:ascii="Arial" w:hAnsi="Arial" w:cs="Arial"/>
          <w:color w:val="000000" w:themeColor="text1"/>
        </w:rPr>
        <w:t>40million and cash inflows of £10million, £12 million, £14million, £10million and £8million after 5 years</w:t>
      </w:r>
      <w:r w:rsidR="00F011E0">
        <w:rPr>
          <w:rFonts w:ascii="Arial" w:hAnsi="Arial" w:cs="Arial"/>
          <w:color w:val="000000" w:themeColor="text1"/>
        </w:rPr>
        <w:t>,</w:t>
      </w:r>
      <w:r w:rsidRPr="0077415D">
        <w:rPr>
          <w:rFonts w:ascii="Arial" w:hAnsi="Arial" w:cs="Arial"/>
          <w:color w:val="000000" w:themeColor="text1"/>
        </w:rPr>
        <w:t xml:space="preserve"> respectively. Having </w:t>
      </w:r>
      <w:r w:rsidR="00F011E0">
        <w:rPr>
          <w:rFonts w:ascii="Arial" w:hAnsi="Arial" w:cs="Arial"/>
          <w:color w:val="000000" w:themeColor="text1"/>
        </w:rPr>
        <w:t xml:space="preserve">an </w:t>
      </w:r>
      <w:r w:rsidRPr="0077415D">
        <w:rPr>
          <w:rFonts w:ascii="Arial" w:hAnsi="Arial" w:cs="Arial"/>
          <w:color w:val="000000" w:themeColor="text1"/>
        </w:rPr>
        <w:t xml:space="preserve">NPV of £1.32 million, </w:t>
      </w:r>
      <w:r w:rsidR="00F011E0">
        <w:rPr>
          <w:rFonts w:ascii="Arial" w:hAnsi="Arial" w:cs="Arial"/>
          <w:color w:val="000000" w:themeColor="text1"/>
        </w:rPr>
        <w:t xml:space="preserve">a </w:t>
      </w:r>
      <w:r w:rsidRPr="0077415D">
        <w:rPr>
          <w:rFonts w:ascii="Arial" w:hAnsi="Arial" w:cs="Arial"/>
          <w:color w:val="000000" w:themeColor="text1"/>
        </w:rPr>
        <w:t xml:space="preserve">total discounted inflow value of £41.32 million, the project produces </w:t>
      </w:r>
      <w:r w:rsidRPr="0077415D">
        <w:rPr>
          <w:rFonts w:ascii="Arial" w:hAnsi="Arial" w:cs="Arial"/>
          <w:color w:val="000000" w:themeColor="text1"/>
        </w:rPr>
        <w:lastRenderedPageBreak/>
        <w:t xml:space="preserve">marginal and positive value over </w:t>
      </w:r>
      <w:r w:rsidR="00F011E0">
        <w:rPr>
          <w:rFonts w:ascii="Arial" w:hAnsi="Arial" w:cs="Arial"/>
          <w:color w:val="000000" w:themeColor="text1"/>
        </w:rPr>
        <w:t xml:space="preserve">the </w:t>
      </w:r>
      <w:r w:rsidRPr="0077415D">
        <w:rPr>
          <w:rFonts w:ascii="Arial" w:hAnsi="Arial" w:cs="Arial"/>
          <w:color w:val="000000" w:themeColor="text1"/>
        </w:rPr>
        <w:t xml:space="preserve">cost of capital. The 11% IRR is marginally higher than the 10% hurdle rate, indicating that the project will yield a </w:t>
      </w:r>
      <w:proofErr w:type="spellStart"/>
      <w:r w:rsidR="00F011E0">
        <w:rPr>
          <w:rFonts w:ascii="Arial" w:hAnsi="Arial" w:cs="Arial"/>
          <w:color w:val="000000" w:themeColor="text1"/>
        </w:rPr>
        <w:t>favourable</w:t>
      </w:r>
      <w:proofErr w:type="spellEnd"/>
      <w:r w:rsidRPr="0077415D">
        <w:rPr>
          <w:rFonts w:ascii="Arial" w:hAnsi="Arial" w:cs="Arial"/>
          <w:color w:val="000000" w:themeColor="text1"/>
        </w:rPr>
        <w:t xml:space="preserve"> return as compared to the available capital limit of the company. </w:t>
      </w:r>
    </w:p>
    <w:p w14:paraId="0163832F" w14:textId="49AAD7C8" w:rsidR="003748C1" w:rsidRPr="0077415D" w:rsidRDefault="003748C1" w:rsidP="003748C1">
      <w:pPr>
        <w:rPr>
          <w:rFonts w:ascii="Arial" w:hAnsi="Arial" w:cs="Arial"/>
          <w:color w:val="000000" w:themeColor="text1"/>
        </w:rPr>
      </w:pPr>
      <w:r w:rsidRPr="0077415D">
        <w:rPr>
          <w:rFonts w:ascii="Arial" w:hAnsi="Arial" w:cs="Arial"/>
          <w:color w:val="000000" w:themeColor="text1"/>
        </w:rPr>
        <w:t>The ARR of the project is 53.79% which shows high accounting profitability, as all the inflows are considered as profit</w:t>
      </w:r>
      <w:r w:rsidR="00F011E0">
        <w:rPr>
          <w:rFonts w:ascii="Arial" w:hAnsi="Arial" w:cs="Arial"/>
          <w:color w:val="000000" w:themeColor="text1"/>
        </w:rPr>
        <w:t>,</w:t>
      </w:r>
      <w:r w:rsidRPr="0077415D">
        <w:rPr>
          <w:rFonts w:ascii="Arial" w:hAnsi="Arial" w:cs="Arial"/>
          <w:color w:val="000000" w:themeColor="text1"/>
        </w:rPr>
        <w:t xml:space="preserve"> as there is no depreciation. </w:t>
      </w:r>
      <w:r w:rsidR="00F011E0">
        <w:rPr>
          <w:rFonts w:ascii="Arial" w:hAnsi="Arial" w:cs="Arial"/>
          <w:color w:val="000000" w:themeColor="text1"/>
        </w:rPr>
        <w:t>A payback</w:t>
      </w:r>
      <w:r w:rsidRPr="0077415D">
        <w:rPr>
          <w:rFonts w:ascii="Arial" w:hAnsi="Arial" w:cs="Arial"/>
          <w:color w:val="000000" w:themeColor="text1"/>
        </w:rPr>
        <w:t xml:space="preserve"> period of about 3.5 years will mean that there will be relatively quick liquidity recovery, which is beneficial considering that the company is presently experiencing </w:t>
      </w:r>
      <w:r w:rsidR="00F011E0">
        <w:rPr>
          <w:rFonts w:ascii="Arial" w:hAnsi="Arial" w:cs="Arial"/>
          <w:color w:val="000000" w:themeColor="text1"/>
        </w:rPr>
        <w:t xml:space="preserve">a </w:t>
      </w:r>
      <w:r w:rsidRPr="0077415D">
        <w:rPr>
          <w:rFonts w:ascii="Arial" w:hAnsi="Arial" w:cs="Arial"/>
          <w:color w:val="000000" w:themeColor="text1"/>
        </w:rPr>
        <w:t xml:space="preserve">cash crunch. </w:t>
      </w:r>
    </w:p>
    <w:p w14:paraId="3065CF46" w14:textId="77777777" w:rsidR="003748C1" w:rsidRPr="0077415D" w:rsidRDefault="003748C1" w:rsidP="003748C1">
      <w:pPr>
        <w:rPr>
          <w:rFonts w:ascii="Arial" w:hAnsi="Arial" w:cs="Arial"/>
          <w:b/>
          <w:bCs/>
          <w:color w:val="000000" w:themeColor="text1"/>
        </w:rPr>
      </w:pPr>
      <w:r w:rsidRPr="0077415D">
        <w:rPr>
          <w:rFonts w:ascii="Arial" w:hAnsi="Arial" w:cs="Arial"/>
          <w:b/>
          <w:bCs/>
          <w:color w:val="000000" w:themeColor="text1"/>
        </w:rPr>
        <w:t>Evaluation of Project B</w:t>
      </w:r>
    </w:p>
    <w:p w14:paraId="2A525FCC" w14:textId="64A58FAE" w:rsidR="003748C1" w:rsidRPr="0077415D" w:rsidRDefault="003748C1" w:rsidP="003748C1">
      <w:pPr>
        <w:rPr>
          <w:rFonts w:ascii="Arial" w:hAnsi="Arial" w:cs="Arial"/>
          <w:color w:val="000000" w:themeColor="text1"/>
        </w:rPr>
      </w:pPr>
      <w:r w:rsidRPr="0077415D">
        <w:rPr>
          <w:rFonts w:ascii="Arial" w:hAnsi="Arial" w:cs="Arial"/>
          <w:color w:val="000000" w:themeColor="text1"/>
        </w:rPr>
        <w:t xml:space="preserve">In project B, the initial investment is smaller at </w:t>
      </w:r>
      <w:r w:rsidR="00907342" w:rsidRPr="0077415D">
        <w:rPr>
          <w:rFonts w:ascii="Arial" w:hAnsi="Arial" w:cs="Arial"/>
          <w:color w:val="000000" w:themeColor="text1"/>
        </w:rPr>
        <w:t>£</w:t>
      </w:r>
      <w:r w:rsidRPr="0077415D">
        <w:rPr>
          <w:rFonts w:ascii="Arial" w:hAnsi="Arial" w:cs="Arial"/>
          <w:color w:val="000000" w:themeColor="text1"/>
        </w:rPr>
        <w:t>30 million, but it would have fixed cash inflows of 6 million pounds per year. The NPV value is negative (-</w:t>
      </w:r>
      <w:r w:rsidR="00907342" w:rsidRPr="0077415D">
        <w:rPr>
          <w:rFonts w:ascii="Arial" w:hAnsi="Arial" w:cs="Arial"/>
          <w:color w:val="000000" w:themeColor="text1"/>
        </w:rPr>
        <w:t>£</w:t>
      </w:r>
      <w:r w:rsidRPr="0077415D">
        <w:rPr>
          <w:rFonts w:ascii="Arial" w:hAnsi="Arial" w:cs="Arial"/>
          <w:color w:val="000000" w:themeColor="text1"/>
        </w:rPr>
        <w:t>7.26 million)</w:t>
      </w:r>
      <w:r w:rsidR="00F011E0">
        <w:rPr>
          <w:rFonts w:ascii="Arial" w:hAnsi="Arial" w:cs="Arial"/>
          <w:color w:val="000000" w:themeColor="text1"/>
        </w:rPr>
        <w:t>,</w:t>
      </w:r>
      <w:r w:rsidRPr="0077415D">
        <w:rPr>
          <w:rFonts w:ascii="Arial" w:hAnsi="Arial" w:cs="Arial"/>
          <w:color w:val="000000" w:themeColor="text1"/>
        </w:rPr>
        <w:t xml:space="preserve"> thus establishing that the project kills value compared to the required rate of the company. The IRR of 0% demonstrates that the project fails to satisfy the discount rate requirement and the profitability index of 0.76 shows that a pound invested in the project is only worth 76 pence in discount value.</w:t>
      </w:r>
    </w:p>
    <w:p w14:paraId="3531CF1B" w14:textId="30F4AA4B" w:rsidR="003748C1" w:rsidRPr="0077415D" w:rsidRDefault="003748C1" w:rsidP="003748C1">
      <w:pPr>
        <w:rPr>
          <w:rFonts w:ascii="Arial" w:hAnsi="Arial" w:cs="Arial"/>
          <w:color w:val="000000" w:themeColor="text1"/>
        </w:rPr>
      </w:pPr>
      <w:r w:rsidRPr="0077415D">
        <w:rPr>
          <w:rFonts w:ascii="Arial" w:hAnsi="Arial" w:cs="Arial"/>
          <w:color w:val="000000" w:themeColor="text1"/>
        </w:rPr>
        <w:t>Though the ARR of 29.66 percent seems to be logical at the beginning, the discounted returns are weak and supersede this accounting indicator. The payback period is also greater than the duration of the project</w:t>
      </w:r>
      <w:r w:rsidR="00F011E0">
        <w:rPr>
          <w:rFonts w:ascii="Arial" w:hAnsi="Arial" w:cs="Arial"/>
          <w:color w:val="000000" w:themeColor="text1"/>
        </w:rPr>
        <w:t>,</w:t>
      </w:r>
      <w:r w:rsidRPr="0077415D">
        <w:rPr>
          <w:rFonts w:ascii="Arial" w:hAnsi="Arial" w:cs="Arial"/>
          <w:color w:val="000000" w:themeColor="text1"/>
        </w:rPr>
        <w:t xml:space="preserve"> and this means that the initial investment is not recovered in the </w:t>
      </w:r>
      <w:r w:rsidR="00907342" w:rsidRPr="0077415D">
        <w:rPr>
          <w:rFonts w:ascii="Arial" w:hAnsi="Arial" w:cs="Arial"/>
          <w:color w:val="000000" w:themeColor="text1"/>
        </w:rPr>
        <w:t>5-year</w:t>
      </w:r>
      <w:r w:rsidRPr="0077415D">
        <w:rPr>
          <w:rFonts w:ascii="Arial" w:hAnsi="Arial" w:cs="Arial"/>
          <w:color w:val="000000" w:themeColor="text1"/>
        </w:rPr>
        <w:t xml:space="preserve"> horizon</w:t>
      </w:r>
      <w:r w:rsidR="002C7709" w:rsidRPr="0077415D">
        <w:rPr>
          <w:rFonts w:ascii="Arial" w:hAnsi="Arial" w:cs="Arial"/>
          <w:color w:val="000000" w:themeColor="text1"/>
        </w:rPr>
        <w:t>.</w:t>
      </w:r>
    </w:p>
    <w:p w14:paraId="00D778B1" w14:textId="77777777" w:rsidR="00907342" w:rsidRPr="0077415D" w:rsidRDefault="00907342" w:rsidP="00907342">
      <w:pPr>
        <w:rPr>
          <w:rFonts w:ascii="Arial" w:hAnsi="Arial" w:cs="Arial"/>
          <w:b/>
          <w:bCs/>
          <w:color w:val="000000" w:themeColor="text1"/>
        </w:rPr>
      </w:pPr>
      <w:r w:rsidRPr="0077415D">
        <w:rPr>
          <w:rFonts w:ascii="Arial" w:hAnsi="Arial" w:cs="Arial"/>
          <w:b/>
          <w:bCs/>
          <w:color w:val="000000" w:themeColor="text1"/>
        </w:rPr>
        <w:t>Evaluation of Project C</w:t>
      </w:r>
    </w:p>
    <w:p w14:paraId="6AD9C522" w14:textId="14781B43" w:rsidR="003748C1" w:rsidRPr="0077415D" w:rsidRDefault="003748C1" w:rsidP="003748C1">
      <w:pPr>
        <w:rPr>
          <w:rFonts w:ascii="Arial" w:hAnsi="Arial" w:cs="Arial"/>
          <w:color w:val="000000" w:themeColor="text1"/>
        </w:rPr>
      </w:pPr>
      <w:r w:rsidRPr="0077415D">
        <w:rPr>
          <w:rFonts w:ascii="Arial" w:hAnsi="Arial" w:cs="Arial"/>
          <w:color w:val="000000" w:themeColor="text1"/>
        </w:rPr>
        <w:t xml:space="preserve">Project C will result in a high rate of investment of </w:t>
      </w:r>
      <w:r w:rsidR="00907342" w:rsidRPr="0077415D">
        <w:rPr>
          <w:rFonts w:ascii="Arial" w:hAnsi="Arial" w:cs="Arial"/>
          <w:color w:val="000000" w:themeColor="text1"/>
        </w:rPr>
        <w:t>£</w:t>
      </w:r>
      <w:r w:rsidRPr="0077415D">
        <w:rPr>
          <w:rFonts w:ascii="Arial" w:hAnsi="Arial" w:cs="Arial"/>
          <w:color w:val="000000" w:themeColor="text1"/>
        </w:rPr>
        <w:t xml:space="preserve">50 million pounds yet a high result of </w:t>
      </w:r>
      <w:r w:rsidR="00907342" w:rsidRPr="0077415D">
        <w:rPr>
          <w:rFonts w:ascii="Arial" w:hAnsi="Arial" w:cs="Arial"/>
          <w:color w:val="000000" w:themeColor="text1"/>
        </w:rPr>
        <w:t>long-term</w:t>
      </w:r>
      <w:r w:rsidRPr="0077415D">
        <w:rPr>
          <w:rFonts w:ascii="Arial" w:hAnsi="Arial" w:cs="Arial"/>
          <w:color w:val="000000" w:themeColor="text1"/>
        </w:rPr>
        <w:t xml:space="preserve"> profile of </w:t>
      </w:r>
      <w:r w:rsidR="00907342" w:rsidRPr="0077415D">
        <w:rPr>
          <w:rFonts w:ascii="Arial" w:hAnsi="Arial" w:cs="Arial"/>
          <w:color w:val="000000" w:themeColor="text1"/>
        </w:rPr>
        <w:t>£</w:t>
      </w:r>
      <w:r w:rsidRPr="0077415D">
        <w:rPr>
          <w:rFonts w:ascii="Arial" w:hAnsi="Arial" w:cs="Arial"/>
          <w:color w:val="000000" w:themeColor="text1"/>
        </w:rPr>
        <w:t xml:space="preserve">5 million, </w:t>
      </w:r>
      <w:r w:rsidR="00907342" w:rsidRPr="0077415D">
        <w:rPr>
          <w:rFonts w:ascii="Arial" w:hAnsi="Arial" w:cs="Arial"/>
          <w:color w:val="000000" w:themeColor="text1"/>
        </w:rPr>
        <w:t>£</w:t>
      </w:r>
      <w:r w:rsidRPr="0077415D">
        <w:rPr>
          <w:rFonts w:ascii="Arial" w:hAnsi="Arial" w:cs="Arial"/>
          <w:color w:val="000000" w:themeColor="text1"/>
        </w:rPr>
        <w:t xml:space="preserve">10 million, </w:t>
      </w:r>
      <w:r w:rsidR="00907342" w:rsidRPr="0077415D">
        <w:rPr>
          <w:rFonts w:ascii="Arial" w:hAnsi="Arial" w:cs="Arial"/>
          <w:color w:val="000000" w:themeColor="text1"/>
        </w:rPr>
        <w:t>£</w:t>
      </w:r>
      <w:r w:rsidRPr="0077415D">
        <w:rPr>
          <w:rFonts w:ascii="Arial" w:hAnsi="Arial" w:cs="Arial"/>
          <w:color w:val="000000" w:themeColor="text1"/>
        </w:rPr>
        <w:t xml:space="preserve">20million, </w:t>
      </w:r>
      <w:r w:rsidR="00907342" w:rsidRPr="0077415D">
        <w:rPr>
          <w:rFonts w:ascii="Arial" w:hAnsi="Arial" w:cs="Arial"/>
          <w:color w:val="000000" w:themeColor="text1"/>
        </w:rPr>
        <w:t>£</w:t>
      </w:r>
      <w:r w:rsidRPr="0077415D">
        <w:rPr>
          <w:rFonts w:ascii="Arial" w:hAnsi="Arial" w:cs="Arial"/>
          <w:color w:val="000000" w:themeColor="text1"/>
        </w:rPr>
        <w:t xml:space="preserve">25million and </w:t>
      </w:r>
      <w:r w:rsidR="00907342" w:rsidRPr="0077415D">
        <w:rPr>
          <w:rFonts w:ascii="Arial" w:hAnsi="Arial" w:cs="Arial"/>
          <w:color w:val="000000" w:themeColor="text1"/>
        </w:rPr>
        <w:t>£</w:t>
      </w:r>
      <w:r w:rsidRPr="0077415D">
        <w:rPr>
          <w:rFonts w:ascii="Arial" w:hAnsi="Arial" w:cs="Arial"/>
          <w:color w:val="000000" w:themeColor="text1"/>
        </w:rPr>
        <w:t>15millon within five years. NPV of £4.23 million is the highest when compared to all other options</w:t>
      </w:r>
      <w:r w:rsidR="00F011E0">
        <w:rPr>
          <w:rFonts w:ascii="Arial" w:hAnsi="Arial" w:cs="Arial"/>
          <w:color w:val="000000" w:themeColor="text1"/>
        </w:rPr>
        <w:t>,</w:t>
      </w:r>
      <w:r w:rsidRPr="0077415D">
        <w:rPr>
          <w:rFonts w:ascii="Arial" w:hAnsi="Arial" w:cs="Arial"/>
          <w:color w:val="000000" w:themeColor="text1"/>
        </w:rPr>
        <w:t xml:space="preserve"> and it has better absolute value creation. The 12.7% IRR is also significantly higher than the 10% mark of the company, which is an indication of good financial performance.</w:t>
      </w:r>
    </w:p>
    <w:p w14:paraId="3F6C982C" w14:textId="3B9D77E4" w:rsidR="003748C1" w:rsidRPr="0077415D" w:rsidRDefault="003748C1" w:rsidP="003748C1">
      <w:pPr>
        <w:rPr>
          <w:rFonts w:ascii="Arial" w:hAnsi="Arial" w:cs="Arial"/>
          <w:color w:val="000000" w:themeColor="text1"/>
        </w:rPr>
      </w:pPr>
      <w:r w:rsidRPr="0077415D">
        <w:rPr>
          <w:rFonts w:ascii="Arial" w:hAnsi="Arial" w:cs="Arial"/>
          <w:color w:val="000000" w:themeColor="text1"/>
        </w:rPr>
        <w:t xml:space="preserve">The index of profitability 1.08 shows that Project C offers the highest value in terms of the number of pounds invested compared to both Project A and </w:t>
      </w:r>
      <w:r w:rsidR="00F011E0">
        <w:rPr>
          <w:rFonts w:ascii="Arial" w:hAnsi="Arial" w:cs="Arial"/>
          <w:color w:val="000000" w:themeColor="text1"/>
        </w:rPr>
        <w:t xml:space="preserve">Project </w:t>
      </w:r>
      <w:r w:rsidRPr="0077415D">
        <w:rPr>
          <w:rFonts w:ascii="Arial" w:hAnsi="Arial" w:cs="Arial"/>
          <w:color w:val="000000" w:themeColor="text1"/>
        </w:rPr>
        <w:t>B. The ARR of 51.73% indicates good accounting profitability</w:t>
      </w:r>
      <w:r w:rsidR="00F011E0">
        <w:rPr>
          <w:rFonts w:ascii="Arial" w:hAnsi="Arial" w:cs="Arial"/>
          <w:color w:val="000000" w:themeColor="text1"/>
        </w:rPr>
        <w:t>,</w:t>
      </w:r>
      <w:r w:rsidRPr="0077415D">
        <w:rPr>
          <w:rFonts w:ascii="Arial" w:hAnsi="Arial" w:cs="Arial"/>
          <w:color w:val="000000" w:themeColor="text1"/>
        </w:rPr>
        <w:t xml:space="preserve"> and even though the payback period projects a </w:t>
      </w:r>
      <w:r w:rsidRPr="0077415D">
        <w:rPr>
          <w:rFonts w:ascii="Arial" w:hAnsi="Arial" w:cs="Arial"/>
          <w:color w:val="000000" w:themeColor="text1"/>
        </w:rPr>
        <w:lastRenderedPageBreak/>
        <w:t xml:space="preserve">little more period of approximately 4.2 years, the growing inflows after </w:t>
      </w:r>
      <w:r w:rsidR="00F011E0">
        <w:rPr>
          <w:rFonts w:ascii="Arial" w:hAnsi="Arial" w:cs="Arial"/>
          <w:color w:val="000000" w:themeColor="text1"/>
        </w:rPr>
        <w:t>Year</w:t>
      </w:r>
      <w:r w:rsidRPr="0077415D">
        <w:rPr>
          <w:rFonts w:ascii="Arial" w:hAnsi="Arial" w:cs="Arial"/>
          <w:color w:val="000000" w:themeColor="text1"/>
        </w:rPr>
        <w:t xml:space="preserve"> 3 indicate sustainability in recovery and long-term growth. </w:t>
      </w:r>
    </w:p>
    <w:p w14:paraId="4CF19D86" w14:textId="77777777" w:rsidR="00FF7C5D" w:rsidRPr="0077415D" w:rsidRDefault="00FF7C5D" w:rsidP="00FF7C5D">
      <w:pPr>
        <w:rPr>
          <w:rFonts w:ascii="Arial" w:hAnsi="Arial" w:cs="Arial"/>
          <w:b/>
          <w:bCs/>
          <w:color w:val="000000" w:themeColor="text1"/>
        </w:rPr>
      </w:pPr>
      <w:r w:rsidRPr="0077415D">
        <w:rPr>
          <w:rFonts w:ascii="Arial" w:hAnsi="Arial" w:cs="Arial"/>
          <w:b/>
          <w:bCs/>
          <w:color w:val="000000" w:themeColor="text1"/>
        </w:rPr>
        <w:t>Overall Ranking and Conclusion</w:t>
      </w:r>
    </w:p>
    <w:p w14:paraId="608F7CA2" w14:textId="4DAB92B9" w:rsidR="00A824F0" w:rsidRPr="0077415D" w:rsidRDefault="003748C1" w:rsidP="003748C1">
      <w:pPr>
        <w:rPr>
          <w:rFonts w:ascii="Arial" w:hAnsi="Arial" w:cs="Arial"/>
          <w:color w:val="EE0000"/>
        </w:rPr>
      </w:pPr>
      <w:r w:rsidRPr="0077415D">
        <w:rPr>
          <w:rFonts w:ascii="Arial" w:hAnsi="Arial" w:cs="Arial"/>
          <w:color w:val="000000" w:themeColor="text1"/>
        </w:rPr>
        <w:t xml:space="preserve">According to all appraisal measures, Project C is the best investment </w:t>
      </w:r>
      <w:r w:rsidR="00F011E0">
        <w:rPr>
          <w:rFonts w:ascii="Arial" w:hAnsi="Arial" w:cs="Arial"/>
          <w:color w:val="000000" w:themeColor="text1"/>
        </w:rPr>
        <w:t>as</w:t>
      </w:r>
      <w:r w:rsidRPr="0077415D">
        <w:rPr>
          <w:rFonts w:ascii="Arial" w:hAnsi="Arial" w:cs="Arial"/>
          <w:color w:val="000000" w:themeColor="text1"/>
        </w:rPr>
        <w:t xml:space="preserve"> it provides the best NPV, IRR and PI. Project A is second with its moderate output and quicker recovery of liquidity. Project B is a consistent value killer, and user rejection is the right way to deal with it. Project C is thus the best financial project within the strategic and financial </w:t>
      </w:r>
      <w:r w:rsidR="00F011E0">
        <w:rPr>
          <w:rFonts w:ascii="Arial" w:hAnsi="Arial" w:cs="Arial"/>
          <w:color w:val="000000" w:themeColor="text1"/>
        </w:rPr>
        <w:t>limitations</w:t>
      </w:r>
      <w:r w:rsidRPr="0077415D">
        <w:rPr>
          <w:rFonts w:ascii="Arial" w:hAnsi="Arial" w:cs="Arial"/>
          <w:color w:val="000000" w:themeColor="text1"/>
        </w:rPr>
        <w:t xml:space="preserve"> of the </w:t>
      </w:r>
      <w:r w:rsidR="00FF7C5D" w:rsidRPr="0077415D">
        <w:rPr>
          <w:rFonts w:ascii="Arial" w:hAnsi="Arial" w:cs="Arial"/>
          <w:color w:val="000000" w:themeColor="text1"/>
        </w:rPr>
        <w:t>company.</w:t>
      </w:r>
      <w:r w:rsidR="008374B8" w:rsidRPr="0077415D">
        <w:rPr>
          <w:rFonts w:ascii="Arial" w:hAnsi="Arial" w:cs="Arial"/>
        </w:rPr>
        <w:t xml:space="preserve"> </w:t>
      </w:r>
      <w:r w:rsidR="008374B8" w:rsidRPr="00F011E0">
        <w:rPr>
          <w:rFonts w:ascii="Arial" w:hAnsi="Arial" w:cs="Arial"/>
        </w:rPr>
        <w:t xml:space="preserve">Project C ranks first, followed by Project A, with Project </w:t>
      </w:r>
      <w:proofErr w:type="spellStart"/>
      <w:r w:rsidR="008374B8" w:rsidRPr="00F011E0">
        <w:rPr>
          <w:rFonts w:ascii="Arial" w:hAnsi="Arial" w:cs="Arial"/>
        </w:rPr>
        <w:t>B</w:t>
      </w:r>
      <w:r w:rsidR="00691865" w:rsidRPr="00F011E0">
        <w:rPr>
          <w:rFonts w:ascii="Arial" w:hAnsi="Arial" w:cs="Arial"/>
        </w:rPr>
        <w:t xml:space="preserve"> </w:t>
      </w:r>
      <w:r w:rsidR="008374B8" w:rsidRPr="00F011E0">
        <w:rPr>
          <w:rFonts w:ascii="Arial" w:hAnsi="Arial" w:cs="Arial"/>
        </w:rPr>
        <w:t>last</w:t>
      </w:r>
      <w:proofErr w:type="spellEnd"/>
      <w:r w:rsidR="008374B8" w:rsidRPr="00F011E0">
        <w:rPr>
          <w:rFonts w:ascii="Arial" w:hAnsi="Arial" w:cs="Arial"/>
        </w:rPr>
        <w:t xml:space="preserve">, because C </w:t>
      </w:r>
      <w:r w:rsidR="001C799C" w:rsidRPr="00F011E0">
        <w:rPr>
          <w:rFonts w:ascii="Arial" w:hAnsi="Arial" w:cs="Arial"/>
        </w:rPr>
        <w:t>brings</w:t>
      </w:r>
      <w:r w:rsidR="008374B8" w:rsidRPr="00F011E0">
        <w:rPr>
          <w:rFonts w:ascii="Arial" w:hAnsi="Arial" w:cs="Arial"/>
        </w:rPr>
        <w:t xml:space="preserve"> the fastest payback (2.4 years)</w:t>
      </w:r>
      <w:r w:rsidR="000A5A47" w:rsidRPr="00F011E0">
        <w:rPr>
          <w:rFonts w:ascii="Arial" w:hAnsi="Arial" w:cs="Arial"/>
        </w:rPr>
        <w:t>, t</w:t>
      </w:r>
      <w:r w:rsidR="008374B8" w:rsidRPr="00F011E0">
        <w:rPr>
          <w:rFonts w:ascii="Arial" w:hAnsi="Arial" w:cs="Arial"/>
        </w:rPr>
        <w:t xml:space="preserve">he </w:t>
      </w:r>
      <w:r w:rsidR="006E2668" w:rsidRPr="00F011E0">
        <w:rPr>
          <w:rFonts w:ascii="Arial" w:hAnsi="Arial" w:cs="Arial"/>
        </w:rPr>
        <w:t>solidest</w:t>
      </w:r>
      <w:r w:rsidR="008374B8" w:rsidRPr="00F011E0">
        <w:rPr>
          <w:rFonts w:ascii="Arial" w:hAnsi="Arial" w:cs="Arial"/>
        </w:rPr>
        <w:t xml:space="preserve"> IRR and PI values, making it the most financially </w:t>
      </w:r>
      <w:r w:rsidR="00F63487" w:rsidRPr="00F011E0">
        <w:rPr>
          <w:rFonts w:ascii="Arial" w:hAnsi="Arial" w:cs="Arial"/>
        </w:rPr>
        <w:t>good-looking</w:t>
      </w:r>
      <w:r w:rsidR="008374B8" w:rsidRPr="00F011E0">
        <w:rPr>
          <w:rFonts w:ascii="Arial" w:hAnsi="Arial" w:cs="Arial"/>
        </w:rPr>
        <w:t xml:space="preserve"> option overall.</w:t>
      </w:r>
    </w:p>
    <w:p w14:paraId="1AB5A863" w14:textId="77777777" w:rsidR="00996B72" w:rsidRPr="0077415D" w:rsidRDefault="00996B72" w:rsidP="00996B72">
      <w:pPr>
        <w:pStyle w:val="Heading2"/>
        <w:rPr>
          <w:rFonts w:ascii="Arial" w:hAnsi="Arial" w:cs="Arial"/>
          <w:color w:val="000000" w:themeColor="text1"/>
        </w:rPr>
      </w:pPr>
      <w:bookmarkStart w:id="17" w:name="_Toc214845230"/>
      <w:bookmarkEnd w:id="14"/>
      <w:r w:rsidRPr="0077415D">
        <w:rPr>
          <w:rFonts w:ascii="Arial" w:hAnsi="Arial" w:cs="Arial"/>
          <w:color w:val="000000" w:themeColor="text1"/>
        </w:rPr>
        <w:t>4.2 Final investment recommendation assuming capital rationing</w:t>
      </w:r>
      <w:bookmarkEnd w:id="17"/>
      <w:r w:rsidRPr="0077415D">
        <w:rPr>
          <w:rFonts w:ascii="Arial" w:hAnsi="Arial" w:cs="Arial"/>
          <w:color w:val="000000" w:themeColor="text1"/>
        </w:rPr>
        <w:t xml:space="preserve"> </w:t>
      </w:r>
    </w:p>
    <w:p w14:paraId="40139764" w14:textId="44F1C8DD"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General Electric is constrained by a capital-rationing limit of £60 million to choose the combination of projects with the highest total NPV amongst available funds. </w:t>
      </w:r>
      <w:r w:rsidR="00832446" w:rsidRPr="0077415D">
        <w:rPr>
          <w:rFonts w:ascii="Arial" w:hAnsi="Arial" w:cs="Arial"/>
          <w:color w:val="000000" w:themeColor="text1"/>
        </w:rPr>
        <w:t>All</w:t>
      </w:r>
      <w:r w:rsidRPr="0077415D">
        <w:rPr>
          <w:rFonts w:ascii="Arial" w:hAnsi="Arial" w:cs="Arial"/>
          <w:color w:val="000000" w:themeColor="text1"/>
        </w:rPr>
        <w:t xml:space="preserve"> three projects </w:t>
      </w:r>
      <w:r w:rsidR="002F29F7" w:rsidRPr="0077415D">
        <w:rPr>
          <w:rFonts w:ascii="Arial" w:hAnsi="Arial" w:cs="Arial"/>
          <w:color w:val="000000" w:themeColor="text1"/>
        </w:rPr>
        <w:t>demand</w:t>
      </w:r>
      <w:r w:rsidRPr="0077415D">
        <w:rPr>
          <w:rFonts w:ascii="Arial" w:hAnsi="Arial" w:cs="Arial"/>
          <w:color w:val="000000" w:themeColor="text1"/>
        </w:rPr>
        <w:t xml:space="preserve"> a total of £120 million (£40m + £30m + £50m). Thus, only two of them can be implemented.</w:t>
      </w:r>
    </w:p>
    <w:p w14:paraId="0FFA2922" w14:textId="77777777" w:rsidR="00880DEC" w:rsidRPr="0077415D" w:rsidRDefault="00880DEC" w:rsidP="00880DEC">
      <w:pPr>
        <w:rPr>
          <w:rFonts w:ascii="Arial" w:hAnsi="Arial" w:cs="Arial"/>
          <w:color w:val="000000" w:themeColor="text1"/>
        </w:rPr>
      </w:pPr>
      <w:r w:rsidRPr="0077415D">
        <w:rPr>
          <w:rFonts w:ascii="Arial" w:hAnsi="Arial" w:cs="Arial"/>
          <w:b/>
          <w:bCs/>
          <w:color w:val="000000" w:themeColor="text1"/>
        </w:rPr>
        <w:t>Step 1: Identify feasible combinations.</w:t>
      </w:r>
    </w:p>
    <w:p w14:paraId="06407FBE" w14:textId="68EB89B5" w:rsidR="00A824F0" w:rsidRPr="0077415D" w:rsidRDefault="00A824F0" w:rsidP="00880DEC">
      <w:pPr>
        <w:pStyle w:val="ListParagraph"/>
        <w:numPr>
          <w:ilvl w:val="0"/>
          <w:numId w:val="6"/>
        </w:numPr>
        <w:rPr>
          <w:rFonts w:ascii="Arial" w:hAnsi="Arial" w:cs="Arial"/>
          <w:color w:val="000000" w:themeColor="text1"/>
        </w:rPr>
      </w:pPr>
      <w:r w:rsidRPr="0077415D">
        <w:rPr>
          <w:rFonts w:ascii="Arial" w:hAnsi="Arial" w:cs="Arial"/>
          <w:color w:val="000000" w:themeColor="text1"/>
        </w:rPr>
        <w:t>Projects A + B = £70m (exceeds budget).</w:t>
      </w:r>
    </w:p>
    <w:p w14:paraId="737158A3" w14:textId="4D2E6A02" w:rsidR="00A824F0" w:rsidRPr="0077415D" w:rsidRDefault="00A824F0" w:rsidP="00880DEC">
      <w:pPr>
        <w:pStyle w:val="ListParagraph"/>
        <w:numPr>
          <w:ilvl w:val="0"/>
          <w:numId w:val="6"/>
        </w:numPr>
        <w:rPr>
          <w:rFonts w:ascii="Arial" w:hAnsi="Arial" w:cs="Arial"/>
          <w:color w:val="000000" w:themeColor="text1"/>
        </w:rPr>
      </w:pPr>
      <w:r w:rsidRPr="0077415D">
        <w:rPr>
          <w:rFonts w:ascii="Arial" w:hAnsi="Arial" w:cs="Arial"/>
          <w:color w:val="000000" w:themeColor="text1"/>
        </w:rPr>
        <w:t>Projects A + C = £90m (exceeds budget).</w:t>
      </w:r>
    </w:p>
    <w:p w14:paraId="5E626364" w14:textId="29602B0D" w:rsidR="00A824F0" w:rsidRPr="0077415D" w:rsidRDefault="00A824F0" w:rsidP="00880DEC">
      <w:pPr>
        <w:pStyle w:val="ListParagraph"/>
        <w:numPr>
          <w:ilvl w:val="0"/>
          <w:numId w:val="6"/>
        </w:numPr>
        <w:rPr>
          <w:rFonts w:ascii="Arial" w:hAnsi="Arial" w:cs="Arial"/>
          <w:color w:val="000000" w:themeColor="text1"/>
        </w:rPr>
      </w:pPr>
      <w:r w:rsidRPr="0077415D">
        <w:rPr>
          <w:rFonts w:ascii="Arial" w:hAnsi="Arial" w:cs="Arial"/>
          <w:color w:val="000000" w:themeColor="text1"/>
        </w:rPr>
        <w:t>Projects B + C = £80m (exceeds budget).</w:t>
      </w:r>
    </w:p>
    <w:p w14:paraId="7F8BEF08" w14:textId="77777777" w:rsidR="00A824F0" w:rsidRPr="0077415D" w:rsidRDefault="00A824F0" w:rsidP="00880DEC">
      <w:pPr>
        <w:pStyle w:val="ListParagraph"/>
        <w:numPr>
          <w:ilvl w:val="0"/>
          <w:numId w:val="6"/>
        </w:numPr>
        <w:rPr>
          <w:rFonts w:ascii="Arial" w:hAnsi="Arial" w:cs="Arial"/>
          <w:color w:val="000000" w:themeColor="text1"/>
        </w:rPr>
      </w:pPr>
      <w:r w:rsidRPr="0077415D">
        <w:rPr>
          <w:rFonts w:ascii="Arial" w:hAnsi="Arial" w:cs="Arial"/>
          <w:color w:val="000000" w:themeColor="text1"/>
        </w:rPr>
        <w:t>Only separate projects or partial funding combinations under the range of 60m are feasible.</w:t>
      </w:r>
    </w:p>
    <w:p w14:paraId="365E01D7" w14:textId="77777777" w:rsidR="00A824F0" w:rsidRPr="0077415D" w:rsidRDefault="00A824F0" w:rsidP="00A824F0">
      <w:pPr>
        <w:rPr>
          <w:rFonts w:ascii="Arial" w:hAnsi="Arial" w:cs="Arial"/>
          <w:color w:val="000000" w:themeColor="text1"/>
        </w:rPr>
      </w:pPr>
      <w:r w:rsidRPr="0077415D">
        <w:rPr>
          <w:rFonts w:ascii="Arial" w:hAnsi="Arial" w:cs="Arial"/>
          <w:color w:val="000000" w:themeColor="text1"/>
        </w:rPr>
        <w:t>With this limitation, either Project C (funded alone of £50m) or Project A (funded alone of £40m) can be funded by the management. Both would be more than capital to invest in.</w:t>
      </w:r>
    </w:p>
    <w:p w14:paraId="4F79595D" w14:textId="103C0FC9" w:rsidR="00A824F0" w:rsidRPr="0077415D" w:rsidRDefault="00A824F0" w:rsidP="00A824F0">
      <w:pPr>
        <w:rPr>
          <w:rFonts w:ascii="Arial" w:hAnsi="Arial" w:cs="Arial"/>
          <w:color w:val="000000" w:themeColor="text1"/>
        </w:rPr>
      </w:pPr>
      <w:r w:rsidRPr="0077415D">
        <w:rPr>
          <w:rFonts w:ascii="Arial" w:hAnsi="Arial" w:cs="Arial"/>
          <w:b/>
          <w:bCs/>
          <w:color w:val="000000" w:themeColor="text1"/>
        </w:rPr>
        <w:t>Step 2: Compare NPVs and returns within budget</w:t>
      </w:r>
      <w:r w:rsidRPr="0077415D">
        <w:rPr>
          <w:rFonts w:ascii="Arial" w:hAnsi="Arial" w:cs="Arial"/>
          <w:color w:val="000000" w:themeColor="text1"/>
        </w:rPr>
        <w:t xml:space="preserve">: Project A presents </w:t>
      </w:r>
      <w:r w:rsidR="00832446" w:rsidRPr="0077415D">
        <w:rPr>
          <w:rFonts w:ascii="Arial" w:hAnsi="Arial" w:cs="Arial"/>
          <w:color w:val="000000" w:themeColor="text1"/>
        </w:rPr>
        <w:t xml:space="preserve">an </w:t>
      </w:r>
      <w:r w:rsidRPr="0077415D">
        <w:rPr>
          <w:rFonts w:ascii="Arial" w:hAnsi="Arial" w:cs="Arial"/>
          <w:color w:val="000000" w:themeColor="text1"/>
        </w:rPr>
        <w:t>NPV of £1.32m</w:t>
      </w:r>
      <w:r w:rsidR="00832446" w:rsidRPr="0077415D">
        <w:rPr>
          <w:rFonts w:ascii="Arial" w:hAnsi="Arial" w:cs="Arial"/>
          <w:color w:val="000000" w:themeColor="text1"/>
        </w:rPr>
        <w:t>,</w:t>
      </w:r>
      <w:r w:rsidRPr="0077415D">
        <w:rPr>
          <w:rFonts w:ascii="Arial" w:hAnsi="Arial" w:cs="Arial"/>
          <w:color w:val="000000" w:themeColor="text1"/>
        </w:rPr>
        <w:t xml:space="preserve"> </w:t>
      </w:r>
      <w:r w:rsidR="00F011E0" w:rsidRPr="0077415D">
        <w:rPr>
          <w:rFonts w:ascii="Arial" w:hAnsi="Arial" w:cs="Arial"/>
          <w:color w:val="000000" w:themeColor="text1"/>
        </w:rPr>
        <w:t>gives</w:t>
      </w:r>
      <w:r w:rsidRPr="0077415D">
        <w:rPr>
          <w:rFonts w:ascii="Arial" w:hAnsi="Arial" w:cs="Arial"/>
          <w:color w:val="000000" w:themeColor="text1"/>
        </w:rPr>
        <w:t xml:space="preserve"> an investment of </w:t>
      </w:r>
      <w:r w:rsidR="0076346A" w:rsidRPr="0077415D">
        <w:rPr>
          <w:rFonts w:ascii="Arial" w:hAnsi="Arial" w:cs="Arial"/>
          <w:color w:val="000000" w:themeColor="text1"/>
        </w:rPr>
        <w:t>£</w:t>
      </w:r>
      <w:r w:rsidRPr="0077415D">
        <w:rPr>
          <w:rFonts w:ascii="Arial" w:hAnsi="Arial" w:cs="Arial"/>
          <w:color w:val="000000" w:themeColor="text1"/>
        </w:rPr>
        <w:t>40m</w:t>
      </w:r>
      <w:r w:rsidR="00F011E0">
        <w:rPr>
          <w:rFonts w:ascii="Arial" w:hAnsi="Arial" w:cs="Arial"/>
          <w:color w:val="000000" w:themeColor="text1"/>
        </w:rPr>
        <w:t>,</w:t>
      </w:r>
      <w:r w:rsidRPr="0077415D">
        <w:rPr>
          <w:rFonts w:ascii="Arial" w:hAnsi="Arial" w:cs="Arial"/>
          <w:color w:val="000000" w:themeColor="text1"/>
        </w:rPr>
        <w:t xml:space="preserve"> and Project C presents </w:t>
      </w:r>
      <w:r w:rsidR="00832446" w:rsidRPr="0077415D">
        <w:rPr>
          <w:rFonts w:ascii="Arial" w:hAnsi="Arial" w:cs="Arial"/>
          <w:color w:val="000000" w:themeColor="text1"/>
        </w:rPr>
        <w:t xml:space="preserve">an </w:t>
      </w:r>
      <w:r w:rsidRPr="0077415D">
        <w:rPr>
          <w:rFonts w:ascii="Arial" w:hAnsi="Arial" w:cs="Arial"/>
          <w:color w:val="000000" w:themeColor="text1"/>
        </w:rPr>
        <w:t xml:space="preserve">NPV of </w:t>
      </w:r>
      <w:r w:rsidR="0076346A" w:rsidRPr="0077415D">
        <w:rPr>
          <w:rFonts w:ascii="Arial" w:hAnsi="Arial" w:cs="Arial"/>
          <w:color w:val="000000" w:themeColor="text1"/>
        </w:rPr>
        <w:t>£</w:t>
      </w:r>
      <w:r w:rsidRPr="0077415D">
        <w:rPr>
          <w:rFonts w:ascii="Arial" w:hAnsi="Arial" w:cs="Arial"/>
          <w:color w:val="000000" w:themeColor="text1"/>
        </w:rPr>
        <w:t>4.23</w:t>
      </w:r>
      <w:r w:rsidR="00832446" w:rsidRPr="0077415D">
        <w:rPr>
          <w:rFonts w:ascii="Arial" w:hAnsi="Arial" w:cs="Arial"/>
          <w:color w:val="000000" w:themeColor="text1"/>
        </w:rPr>
        <w:t>m, given</w:t>
      </w:r>
      <w:r w:rsidRPr="0077415D">
        <w:rPr>
          <w:rFonts w:ascii="Arial" w:hAnsi="Arial" w:cs="Arial"/>
          <w:color w:val="000000" w:themeColor="text1"/>
        </w:rPr>
        <w:t xml:space="preserve"> an investment of </w:t>
      </w:r>
      <w:r w:rsidR="0076346A" w:rsidRPr="0077415D">
        <w:rPr>
          <w:rFonts w:ascii="Arial" w:hAnsi="Arial" w:cs="Arial"/>
          <w:color w:val="000000" w:themeColor="text1"/>
        </w:rPr>
        <w:t>£</w:t>
      </w:r>
      <w:r w:rsidRPr="0077415D">
        <w:rPr>
          <w:rFonts w:ascii="Arial" w:hAnsi="Arial" w:cs="Arial"/>
          <w:color w:val="000000" w:themeColor="text1"/>
        </w:rPr>
        <w:t xml:space="preserve">50m. </w:t>
      </w:r>
    </w:p>
    <w:p w14:paraId="7D6630D4" w14:textId="1DFAB4F4" w:rsidR="00A824F0" w:rsidRPr="0077415D" w:rsidRDefault="00A824F0" w:rsidP="00A824F0">
      <w:pPr>
        <w:rPr>
          <w:rFonts w:ascii="Arial" w:hAnsi="Arial" w:cs="Arial"/>
          <w:color w:val="000000" w:themeColor="text1"/>
        </w:rPr>
      </w:pPr>
      <w:r w:rsidRPr="0077415D">
        <w:rPr>
          <w:rFonts w:ascii="Arial" w:hAnsi="Arial" w:cs="Arial"/>
          <w:b/>
          <w:bCs/>
          <w:color w:val="000000" w:themeColor="text1"/>
        </w:rPr>
        <w:t xml:space="preserve">Step 3: Test capital </w:t>
      </w:r>
      <w:proofErr w:type="spellStart"/>
      <w:r w:rsidR="00F011E0">
        <w:rPr>
          <w:rFonts w:ascii="Arial" w:hAnsi="Arial" w:cs="Arial"/>
          <w:b/>
          <w:bCs/>
          <w:color w:val="000000" w:themeColor="text1"/>
        </w:rPr>
        <w:t>utilisation</w:t>
      </w:r>
      <w:proofErr w:type="spellEnd"/>
      <w:r w:rsidRPr="0077415D">
        <w:rPr>
          <w:rFonts w:ascii="Arial" w:hAnsi="Arial" w:cs="Arial"/>
          <w:b/>
          <w:bCs/>
          <w:color w:val="000000" w:themeColor="text1"/>
        </w:rPr>
        <w:t xml:space="preserve"> and marginal returns:</w:t>
      </w:r>
      <w:r w:rsidRPr="0077415D">
        <w:rPr>
          <w:rFonts w:ascii="Arial" w:hAnsi="Arial" w:cs="Arial"/>
          <w:color w:val="000000" w:themeColor="text1"/>
        </w:rPr>
        <w:t xml:space="preserve"> </w:t>
      </w:r>
      <w:r w:rsidR="00880DEC" w:rsidRPr="0077415D">
        <w:rPr>
          <w:rFonts w:ascii="Arial" w:hAnsi="Arial" w:cs="Arial"/>
          <w:color w:val="000000" w:themeColor="text1"/>
        </w:rPr>
        <w:t>If</w:t>
      </w:r>
      <w:r w:rsidRPr="0077415D">
        <w:rPr>
          <w:rFonts w:ascii="Arial" w:hAnsi="Arial" w:cs="Arial"/>
          <w:color w:val="000000" w:themeColor="text1"/>
        </w:rPr>
        <w:t xml:space="preserve"> the company had to pick Project C only, a capital of </w:t>
      </w:r>
      <w:r w:rsidR="0076346A" w:rsidRPr="0077415D">
        <w:rPr>
          <w:rFonts w:ascii="Arial" w:hAnsi="Arial" w:cs="Arial"/>
          <w:color w:val="000000" w:themeColor="text1"/>
        </w:rPr>
        <w:t>£</w:t>
      </w:r>
      <w:r w:rsidRPr="0077415D">
        <w:rPr>
          <w:rFonts w:ascii="Arial" w:hAnsi="Arial" w:cs="Arial"/>
          <w:color w:val="000000" w:themeColor="text1"/>
        </w:rPr>
        <w:t xml:space="preserve">10 million would be unused. Nevertheless, it is impractical to invest </w:t>
      </w:r>
      <w:r w:rsidRPr="0077415D">
        <w:rPr>
          <w:rFonts w:ascii="Arial" w:hAnsi="Arial" w:cs="Arial"/>
          <w:color w:val="000000" w:themeColor="text1"/>
        </w:rPr>
        <w:lastRenderedPageBreak/>
        <w:t xml:space="preserve">partially in Project A or B when they need to be wholly funded to provide the estimated inflows. Even at the average rate of the company on its investments at present (negative value), the opportunity cost of the lower NPV project would not be compensated in any way by the marginal gain of investing the remaining £10 million elsewhere. As such, Project C </w:t>
      </w:r>
      <w:proofErr w:type="spellStart"/>
      <w:r w:rsidR="00832446" w:rsidRPr="0077415D">
        <w:rPr>
          <w:rFonts w:ascii="Arial" w:hAnsi="Arial" w:cs="Arial"/>
          <w:color w:val="000000" w:themeColor="text1"/>
        </w:rPr>
        <w:t>maximises</w:t>
      </w:r>
      <w:proofErr w:type="spellEnd"/>
      <w:r w:rsidRPr="0077415D">
        <w:rPr>
          <w:rFonts w:ascii="Arial" w:hAnsi="Arial" w:cs="Arial"/>
          <w:color w:val="000000" w:themeColor="text1"/>
        </w:rPr>
        <w:t xml:space="preserve"> shareholder wealth in general within the limit of £60 million (Campbell and </w:t>
      </w:r>
      <w:proofErr w:type="spellStart"/>
      <w:r w:rsidRPr="0077415D">
        <w:rPr>
          <w:rFonts w:ascii="Arial" w:hAnsi="Arial" w:cs="Arial"/>
          <w:color w:val="000000" w:themeColor="text1"/>
        </w:rPr>
        <w:t>Kasztelnik</w:t>
      </w:r>
      <w:proofErr w:type="spellEnd"/>
      <w:r w:rsidRPr="0077415D">
        <w:rPr>
          <w:rFonts w:ascii="Arial" w:hAnsi="Arial" w:cs="Arial"/>
          <w:color w:val="000000" w:themeColor="text1"/>
        </w:rPr>
        <w:t>, 2023).</w:t>
      </w:r>
    </w:p>
    <w:p w14:paraId="546C325F" w14:textId="63C4DD21" w:rsidR="00A824F0" w:rsidRPr="0077415D" w:rsidRDefault="00A824F0" w:rsidP="00A824F0">
      <w:pPr>
        <w:rPr>
          <w:rFonts w:ascii="Arial" w:hAnsi="Arial" w:cs="Arial"/>
          <w:color w:val="000000" w:themeColor="text1"/>
        </w:rPr>
      </w:pPr>
      <w:r w:rsidRPr="0077415D">
        <w:rPr>
          <w:rFonts w:ascii="Arial" w:hAnsi="Arial" w:cs="Arial"/>
          <w:b/>
          <w:bCs/>
          <w:color w:val="000000" w:themeColor="text1"/>
        </w:rPr>
        <w:t>Step 4: Sensitivity and scenario considerations:</w:t>
      </w:r>
      <w:r w:rsidRPr="0077415D">
        <w:rPr>
          <w:rFonts w:ascii="Arial" w:hAnsi="Arial" w:cs="Arial"/>
          <w:color w:val="000000" w:themeColor="text1"/>
        </w:rPr>
        <w:t xml:space="preserve"> The back-loaded inflows of project C create timing risk. Its NPV would be more like that of Project A</w:t>
      </w:r>
      <w:r w:rsidR="00832446" w:rsidRPr="0077415D">
        <w:rPr>
          <w:rFonts w:ascii="Arial" w:hAnsi="Arial" w:cs="Arial"/>
          <w:color w:val="000000" w:themeColor="text1"/>
        </w:rPr>
        <w:t>,</w:t>
      </w:r>
      <w:r w:rsidRPr="0077415D">
        <w:rPr>
          <w:rFonts w:ascii="Arial" w:hAnsi="Arial" w:cs="Arial"/>
          <w:color w:val="000000" w:themeColor="text1"/>
        </w:rPr>
        <w:t xml:space="preserve"> in case discount rates increase to 12</w:t>
      </w:r>
      <w:r w:rsidR="00832446" w:rsidRPr="0077415D">
        <w:rPr>
          <w:rFonts w:ascii="Arial" w:hAnsi="Arial" w:cs="Arial"/>
          <w:color w:val="000000" w:themeColor="text1"/>
        </w:rPr>
        <w:t>%</w:t>
      </w:r>
      <w:r w:rsidRPr="0077415D">
        <w:rPr>
          <w:rFonts w:ascii="Arial" w:hAnsi="Arial" w:cs="Arial"/>
          <w:color w:val="000000" w:themeColor="text1"/>
        </w:rPr>
        <w:t xml:space="preserve">. The preceding inflows in project A would be preferred in that case since it has been established that they lead to liquidity that is accessible sooner and </w:t>
      </w:r>
      <w:r w:rsidR="00832446" w:rsidRPr="0077415D">
        <w:rPr>
          <w:rFonts w:ascii="Arial" w:hAnsi="Arial" w:cs="Arial"/>
          <w:color w:val="000000" w:themeColor="text1"/>
        </w:rPr>
        <w:t xml:space="preserve">is </w:t>
      </w:r>
      <w:r w:rsidRPr="0077415D">
        <w:rPr>
          <w:rFonts w:ascii="Arial" w:hAnsi="Arial" w:cs="Arial"/>
          <w:color w:val="000000" w:themeColor="text1"/>
        </w:rPr>
        <w:t xml:space="preserve">not as much concerned with discount-rate shifts. </w:t>
      </w:r>
    </w:p>
    <w:p w14:paraId="62784617" w14:textId="19DB0F42" w:rsidR="0076346A" w:rsidRPr="0077415D" w:rsidRDefault="0076346A" w:rsidP="0076346A">
      <w:pPr>
        <w:pStyle w:val="Heading2"/>
        <w:rPr>
          <w:rFonts w:ascii="Arial" w:hAnsi="Arial" w:cs="Arial"/>
          <w:color w:val="000000" w:themeColor="text1"/>
        </w:rPr>
      </w:pPr>
      <w:bookmarkStart w:id="18" w:name="_Toc214845231"/>
      <w:r w:rsidRPr="0077415D">
        <w:rPr>
          <w:rFonts w:ascii="Arial" w:hAnsi="Arial" w:cs="Arial"/>
          <w:color w:val="000000" w:themeColor="text1"/>
        </w:rPr>
        <w:t xml:space="preserve">4.3 Recommendation </w:t>
      </w:r>
      <w:r w:rsidR="00832446" w:rsidRPr="0077415D">
        <w:rPr>
          <w:rFonts w:ascii="Arial" w:hAnsi="Arial" w:cs="Arial"/>
          <w:color w:val="000000" w:themeColor="text1"/>
        </w:rPr>
        <w:t>regarding</w:t>
      </w:r>
      <w:r w:rsidRPr="0077415D">
        <w:rPr>
          <w:rFonts w:ascii="Arial" w:hAnsi="Arial" w:cs="Arial"/>
          <w:color w:val="000000" w:themeColor="text1"/>
        </w:rPr>
        <w:t xml:space="preserve"> the company’s financial performance and project risk characteristics</w:t>
      </w:r>
      <w:bookmarkEnd w:id="18"/>
    </w:p>
    <w:p w14:paraId="706BD5DE" w14:textId="670B94F0" w:rsidR="00A824F0" w:rsidRPr="0077415D" w:rsidRDefault="00A824F0" w:rsidP="00A824F0">
      <w:pPr>
        <w:rPr>
          <w:rFonts w:ascii="Arial" w:hAnsi="Arial" w:cs="Arial"/>
          <w:color w:val="000000" w:themeColor="text1"/>
        </w:rPr>
      </w:pPr>
      <w:r w:rsidRPr="0077415D">
        <w:rPr>
          <w:rFonts w:ascii="Arial" w:hAnsi="Arial" w:cs="Arial"/>
          <w:color w:val="000000" w:themeColor="text1"/>
        </w:rPr>
        <w:t>The investment advice should be in line with the financial position of General Electronics</w:t>
      </w:r>
      <w:r w:rsidR="00832446" w:rsidRPr="0077415D">
        <w:rPr>
          <w:rFonts w:ascii="Arial" w:hAnsi="Arial" w:cs="Arial"/>
          <w:color w:val="000000" w:themeColor="text1"/>
        </w:rPr>
        <w:t>,</w:t>
      </w:r>
      <w:r w:rsidRPr="0077415D">
        <w:rPr>
          <w:rFonts w:ascii="Arial" w:hAnsi="Arial" w:cs="Arial"/>
          <w:color w:val="000000" w:themeColor="text1"/>
        </w:rPr>
        <w:t xml:space="preserve"> </w:t>
      </w:r>
      <w:r w:rsidR="00832446" w:rsidRPr="0077415D">
        <w:rPr>
          <w:rFonts w:ascii="Arial" w:hAnsi="Arial" w:cs="Arial"/>
          <w:color w:val="000000" w:themeColor="text1"/>
        </w:rPr>
        <w:t>which</w:t>
      </w:r>
      <w:r w:rsidRPr="0077415D">
        <w:rPr>
          <w:rFonts w:ascii="Arial" w:hAnsi="Arial" w:cs="Arial"/>
          <w:color w:val="000000" w:themeColor="text1"/>
        </w:rPr>
        <w:t xml:space="preserve"> indicates lowered profitability and limited liquidity. The operating margin dropped to -3.87</w:t>
      </w:r>
      <w:r w:rsidR="00832446" w:rsidRPr="0077415D">
        <w:rPr>
          <w:rFonts w:ascii="Arial" w:hAnsi="Arial" w:cs="Arial"/>
          <w:color w:val="000000" w:themeColor="text1"/>
        </w:rPr>
        <w:t>%</w:t>
      </w:r>
      <w:r w:rsidRPr="0077415D">
        <w:rPr>
          <w:rFonts w:ascii="Arial" w:hAnsi="Arial" w:cs="Arial"/>
          <w:color w:val="000000" w:themeColor="text1"/>
        </w:rPr>
        <w:t xml:space="preserve"> in 2020-2024 compared to the previous year</w:t>
      </w:r>
      <w:r w:rsidR="00832446" w:rsidRPr="0077415D">
        <w:rPr>
          <w:rFonts w:ascii="Arial" w:hAnsi="Arial" w:cs="Arial"/>
          <w:color w:val="000000" w:themeColor="text1"/>
        </w:rPr>
        <w:t>,</w:t>
      </w:r>
      <w:r w:rsidRPr="0077415D">
        <w:rPr>
          <w:rFonts w:ascii="Arial" w:hAnsi="Arial" w:cs="Arial"/>
          <w:color w:val="000000" w:themeColor="text1"/>
        </w:rPr>
        <w:t xml:space="preserve"> 6.06</w:t>
      </w:r>
      <w:r w:rsidR="00832446" w:rsidRPr="0077415D">
        <w:rPr>
          <w:rFonts w:ascii="Arial" w:hAnsi="Arial" w:cs="Arial"/>
          <w:color w:val="000000" w:themeColor="text1"/>
        </w:rPr>
        <w:t>%</w:t>
      </w:r>
      <w:r w:rsidRPr="0077415D">
        <w:rPr>
          <w:rFonts w:ascii="Arial" w:hAnsi="Arial" w:cs="Arial"/>
          <w:color w:val="000000" w:themeColor="text1"/>
        </w:rPr>
        <w:t xml:space="preserve">, and the net margin dropped to -6.09 percent, which indicates still operating at a loss. </w:t>
      </w:r>
      <w:r w:rsidR="00646080" w:rsidRPr="0077415D">
        <w:rPr>
          <w:rFonts w:ascii="Arial" w:hAnsi="Arial" w:cs="Arial"/>
          <w:color w:val="000000" w:themeColor="text1"/>
        </w:rPr>
        <w:t>Liquidity</w:t>
      </w:r>
      <w:r w:rsidRPr="0077415D">
        <w:rPr>
          <w:rFonts w:ascii="Arial" w:hAnsi="Arial" w:cs="Arial"/>
          <w:color w:val="000000" w:themeColor="text1"/>
        </w:rPr>
        <w:t xml:space="preserve"> also declined as the cash ratio decreased to 0.17, which means that the company has a lower level of internal financing capacity, and it </w:t>
      </w:r>
      <w:r w:rsidR="00646080" w:rsidRPr="0077415D">
        <w:rPr>
          <w:rFonts w:ascii="Arial" w:hAnsi="Arial" w:cs="Arial"/>
          <w:color w:val="000000" w:themeColor="text1"/>
        </w:rPr>
        <w:t>must</w:t>
      </w:r>
      <w:r w:rsidRPr="0077415D">
        <w:rPr>
          <w:rFonts w:ascii="Arial" w:hAnsi="Arial" w:cs="Arial"/>
          <w:color w:val="000000" w:themeColor="text1"/>
        </w:rPr>
        <w:t xml:space="preserve"> rely on external capital. The </w:t>
      </w:r>
      <w:r w:rsidR="00646080" w:rsidRPr="0077415D">
        <w:rPr>
          <w:rFonts w:ascii="Arial" w:hAnsi="Arial" w:cs="Arial"/>
          <w:color w:val="000000" w:themeColor="text1"/>
        </w:rPr>
        <w:t>1.13</w:t>
      </w:r>
      <w:r w:rsidRPr="0077415D">
        <w:rPr>
          <w:rFonts w:ascii="Arial" w:hAnsi="Arial" w:cs="Arial"/>
          <w:color w:val="000000" w:themeColor="text1"/>
        </w:rPr>
        <w:t xml:space="preserve"> interest coverage indicates a low capacity to take </w:t>
      </w:r>
      <w:r w:rsidR="00832446" w:rsidRPr="0077415D">
        <w:rPr>
          <w:rFonts w:ascii="Arial" w:hAnsi="Arial" w:cs="Arial"/>
          <w:color w:val="000000" w:themeColor="text1"/>
        </w:rPr>
        <w:t xml:space="preserve">on </w:t>
      </w:r>
      <w:r w:rsidRPr="0077415D">
        <w:rPr>
          <w:rFonts w:ascii="Arial" w:hAnsi="Arial" w:cs="Arial"/>
          <w:color w:val="000000" w:themeColor="text1"/>
        </w:rPr>
        <w:t xml:space="preserve">extra debt service. The firm thus requires </w:t>
      </w:r>
      <w:r w:rsidR="00646080" w:rsidRPr="0077415D">
        <w:rPr>
          <w:rFonts w:ascii="Arial" w:hAnsi="Arial" w:cs="Arial"/>
          <w:color w:val="000000" w:themeColor="text1"/>
        </w:rPr>
        <w:t>investments</w:t>
      </w:r>
      <w:r w:rsidRPr="0077415D">
        <w:rPr>
          <w:rFonts w:ascii="Arial" w:hAnsi="Arial" w:cs="Arial"/>
          <w:color w:val="000000" w:themeColor="text1"/>
        </w:rPr>
        <w:t xml:space="preserve"> that can be </w:t>
      </w:r>
      <w:r w:rsidR="00646080" w:rsidRPr="0077415D">
        <w:rPr>
          <w:rFonts w:ascii="Arial" w:hAnsi="Arial" w:cs="Arial"/>
          <w:color w:val="000000" w:themeColor="text1"/>
        </w:rPr>
        <w:t>liquid</w:t>
      </w:r>
      <w:r w:rsidR="00832446" w:rsidRPr="0077415D">
        <w:rPr>
          <w:rFonts w:ascii="Arial" w:hAnsi="Arial" w:cs="Arial"/>
          <w:color w:val="000000" w:themeColor="text1"/>
        </w:rPr>
        <w:t>,</w:t>
      </w:r>
      <w:r w:rsidRPr="0077415D">
        <w:rPr>
          <w:rFonts w:ascii="Arial" w:hAnsi="Arial" w:cs="Arial"/>
          <w:color w:val="000000" w:themeColor="text1"/>
        </w:rPr>
        <w:t xml:space="preserve"> supportive and sustainable in terms of profitability.</w:t>
      </w:r>
    </w:p>
    <w:p w14:paraId="73F887E0" w14:textId="3181660A" w:rsidR="00A824F0" w:rsidRPr="0077415D" w:rsidRDefault="00A824F0" w:rsidP="00A824F0">
      <w:pPr>
        <w:rPr>
          <w:rFonts w:ascii="Arial" w:hAnsi="Arial" w:cs="Arial"/>
          <w:color w:val="000000" w:themeColor="text1"/>
        </w:rPr>
      </w:pPr>
      <w:r w:rsidRPr="0077415D">
        <w:rPr>
          <w:rFonts w:ascii="Arial" w:hAnsi="Arial" w:cs="Arial"/>
          <w:b/>
          <w:bCs/>
          <w:color w:val="000000" w:themeColor="text1"/>
        </w:rPr>
        <w:t>Liquidity view:</w:t>
      </w:r>
      <w:r w:rsidRPr="0077415D">
        <w:rPr>
          <w:rFonts w:ascii="Arial" w:hAnsi="Arial" w:cs="Arial"/>
          <w:color w:val="000000" w:themeColor="text1"/>
        </w:rPr>
        <w:t xml:space="preserve"> Project A has an early inflow, which will make it appealing to recover liquidity in the short run. Its 40 million expenditure is paid back within three and a half years, as compared to the four years of payback of Project C. This improves liquidity and </w:t>
      </w:r>
      <w:r w:rsidR="00832446" w:rsidRPr="0077415D">
        <w:rPr>
          <w:rFonts w:ascii="Arial" w:hAnsi="Arial" w:cs="Arial"/>
          <w:color w:val="000000" w:themeColor="text1"/>
        </w:rPr>
        <w:t>operational</w:t>
      </w:r>
      <w:r w:rsidRPr="0077415D">
        <w:rPr>
          <w:rFonts w:ascii="Arial" w:hAnsi="Arial" w:cs="Arial"/>
          <w:color w:val="000000" w:themeColor="text1"/>
        </w:rPr>
        <w:t xml:space="preserve"> </w:t>
      </w:r>
      <w:proofErr w:type="spellStart"/>
      <w:r w:rsidRPr="0077415D">
        <w:rPr>
          <w:rFonts w:ascii="Arial" w:hAnsi="Arial" w:cs="Arial"/>
          <w:color w:val="000000" w:themeColor="text1"/>
        </w:rPr>
        <w:t>stabilisation</w:t>
      </w:r>
      <w:proofErr w:type="spellEnd"/>
      <w:r w:rsidRPr="0077415D">
        <w:rPr>
          <w:rFonts w:ascii="Arial" w:hAnsi="Arial" w:cs="Arial"/>
          <w:color w:val="000000" w:themeColor="text1"/>
        </w:rPr>
        <w:t>. Its low NPV (1.32m) and low profitability index (1.03)</w:t>
      </w:r>
      <w:r w:rsidR="00646080" w:rsidRPr="0077415D">
        <w:rPr>
          <w:rFonts w:ascii="Arial" w:hAnsi="Arial" w:cs="Arial"/>
          <w:color w:val="000000" w:themeColor="text1"/>
        </w:rPr>
        <w:t>, however</w:t>
      </w:r>
      <w:r w:rsidRPr="0077415D">
        <w:rPr>
          <w:rFonts w:ascii="Arial" w:hAnsi="Arial" w:cs="Arial"/>
          <w:color w:val="000000" w:themeColor="text1"/>
        </w:rPr>
        <w:t xml:space="preserve">, reflect very low long-term benefits. Project C is slower to </w:t>
      </w:r>
      <w:r w:rsidR="00646080" w:rsidRPr="0077415D">
        <w:rPr>
          <w:rFonts w:ascii="Arial" w:hAnsi="Arial" w:cs="Arial"/>
          <w:color w:val="000000" w:themeColor="text1"/>
        </w:rPr>
        <w:t>pay back</w:t>
      </w:r>
      <w:r w:rsidRPr="0077415D">
        <w:rPr>
          <w:rFonts w:ascii="Arial" w:hAnsi="Arial" w:cs="Arial"/>
          <w:color w:val="000000" w:themeColor="text1"/>
        </w:rPr>
        <w:t>, but it has a higher NPV (£4.23m) and PI (1.08), which form more value per pound invested (</w:t>
      </w:r>
      <w:proofErr w:type="spellStart"/>
      <w:r w:rsidRPr="0077415D">
        <w:rPr>
          <w:rFonts w:ascii="Arial" w:hAnsi="Arial" w:cs="Arial"/>
          <w:color w:val="000000" w:themeColor="text1"/>
        </w:rPr>
        <w:t>Sivararajul</w:t>
      </w:r>
      <w:proofErr w:type="spellEnd"/>
      <w:r w:rsidRPr="0077415D">
        <w:rPr>
          <w:rFonts w:ascii="Arial" w:hAnsi="Arial" w:cs="Arial"/>
          <w:color w:val="000000" w:themeColor="text1"/>
        </w:rPr>
        <w:t xml:space="preserve">, 2024). </w:t>
      </w:r>
    </w:p>
    <w:p w14:paraId="2081A1AD" w14:textId="0C78098B" w:rsidR="00A824F0" w:rsidRPr="0077415D" w:rsidRDefault="00A824F0" w:rsidP="00A824F0">
      <w:pPr>
        <w:rPr>
          <w:rFonts w:ascii="Arial" w:hAnsi="Arial" w:cs="Arial"/>
          <w:color w:val="000000" w:themeColor="text1"/>
        </w:rPr>
      </w:pPr>
      <w:r w:rsidRPr="0077415D">
        <w:rPr>
          <w:rFonts w:ascii="Arial" w:hAnsi="Arial" w:cs="Arial"/>
          <w:b/>
          <w:bCs/>
          <w:color w:val="000000" w:themeColor="text1"/>
        </w:rPr>
        <w:lastRenderedPageBreak/>
        <w:t>Profitability and alignment of returns:</w:t>
      </w:r>
      <w:r w:rsidRPr="0077415D">
        <w:rPr>
          <w:rFonts w:ascii="Arial" w:hAnsi="Arial" w:cs="Arial"/>
          <w:color w:val="000000" w:themeColor="text1"/>
        </w:rPr>
        <w:t xml:space="preserve"> The aspect of restoring profitability is at the core of the turnaround strategy. The IRR of project C of 12.7</w:t>
      </w:r>
      <w:r w:rsidR="00832446" w:rsidRPr="0077415D">
        <w:rPr>
          <w:rFonts w:ascii="Arial" w:hAnsi="Arial" w:cs="Arial"/>
          <w:color w:val="000000" w:themeColor="text1"/>
        </w:rPr>
        <w:t>%</w:t>
      </w:r>
      <w:r w:rsidRPr="0077415D">
        <w:rPr>
          <w:rFonts w:ascii="Arial" w:hAnsi="Arial" w:cs="Arial"/>
          <w:color w:val="000000" w:themeColor="text1"/>
        </w:rPr>
        <w:t xml:space="preserve"> is comfortably over the 10</w:t>
      </w:r>
      <w:r w:rsidR="00832446" w:rsidRPr="0077415D">
        <w:rPr>
          <w:rFonts w:ascii="Arial" w:hAnsi="Arial" w:cs="Arial"/>
          <w:color w:val="000000" w:themeColor="text1"/>
        </w:rPr>
        <w:t>%</w:t>
      </w:r>
      <w:r w:rsidRPr="0077415D">
        <w:rPr>
          <w:rFonts w:ascii="Arial" w:hAnsi="Arial" w:cs="Arial"/>
          <w:color w:val="000000" w:themeColor="text1"/>
        </w:rPr>
        <w:t xml:space="preserve"> hurdle and way higher than the negative ROA and ROE of 20232024. The IRR of 11</w:t>
      </w:r>
      <w:r w:rsidR="00832446" w:rsidRPr="0077415D">
        <w:rPr>
          <w:rFonts w:ascii="Arial" w:hAnsi="Arial" w:cs="Arial"/>
          <w:color w:val="000000" w:themeColor="text1"/>
        </w:rPr>
        <w:t>%</w:t>
      </w:r>
      <w:r w:rsidRPr="0077415D">
        <w:rPr>
          <w:rFonts w:ascii="Arial" w:hAnsi="Arial" w:cs="Arial"/>
          <w:color w:val="000000" w:themeColor="text1"/>
        </w:rPr>
        <w:t xml:space="preserve"> of Project A has only a marginal value</w:t>
      </w:r>
      <w:r w:rsidR="00832446" w:rsidRPr="0077415D">
        <w:rPr>
          <w:rFonts w:ascii="Arial" w:hAnsi="Arial" w:cs="Arial"/>
          <w:color w:val="000000" w:themeColor="text1"/>
        </w:rPr>
        <w:t>,</w:t>
      </w:r>
      <w:r w:rsidRPr="0077415D">
        <w:rPr>
          <w:rFonts w:ascii="Arial" w:hAnsi="Arial" w:cs="Arial"/>
          <w:color w:val="000000" w:themeColor="text1"/>
        </w:rPr>
        <w:t xml:space="preserve"> whereas the IRR of zero and negative NPV in Project B signifies value destruction. The cash profile of project C indicates scalability and growth in </w:t>
      </w:r>
      <w:r w:rsidR="00646080" w:rsidRPr="0077415D">
        <w:rPr>
          <w:rFonts w:ascii="Arial" w:hAnsi="Arial" w:cs="Arial"/>
          <w:color w:val="000000" w:themeColor="text1"/>
        </w:rPr>
        <w:t>future</w:t>
      </w:r>
      <w:r w:rsidRPr="0077415D">
        <w:rPr>
          <w:rFonts w:ascii="Arial" w:hAnsi="Arial" w:cs="Arial"/>
          <w:color w:val="000000" w:themeColor="text1"/>
        </w:rPr>
        <w:t xml:space="preserve"> demand, which is in line with the </w:t>
      </w:r>
      <w:r w:rsidR="00646080" w:rsidRPr="0077415D">
        <w:rPr>
          <w:rFonts w:ascii="Arial" w:hAnsi="Arial" w:cs="Arial"/>
          <w:color w:val="000000" w:themeColor="text1"/>
        </w:rPr>
        <w:t>firm’s</w:t>
      </w:r>
      <w:r w:rsidRPr="0077415D">
        <w:rPr>
          <w:rFonts w:ascii="Arial" w:hAnsi="Arial" w:cs="Arial"/>
          <w:color w:val="000000" w:themeColor="text1"/>
        </w:rPr>
        <w:t xml:space="preserve"> aspiration </w:t>
      </w:r>
      <w:r w:rsidR="00646080" w:rsidRPr="0077415D">
        <w:rPr>
          <w:rFonts w:ascii="Arial" w:hAnsi="Arial" w:cs="Arial"/>
          <w:color w:val="000000" w:themeColor="text1"/>
        </w:rPr>
        <w:t>to make</w:t>
      </w:r>
      <w:r w:rsidRPr="0077415D">
        <w:rPr>
          <w:rFonts w:ascii="Arial" w:hAnsi="Arial" w:cs="Arial"/>
          <w:color w:val="000000" w:themeColor="text1"/>
        </w:rPr>
        <w:t xml:space="preserve"> positive economic </w:t>
      </w:r>
      <w:r w:rsidR="00646080" w:rsidRPr="0077415D">
        <w:rPr>
          <w:rFonts w:ascii="Arial" w:hAnsi="Arial" w:cs="Arial"/>
          <w:color w:val="000000" w:themeColor="text1"/>
        </w:rPr>
        <w:t>profits</w:t>
      </w:r>
      <w:r w:rsidRPr="0077415D">
        <w:rPr>
          <w:rFonts w:ascii="Arial" w:hAnsi="Arial" w:cs="Arial"/>
          <w:color w:val="000000" w:themeColor="text1"/>
        </w:rPr>
        <w:t xml:space="preserve"> and </w:t>
      </w:r>
      <w:r w:rsidR="00646080" w:rsidRPr="0077415D">
        <w:rPr>
          <w:rFonts w:ascii="Arial" w:hAnsi="Arial" w:cs="Arial"/>
          <w:color w:val="000000" w:themeColor="text1"/>
        </w:rPr>
        <w:t>regain</w:t>
      </w:r>
      <w:r w:rsidRPr="0077415D">
        <w:rPr>
          <w:rFonts w:ascii="Arial" w:hAnsi="Arial" w:cs="Arial"/>
          <w:color w:val="000000" w:themeColor="text1"/>
        </w:rPr>
        <w:t xml:space="preserve"> </w:t>
      </w:r>
      <w:r w:rsidR="00646080" w:rsidRPr="0077415D">
        <w:rPr>
          <w:rFonts w:ascii="Arial" w:hAnsi="Arial" w:cs="Arial"/>
          <w:color w:val="000000" w:themeColor="text1"/>
        </w:rPr>
        <w:t>investor</w:t>
      </w:r>
      <w:r w:rsidRPr="0077415D">
        <w:rPr>
          <w:rFonts w:ascii="Arial" w:hAnsi="Arial" w:cs="Arial"/>
          <w:color w:val="000000" w:themeColor="text1"/>
        </w:rPr>
        <w:t xml:space="preserve"> confidence.</w:t>
      </w:r>
    </w:p>
    <w:p w14:paraId="282422B8" w14:textId="4A664F05" w:rsidR="00A824F0" w:rsidRPr="0077415D" w:rsidRDefault="00A824F0" w:rsidP="00A824F0">
      <w:pPr>
        <w:rPr>
          <w:rFonts w:ascii="Arial" w:hAnsi="Arial" w:cs="Arial"/>
          <w:color w:val="000000" w:themeColor="text1"/>
        </w:rPr>
      </w:pPr>
      <w:r w:rsidRPr="0077415D">
        <w:rPr>
          <w:rFonts w:ascii="Arial" w:hAnsi="Arial" w:cs="Arial"/>
          <w:b/>
          <w:bCs/>
          <w:color w:val="000000" w:themeColor="text1"/>
        </w:rPr>
        <w:t>Risk and cash flow volatility:</w:t>
      </w:r>
      <w:r w:rsidRPr="0077415D">
        <w:rPr>
          <w:rFonts w:ascii="Arial" w:hAnsi="Arial" w:cs="Arial"/>
          <w:color w:val="000000" w:themeColor="text1"/>
        </w:rPr>
        <w:t xml:space="preserve"> The timing risk in Project C is moderate as the inflows are back-loaded (£5m and 10m in the first few years, followed by 20m-25m). This lag is absorbed by the fact that the firm is currently strengthening its equity and liquidity reforms</w:t>
      </w:r>
      <w:r w:rsidR="004E6291" w:rsidRPr="0077415D">
        <w:rPr>
          <w:rFonts w:ascii="Arial" w:hAnsi="Arial" w:cs="Arial"/>
          <w:color w:val="000000" w:themeColor="text1"/>
        </w:rPr>
        <w:t>,</w:t>
      </w:r>
      <w:r w:rsidRPr="0077415D">
        <w:rPr>
          <w:rFonts w:ascii="Arial" w:hAnsi="Arial" w:cs="Arial"/>
          <w:color w:val="000000" w:themeColor="text1"/>
        </w:rPr>
        <w:t xml:space="preserve"> which give it sufficient ability to absorb the lag. The </w:t>
      </w:r>
      <w:r w:rsidR="004E6291" w:rsidRPr="0077415D">
        <w:rPr>
          <w:rFonts w:ascii="Arial" w:hAnsi="Arial" w:cs="Arial"/>
          <w:color w:val="000000" w:themeColor="text1"/>
        </w:rPr>
        <w:t>predictable</w:t>
      </w:r>
      <w:r w:rsidRPr="0077415D">
        <w:rPr>
          <w:rFonts w:ascii="Arial" w:hAnsi="Arial" w:cs="Arial"/>
          <w:color w:val="000000" w:themeColor="text1"/>
        </w:rPr>
        <w:t xml:space="preserve"> inflows in Project A are safer but not enough to recover the losses in the past, whereas the regular inflows in Project B are not resilient to the effects of inflation or volatile markets. </w:t>
      </w:r>
    </w:p>
    <w:p w14:paraId="0D54C184" w14:textId="2B43B6BC" w:rsidR="00A824F0" w:rsidRPr="0077415D" w:rsidRDefault="00A824F0" w:rsidP="00A824F0">
      <w:pPr>
        <w:rPr>
          <w:rFonts w:ascii="Arial" w:hAnsi="Arial" w:cs="Arial"/>
          <w:color w:val="000000" w:themeColor="text1"/>
        </w:rPr>
      </w:pPr>
      <w:r w:rsidRPr="0077415D">
        <w:rPr>
          <w:rFonts w:ascii="Arial" w:hAnsi="Arial" w:cs="Arial"/>
          <w:b/>
          <w:bCs/>
          <w:color w:val="000000" w:themeColor="text1"/>
        </w:rPr>
        <w:t>Sensitivity and macroeconomic exposure:</w:t>
      </w:r>
      <w:r w:rsidRPr="0077415D">
        <w:rPr>
          <w:rFonts w:ascii="Arial" w:hAnsi="Arial" w:cs="Arial"/>
          <w:color w:val="000000" w:themeColor="text1"/>
        </w:rPr>
        <w:t xml:space="preserve"> Increasing inflation or interest rates may narrow the discount cash values of Project C, but continued reprofiling of debt and equity infusion is decreasing sensitivity to financing shocks. Since the returns of Project C are also related to the expansion of the high-margin products and the increase of efficiency, it is not exposed to the macroeconomic changes as much as the projects that rely on price stability.</w:t>
      </w:r>
    </w:p>
    <w:p w14:paraId="0790A22C" w14:textId="07BB1E4B" w:rsidR="00A824F0" w:rsidRPr="0077415D" w:rsidRDefault="00884D93" w:rsidP="00A824F0">
      <w:pPr>
        <w:rPr>
          <w:rFonts w:ascii="Arial" w:hAnsi="Arial" w:cs="Arial"/>
          <w:color w:val="000000" w:themeColor="text1"/>
        </w:rPr>
      </w:pPr>
      <w:r w:rsidRPr="0077415D">
        <w:rPr>
          <w:rFonts w:ascii="Arial" w:hAnsi="Arial" w:cs="Arial"/>
          <w:b/>
          <w:bCs/>
          <w:color w:val="000000" w:themeColor="text1"/>
        </w:rPr>
        <w:t xml:space="preserve">Strategic and ethical alignment: </w:t>
      </w:r>
      <w:r w:rsidR="00A824F0" w:rsidRPr="0077415D">
        <w:rPr>
          <w:rFonts w:ascii="Arial" w:hAnsi="Arial" w:cs="Arial"/>
          <w:color w:val="000000" w:themeColor="text1"/>
        </w:rPr>
        <w:t xml:space="preserve">Project C facilitates the restructuring goal of the company </w:t>
      </w:r>
      <w:r w:rsidR="004E6291" w:rsidRPr="0077415D">
        <w:rPr>
          <w:rFonts w:ascii="Arial" w:hAnsi="Arial" w:cs="Arial"/>
          <w:color w:val="000000" w:themeColor="text1"/>
        </w:rPr>
        <w:t>to sell</w:t>
      </w:r>
      <w:r w:rsidR="00A824F0" w:rsidRPr="0077415D">
        <w:rPr>
          <w:rFonts w:ascii="Arial" w:hAnsi="Arial" w:cs="Arial"/>
          <w:color w:val="000000" w:themeColor="text1"/>
        </w:rPr>
        <w:t xml:space="preserve"> low-yield assets and </w:t>
      </w:r>
      <w:r w:rsidR="004E6291" w:rsidRPr="0077415D">
        <w:rPr>
          <w:rFonts w:ascii="Arial" w:hAnsi="Arial" w:cs="Arial"/>
          <w:color w:val="000000" w:themeColor="text1"/>
        </w:rPr>
        <w:t>invest</w:t>
      </w:r>
      <w:r w:rsidR="00A824F0" w:rsidRPr="0077415D">
        <w:rPr>
          <w:rFonts w:ascii="Arial" w:hAnsi="Arial" w:cs="Arial"/>
          <w:color w:val="000000" w:themeColor="text1"/>
        </w:rPr>
        <w:t xml:space="preserve"> in technologies with high returns. It augments the automation, </w:t>
      </w:r>
      <w:proofErr w:type="spellStart"/>
      <w:r w:rsidR="00A824F0" w:rsidRPr="0077415D">
        <w:rPr>
          <w:rFonts w:ascii="Arial" w:hAnsi="Arial" w:cs="Arial"/>
          <w:color w:val="000000" w:themeColor="text1"/>
        </w:rPr>
        <w:t>digitalisation</w:t>
      </w:r>
      <w:proofErr w:type="spellEnd"/>
      <w:r w:rsidR="00A824F0" w:rsidRPr="0077415D">
        <w:rPr>
          <w:rFonts w:ascii="Arial" w:hAnsi="Arial" w:cs="Arial"/>
          <w:color w:val="000000" w:themeColor="text1"/>
        </w:rPr>
        <w:t xml:space="preserve"> and product-line consolidation objectives, providing </w:t>
      </w:r>
      <w:r w:rsidR="004E6291" w:rsidRPr="0077415D">
        <w:rPr>
          <w:rFonts w:ascii="Arial" w:hAnsi="Arial" w:cs="Arial"/>
          <w:color w:val="000000" w:themeColor="text1"/>
        </w:rPr>
        <w:t xml:space="preserve">a </w:t>
      </w:r>
      <w:r w:rsidR="00A824F0" w:rsidRPr="0077415D">
        <w:rPr>
          <w:rFonts w:ascii="Arial" w:hAnsi="Arial" w:cs="Arial"/>
          <w:color w:val="000000" w:themeColor="text1"/>
        </w:rPr>
        <w:t>transformational effect. Project A</w:t>
      </w:r>
      <w:r w:rsidR="002F29F7" w:rsidRPr="0077415D">
        <w:rPr>
          <w:rFonts w:ascii="Arial" w:hAnsi="Arial" w:cs="Arial"/>
          <w:color w:val="000000" w:themeColor="text1"/>
        </w:rPr>
        <w:t>,</w:t>
      </w:r>
      <w:r w:rsidR="00A824F0" w:rsidRPr="0077415D">
        <w:rPr>
          <w:rFonts w:ascii="Arial" w:hAnsi="Arial" w:cs="Arial"/>
          <w:color w:val="000000" w:themeColor="text1"/>
        </w:rPr>
        <w:t xml:space="preserve"> on the other hand</w:t>
      </w:r>
      <w:r w:rsidR="002F29F7" w:rsidRPr="0077415D">
        <w:rPr>
          <w:rFonts w:ascii="Arial" w:hAnsi="Arial" w:cs="Arial"/>
          <w:color w:val="000000" w:themeColor="text1"/>
        </w:rPr>
        <w:t>,</w:t>
      </w:r>
      <w:r w:rsidR="00A824F0" w:rsidRPr="0077415D">
        <w:rPr>
          <w:rFonts w:ascii="Arial" w:hAnsi="Arial" w:cs="Arial"/>
          <w:color w:val="000000" w:themeColor="text1"/>
        </w:rPr>
        <w:t xml:space="preserve"> currently operates at an existing level with a small growth potential (Panchal et al., 2025). Project C should be implemented with strong governance mechanisms</w:t>
      </w:r>
      <w:r w:rsidR="002F29F7" w:rsidRPr="0077415D">
        <w:rPr>
          <w:rFonts w:ascii="Arial" w:hAnsi="Arial" w:cs="Arial"/>
          <w:color w:val="000000" w:themeColor="text1"/>
        </w:rPr>
        <w:t>,</w:t>
      </w:r>
      <w:r w:rsidR="00A824F0" w:rsidRPr="0077415D">
        <w:rPr>
          <w:rFonts w:ascii="Arial" w:hAnsi="Arial" w:cs="Arial"/>
          <w:color w:val="000000" w:themeColor="text1"/>
        </w:rPr>
        <w:t xml:space="preserve"> such as </w:t>
      </w:r>
      <w:r w:rsidR="002F29F7" w:rsidRPr="0077415D">
        <w:rPr>
          <w:rFonts w:ascii="Arial" w:hAnsi="Arial" w:cs="Arial"/>
          <w:color w:val="000000" w:themeColor="text1"/>
        </w:rPr>
        <w:t xml:space="preserve">the </w:t>
      </w:r>
      <w:r w:rsidR="00A824F0" w:rsidRPr="0077415D">
        <w:rPr>
          <w:rFonts w:ascii="Arial" w:hAnsi="Arial" w:cs="Arial"/>
          <w:color w:val="000000" w:themeColor="text1"/>
        </w:rPr>
        <w:t xml:space="preserve">release of funds in milestones and </w:t>
      </w:r>
      <w:r w:rsidR="002F29F7" w:rsidRPr="0077415D">
        <w:rPr>
          <w:rFonts w:ascii="Arial" w:hAnsi="Arial" w:cs="Arial"/>
          <w:color w:val="000000" w:themeColor="text1"/>
        </w:rPr>
        <w:t xml:space="preserve">a </w:t>
      </w:r>
      <w:r w:rsidR="00A824F0" w:rsidRPr="0077415D">
        <w:rPr>
          <w:rFonts w:ascii="Arial" w:hAnsi="Arial" w:cs="Arial"/>
          <w:color w:val="000000" w:themeColor="text1"/>
        </w:rPr>
        <w:t xml:space="preserve">sustainability audit </w:t>
      </w:r>
      <w:r w:rsidRPr="0077415D">
        <w:rPr>
          <w:rFonts w:ascii="Arial" w:hAnsi="Arial" w:cs="Arial"/>
          <w:color w:val="000000" w:themeColor="text1"/>
        </w:rPr>
        <w:t>to</w:t>
      </w:r>
      <w:r w:rsidR="00A824F0" w:rsidRPr="0077415D">
        <w:rPr>
          <w:rFonts w:ascii="Arial" w:hAnsi="Arial" w:cs="Arial"/>
          <w:color w:val="000000" w:themeColor="text1"/>
        </w:rPr>
        <w:t xml:space="preserve"> ensure the project is in line with corporate social responsibility standards and increase stakeholder trust.</w:t>
      </w:r>
    </w:p>
    <w:p w14:paraId="52AA34D2" w14:textId="437F3E2F" w:rsidR="00A824F0" w:rsidRPr="0077415D" w:rsidRDefault="00884D93" w:rsidP="00A824F0">
      <w:pPr>
        <w:rPr>
          <w:rFonts w:ascii="Arial" w:hAnsi="Arial" w:cs="Arial"/>
          <w:color w:val="000000" w:themeColor="text1"/>
        </w:rPr>
      </w:pPr>
      <w:r w:rsidRPr="0077415D">
        <w:rPr>
          <w:rFonts w:ascii="Arial" w:hAnsi="Arial" w:cs="Arial"/>
          <w:b/>
          <w:bCs/>
          <w:color w:val="000000" w:themeColor="text1"/>
        </w:rPr>
        <w:t xml:space="preserve">Long-term shareholder value: </w:t>
      </w:r>
      <w:r w:rsidR="00A824F0" w:rsidRPr="0077415D">
        <w:rPr>
          <w:rFonts w:ascii="Arial" w:hAnsi="Arial" w:cs="Arial"/>
          <w:color w:val="000000" w:themeColor="text1"/>
        </w:rPr>
        <w:t>The NPV of 4.23 million pounds and IRR of 12.7</w:t>
      </w:r>
      <w:r w:rsidR="002F29F7" w:rsidRPr="0077415D">
        <w:rPr>
          <w:rFonts w:ascii="Arial" w:hAnsi="Arial" w:cs="Arial"/>
          <w:color w:val="000000" w:themeColor="text1"/>
        </w:rPr>
        <w:t>%</w:t>
      </w:r>
      <w:r w:rsidR="00A824F0" w:rsidRPr="0077415D">
        <w:rPr>
          <w:rFonts w:ascii="Arial" w:hAnsi="Arial" w:cs="Arial"/>
          <w:color w:val="000000" w:themeColor="text1"/>
        </w:rPr>
        <w:t xml:space="preserve"> of project C represents the economic value that is of significant worth in addition to the cost of capital. The resulting inflows of cash will restore reserves, enhance interest coverage</w:t>
      </w:r>
      <w:r w:rsidR="00F011E0">
        <w:rPr>
          <w:rFonts w:ascii="Arial" w:hAnsi="Arial" w:cs="Arial"/>
          <w:color w:val="000000" w:themeColor="text1"/>
        </w:rPr>
        <w:t xml:space="preserve">, </w:t>
      </w:r>
      <w:r w:rsidR="00F011E0">
        <w:rPr>
          <w:rFonts w:ascii="Arial" w:hAnsi="Arial" w:cs="Arial"/>
          <w:color w:val="000000" w:themeColor="text1"/>
        </w:rPr>
        <w:lastRenderedPageBreak/>
        <w:t>and allow for dividend reinstatements, which will ultimately improve</w:t>
      </w:r>
      <w:r w:rsidR="00A824F0" w:rsidRPr="0077415D">
        <w:rPr>
          <w:rFonts w:ascii="Arial" w:hAnsi="Arial" w:cs="Arial"/>
          <w:color w:val="000000" w:themeColor="text1"/>
        </w:rPr>
        <w:t xml:space="preserve"> credit ratings and market value. Comparatively, Project A would yield small relative returns</w:t>
      </w:r>
      <w:r w:rsidR="002F29F7" w:rsidRPr="0077415D">
        <w:rPr>
          <w:rFonts w:ascii="Arial" w:hAnsi="Arial" w:cs="Arial"/>
          <w:color w:val="000000" w:themeColor="text1"/>
        </w:rPr>
        <w:t>,</w:t>
      </w:r>
      <w:r w:rsidR="00A824F0" w:rsidRPr="0077415D">
        <w:rPr>
          <w:rFonts w:ascii="Arial" w:hAnsi="Arial" w:cs="Arial"/>
          <w:color w:val="000000" w:themeColor="text1"/>
        </w:rPr>
        <w:t xml:space="preserve"> whereas Project B would undermine the performance.</w:t>
      </w:r>
    </w:p>
    <w:p w14:paraId="66B93706" w14:textId="4A803297" w:rsidR="00A824F0" w:rsidRPr="0077415D" w:rsidRDefault="00A824F0" w:rsidP="00A824F0">
      <w:pPr>
        <w:rPr>
          <w:rFonts w:ascii="Arial" w:hAnsi="Arial" w:cs="Arial"/>
          <w:color w:val="000000" w:themeColor="text1"/>
        </w:rPr>
      </w:pPr>
      <w:r w:rsidRPr="0077415D">
        <w:rPr>
          <w:rFonts w:ascii="Arial" w:hAnsi="Arial" w:cs="Arial"/>
          <w:color w:val="000000" w:themeColor="text1"/>
        </w:rPr>
        <w:t xml:space="preserve">To </w:t>
      </w:r>
      <w:proofErr w:type="spellStart"/>
      <w:r w:rsidR="002F29F7" w:rsidRPr="0077415D">
        <w:rPr>
          <w:rFonts w:ascii="Arial" w:hAnsi="Arial" w:cs="Arial"/>
          <w:color w:val="000000" w:themeColor="text1"/>
        </w:rPr>
        <w:t>summarise</w:t>
      </w:r>
      <w:proofErr w:type="spellEnd"/>
      <w:r w:rsidRPr="0077415D">
        <w:rPr>
          <w:rFonts w:ascii="Arial" w:hAnsi="Arial" w:cs="Arial"/>
          <w:color w:val="000000" w:themeColor="text1"/>
        </w:rPr>
        <w:t xml:space="preserve">, </w:t>
      </w:r>
      <w:r w:rsidR="00884D93" w:rsidRPr="0077415D">
        <w:rPr>
          <w:rFonts w:ascii="Arial" w:hAnsi="Arial" w:cs="Arial"/>
          <w:color w:val="000000" w:themeColor="text1"/>
        </w:rPr>
        <w:t>all</w:t>
      </w:r>
      <w:r w:rsidRPr="0077415D">
        <w:rPr>
          <w:rFonts w:ascii="Arial" w:hAnsi="Arial" w:cs="Arial"/>
          <w:color w:val="000000" w:themeColor="text1"/>
        </w:rPr>
        <w:t xml:space="preserve"> five methods of appraisal come to the consensus that </w:t>
      </w:r>
      <w:r w:rsidR="00884D93" w:rsidRPr="0077415D">
        <w:rPr>
          <w:rFonts w:ascii="Arial" w:hAnsi="Arial" w:cs="Arial"/>
          <w:color w:val="000000" w:themeColor="text1"/>
        </w:rPr>
        <w:t>Project</w:t>
      </w:r>
      <w:r w:rsidRPr="0077415D">
        <w:rPr>
          <w:rFonts w:ascii="Arial" w:hAnsi="Arial" w:cs="Arial"/>
          <w:color w:val="000000" w:themeColor="text1"/>
        </w:rPr>
        <w:t xml:space="preserve"> B is rejected and that Projects A and C should be chosen. Project C is </w:t>
      </w:r>
      <w:r w:rsidR="00884D93" w:rsidRPr="0077415D">
        <w:rPr>
          <w:rFonts w:ascii="Arial" w:hAnsi="Arial" w:cs="Arial"/>
          <w:color w:val="000000" w:themeColor="text1"/>
        </w:rPr>
        <w:t>a</w:t>
      </w:r>
      <w:r w:rsidRPr="0077415D">
        <w:rPr>
          <w:rFonts w:ascii="Arial" w:hAnsi="Arial" w:cs="Arial"/>
          <w:color w:val="000000" w:themeColor="text1"/>
        </w:rPr>
        <w:t xml:space="preserve"> financially appealing and strategically consistent project under capital rationing. It provides the best NPV, IRR</w:t>
      </w:r>
      <w:r w:rsidR="002F29F7" w:rsidRPr="0077415D">
        <w:rPr>
          <w:rFonts w:ascii="Arial" w:hAnsi="Arial" w:cs="Arial"/>
          <w:color w:val="000000" w:themeColor="text1"/>
        </w:rPr>
        <w:t>,</w:t>
      </w:r>
      <w:r w:rsidRPr="0077415D">
        <w:rPr>
          <w:rFonts w:ascii="Arial" w:hAnsi="Arial" w:cs="Arial"/>
          <w:color w:val="000000" w:themeColor="text1"/>
        </w:rPr>
        <w:t xml:space="preserve"> as well as profitability index to offset a comparatively extended payback period. Its back-loaded inflows are not only associated with timing </w:t>
      </w:r>
      <w:r w:rsidR="00884D93" w:rsidRPr="0077415D">
        <w:rPr>
          <w:rFonts w:ascii="Arial" w:hAnsi="Arial" w:cs="Arial"/>
          <w:color w:val="000000" w:themeColor="text1"/>
        </w:rPr>
        <w:t>risk but</w:t>
      </w:r>
      <w:r w:rsidRPr="0077415D">
        <w:rPr>
          <w:rFonts w:ascii="Arial" w:hAnsi="Arial" w:cs="Arial"/>
          <w:color w:val="000000" w:themeColor="text1"/>
        </w:rPr>
        <w:t xml:space="preserve"> also have better long-term returns that follow the restructuring path of the company. Project A is still a worthy second option in case of liquidity assistance with the expansion of resources.</w:t>
      </w:r>
    </w:p>
    <w:p w14:paraId="049B1AAE" w14:textId="04421760" w:rsidR="00C52570" w:rsidRPr="0077415D" w:rsidRDefault="00A824F0" w:rsidP="00A824F0">
      <w:pPr>
        <w:rPr>
          <w:rFonts w:ascii="Arial" w:hAnsi="Arial" w:cs="Arial"/>
          <w:color w:val="000000" w:themeColor="text1"/>
        </w:rPr>
      </w:pPr>
      <w:r w:rsidRPr="0077415D">
        <w:rPr>
          <w:rFonts w:ascii="Arial" w:hAnsi="Arial" w:cs="Arial"/>
          <w:color w:val="000000" w:themeColor="text1"/>
        </w:rPr>
        <w:t xml:space="preserve">Project C should also be given </w:t>
      </w:r>
      <w:r w:rsidR="00884D93" w:rsidRPr="0077415D">
        <w:rPr>
          <w:rFonts w:ascii="Arial" w:hAnsi="Arial" w:cs="Arial"/>
          <w:color w:val="000000" w:themeColor="text1"/>
        </w:rPr>
        <w:t>priority</w:t>
      </w:r>
      <w:r w:rsidRPr="0077415D">
        <w:rPr>
          <w:rFonts w:ascii="Arial" w:hAnsi="Arial" w:cs="Arial"/>
          <w:color w:val="000000" w:themeColor="text1"/>
        </w:rPr>
        <w:t xml:space="preserve"> within the budget constraint of 60 million since the company is experiencing better gross margins and </w:t>
      </w:r>
      <w:r w:rsidR="00884D93" w:rsidRPr="0077415D">
        <w:rPr>
          <w:rFonts w:ascii="Arial" w:hAnsi="Arial" w:cs="Arial"/>
          <w:color w:val="000000" w:themeColor="text1"/>
        </w:rPr>
        <w:t>focuses</w:t>
      </w:r>
      <w:r w:rsidRPr="0077415D">
        <w:rPr>
          <w:rFonts w:ascii="Arial" w:hAnsi="Arial" w:cs="Arial"/>
          <w:color w:val="000000" w:themeColor="text1"/>
        </w:rPr>
        <w:t xml:space="preserve"> on sustainable recovery. The project is not only able to </w:t>
      </w:r>
      <w:proofErr w:type="spellStart"/>
      <w:r w:rsidR="002F29F7" w:rsidRPr="0077415D">
        <w:rPr>
          <w:rFonts w:ascii="Arial" w:hAnsi="Arial" w:cs="Arial"/>
          <w:color w:val="000000" w:themeColor="text1"/>
        </w:rPr>
        <w:t>maximise</w:t>
      </w:r>
      <w:proofErr w:type="spellEnd"/>
      <w:r w:rsidRPr="0077415D">
        <w:rPr>
          <w:rFonts w:ascii="Arial" w:hAnsi="Arial" w:cs="Arial"/>
          <w:color w:val="000000" w:themeColor="text1"/>
        </w:rPr>
        <w:t xml:space="preserve"> the shareholder </w:t>
      </w:r>
      <w:r w:rsidR="00884D93" w:rsidRPr="0077415D">
        <w:rPr>
          <w:rFonts w:ascii="Arial" w:hAnsi="Arial" w:cs="Arial"/>
          <w:color w:val="000000" w:themeColor="text1"/>
        </w:rPr>
        <w:t>value,</w:t>
      </w:r>
      <w:r w:rsidRPr="0077415D">
        <w:rPr>
          <w:rFonts w:ascii="Arial" w:hAnsi="Arial" w:cs="Arial"/>
          <w:color w:val="000000" w:themeColor="text1"/>
        </w:rPr>
        <w:t xml:space="preserve"> but it complements the ongoing restructuring processes by strengthening operational effectiveness, facilitating technological </w:t>
      </w:r>
      <w:proofErr w:type="spellStart"/>
      <w:r w:rsidR="002F29F7" w:rsidRPr="0077415D">
        <w:rPr>
          <w:rFonts w:ascii="Arial" w:hAnsi="Arial" w:cs="Arial"/>
          <w:color w:val="000000" w:themeColor="text1"/>
        </w:rPr>
        <w:t>modernisation</w:t>
      </w:r>
      <w:proofErr w:type="spellEnd"/>
      <w:r w:rsidRPr="0077415D">
        <w:rPr>
          <w:rFonts w:ascii="Arial" w:hAnsi="Arial" w:cs="Arial"/>
          <w:color w:val="000000" w:themeColor="text1"/>
        </w:rPr>
        <w:t xml:space="preserve"> and competitive positions. </w:t>
      </w:r>
    </w:p>
    <w:p w14:paraId="7E819B8E" w14:textId="77777777" w:rsidR="00C52570" w:rsidRPr="0077415D" w:rsidRDefault="00C52570" w:rsidP="00B75795">
      <w:pPr>
        <w:rPr>
          <w:rFonts w:ascii="Arial" w:hAnsi="Arial" w:cs="Arial"/>
          <w:color w:val="000000" w:themeColor="text1"/>
        </w:rPr>
      </w:pPr>
    </w:p>
    <w:p w14:paraId="0F7D95C6" w14:textId="77777777" w:rsidR="00BA0661" w:rsidRPr="0077415D" w:rsidRDefault="00BA0661" w:rsidP="003B4DFE">
      <w:pPr>
        <w:rPr>
          <w:rFonts w:ascii="Arial" w:hAnsi="Arial" w:cs="Arial"/>
          <w:color w:val="000000" w:themeColor="text1"/>
        </w:rPr>
      </w:pPr>
    </w:p>
    <w:p w14:paraId="69B6EE97" w14:textId="77777777" w:rsidR="003B4DFE" w:rsidRPr="0077415D" w:rsidRDefault="003B4DFE" w:rsidP="00681D99">
      <w:pPr>
        <w:rPr>
          <w:rFonts w:ascii="Arial" w:hAnsi="Arial" w:cs="Arial"/>
          <w:color w:val="000000" w:themeColor="text1"/>
        </w:rPr>
      </w:pPr>
    </w:p>
    <w:p w14:paraId="64964599" w14:textId="77777777" w:rsidR="005C3523" w:rsidRPr="0077415D" w:rsidRDefault="005C3523">
      <w:pPr>
        <w:spacing w:line="278" w:lineRule="auto"/>
        <w:jc w:val="left"/>
        <w:rPr>
          <w:rFonts w:ascii="Arial" w:eastAsiaTheme="majorEastAsia" w:hAnsi="Arial" w:cs="Arial"/>
          <w:b/>
          <w:color w:val="000000" w:themeColor="text1"/>
          <w:sz w:val="28"/>
          <w:szCs w:val="40"/>
        </w:rPr>
      </w:pPr>
      <w:r w:rsidRPr="0077415D">
        <w:rPr>
          <w:rFonts w:ascii="Arial" w:hAnsi="Arial" w:cs="Arial"/>
          <w:color w:val="000000" w:themeColor="text1"/>
        </w:rPr>
        <w:br w:type="page"/>
      </w:r>
    </w:p>
    <w:p w14:paraId="5F691FF7" w14:textId="50944E8D" w:rsidR="000616A3" w:rsidRPr="0077415D" w:rsidRDefault="002A7918" w:rsidP="00B543BE">
      <w:pPr>
        <w:pStyle w:val="Heading1"/>
        <w:rPr>
          <w:color w:val="000000" w:themeColor="text1"/>
        </w:rPr>
      </w:pPr>
      <w:bookmarkStart w:id="19" w:name="_Toc214845232"/>
      <w:r w:rsidRPr="0077415D">
        <w:rPr>
          <w:color w:val="000000" w:themeColor="text1"/>
        </w:rPr>
        <w:lastRenderedPageBreak/>
        <w:t>References</w:t>
      </w:r>
      <w:bookmarkEnd w:id="19"/>
    </w:p>
    <w:p w14:paraId="4830768D" w14:textId="77777777" w:rsidR="00B128F8" w:rsidRPr="0077415D" w:rsidRDefault="00B128F8" w:rsidP="000C1C1D">
      <w:pPr>
        <w:rPr>
          <w:rFonts w:ascii="Arial" w:hAnsi="Arial" w:cs="Arial"/>
          <w:color w:val="000000" w:themeColor="text1"/>
        </w:rPr>
      </w:pPr>
      <w:proofErr w:type="spellStart"/>
      <w:r w:rsidRPr="0077415D">
        <w:rPr>
          <w:rFonts w:ascii="Arial" w:hAnsi="Arial" w:cs="Arial"/>
          <w:color w:val="000000" w:themeColor="text1"/>
        </w:rPr>
        <w:t>Alsharari</w:t>
      </w:r>
      <w:proofErr w:type="spellEnd"/>
      <w:r w:rsidRPr="0077415D">
        <w:rPr>
          <w:rFonts w:ascii="Arial" w:hAnsi="Arial" w:cs="Arial"/>
          <w:color w:val="000000" w:themeColor="text1"/>
        </w:rPr>
        <w:t>, N.M., 2024. The interplay of strategic management accounting, business strategy and organizational change: as influenced by a configurational theory. Journal of Accounting &amp; Organizational Change, 20(1), pp.153-176.</w:t>
      </w:r>
    </w:p>
    <w:p w14:paraId="0640ECA0" w14:textId="77777777" w:rsidR="00B128F8" w:rsidRPr="0077415D" w:rsidRDefault="00B128F8" w:rsidP="0018296F">
      <w:pPr>
        <w:rPr>
          <w:rFonts w:ascii="Arial" w:hAnsi="Arial" w:cs="Arial"/>
          <w:color w:val="000000" w:themeColor="text1"/>
        </w:rPr>
      </w:pPr>
      <w:proofErr w:type="spellStart"/>
      <w:r w:rsidRPr="0077415D">
        <w:rPr>
          <w:rFonts w:ascii="Arial" w:hAnsi="Arial" w:cs="Arial"/>
          <w:color w:val="000000" w:themeColor="text1"/>
        </w:rPr>
        <w:t>Bililies</w:t>
      </w:r>
      <w:proofErr w:type="spellEnd"/>
      <w:r w:rsidRPr="0077415D">
        <w:rPr>
          <w:rFonts w:ascii="Arial" w:hAnsi="Arial" w:cs="Arial"/>
          <w:color w:val="000000" w:themeColor="text1"/>
        </w:rPr>
        <w:t>, T., 2023. Private Equity Needs a New Talent Strategy. </w:t>
      </w:r>
      <w:r w:rsidRPr="0077415D">
        <w:rPr>
          <w:rFonts w:ascii="Arial" w:hAnsi="Arial" w:cs="Arial"/>
          <w:i/>
          <w:iCs/>
          <w:color w:val="000000" w:themeColor="text1"/>
        </w:rPr>
        <w:t>Harvard Business Review</w:t>
      </w:r>
      <w:r w:rsidRPr="0077415D">
        <w:rPr>
          <w:rFonts w:ascii="Arial" w:hAnsi="Arial" w:cs="Arial"/>
          <w:color w:val="000000" w:themeColor="text1"/>
        </w:rPr>
        <w:t>, </w:t>
      </w:r>
      <w:r w:rsidRPr="0077415D">
        <w:rPr>
          <w:rFonts w:ascii="Arial" w:hAnsi="Arial" w:cs="Arial"/>
          <w:i/>
          <w:iCs/>
          <w:color w:val="000000" w:themeColor="text1"/>
        </w:rPr>
        <w:t>101</w:t>
      </w:r>
      <w:r w:rsidRPr="0077415D">
        <w:rPr>
          <w:rFonts w:ascii="Arial" w:hAnsi="Arial" w:cs="Arial"/>
          <w:color w:val="000000" w:themeColor="text1"/>
        </w:rPr>
        <w:t>(11-12), pp.132-140.</w:t>
      </w:r>
    </w:p>
    <w:p w14:paraId="03C261BD" w14:textId="77777777" w:rsidR="00B128F8" w:rsidRPr="0077415D" w:rsidRDefault="00B128F8" w:rsidP="0018296F">
      <w:pPr>
        <w:rPr>
          <w:rFonts w:ascii="Arial" w:hAnsi="Arial" w:cs="Arial"/>
          <w:color w:val="000000" w:themeColor="text1"/>
        </w:rPr>
      </w:pPr>
      <w:r w:rsidRPr="0077415D">
        <w:rPr>
          <w:rFonts w:ascii="Arial" w:hAnsi="Arial" w:cs="Arial"/>
          <w:color w:val="000000" w:themeColor="text1"/>
        </w:rPr>
        <w:t>Bourgoin, A. and Harms, P.D., 2024. “It’s not the CEOs, it’s us”: On the challenges of CEO research and a call for deeper engagement. </w:t>
      </w:r>
      <w:r w:rsidRPr="0077415D">
        <w:rPr>
          <w:rFonts w:ascii="Arial" w:hAnsi="Arial" w:cs="Arial"/>
          <w:i/>
          <w:iCs/>
          <w:color w:val="000000" w:themeColor="text1"/>
        </w:rPr>
        <w:t xml:space="preserve">Group &amp; </w:t>
      </w:r>
      <w:proofErr w:type="spellStart"/>
      <w:r w:rsidRPr="0077415D">
        <w:rPr>
          <w:rFonts w:ascii="Arial" w:hAnsi="Arial" w:cs="Arial"/>
          <w:i/>
          <w:iCs/>
          <w:color w:val="000000" w:themeColor="text1"/>
        </w:rPr>
        <w:t>Organisation</w:t>
      </w:r>
      <w:proofErr w:type="spellEnd"/>
      <w:r w:rsidRPr="0077415D">
        <w:rPr>
          <w:rFonts w:ascii="Arial" w:hAnsi="Arial" w:cs="Arial"/>
          <w:i/>
          <w:iCs/>
          <w:color w:val="000000" w:themeColor="text1"/>
        </w:rPr>
        <w:t xml:space="preserve"> Management</w:t>
      </w:r>
      <w:r w:rsidRPr="0077415D">
        <w:rPr>
          <w:rFonts w:ascii="Arial" w:hAnsi="Arial" w:cs="Arial"/>
          <w:color w:val="000000" w:themeColor="text1"/>
        </w:rPr>
        <w:t>, p.10596011241254150.</w:t>
      </w:r>
    </w:p>
    <w:p w14:paraId="532C3832" w14:textId="77777777" w:rsidR="00B128F8" w:rsidRPr="0077415D" w:rsidRDefault="00B128F8" w:rsidP="0018296F">
      <w:pPr>
        <w:rPr>
          <w:rFonts w:ascii="Arial" w:hAnsi="Arial" w:cs="Arial"/>
          <w:color w:val="000000" w:themeColor="text1"/>
        </w:rPr>
      </w:pPr>
      <w:r w:rsidRPr="0077415D">
        <w:rPr>
          <w:rFonts w:ascii="Arial" w:hAnsi="Arial" w:cs="Arial"/>
          <w:color w:val="000000" w:themeColor="text1"/>
        </w:rPr>
        <w:t xml:space="preserve">Campbell, S. and </w:t>
      </w:r>
      <w:proofErr w:type="spellStart"/>
      <w:r w:rsidRPr="0077415D">
        <w:rPr>
          <w:rFonts w:ascii="Arial" w:hAnsi="Arial" w:cs="Arial"/>
          <w:color w:val="000000" w:themeColor="text1"/>
        </w:rPr>
        <w:t>Kasztelnik</w:t>
      </w:r>
      <w:proofErr w:type="spellEnd"/>
      <w:r w:rsidRPr="0077415D">
        <w:rPr>
          <w:rFonts w:ascii="Arial" w:hAnsi="Arial" w:cs="Arial"/>
          <w:color w:val="000000" w:themeColor="text1"/>
        </w:rPr>
        <w:t>, K., 2023. TAX AVOIDANCE AS A SOURCE OF FINANCING: USAGE OF PERMANENT VERSUS TEMPORARY CASH TAX SAVINGS. </w:t>
      </w:r>
      <w:r w:rsidRPr="0077415D">
        <w:rPr>
          <w:rFonts w:ascii="Arial" w:hAnsi="Arial" w:cs="Arial"/>
          <w:i/>
          <w:iCs/>
          <w:color w:val="000000" w:themeColor="text1"/>
        </w:rPr>
        <w:t>Journal of Business and Accounting</w:t>
      </w:r>
      <w:r w:rsidRPr="0077415D">
        <w:rPr>
          <w:rFonts w:ascii="Arial" w:hAnsi="Arial" w:cs="Arial"/>
          <w:color w:val="000000" w:themeColor="text1"/>
        </w:rPr>
        <w:t>, </w:t>
      </w:r>
      <w:r w:rsidRPr="0077415D">
        <w:rPr>
          <w:rFonts w:ascii="Arial" w:hAnsi="Arial" w:cs="Arial"/>
          <w:i/>
          <w:iCs/>
          <w:color w:val="000000" w:themeColor="text1"/>
        </w:rPr>
        <w:t>16</w:t>
      </w:r>
      <w:r w:rsidRPr="0077415D">
        <w:rPr>
          <w:rFonts w:ascii="Arial" w:hAnsi="Arial" w:cs="Arial"/>
          <w:color w:val="000000" w:themeColor="text1"/>
        </w:rPr>
        <w:t>(1), pp.96-112.</w:t>
      </w:r>
    </w:p>
    <w:p w14:paraId="6274BA44" w14:textId="77777777" w:rsidR="00B128F8" w:rsidRPr="0077415D" w:rsidRDefault="00B128F8" w:rsidP="0018296F">
      <w:pPr>
        <w:rPr>
          <w:rFonts w:ascii="Arial" w:hAnsi="Arial" w:cs="Arial"/>
          <w:color w:val="000000" w:themeColor="text1"/>
        </w:rPr>
      </w:pPr>
      <w:proofErr w:type="spellStart"/>
      <w:r w:rsidRPr="0077415D">
        <w:rPr>
          <w:rFonts w:ascii="Arial" w:hAnsi="Arial" w:cs="Arial"/>
          <w:color w:val="000000" w:themeColor="text1"/>
        </w:rPr>
        <w:t>Campino</w:t>
      </w:r>
      <w:proofErr w:type="spellEnd"/>
      <w:r w:rsidRPr="0077415D">
        <w:rPr>
          <w:rFonts w:ascii="Arial" w:hAnsi="Arial" w:cs="Arial"/>
          <w:color w:val="000000" w:themeColor="text1"/>
        </w:rPr>
        <w:t>, J. and Rodrigues, B., 2024. From CFOs to crypto: an exploratory study unravelling factors in corporate adoption. </w:t>
      </w:r>
      <w:r w:rsidRPr="0077415D">
        <w:rPr>
          <w:rFonts w:ascii="Arial" w:hAnsi="Arial" w:cs="Arial"/>
          <w:i/>
          <w:iCs/>
          <w:color w:val="000000" w:themeColor="text1"/>
        </w:rPr>
        <w:t>Financial Innovation</w:t>
      </w:r>
      <w:r w:rsidRPr="0077415D">
        <w:rPr>
          <w:rFonts w:ascii="Arial" w:hAnsi="Arial" w:cs="Arial"/>
          <w:color w:val="000000" w:themeColor="text1"/>
        </w:rPr>
        <w:t>, </w:t>
      </w:r>
      <w:r w:rsidRPr="0077415D">
        <w:rPr>
          <w:rFonts w:ascii="Arial" w:hAnsi="Arial" w:cs="Arial"/>
          <w:i/>
          <w:iCs/>
          <w:color w:val="000000" w:themeColor="text1"/>
        </w:rPr>
        <w:t>10</w:t>
      </w:r>
      <w:r w:rsidRPr="0077415D">
        <w:rPr>
          <w:rFonts w:ascii="Arial" w:hAnsi="Arial" w:cs="Arial"/>
          <w:color w:val="000000" w:themeColor="text1"/>
        </w:rPr>
        <w:t>(1), p.141.</w:t>
      </w:r>
    </w:p>
    <w:p w14:paraId="331AB652" w14:textId="77777777" w:rsidR="00B128F8" w:rsidRPr="0077415D" w:rsidRDefault="00B128F8" w:rsidP="0018296F">
      <w:pPr>
        <w:rPr>
          <w:rFonts w:ascii="Arial" w:hAnsi="Arial" w:cs="Arial"/>
          <w:color w:val="000000" w:themeColor="text1"/>
        </w:rPr>
      </w:pPr>
      <w:r w:rsidRPr="0077415D">
        <w:rPr>
          <w:rFonts w:ascii="Arial" w:hAnsi="Arial" w:cs="Arial"/>
          <w:color w:val="000000" w:themeColor="text1"/>
        </w:rPr>
        <w:t xml:space="preserve">De Smet, A., Gast, A., Lavoie, J. and Lurie, M., 2023. New leadership for a new era of thriving </w:t>
      </w:r>
      <w:proofErr w:type="spellStart"/>
      <w:r w:rsidRPr="0077415D">
        <w:rPr>
          <w:rFonts w:ascii="Arial" w:hAnsi="Arial" w:cs="Arial"/>
          <w:color w:val="000000" w:themeColor="text1"/>
        </w:rPr>
        <w:t>organisations</w:t>
      </w:r>
      <w:proofErr w:type="spellEnd"/>
      <w:r w:rsidRPr="0077415D">
        <w:rPr>
          <w:rFonts w:ascii="Arial" w:hAnsi="Arial" w:cs="Arial"/>
          <w:color w:val="000000" w:themeColor="text1"/>
        </w:rPr>
        <w:t>. </w:t>
      </w:r>
      <w:r w:rsidRPr="0077415D">
        <w:rPr>
          <w:rFonts w:ascii="Arial" w:hAnsi="Arial" w:cs="Arial"/>
          <w:i/>
          <w:iCs/>
          <w:color w:val="000000" w:themeColor="text1"/>
        </w:rPr>
        <w:t>McKinsey Quarterly</w:t>
      </w:r>
      <w:r w:rsidRPr="0077415D">
        <w:rPr>
          <w:rFonts w:ascii="Arial" w:hAnsi="Arial" w:cs="Arial"/>
          <w:color w:val="000000" w:themeColor="text1"/>
        </w:rPr>
        <w:t>, pp.2-10.</w:t>
      </w:r>
    </w:p>
    <w:p w14:paraId="22D125AF" w14:textId="77777777" w:rsidR="00B128F8" w:rsidRPr="0077415D" w:rsidRDefault="00B128F8" w:rsidP="0018296F">
      <w:pPr>
        <w:rPr>
          <w:rFonts w:ascii="Arial" w:hAnsi="Arial" w:cs="Arial"/>
          <w:color w:val="000000" w:themeColor="text1"/>
        </w:rPr>
      </w:pPr>
      <w:proofErr w:type="spellStart"/>
      <w:r w:rsidRPr="0077415D">
        <w:rPr>
          <w:rFonts w:ascii="Arial" w:hAnsi="Arial" w:cs="Arial"/>
          <w:color w:val="000000" w:themeColor="text1"/>
        </w:rPr>
        <w:t>Duffour</w:t>
      </w:r>
      <w:proofErr w:type="spellEnd"/>
      <w:r w:rsidRPr="0077415D">
        <w:rPr>
          <w:rFonts w:ascii="Arial" w:hAnsi="Arial" w:cs="Arial"/>
          <w:color w:val="000000" w:themeColor="text1"/>
        </w:rPr>
        <w:t>, N.K.D. and Pattanaik, P., 2025. Environmental Sustainability Audit Analysis to Maintain Operational Excellence. </w:t>
      </w:r>
      <w:r w:rsidRPr="0077415D">
        <w:rPr>
          <w:rFonts w:ascii="Arial" w:hAnsi="Arial" w:cs="Arial"/>
          <w:i/>
          <w:iCs/>
          <w:color w:val="000000" w:themeColor="text1"/>
        </w:rPr>
        <w:t>Green Futures: Navigating the Path to Environmental Resilience</w:t>
      </w:r>
      <w:r w:rsidRPr="0077415D">
        <w:rPr>
          <w:rFonts w:ascii="Arial" w:hAnsi="Arial" w:cs="Arial"/>
          <w:color w:val="000000" w:themeColor="text1"/>
        </w:rPr>
        <w:t>, pp.531-549.</w:t>
      </w:r>
    </w:p>
    <w:p w14:paraId="4C9F5F66" w14:textId="77777777" w:rsidR="00B128F8" w:rsidRPr="0077415D" w:rsidRDefault="00B128F8" w:rsidP="0064373F">
      <w:pPr>
        <w:rPr>
          <w:rFonts w:ascii="Arial" w:hAnsi="Arial" w:cs="Arial"/>
          <w:color w:val="000000" w:themeColor="text1"/>
        </w:rPr>
      </w:pPr>
      <w:r w:rsidRPr="0077415D">
        <w:rPr>
          <w:rFonts w:ascii="Arial" w:hAnsi="Arial" w:cs="Arial"/>
          <w:color w:val="000000" w:themeColor="text1"/>
        </w:rPr>
        <w:t>Islam, R., Haque, Z. and Moutushi, R.H., 2022. Earnings quality and financial flexibility: A moderating role of corporate governance. Cogent Business &amp; Management, 9(1), p.2097620.</w:t>
      </w:r>
    </w:p>
    <w:p w14:paraId="191BA812" w14:textId="77777777" w:rsidR="00B128F8" w:rsidRPr="0077415D" w:rsidRDefault="00B128F8" w:rsidP="0064373F">
      <w:pPr>
        <w:rPr>
          <w:rFonts w:ascii="Arial" w:hAnsi="Arial" w:cs="Arial"/>
          <w:color w:val="000000" w:themeColor="text1"/>
        </w:rPr>
      </w:pPr>
      <w:proofErr w:type="spellStart"/>
      <w:r w:rsidRPr="0077415D">
        <w:rPr>
          <w:rFonts w:ascii="Arial" w:hAnsi="Arial" w:cs="Arial"/>
          <w:color w:val="000000" w:themeColor="text1"/>
        </w:rPr>
        <w:t>Istan</w:t>
      </w:r>
      <w:proofErr w:type="spellEnd"/>
      <w:r w:rsidRPr="0077415D">
        <w:rPr>
          <w:rFonts w:ascii="Arial" w:hAnsi="Arial" w:cs="Arial"/>
          <w:color w:val="000000" w:themeColor="text1"/>
        </w:rPr>
        <w:t xml:space="preserve">, M., 2024. Analysis of the influence of assets structure, earning volatility, and financial flexibility on capital structure and corporate performance in manufacturing sector companies on the IDX. </w:t>
      </w:r>
      <w:proofErr w:type="spellStart"/>
      <w:r w:rsidRPr="0077415D">
        <w:rPr>
          <w:rFonts w:ascii="Arial" w:hAnsi="Arial" w:cs="Arial"/>
          <w:color w:val="000000" w:themeColor="text1"/>
        </w:rPr>
        <w:t>Икономически</w:t>
      </w:r>
      <w:proofErr w:type="spellEnd"/>
      <w:r w:rsidRPr="0077415D">
        <w:rPr>
          <w:rFonts w:ascii="Arial" w:hAnsi="Arial" w:cs="Arial"/>
          <w:color w:val="000000" w:themeColor="text1"/>
        </w:rPr>
        <w:t xml:space="preserve"> </w:t>
      </w:r>
      <w:proofErr w:type="spellStart"/>
      <w:r w:rsidRPr="0077415D">
        <w:rPr>
          <w:rFonts w:ascii="Arial" w:hAnsi="Arial" w:cs="Arial"/>
          <w:color w:val="000000" w:themeColor="text1"/>
        </w:rPr>
        <w:t>изследвания</w:t>
      </w:r>
      <w:proofErr w:type="spellEnd"/>
      <w:r w:rsidRPr="0077415D">
        <w:rPr>
          <w:rFonts w:ascii="Arial" w:hAnsi="Arial" w:cs="Arial"/>
          <w:color w:val="000000" w:themeColor="text1"/>
        </w:rPr>
        <w:t>, (1), pp.49-65.</w:t>
      </w:r>
    </w:p>
    <w:p w14:paraId="550B701D" w14:textId="77777777" w:rsidR="00B128F8" w:rsidRPr="0077415D" w:rsidRDefault="00B128F8" w:rsidP="0018296F">
      <w:pPr>
        <w:rPr>
          <w:rFonts w:ascii="Arial" w:hAnsi="Arial" w:cs="Arial"/>
          <w:color w:val="000000" w:themeColor="text1"/>
        </w:rPr>
      </w:pPr>
      <w:r w:rsidRPr="0077415D">
        <w:rPr>
          <w:rFonts w:ascii="Arial" w:hAnsi="Arial" w:cs="Arial"/>
          <w:color w:val="000000" w:themeColor="text1"/>
        </w:rPr>
        <w:t xml:space="preserve">Kratochvil, R., </w:t>
      </w:r>
      <w:proofErr w:type="spellStart"/>
      <w:r w:rsidRPr="0077415D">
        <w:rPr>
          <w:rFonts w:ascii="Arial" w:hAnsi="Arial" w:cs="Arial"/>
          <w:color w:val="000000" w:themeColor="text1"/>
        </w:rPr>
        <w:t>Gruenauer</w:t>
      </w:r>
      <w:proofErr w:type="spellEnd"/>
      <w:r w:rsidRPr="0077415D">
        <w:rPr>
          <w:rFonts w:ascii="Arial" w:hAnsi="Arial" w:cs="Arial"/>
          <w:color w:val="000000" w:themeColor="text1"/>
        </w:rPr>
        <w:t xml:space="preserve">, J., </w:t>
      </w:r>
      <w:proofErr w:type="spellStart"/>
      <w:r w:rsidRPr="0077415D">
        <w:rPr>
          <w:rFonts w:ascii="Arial" w:hAnsi="Arial" w:cs="Arial"/>
          <w:color w:val="000000" w:themeColor="text1"/>
        </w:rPr>
        <w:t>Friesl</w:t>
      </w:r>
      <w:proofErr w:type="spellEnd"/>
      <w:r w:rsidRPr="0077415D">
        <w:rPr>
          <w:rFonts w:ascii="Arial" w:hAnsi="Arial" w:cs="Arial"/>
          <w:color w:val="000000" w:themeColor="text1"/>
        </w:rPr>
        <w:t xml:space="preserve">, M. and </w:t>
      </w:r>
      <w:proofErr w:type="spellStart"/>
      <w:r w:rsidRPr="0077415D">
        <w:rPr>
          <w:rFonts w:ascii="Arial" w:hAnsi="Arial" w:cs="Arial"/>
          <w:color w:val="000000" w:themeColor="text1"/>
        </w:rPr>
        <w:t>Güttel</w:t>
      </w:r>
      <w:proofErr w:type="spellEnd"/>
      <w:r w:rsidRPr="0077415D">
        <w:rPr>
          <w:rFonts w:ascii="Arial" w:hAnsi="Arial" w:cs="Arial"/>
          <w:color w:val="000000" w:themeColor="text1"/>
        </w:rPr>
        <w:t>, W.H., 2023. Deliberate simple rule creation and use: Activities and challenges. </w:t>
      </w:r>
      <w:r w:rsidRPr="0077415D">
        <w:rPr>
          <w:rFonts w:ascii="Arial" w:hAnsi="Arial" w:cs="Arial"/>
          <w:i/>
          <w:iCs/>
          <w:color w:val="000000" w:themeColor="text1"/>
        </w:rPr>
        <w:t>Long Range Planning</w:t>
      </w:r>
      <w:r w:rsidRPr="0077415D">
        <w:rPr>
          <w:rFonts w:ascii="Arial" w:hAnsi="Arial" w:cs="Arial"/>
          <w:color w:val="000000" w:themeColor="text1"/>
        </w:rPr>
        <w:t>, </w:t>
      </w:r>
      <w:r w:rsidRPr="0077415D">
        <w:rPr>
          <w:rFonts w:ascii="Arial" w:hAnsi="Arial" w:cs="Arial"/>
          <w:i/>
          <w:iCs/>
          <w:color w:val="000000" w:themeColor="text1"/>
        </w:rPr>
        <w:t>56</w:t>
      </w:r>
      <w:r w:rsidRPr="0077415D">
        <w:rPr>
          <w:rFonts w:ascii="Arial" w:hAnsi="Arial" w:cs="Arial"/>
          <w:color w:val="000000" w:themeColor="text1"/>
        </w:rPr>
        <w:t>(1), p.102264.</w:t>
      </w:r>
    </w:p>
    <w:p w14:paraId="32D8DD81" w14:textId="77777777" w:rsidR="00B128F8" w:rsidRPr="0077415D" w:rsidRDefault="00B128F8" w:rsidP="0018296F">
      <w:pPr>
        <w:rPr>
          <w:rFonts w:ascii="Arial" w:hAnsi="Arial" w:cs="Arial"/>
          <w:color w:val="000000" w:themeColor="text1"/>
        </w:rPr>
      </w:pPr>
      <w:r w:rsidRPr="0077415D">
        <w:rPr>
          <w:rFonts w:ascii="Arial" w:hAnsi="Arial" w:cs="Arial"/>
          <w:color w:val="000000" w:themeColor="text1"/>
        </w:rPr>
        <w:lastRenderedPageBreak/>
        <w:t>Kumar, S., 2024. Advancing sustainability: A conceptual review for 21st-century corporates. </w:t>
      </w:r>
      <w:r w:rsidRPr="0077415D">
        <w:rPr>
          <w:rFonts w:ascii="Arial" w:hAnsi="Arial" w:cs="Arial"/>
          <w:i/>
          <w:iCs/>
          <w:color w:val="000000" w:themeColor="text1"/>
        </w:rPr>
        <w:t>International Journal of Economics &amp; Business Administration (IJEBA)</w:t>
      </w:r>
      <w:r w:rsidRPr="0077415D">
        <w:rPr>
          <w:rFonts w:ascii="Arial" w:hAnsi="Arial" w:cs="Arial"/>
          <w:color w:val="000000" w:themeColor="text1"/>
        </w:rPr>
        <w:t>, </w:t>
      </w:r>
      <w:r w:rsidRPr="0077415D">
        <w:rPr>
          <w:rFonts w:ascii="Arial" w:hAnsi="Arial" w:cs="Arial"/>
          <w:i/>
          <w:iCs/>
          <w:color w:val="000000" w:themeColor="text1"/>
        </w:rPr>
        <w:t>12</w:t>
      </w:r>
      <w:r w:rsidRPr="0077415D">
        <w:rPr>
          <w:rFonts w:ascii="Arial" w:hAnsi="Arial" w:cs="Arial"/>
          <w:color w:val="000000" w:themeColor="text1"/>
        </w:rPr>
        <w:t>(2), pp.176-211.</w:t>
      </w:r>
    </w:p>
    <w:p w14:paraId="44B676F4" w14:textId="77777777" w:rsidR="00B128F8" w:rsidRPr="0077415D" w:rsidRDefault="00B128F8" w:rsidP="0064373F">
      <w:pPr>
        <w:rPr>
          <w:rFonts w:ascii="Arial" w:hAnsi="Arial" w:cs="Arial"/>
          <w:color w:val="000000" w:themeColor="text1"/>
        </w:rPr>
      </w:pPr>
      <w:r w:rsidRPr="0077415D">
        <w:rPr>
          <w:rFonts w:ascii="Arial" w:hAnsi="Arial" w:cs="Arial"/>
          <w:color w:val="000000" w:themeColor="text1"/>
        </w:rPr>
        <w:t>Kuzmina, O., 2023. Employment flexibility and capital structure: Evidence from a natural experiment. Management Science, 69(9), pp.4992-5017.</w:t>
      </w:r>
    </w:p>
    <w:p w14:paraId="26FE475C" w14:textId="24330AEB" w:rsidR="00B128F8" w:rsidRPr="0077415D" w:rsidRDefault="00B128F8" w:rsidP="000C1C1D">
      <w:pPr>
        <w:rPr>
          <w:rFonts w:ascii="Arial" w:hAnsi="Arial" w:cs="Arial"/>
          <w:color w:val="000000" w:themeColor="text1"/>
        </w:rPr>
      </w:pPr>
      <w:proofErr w:type="spellStart"/>
      <w:r w:rsidRPr="0077415D">
        <w:rPr>
          <w:rFonts w:ascii="Arial" w:hAnsi="Arial" w:cs="Arial"/>
          <w:color w:val="000000" w:themeColor="text1"/>
        </w:rPr>
        <w:t>Mavlutova</w:t>
      </w:r>
      <w:proofErr w:type="spellEnd"/>
      <w:r w:rsidRPr="0077415D">
        <w:rPr>
          <w:rFonts w:ascii="Arial" w:hAnsi="Arial" w:cs="Arial"/>
          <w:color w:val="000000" w:themeColor="text1"/>
        </w:rPr>
        <w:t xml:space="preserve">, I., Babenko, V., Dykan, V., Prokopenko, N., </w:t>
      </w:r>
      <w:proofErr w:type="spellStart"/>
      <w:r w:rsidRPr="0077415D">
        <w:rPr>
          <w:rFonts w:ascii="Arial" w:hAnsi="Arial" w:cs="Arial"/>
          <w:color w:val="000000" w:themeColor="text1"/>
        </w:rPr>
        <w:t>Kalinichenko</w:t>
      </w:r>
      <w:proofErr w:type="spellEnd"/>
      <w:r w:rsidRPr="0077415D">
        <w:rPr>
          <w:rFonts w:ascii="Arial" w:hAnsi="Arial" w:cs="Arial"/>
          <w:color w:val="000000" w:themeColor="text1"/>
        </w:rPr>
        <w:t xml:space="preserve">, S. and </w:t>
      </w:r>
      <w:proofErr w:type="spellStart"/>
      <w:r w:rsidRPr="0077415D">
        <w:rPr>
          <w:rFonts w:ascii="Arial" w:hAnsi="Arial" w:cs="Arial"/>
          <w:color w:val="000000" w:themeColor="text1"/>
        </w:rPr>
        <w:t>Tokmakova</w:t>
      </w:r>
      <w:proofErr w:type="spellEnd"/>
      <w:r w:rsidRPr="0077415D">
        <w:rPr>
          <w:rFonts w:ascii="Arial" w:hAnsi="Arial" w:cs="Arial"/>
          <w:color w:val="000000" w:themeColor="text1"/>
        </w:rPr>
        <w:t xml:space="preserve">, I., 2021. Business restructuring as a method of </w:t>
      </w:r>
      <w:proofErr w:type="spellStart"/>
      <w:r w:rsidRPr="0077415D">
        <w:rPr>
          <w:rFonts w:ascii="Arial" w:hAnsi="Arial" w:cs="Arial"/>
          <w:color w:val="000000" w:themeColor="text1"/>
        </w:rPr>
        <w:t>strengtening</w:t>
      </w:r>
      <w:proofErr w:type="spellEnd"/>
      <w:r w:rsidRPr="0077415D">
        <w:rPr>
          <w:rFonts w:ascii="Arial" w:hAnsi="Arial" w:cs="Arial"/>
          <w:color w:val="000000" w:themeColor="text1"/>
        </w:rPr>
        <w:t xml:space="preserve"> </w:t>
      </w:r>
      <w:r w:rsidR="00F011E0">
        <w:rPr>
          <w:rFonts w:ascii="Arial" w:hAnsi="Arial" w:cs="Arial"/>
          <w:color w:val="000000" w:themeColor="text1"/>
        </w:rPr>
        <w:t xml:space="preserve">a </w:t>
      </w:r>
      <w:r w:rsidRPr="0077415D">
        <w:rPr>
          <w:rFonts w:ascii="Arial" w:hAnsi="Arial" w:cs="Arial"/>
          <w:color w:val="000000" w:themeColor="text1"/>
        </w:rPr>
        <w:t>company’s financial position. Journal of Optimization in Industrial Engineering, 14(1), pp.129-139.</w:t>
      </w:r>
    </w:p>
    <w:p w14:paraId="04044A4D" w14:textId="77777777" w:rsidR="00B128F8" w:rsidRPr="0077415D" w:rsidRDefault="00B128F8" w:rsidP="0018296F">
      <w:pPr>
        <w:rPr>
          <w:rFonts w:ascii="Arial" w:hAnsi="Arial" w:cs="Arial"/>
          <w:color w:val="000000" w:themeColor="text1"/>
        </w:rPr>
      </w:pPr>
      <w:proofErr w:type="spellStart"/>
      <w:r w:rsidRPr="0077415D">
        <w:rPr>
          <w:rFonts w:ascii="Arial" w:hAnsi="Arial" w:cs="Arial"/>
          <w:color w:val="000000" w:themeColor="text1"/>
        </w:rPr>
        <w:t>Mpete</w:t>
      </w:r>
      <w:proofErr w:type="spellEnd"/>
      <w:r w:rsidRPr="0077415D">
        <w:rPr>
          <w:rFonts w:ascii="Arial" w:hAnsi="Arial" w:cs="Arial"/>
          <w:color w:val="000000" w:themeColor="text1"/>
        </w:rPr>
        <w:t>, M. and Maier, C., 2024. Challenges faced by CEOs in executing turnaround strategies in state-owned enterprises in South Africa. </w:t>
      </w:r>
      <w:r w:rsidRPr="0077415D">
        <w:rPr>
          <w:rFonts w:ascii="Arial" w:hAnsi="Arial" w:cs="Arial"/>
          <w:i/>
          <w:iCs/>
          <w:color w:val="000000" w:themeColor="text1"/>
        </w:rPr>
        <w:t>South African Journal of Business Management</w:t>
      </w:r>
      <w:r w:rsidRPr="0077415D">
        <w:rPr>
          <w:rFonts w:ascii="Arial" w:hAnsi="Arial" w:cs="Arial"/>
          <w:color w:val="000000" w:themeColor="text1"/>
        </w:rPr>
        <w:t>, </w:t>
      </w:r>
      <w:r w:rsidRPr="0077415D">
        <w:rPr>
          <w:rFonts w:ascii="Arial" w:hAnsi="Arial" w:cs="Arial"/>
          <w:i/>
          <w:iCs/>
          <w:color w:val="000000" w:themeColor="text1"/>
        </w:rPr>
        <w:t>55</w:t>
      </w:r>
      <w:r w:rsidRPr="0077415D">
        <w:rPr>
          <w:rFonts w:ascii="Arial" w:hAnsi="Arial" w:cs="Arial"/>
          <w:color w:val="000000" w:themeColor="text1"/>
        </w:rPr>
        <w:t>(1), p.4220.</w:t>
      </w:r>
    </w:p>
    <w:p w14:paraId="33A31017" w14:textId="77777777" w:rsidR="00B128F8" w:rsidRPr="0077415D" w:rsidRDefault="00B128F8" w:rsidP="0018296F">
      <w:pPr>
        <w:rPr>
          <w:rFonts w:ascii="Arial" w:hAnsi="Arial" w:cs="Arial"/>
          <w:color w:val="000000" w:themeColor="text1"/>
        </w:rPr>
      </w:pPr>
      <w:proofErr w:type="spellStart"/>
      <w:r w:rsidRPr="0077415D">
        <w:rPr>
          <w:rFonts w:ascii="Arial" w:hAnsi="Arial" w:cs="Arial"/>
          <w:color w:val="000000" w:themeColor="text1"/>
        </w:rPr>
        <w:t>Muojekwu</w:t>
      </w:r>
      <w:proofErr w:type="spellEnd"/>
      <w:r w:rsidRPr="0077415D">
        <w:rPr>
          <w:rFonts w:ascii="Arial" w:hAnsi="Arial" w:cs="Arial"/>
          <w:color w:val="000000" w:themeColor="text1"/>
        </w:rPr>
        <w:t>, H.O., Ochuka, C.E. and Nworie, G.O., 2025. Value Creation in Nigerian Listed Consumer Goods Firms through Entrepreneurial Cash Management. </w:t>
      </w:r>
      <w:r w:rsidRPr="0077415D">
        <w:rPr>
          <w:rFonts w:ascii="Arial" w:hAnsi="Arial" w:cs="Arial"/>
          <w:i/>
          <w:iCs/>
          <w:color w:val="000000" w:themeColor="text1"/>
        </w:rPr>
        <w:t>Quantitative Economics and Management Studies</w:t>
      </w:r>
      <w:r w:rsidRPr="0077415D">
        <w:rPr>
          <w:rFonts w:ascii="Arial" w:hAnsi="Arial" w:cs="Arial"/>
          <w:color w:val="000000" w:themeColor="text1"/>
        </w:rPr>
        <w:t>, </w:t>
      </w:r>
      <w:r w:rsidRPr="0077415D">
        <w:rPr>
          <w:rFonts w:ascii="Arial" w:hAnsi="Arial" w:cs="Arial"/>
          <w:i/>
          <w:iCs/>
          <w:color w:val="000000" w:themeColor="text1"/>
        </w:rPr>
        <w:t>6</w:t>
      </w:r>
      <w:r w:rsidRPr="0077415D">
        <w:rPr>
          <w:rFonts w:ascii="Arial" w:hAnsi="Arial" w:cs="Arial"/>
          <w:color w:val="000000" w:themeColor="text1"/>
        </w:rPr>
        <w:t>(3), pp.350-361.</w:t>
      </w:r>
    </w:p>
    <w:p w14:paraId="11AD0AF7" w14:textId="77777777" w:rsidR="00B128F8" w:rsidRPr="0077415D" w:rsidRDefault="00B128F8" w:rsidP="0064373F">
      <w:pPr>
        <w:rPr>
          <w:rFonts w:ascii="Arial" w:hAnsi="Arial" w:cs="Arial"/>
          <w:color w:val="000000" w:themeColor="text1"/>
        </w:rPr>
      </w:pPr>
      <w:r w:rsidRPr="0077415D">
        <w:rPr>
          <w:rFonts w:ascii="Arial" w:hAnsi="Arial" w:cs="Arial"/>
          <w:color w:val="000000" w:themeColor="text1"/>
        </w:rPr>
        <w:t xml:space="preserve">Nguyen, Q.K., 2024. How does financial flexibility strategy impact on risk management </w:t>
      </w:r>
      <w:proofErr w:type="gramStart"/>
      <w:r w:rsidRPr="0077415D">
        <w:rPr>
          <w:rFonts w:ascii="Arial" w:hAnsi="Arial" w:cs="Arial"/>
          <w:color w:val="000000" w:themeColor="text1"/>
        </w:rPr>
        <w:t>effectiveness?.</w:t>
      </w:r>
      <w:proofErr w:type="gramEnd"/>
      <w:r w:rsidRPr="0077415D">
        <w:rPr>
          <w:rFonts w:ascii="Arial" w:hAnsi="Arial" w:cs="Arial"/>
          <w:color w:val="000000" w:themeColor="text1"/>
        </w:rPr>
        <w:t xml:space="preserve"> Sage Open, 14(2), p.21582440241240842.</w:t>
      </w:r>
    </w:p>
    <w:p w14:paraId="368A5995" w14:textId="77777777" w:rsidR="00B128F8" w:rsidRPr="0077415D" w:rsidRDefault="00B128F8" w:rsidP="000C1C1D">
      <w:pPr>
        <w:rPr>
          <w:rFonts w:ascii="Arial" w:hAnsi="Arial" w:cs="Arial"/>
          <w:color w:val="000000" w:themeColor="text1"/>
        </w:rPr>
      </w:pPr>
      <w:proofErr w:type="spellStart"/>
      <w:r w:rsidRPr="0077415D">
        <w:rPr>
          <w:rFonts w:ascii="Arial" w:hAnsi="Arial" w:cs="Arial"/>
          <w:color w:val="000000" w:themeColor="text1"/>
        </w:rPr>
        <w:t>Oyeyipo</w:t>
      </w:r>
      <w:proofErr w:type="spellEnd"/>
      <w:r w:rsidRPr="0077415D">
        <w:rPr>
          <w:rFonts w:ascii="Arial" w:hAnsi="Arial" w:cs="Arial"/>
          <w:color w:val="000000" w:themeColor="text1"/>
        </w:rPr>
        <w:t xml:space="preserve">, I., Attipoe, V., Mayienga, B.A., </w:t>
      </w:r>
      <w:proofErr w:type="spellStart"/>
      <w:r w:rsidRPr="0077415D">
        <w:rPr>
          <w:rFonts w:ascii="Arial" w:hAnsi="Arial" w:cs="Arial"/>
          <w:color w:val="000000" w:themeColor="text1"/>
        </w:rPr>
        <w:t>Onwuzulike</w:t>
      </w:r>
      <w:proofErr w:type="spellEnd"/>
      <w:r w:rsidRPr="0077415D">
        <w:rPr>
          <w:rFonts w:ascii="Arial" w:hAnsi="Arial" w:cs="Arial"/>
          <w:color w:val="000000" w:themeColor="text1"/>
        </w:rPr>
        <w:t xml:space="preserve">, O.C., Ayodeji, D.C., </w:t>
      </w:r>
      <w:proofErr w:type="spellStart"/>
      <w:r w:rsidRPr="0077415D">
        <w:rPr>
          <w:rFonts w:ascii="Arial" w:hAnsi="Arial" w:cs="Arial"/>
          <w:color w:val="000000" w:themeColor="text1"/>
        </w:rPr>
        <w:t>Nwaozomudoh</w:t>
      </w:r>
      <w:proofErr w:type="spellEnd"/>
      <w:r w:rsidRPr="0077415D">
        <w:rPr>
          <w:rFonts w:ascii="Arial" w:hAnsi="Arial" w:cs="Arial"/>
          <w:color w:val="000000" w:themeColor="text1"/>
        </w:rPr>
        <w:t>, M.O., Isibor, N.J. and Ahmadu, J., 2023. A conceptual framework for transforming corporate finance through strategic growth, profitability, and risk optimization. International Journal of Advanced Multidisciplinary Research and Studies, 3(5), pp.1527-1538.</w:t>
      </w:r>
    </w:p>
    <w:p w14:paraId="749B7747" w14:textId="77777777" w:rsidR="00B128F8" w:rsidRPr="0077415D" w:rsidRDefault="00B128F8" w:rsidP="0018296F">
      <w:pPr>
        <w:rPr>
          <w:rFonts w:ascii="Arial" w:hAnsi="Arial" w:cs="Arial"/>
          <w:color w:val="000000" w:themeColor="text1"/>
        </w:rPr>
      </w:pPr>
      <w:r w:rsidRPr="0077415D">
        <w:rPr>
          <w:rFonts w:ascii="Arial" w:hAnsi="Arial" w:cs="Arial"/>
          <w:color w:val="000000" w:themeColor="text1"/>
        </w:rPr>
        <w:t>Panchal, S.S., Ansari, I., Azim, K.S., Bhujel, K. and Ahirrao, Y.S., 2025. Cyber Risk and Business Resilience: A Financial Perspective on IT Security Investment Decisions. </w:t>
      </w:r>
      <w:r w:rsidRPr="0077415D">
        <w:rPr>
          <w:rFonts w:ascii="Arial" w:hAnsi="Arial" w:cs="Arial"/>
          <w:i/>
          <w:iCs/>
          <w:color w:val="000000" w:themeColor="text1"/>
        </w:rPr>
        <w:t>Emerging Frontiers Library for The American Journal of Engineering and Technology</w:t>
      </w:r>
      <w:r w:rsidRPr="0077415D">
        <w:rPr>
          <w:rFonts w:ascii="Arial" w:hAnsi="Arial" w:cs="Arial"/>
          <w:color w:val="000000" w:themeColor="text1"/>
        </w:rPr>
        <w:t>, </w:t>
      </w:r>
      <w:r w:rsidRPr="0077415D">
        <w:rPr>
          <w:rFonts w:ascii="Arial" w:hAnsi="Arial" w:cs="Arial"/>
          <w:i/>
          <w:iCs/>
          <w:color w:val="000000" w:themeColor="text1"/>
        </w:rPr>
        <w:t>7</w:t>
      </w:r>
      <w:r w:rsidRPr="0077415D">
        <w:rPr>
          <w:rFonts w:ascii="Arial" w:hAnsi="Arial" w:cs="Arial"/>
          <w:color w:val="000000" w:themeColor="text1"/>
        </w:rPr>
        <w:t>(09), pp.23-48.</w:t>
      </w:r>
    </w:p>
    <w:p w14:paraId="0B3BC9F2" w14:textId="6B829B1A" w:rsidR="00B128F8" w:rsidRPr="0077415D" w:rsidRDefault="00B128F8" w:rsidP="0064373F">
      <w:pPr>
        <w:rPr>
          <w:rFonts w:ascii="Arial" w:hAnsi="Arial" w:cs="Arial"/>
          <w:color w:val="000000" w:themeColor="text1"/>
        </w:rPr>
      </w:pPr>
      <w:r w:rsidRPr="0077415D">
        <w:rPr>
          <w:rFonts w:ascii="Arial" w:hAnsi="Arial" w:cs="Arial"/>
          <w:color w:val="000000" w:themeColor="text1"/>
        </w:rPr>
        <w:t xml:space="preserve">Putri, R.L. and Willim, A.P., 2024. Analysis of the effect of </w:t>
      </w:r>
      <w:r w:rsidR="00F011E0">
        <w:rPr>
          <w:rFonts w:ascii="Arial" w:hAnsi="Arial" w:cs="Arial"/>
          <w:color w:val="000000" w:themeColor="text1"/>
        </w:rPr>
        <w:t>asset</w:t>
      </w:r>
      <w:r w:rsidRPr="0077415D">
        <w:rPr>
          <w:rFonts w:ascii="Arial" w:hAnsi="Arial" w:cs="Arial"/>
          <w:color w:val="000000" w:themeColor="text1"/>
        </w:rPr>
        <w:t xml:space="preserve"> structure, </w:t>
      </w:r>
      <w:r w:rsidR="00F011E0">
        <w:rPr>
          <w:rFonts w:ascii="Arial" w:hAnsi="Arial" w:cs="Arial"/>
          <w:color w:val="000000" w:themeColor="text1"/>
        </w:rPr>
        <w:t>earnings</w:t>
      </w:r>
      <w:r w:rsidRPr="0077415D">
        <w:rPr>
          <w:rFonts w:ascii="Arial" w:hAnsi="Arial" w:cs="Arial"/>
          <w:color w:val="000000" w:themeColor="text1"/>
        </w:rPr>
        <w:t xml:space="preserve"> volatility and financial flexibility on capital structure in consumer goods industry sector </w:t>
      </w:r>
      <w:r w:rsidRPr="0077415D">
        <w:rPr>
          <w:rFonts w:ascii="Arial" w:hAnsi="Arial" w:cs="Arial"/>
          <w:color w:val="000000" w:themeColor="text1"/>
        </w:rPr>
        <w:lastRenderedPageBreak/>
        <w:t>companies on the Indonesia stock exchange. LBS Journal of Management &amp; Research, 22(1), pp.25-36.</w:t>
      </w:r>
    </w:p>
    <w:p w14:paraId="0FBEF2CD" w14:textId="77777777" w:rsidR="00B128F8" w:rsidRPr="0077415D" w:rsidRDefault="00B128F8" w:rsidP="0018296F">
      <w:pPr>
        <w:rPr>
          <w:rFonts w:ascii="Arial" w:hAnsi="Arial" w:cs="Arial"/>
          <w:color w:val="000000" w:themeColor="text1"/>
        </w:rPr>
      </w:pPr>
      <w:r w:rsidRPr="0077415D">
        <w:rPr>
          <w:rFonts w:ascii="Arial" w:hAnsi="Arial" w:cs="Arial"/>
          <w:color w:val="000000" w:themeColor="text1"/>
        </w:rPr>
        <w:t xml:space="preserve">Rafid, M., </w:t>
      </w:r>
      <w:proofErr w:type="spellStart"/>
      <w:r w:rsidRPr="0077415D">
        <w:rPr>
          <w:rFonts w:ascii="Arial" w:hAnsi="Arial" w:cs="Arial"/>
          <w:color w:val="000000" w:themeColor="text1"/>
        </w:rPr>
        <w:t>Soukotta</w:t>
      </w:r>
      <w:proofErr w:type="spellEnd"/>
      <w:r w:rsidRPr="0077415D">
        <w:rPr>
          <w:rFonts w:ascii="Arial" w:hAnsi="Arial" w:cs="Arial"/>
          <w:color w:val="000000" w:themeColor="text1"/>
        </w:rPr>
        <w:t xml:space="preserve">, A., </w:t>
      </w:r>
      <w:proofErr w:type="spellStart"/>
      <w:r w:rsidRPr="0077415D">
        <w:rPr>
          <w:rFonts w:ascii="Arial" w:hAnsi="Arial" w:cs="Arial"/>
          <w:color w:val="000000" w:themeColor="text1"/>
        </w:rPr>
        <w:t>Cakranegara</w:t>
      </w:r>
      <w:proofErr w:type="spellEnd"/>
      <w:r w:rsidRPr="0077415D">
        <w:rPr>
          <w:rFonts w:ascii="Arial" w:hAnsi="Arial" w:cs="Arial"/>
          <w:color w:val="000000" w:themeColor="text1"/>
        </w:rPr>
        <w:t xml:space="preserve">, P.A., </w:t>
      </w:r>
      <w:proofErr w:type="spellStart"/>
      <w:r w:rsidRPr="0077415D">
        <w:rPr>
          <w:rFonts w:ascii="Arial" w:hAnsi="Arial" w:cs="Arial"/>
          <w:color w:val="000000" w:themeColor="text1"/>
        </w:rPr>
        <w:t>Sutiyan</w:t>
      </w:r>
      <w:proofErr w:type="spellEnd"/>
      <w:r w:rsidRPr="0077415D">
        <w:rPr>
          <w:rFonts w:ascii="Arial" w:hAnsi="Arial" w:cs="Arial"/>
          <w:color w:val="000000" w:themeColor="text1"/>
        </w:rPr>
        <w:t xml:space="preserve">, O.S.J. and </w:t>
      </w:r>
      <w:proofErr w:type="spellStart"/>
      <w:r w:rsidRPr="0077415D">
        <w:rPr>
          <w:rFonts w:ascii="Arial" w:hAnsi="Arial" w:cs="Arial"/>
          <w:color w:val="000000" w:themeColor="text1"/>
        </w:rPr>
        <w:t>Nurriqli</w:t>
      </w:r>
      <w:proofErr w:type="spellEnd"/>
      <w:r w:rsidRPr="0077415D">
        <w:rPr>
          <w:rFonts w:ascii="Arial" w:hAnsi="Arial" w:cs="Arial"/>
          <w:color w:val="000000" w:themeColor="text1"/>
        </w:rPr>
        <w:t>, A., 2024. Analysis of Liquidity Ratios, Profitability Ratios, and Capital Structures on Financial Distress Conditions in Service Companies during the Covid-19 Period. </w:t>
      </w:r>
      <w:proofErr w:type="spellStart"/>
      <w:r w:rsidRPr="0077415D">
        <w:rPr>
          <w:rFonts w:ascii="Arial" w:hAnsi="Arial" w:cs="Arial"/>
          <w:i/>
          <w:iCs/>
          <w:color w:val="000000" w:themeColor="text1"/>
        </w:rPr>
        <w:t>Jurnal</w:t>
      </w:r>
      <w:proofErr w:type="spellEnd"/>
      <w:r w:rsidRPr="0077415D">
        <w:rPr>
          <w:rFonts w:ascii="Arial" w:hAnsi="Arial" w:cs="Arial"/>
          <w:i/>
          <w:iCs/>
          <w:color w:val="000000" w:themeColor="text1"/>
        </w:rPr>
        <w:t xml:space="preserve"> Darma Agung</w:t>
      </w:r>
      <w:r w:rsidRPr="0077415D">
        <w:rPr>
          <w:rFonts w:ascii="Arial" w:hAnsi="Arial" w:cs="Arial"/>
          <w:color w:val="000000" w:themeColor="text1"/>
        </w:rPr>
        <w:t>, </w:t>
      </w:r>
      <w:r w:rsidRPr="0077415D">
        <w:rPr>
          <w:rFonts w:ascii="Arial" w:hAnsi="Arial" w:cs="Arial"/>
          <w:i/>
          <w:iCs/>
          <w:color w:val="000000" w:themeColor="text1"/>
        </w:rPr>
        <w:t>30</w:t>
      </w:r>
      <w:r w:rsidRPr="0077415D">
        <w:rPr>
          <w:rFonts w:ascii="Arial" w:hAnsi="Arial" w:cs="Arial"/>
          <w:color w:val="000000" w:themeColor="text1"/>
        </w:rPr>
        <w:t>(3), pp.614-622.</w:t>
      </w:r>
    </w:p>
    <w:p w14:paraId="2B756A8E" w14:textId="77777777" w:rsidR="00B128F8" w:rsidRPr="0077415D" w:rsidRDefault="00B128F8" w:rsidP="0064373F">
      <w:pPr>
        <w:rPr>
          <w:rFonts w:ascii="Arial" w:hAnsi="Arial" w:cs="Arial"/>
          <w:color w:val="000000" w:themeColor="text1"/>
        </w:rPr>
      </w:pPr>
      <w:r w:rsidRPr="0077415D">
        <w:rPr>
          <w:rFonts w:ascii="Arial" w:hAnsi="Arial" w:cs="Arial"/>
          <w:color w:val="000000" w:themeColor="text1"/>
        </w:rPr>
        <w:t xml:space="preserve">Ramadhan, S.A., 2024. Exploration of the Impact of Profitability and Debt Policy on Company Value. KINERJA: </w:t>
      </w:r>
      <w:proofErr w:type="spellStart"/>
      <w:r w:rsidRPr="0077415D">
        <w:rPr>
          <w:rFonts w:ascii="Arial" w:hAnsi="Arial" w:cs="Arial"/>
          <w:color w:val="000000" w:themeColor="text1"/>
        </w:rPr>
        <w:t>Jurnal</w:t>
      </w:r>
      <w:proofErr w:type="spellEnd"/>
      <w:r w:rsidRPr="0077415D">
        <w:rPr>
          <w:rFonts w:ascii="Arial" w:hAnsi="Arial" w:cs="Arial"/>
          <w:color w:val="000000" w:themeColor="text1"/>
        </w:rPr>
        <w:t xml:space="preserve"> </w:t>
      </w:r>
      <w:proofErr w:type="spellStart"/>
      <w:r w:rsidRPr="0077415D">
        <w:rPr>
          <w:rFonts w:ascii="Arial" w:hAnsi="Arial" w:cs="Arial"/>
          <w:color w:val="000000" w:themeColor="text1"/>
        </w:rPr>
        <w:t>Manajemen</w:t>
      </w:r>
      <w:proofErr w:type="spellEnd"/>
      <w:r w:rsidRPr="0077415D">
        <w:rPr>
          <w:rFonts w:ascii="Arial" w:hAnsi="Arial" w:cs="Arial"/>
          <w:color w:val="000000" w:themeColor="text1"/>
        </w:rPr>
        <w:t xml:space="preserve"> </w:t>
      </w:r>
      <w:proofErr w:type="spellStart"/>
      <w:r w:rsidRPr="0077415D">
        <w:rPr>
          <w:rFonts w:ascii="Arial" w:hAnsi="Arial" w:cs="Arial"/>
          <w:color w:val="000000" w:themeColor="text1"/>
        </w:rPr>
        <w:t>Organisasi</w:t>
      </w:r>
      <w:proofErr w:type="spellEnd"/>
      <w:r w:rsidRPr="0077415D">
        <w:rPr>
          <w:rFonts w:ascii="Arial" w:hAnsi="Arial" w:cs="Arial"/>
          <w:color w:val="000000" w:themeColor="text1"/>
        </w:rPr>
        <w:t xml:space="preserve"> dan Industri, 3(2), pp.212-220.</w:t>
      </w:r>
    </w:p>
    <w:p w14:paraId="52859962" w14:textId="77777777" w:rsidR="00B128F8" w:rsidRPr="0077415D" w:rsidRDefault="00B128F8" w:rsidP="0018296F">
      <w:pPr>
        <w:rPr>
          <w:rFonts w:ascii="Arial" w:hAnsi="Arial" w:cs="Arial"/>
          <w:color w:val="000000" w:themeColor="text1"/>
        </w:rPr>
      </w:pPr>
      <w:r w:rsidRPr="0077415D">
        <w:rPr>
          <w:rFonts w:ascii="Arial" w:hAnsi="Arial" w:cs="Arial"/>
          <w:color w:val="000000" w:themeColor="text1"/>
        </w:rPr>
        <w:t>Rashid, C.A., 2021. The efficiency of financial ratios analysis to evaluate company’s profitability. Journal of Global Economics and Business, 2(4), pp.119-132.</w:t>
      </w:r>
    </w:p>
    <w:p w14:paraId="6A5A2F99" w14:textId="77777777" w:rsidR="00B128F8" w:rsidRPr="0077415D" w:rsidRDefault="00B128F8" w:rsidP="0064373F">
      <w:pPr>
        <w:rPr>
          <w:rFonts w:ascii="Arial" w:hAnsi="Arial" w:cs="Arial"/>
          <w:color w:val="000000" w:themeColor="text1"/>
        </w:rPr>
      </w:pPr>
      <w:proofErr w:type="spellStart"/>
      <w:r w:rsidRPr="0077415D">
        <w:rPr>
          <w:rFonts w:ascii="Arial" w:hAnsi="Arial" w:cs="Arial"/>
          <w:color w:val="000000" w:themeColor="text1"/>
        </w:rPr>
        <w:t>Ritchken</w:t>
      </w:r>
      <w:proofErr w:type="spellEnd"/>
      <w:r w:rsidRPr="0077415D">
        <w:rPr>
          <w:rFonts w:ascii="Arial" w:hAnsi="Arial" w:cs="Arial"/>
          <w:color w:val="000000" w:themeColor="text1"/>
        </w:rPr>
        <w:t>, P. and Wu, Q., 2021. Capacity investment, production flexibility, and capital structure. Production and Operations Management, 30(12), pp.4593-4613.</w:t>
      </w:r>
    </w:p>
    <w:p w14:paraId="20E0E91C" w14:textId="77777777" w:rsidR="00B128F8" w:rsidRPr="0077415D" w:rsidRDefault="00B128F8" w:rsidP="0018296F">
      <w:pPr>
        <w:rPr>
          <w:rFonts w:ascii="Arial" w:hAnsi="Arial" w:cs="Arial"/>
          <w:color w:val="000000" w:themeColor="text1"/>
        </w:rPr>
      </w:pPr>
      <w:r w:rsidRPr="0077415D">
        <w:rPr>
          <w:rFonts w:ascii="Arial" w:hAnsi="Arial" w:cs="Arial"/>
          <w:color w:val="000000" w:themeColor="text1"/>
        </w:rPr>
        <w:t>Sivaraju, P.S., 2024. Driving Operational Excellence Via Multi-Market Network Externalization: A Quantitative Framework for Optimizing Availability, Security, And Total Cost in Distributed Systems. </w:t>
      </w:r>
      <w:r w:rsidRPr="0077415D">
        <w:rPr>
          <w:rFonts w:ascii="Arial" w:hAnsi="Arial" w:cs="Arial"/>
          <w:i/>
          <w:iCs/>
          <w:color w:val="000000" w:themeColor="text1"/>
        </w:rPr>
        <w:t>International Journal of Research and Applied Innovations</w:t>
      </w:r>
      <w:r w:rsidRPr="0077415D">
        <w:rPr>
          <w:rFonts w:ascii="Arial" w:hAnsi="Arial" w:cs="Arial"/>
          <w:color w:val="000000" w:themeColor="text1"/>
        </w:rPr>
        <w:t>, </w:t>
      </w:r>
      <w:r w:rsidRPr="0077415D">
        <w:rPr>
          <w:rFonts w:ascii="Arial" w:hAnsi="Arial" w:cs="Arial"/>
          <w:i/>
          <w:iCs/>
          <w:color w:val="000000" w:themeColor="text1"/>
        </w:rPr>
        <w:t>7</w:t>
      </w:r>
      <w:r w:rsidRPr="0077415D">
        <w:rPr>
          <w:rFonts w:ascii="Arial" w:hAnsi="Arial" w:cs="Arial"/>
          <w:color w:val="000000" w:themeColor="text1"/>
        </w:rPr>
        <w:t>(5), pp.11349-11365.</w:t>
      </w:r>
    </w:p>
    <w:p w14:paraId="6F5B998E" w14:textId="77777777" w:rsidR="00B128F8" w:rsidRPr="0077415D" w:rsidRDefault="00B128F8" w:rsidP="0018296F">
      <w:pPr>
        <w:rPr>
          <w:rFonts w:ascii="Arial" w:hAnsi="Arial" w:cs="Arial"/>
          <w:color w:val="000000" w:themeColor="text1"/>
        </w:rPr>
      </w:pPr>
      <w:r w:rsidRPr="0077415D">
        <w:rPr>
          <w:rFonts w:ascii="Arial" w:hAnsi="Arial" w:cs="Arial"/>
          <w:color w:val="000000" w:themeColor="text1"/>
        </w:rPr>
        <w:t>Sivaraju, P.S., 2024. Driving Operational Excellence Via Multi-Market Network Externalization: A Quantitative Framework for Optimizing Availability, Security, And Total Cost in Distributed Systems. </w:t>
      </w:r>
      <w:r w:rsidRPr="0077415D">
        <w:rPr>
          <w:rFonts w:ascii="Arial" w:hAnsi="Arial" w:cs="Arial"/>
          <w:i/>
          <w:iCs/>
          <w:color w:val="000000" w:themeColor="text1"/>
        </w:rPr>
        <w:t>International Journal of Research and Applied Innovations</w:t>
      </w:r>
      <w:r w:rsidRPr="0077415D">
        <w:rPr>
          <w:rFonts w:ascii="Arial" w:hAnsi="Arial" w:cs="Arial"/>
          <w:color w:val="000000" w:themeColor="text1"/>
        </w:rPr>
        <w:t>, </w:t>
      </w:r>
      <w:r w:rsidRPr="0077415D">
        <w:rPr>
          <w:rFonts w:ascii="Arial" w:hAnsi="Arial" w:cs="Arial"/>
          <w:i/>
          <w:iCs/>
          <w:color w:val="000000" w:themeColor="text1"/>
        </w:rPr>
        <w:t>7</w:t>
      </w:r>
      <w:r w:rsidRPr="0077415D">
        <w:rPr>
          <w:rFonts w:ascii="Arial" w:hAnsi="Arial" w:cs="Arial"/>
          <w:color w:val="000000" w:themeColor="text1"/>
        </w:rPr>
        <w:t>(5), pp.11349-11365.</w:t>
      </w:r>
    </w:p>
    <w:p w14:paraId="281EDA3E" w14:textId="77777777" w:rsidR="00B128F8" w:rsidRPr="0077415D" w:rsidRDefault="00B128F8" w:rsidP="000C1C1D">
      <w:pPr>
        <w:rPr>
          <w:rFonts w:ascii="Arial" w:hAnsi="Arial" w:cs="Arial"/>
          <w:color w:val="000000" w:themeColor="text1"/>
        </w:rPr>
      </w:pPr>
      <w:proofErr w:type="spellStart"/>
      <w:r w:rsidRPr="0077415D">
        <w:rPr>
          <w:rFonts w:ascii="Arial" w:hAnsi="Arial" w:cs="Arial"/>
          <w:color w:val="000000" w:themeColor="text1"/>
        </w:rPr>
        <w:t>Sudacevschi</w:t>
      </w:r>
      <w:proofErr w:type="spellEnd"/>
      <w:r w:rsidRPr="0077415D">
        <w:rPr>
          <w:rFonts w:ascii="Arial" w:hAnsi="Arial" w:cs="Arial"/>
          <w:color w:val="000000" w:themeColor="text1"/>
        </w:rPr>
        <w:t>, M. and Stefan Duicu, V.M., 2024. Financial Performance Analysis of The Company Through Profitability Ratios. Challenges of the Knowledge Society, 17(2068-7796).</w:t>
      </w:r>
    </w:p>
    <w:p w14:paraId="42A74787" w14:textId="77777777" w:rsidR="00B128F8" w:rsidRPr="0077415D" w:rsidRDefault="00B128F8" w:rsidP="0018296F">
      <w:pPr>
        <w:rPr>
          <w:rFonts w:ascii="Arial" w:hAnsi="Arial" w:cs="Arial"/>
          <w:color w:val="000000" w:themeColor="text1"/>
        </w:rPr>
      </w:pPr>
      <w:r w:rsidRPr="0077415D">
        <w:rPr>
          <w:rFonts w:ascii="Arial" w:hAnsi="Arial" w:cs="Arial"/>
          <w:color w:val="000000" w:themeColor="text1"/>
        </w:rPr>
        <w:t>Teece, D.J., 2022. A wider</w:t>
      </w:r>
      <w:r w:rsidRPr="0077415D">
        <w:rPr>
          <w:rFonts w:ascii="Cambria Math" w:hAnsi="Cambria Math" w:cs="Cambria Math"/>
          <w:color w:val="000000" w:themeColor="text1"/>
        </w:rPr>
        <w:t>‐</w:t>
      </w:r>
      <w:r w:rsidRPr="0077415D">
        <w:rPr>
          <w:rFonts w:ascii="Arial" w:hAnsi="Arial" w:cs="Arial"/>
          <w:color w:val="000000" w:themeColor="text1"/>
        </w:rPr>
        <w:t>aperture lens for global strategic management: The multinational enterprise in a bifurcated global economy. </w:t>
      </w:r>
      <w:r w:rsidRPr="0077415D">
        <w:rPr>
          <w:rFonts w:ascii="Arial" w:hAnsi="Arial" w:cs="Arial"/>
          <w:i/>
          <w:iCs/>
          <w:color w:val="000000" w:themeColor="text1"/>
        </w:rPr>
        <w:t>Global Strategy Journal</w:t>
      </w:r>
      <w:r w:rsidRPr="0077415D">
        <w:rPr>
          <w:rFonts w:ascii="Arial" w:hAnsi="Arial" w:cs="Arial"/>
          <w:color w:val="000000" w:themeColor="text1"/>
        </w:rPr>
        <w:t>, </w:t>
      </w:r>
      <w:r w:rsidRPr="0077415D">
        <w:rPr>
          <w:rFonts w:ascii="Arial" w:hAnsi="Arial" w:cs="Arial"/>
          <w:i/>
          <w:iCs/>
          <w:color w:val="000000" w:themeColor="text1"/>
        </w:rPr>
        <w:t>12</w:t>
      </w:r>
      <w:r w:rsidRPr="0077415D">
        <w:rPr>
          <w:rFonts w:ascii="Arial" w:hAnsi="Arial" w:cs="Arial"/>
          <w:color w:val="000000" w:themeColor="text1"/>
        </w:rPr>
        <w:t>(3), pp.488-519.</w:t>
      </w:r>
    </w:p>
    <w:p w14:paraId="266FD911" w14:textId="77777777" w:rsidR="00B128F8" w:rsidRPr="0077415D" w:rsidRDefault="00B128F8" w:rsidP="0018296F">
      <w:pPr>
        <w:rPr>
          <w:rFonts w:ascii="Arial" w:hAnsi="Arial" w:cs="Arial"/>
          <w:color w:val="000000" w:themeColor="text1"/>
        </w:rPr>
      </w:pPr>
      <w:r w:rsidRPr="0077415D">
        <w:rPr>
          <w:rFonts w:ascii="Arial" w:hAnsi="Arial" w:cs="Arial"/>
          <w:color w:val="000000" w:themeColor="text1"/>
        </w:rPr>
        <w:lastRenderedPageBreak/>
        <w:t>Teece, D.J., 2022. A wider</w:t>
      </w:r>
      <w:r w:rsidRPr="0077415D">
        <w:rPr>
          <w:rFonts w:ascii="Cambria Math" w:hAnsi="Cambria Math" w:cs="Cambria Math"/>
          <w:color w:val="000000" w:themeColor="text1"/>
        </w:rPr>
        <w:t>‐</w:t>
      </w:r>
      <w:r w:rsidRPr="0077415D">
        <w:rPr>
          <w:rFonts w:ascii="Arial" w:hAnsi="Arial" w:cs="Arial"/>
          <w:color w:val="000000" w:themeColor="text1"/>
        </w:rPr>
        <w:t>aperture lens for global strategic management: The multinational enterprise in a bifurcated global economy. </w:t>
      </w:r>
      <w:r w:rsidRPr="0077415D">
        <w:rPr>
          <w:rFonts w:ascii="Arial" w:hAnsi="Arial" w:cs="Arial"/>
          <w:i/>
          <w:iCs/>
          <w:color w:val="000000" w:themeColor="text1"/>
        </w:rPr>
        <w:t>Global Strategy Journal</w:t>
      </w:r>
      <w:r w:rsidRPr="0077415D">
        <w:rPr>
          <w:rFonts w:ascii="Arial" w:hAnsi="Arial" w:cs="Arial"/>
          <w:color w:val="000000" w:themeColor="text1"/>
        </w:rPr>
        <w:t>, </w:t>
      </w:r>
      <w:r w:rsidRPr="0077415D">
        <w:rPr>
          <w:rFonts w:ascii="Arial" w:hAnsi="Arial" w:cs="Arial"/>
          <w:i/>
          <w:iCs/>
          <w:color w:val="000000" w:themeColor="text1"/>
        </w:rPr>
        <w:t>12</w:t>
      </w:r>
      <w:r w:rsidRPr="0077415D">
        <w:rPr>
          <w:rFonts w:ascii="Arial" w:hAnsi="Arial" w:cs="Arial"/>
          <w:color w:val="000000" w:themeColor="text1"/>
        </w:rPr>
        <w:t>(3), pp.488-519.</w:t>
      </w:r>
    </w:p>
    <w:p w14:paraId="2BE71E8B" w14:textId="77777777" w:rsidR="00B128F8" w:rsidRPr="0077415D" w:rsidRDefault="00B128F8" w:rsidP="0064373F">
      <w:pPr>
        <w:rPr>
          <w:rFonts w:ascii="Arial" w:hAnsi="Arial" w:cs="Arial"/>
          <w:color w:val="000000" w:themeColor="text1"/>
        </w:rPr>
      </w:pPr>
      <w:r w:rsidRPr="0077415D">
        <w:rPr>
          <w:rFonts w:ascii="Arial" w:hAnsi="Arial" w:cs="Arial"/>
          <w:color w:val="000000" w:themeColor="text1"/>
        </w:rPr>
        <w:t xml:space="preserve">Wu, W., </w:t>
      </w:r>
      <w:proofErr w:type="spellStart"/>
      <w:r w:rsidRPr="0077415D">
        <w:rPr>
          <w:rFonts w:ascii="Arial" w:hAnsi="Arial" w:cs="Arial"/>
          <w:color w:val="000000" w:themeColor="text1"/>
        </w:rPr>
        <w:t>Alkaraan</w:t>
      </w:r>
      <w:proofErr w:type="spellEnd"/>
      <w:r w:rsidRPr="0077415D">
        <w:rPr>
          <w:rFonts w:ascii="Arial" w:hAnsi="Arial" w:cs="Arial"/>
          <w:color w:val="000000" w:themeColor="text1"/>
        </w:rPr>
        <w:t>, F. and Le, C., 2023. The moderating effects of corporate governance and investment efficiency on the nexus between financial flexibility and firm performance. Journal of Financial Reporting and Accounting.</w:t>
      </w:r>
    </w:p>
    <w:p w14:paraId="0E01067F" w14:textId="77777777" w:rsidR="002A7918" w:rsidRPr="0077415D" w:rsidRDefault="002A7918" w:rsidP="002A7918">
      <w:pPr>
        <w:rPr>
          <w:rFonts w:ascii="Arial" w:hAnsi="Arial" w:cs="Arial"/>
          <w:color w:val="000000" w:themeColor="text1"/>
        </w:rPr>
      </w:pPr>
    </w:p>
    <w:p w14:paraId="552021AB" w14:textId="738F2405" w:rsidR="009C072D" w:rsidRPr="0077415D" w:rsidRDefault="009C072D">
      <w:pPr>
        <w:spacing w:line="278" w:lineRule="auto"/>
        <w:jc w:val="left"/>
        <w:rPr>
          <w:rFonts w:ascii="Arial" w:hAnsi="Arial" w:cs="Arial"/>
          <w:color w:val="000000" w:themeColor="text1"/>
        </w:rPr>
      </w:pPr>
      <w:r w:rsidRPr="0077415D">
        <w:rPr>
          <w:rFonts w:ascii="Arial" w:hAnsi="Arial" w:cs="Arial"/>
          <w:color w:val="000000" w:themeColor="text1"/>
        </w:rPr>
        <w:br w:type="page"/>
      </w:r>
    </w:p>
    <w:p w14:paraId="5565C841" w14:textId="03DCBF3C" w:rsidR="002A7918" w:rsidRPr="0077415D" w:rsidRDefault="009C072D" w:rsidP="00B543BE">
      <w:pPr>
        <w:pStyle w:val="Heading1"/>
        <w:rPr>
          <w:color w:val="000000" w:themeColor="text1"/>
        </w:rPr>
      </w:pPr>
      <w:bookmarkStart w:id="20" w:name="_Toc214845233"/>
      <w:r w:rsidRPr="0077415D">
        <w:rPr>
          <w:color w:val="000000" w:themeColor="text1"/>
        </w:rPr>
        <w:lastRenderedPageBreak/>
        <w:t>Appendix</w:t>
      </w:r>
      <w:bookmarkEnd w:id="20"/>
    </w:p>
    <w:p w14:paraId="2D206CC4" w14:textId="447137BE" w:rsidR="009C072D" w:rsidRPr="0077415D" w:rsidRDefault="00F944B6" w:rsidP="00F944B6">
      <w:pPr>
        <w:jc w:val="center"/>
        <w:rPr>
          <w:rFonts w:ascii="Arial" w:hAnsi="Arial" w:cs="Arial"/>
          <w:color w:val="000000" w:themeColor="text1"/>
        </w:rPr>
      </w:pPr>
      <w:r w:rsidRPr="0077415D">
        <w:rPr>
          <w:rFonts w:ascii="Arial" w:hAnsi="Arial" w:cs="Arial"/>
          <w:noProof/>
          <w:color w:val="000000" w:themeColor="text1"/>
        </w:rPr>
        <w:drawing>
          <wp:inline distT="0" distB="0" distL="0" distR="0" wp14:anchorId="46745AC0" wp14:editId="005D4B49">
            <wp:extent cx="4572000" cy="2743200"/>
            <wp:effectExtent l="0" t="0" r="0" b="0"/>
            <wp:docPr id="1422288010" name="Chart 1">
              <a:extLst xmlns:a="http://schemas.openxmlformats.org/drawingml/2006/main">
                <a:ext uri="{FF2B5EF4-FFF2-40B4-BE49-F238E27FC236}">
                  <a16:creationId xmlns:a16="http://schemas.microsoft.com/office/drawing/2014/main" id="{E73B4955-703F-EF72-EAA0-0954275648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810DAE4" w14:textId="3CF9EFEE" w:rsidR="00F944B6" w:rsidRPr="0077415D" w:rsidRDefault="00F944B6" w:rsidP="00F944B6">
      <w:pPr>
        <w:jc w:val="center"/>
        <w:rPr>
          <w:rFonts w:ascii="Arial" w:hAnsi="Arial" w:cs="Arial"/>
          <w:color w:val="000000" w:themeColor="text1"/>
        </w:rPr>
      </w:pPr>
      <w:r w:rsidRPr="0077415D">
        <w:rPr>
          <w:rFonts w:ascii="Arial" w:hAnsi="Arial" w:cs="Arial"/>
          <w:noProof/>
          <w:color w:val="000000" w:themeColor="text1"/>
        </w:rPr>
        <w:drawing>
          <wp:inline distT="0" distB="0" distL="0" distR="0" wp14:anchorId="5B765B0C" wp14:editId="161DD596">
            <wp:extent cx="4572000" cy="2743200"/>
            <wp:effectExtent l="0" t="0" r="0" b="0"/>
            <wp:docPr id="1596703960" name="Chart 1">
              <a:extLst xmlns:a="http://schemas.openxmlformats.org/drawingml/2006/main">
                <a:ext uri="{FF2B5EF4-FFF2-40B4-BE49-F238E27FC236}">
                  <a16:creationId xmlns:a16="http://schemas.microsoft.com/office/drawing/2014/main" id="{9D1EB849-AC35-7016-9C7E-151160105A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DA940FC" w14:textId="19AB997B" w:rsidR="00F944B6" w:rsidRPr="0077415D" w:rsidRDefault="00F944B6" w:rsidP="00F944B6">
      <w:pPr>
        <w:jc w:val="center"/>
        <w:rPr>
          <w:rFonts w:ascii="Arial" w:hAnsi="Arial" w:cs="Arial"/>
          <w:color w:val="000000" w:themeColor="text1"/>
        </w:rPr>
      </w:pPr>
    </w:p>
    <w:sectPr w:rsidR="00F944B6" w:rsidRPr="0077415D" w:rsidSect="002A7918">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E5305" w14:textId="77777777" w:rsidR="00AC426D" w:rsidRDefault="00AC426D" w:rsidP="002A7918">
      <w:pPr>
        <w:spacing w:after="0" w:line="240" w:lineRule="auto"/>
      </w:pPr>
      <w:r>
        <w:separator/>
      </w:r>
    </w:p>
  </w:endnote>
  <w:endnote w:type="continuationSeparator" w:id="0">
    <w:p w14:paraId="6BC49FBD" w14:textId="77777777" w:rsidR="00AC426D" w:rsidRDefault="00AC426D" w:rsidP="002A7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1992310"/>
      <w:docPartObj>
        <w:docPartGallery w:val="Page Numbers (Bottom of Page)"/>
        <w:docPartUnique/>
      </w:docPartObj>
    </w:sdtPr>
    <w:sdtEndPr>
      <w:rPr>
        <w:noProof/>
      </w:rPr>
    </w:sdtEndPr>
    <w:sdtContent>
      <w:p w14:paraId="01374989" w14:textId="1E9480F4" w:rsidR="002A7918" w:rsidRDefault="002A7918">
        <w:pPr>
          <w:pStyle w:val="Footer"/>
          <w:jc w:val="right"/>
        </w:pPr>
        <w:r>
          <w:fldChar w:fldCharType="begin"/>
        </w:r>
        <w:r>
          <w:instrText xml:space="preserve"> PAGE   \* MERGEFORMAT </w:instrText>
        </w:r>
        <w:r>
          <w:fldChar w:fldCharType="separate"/>
        </w:r>
        <w:r w:rsidR="00631DA0">
          <w:rPr>
            <w:noProof/>
          </w:rPr>
          <w:t>26</w:t>
        </w:r>
        <w:r>
          <w:rPr>
            <w:noProof/>
          </w:rPr>
          <w:fldChar w:fldCharType="end"/>
        </w:r>
      </w:p>
    </w:sdtContent>
  </w:sdt>
  <w:p w14:paraId="2674FDB0" w14:textId="77777777" w:rsidR="002A7918" w:rsidRDefault="002A79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60698" w14:textId="77777777" w:rsidR="00AC426D" w:rsidRDefault="00AC426D" w:rsidP="002A7918">
      <w:pPr>
        <w:spacing w:after="0" w:line="240" w:lineRule="auto"/>
      </w:pPr>
      <w:r>
        <w:separator/>
      </w:r>
    </w:p>
  </w:footnote>
  <w:footnote w:type="continuationSeparator" w:id="0">
    <w:p w14:paraId="3A1608EC" w14:textId="77777777" w:rsidR="00AC426D" w:rsidRDefault="00AC426D" w:rsidP="002A79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9449E"/>
    <w:multiLevelType w:val="multilevel"/>
    <w:tmpl w:val="6A1422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70FC8"/>
    <w:multiLevelType w:val="hybridMultilevel"/>
    <w:tmpl w:val="4ABC66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CF2B10"/>
    <w:multiLevelType w:val="hybridMultilevel"/>
    <w:tmpl w:val="5AA24A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D2123D1"/>
    <w:multiLevelType w:val="hybridMultilevel"/>
    <w:tmpl w:val="6DCA6EB6"/>
    <w:lvl w:ilvl="0" w:tplc="CF40869C">
      <w:start w:val="1"/>
      <w:numFmt w:val="bullet"/>
      <w:lvlText w:val=""/>
      <w:lvlJc w:val="left"/>
      <w:pPr>
        <w:ind w:left="1800" w:hanging="360"/>
      </w:pPr>
      <w:rPr>
        <w:rFonts w:ascii="Symbol" w:hAnsi="Symbol"/>
      </w:rPr>
    </w:lvl>
    <w:lvl w:ilvl="1" w:tplc="83528824">
      <w:start w:val="1"/>
      <w:numFmt w:val="bullet"/>
      <w:lvlText w:val=""/>
      <w:lvlJc w:val="left"/>
      <w:pPr>
        <w:ind w:left="1800" w:hanging="360"/>
      </w:pPr>
      <w:rPr>
        <w:rFonts w:ascii="Symbol" w:hAnsi="Symbol"/>
      </w:rPr>
    </w:lvl>
    <w:lvl w:ilvl="2" w:tplc="460ED686">
      <w:start w:val="1"/>
      <w:numFmt w:val="bullet"/>
      <w:lvlText w:val=""/>
      <w:lvlJc w:val="left"/>
      <w:pPr>
        <w:ind w:left="1800" w:hanging="360"/>
      </w:pPr>
      <w:rPr>
        <w:rFonts w:ascii="Symbol" w:hAnsi="Symbol"/>
      </w:rPr>
    </w:lvl>
    <w:lvl w:ilvl="3" w:tplc="74067D76">
      <w:start w:val="1"/>
      <w:numFmt w:val="bullet"/>
      <w:lvlText w:val=""/>
      <w:lvlJc w:val="left"/>
      <w:pPr>
        <w:ind w:left="1800" w:hanging="360"/>
      </w:pPr>
      <w:rPr>
        <w:rFonts w:ascii="Symbol" w:hAnsi="Symbol"/>
      </w:rPr>
    </w:lvl>
    <w:lvl w:ilvl="4" w:tplc="A43AC072">
      <w:start w:val="1"/>
      <w:numFmt w:val="bullet"/>
      <w:lvlText w:val=""/>
      <w:lvlJc w:val="left"/>
      <w:pPr>
        <w:ind w:left="1800" w:hanging="360"/>
      </w:pPr>
      <w:rPr>
        <w:rFonts w:ascii="Symbol" w:hAnsi="Symbol"/>
      </w:rPr>
    </w:lvl>
    <w:lvl w:ilvl="5" w:tplc="7BEA3DC0">
      <w:start w:val="1"/>
      <w:numFmt w:val="bullet"/>
      <w:lvlText w:val=""/>
      <w:lvlJc w:val="left"/>
      <w:pPr>
        <w:ind w:left="1800" w:hanging="360"/>
      </w:pPr>
      <w:rPr>
        <w:rFonts w:ascii="Symbol" w:hAnsi="Symbol"/>
      </w:rPr>
    </w:lvl>
    <w:lvl w:ilvl="6" w:tplc="70280E32">
      <w:start w:val="1"/>
      <w:numFmt w:val="bullet"/>
      <w:lvlText w:val=""/>
      <w:lvlJc w:val="left"/>
      <w:pPr>
        <w:ind w:left="1800" w:hanging="360"/>
      </w:pPr>
      <w:rPr>
        <w:rFonts w:ascii="Symbol" w:hAnsi="Symbol"/>
      </w:rPr>
    </w:lvl>
    <w:lvl w:ilvl="7" w:tplc="EB8E41DC">
      <w:start w:val="1"/>
      <w:numFmt w:val="bullet"/>
      <w:lvlText w:val=""/>
      <w:lvlJc w:val="left"/>
      <w:pPr>
        <w:ind w:left="1800" w:hanging="360"/>
      </w:pPr>
      <w:rPr>
        <w:rFonts w:ascii="Symbol" w:hAnsi="Symbol"/>
      </w:rPr>
    </w:lvl>
    <w:lvl w:ilvl="8" w:tplc="2A9AA4E0">
      <w:start w:val="1"/>
      <w:numFmt w:val="bullet"/>
      <w:lvlText w:val=""/>
      <w:lvlJc w:val="left"/>
      <w:pPr>
        <w:ind w:left="1800" w:hanging="360"/>
      </w:pPr>
      <w:rPr>
        <w:rFonts w:ascii="Symbol" w:hAnsi="Symbol"/>
      </w:rPr>
    </w:lvl>
  </w:abstractNum>
  <w:abstractNum w:abstractNumId="4" w15:restartNumberingAfterBreak="0">
    <w:nsid w:val="2030765A"/>
    <w:multiLevelType w:val="hybridMultilevel"/>
    <w:tmpl w:val="9A427308"/>
    <w:lvl w:ilvl="0" w:tplc="1C44BD64">
      <w:numFmt w:val="bullet"/>
      <w:lvlText w:val="•"/>
      <w:lvlJc w:val="left"/>
      <w:pPr>
        <w:ind w:left="1080" w:hanging="72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AD20AB"/>
    <w:multiLevelType w:val="hybridMultilevel"/>
    <w:tmpl w:val="F66878A6"/>
    <w:lvl w:ilvl="0" w:tplc="1C44BD64">
      <w:numFmt w:val="bullet"/>
      <w:lvlText w:val="•"/>
      <w:lvlJc w:val="left"/>
      <w:pPr>
        <w:ind w:left="1440" w:hanging="720"/>
      </w:pPr>
      <w:rPr>
        <w:rFonts w:ascii="Times New Roman" w:eastAsiaTheme="minorHAnsi"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686411A6"/>
    <w:multiLevelType w:val="hybridMultilevel"/>
    <w:tmpl w:val="79E843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FBA523F"/>
    <w:multiLevelType w:val="multilevel"/>
    <w:tmpl w:val="EAFC7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6123739">
    <w:abstractNumId w:val="2"/>
  </w:num>
  <w:num w:numId="2" w16cid:durableId="1317298284">
    <w:abstractNumId w:val="0"/>
  </w:num>
  <w:num w:numId="3" w16cid:durableId="1868250961">
    <w:abstractNumId w:val="7"/>
  </w:num>
  <w:num w:numId="4" w16cid:durableId="273483639">
    <w:abstractNumId w:val="1"/>
  </w:num>
  <w:num w:numId="5" w16cid:durableId="909929249">
    <w:abstractNumId w:val="4"/>
  </w:num>
  <w:num w:numId="6" w16cid:durableId="1056313974">
    <w:abstractNumId w:val="5"/>
  </w:num>
  <w:num w:numId="7" w16cid:durableId="824009835">
    <w:abstractNumId w:val="3"/>
  </w:num>
  <w:num w:numId="8" w16cid:durableId="9323977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A7918"/>
    <w:rsid w:val="000036D6"/>
    <w:rsid w:val="00011DF5"/>
    <w:rsid w:val="00041188"/>
    <w:rsid w:val="000616A3"/>
    <w:rsid w:val="00070406"/>
    <w:rsid w:val="000A5A47"/>
    <w:rsid w:val="000C1C1D"/>
    <w:rsid w:val="000D41CE"/>
    <w:rsid w:val="000E66C3"/>
    <w:rsid w:val="000F4521"/>
    <w:rsid w:val="00103E48"/>
    <w:rsid w:val="001120D4"/>
    <w:rsid w:val="001251D4"/>
    <w:rsid w:val="0012545A"/>
    <w:rsid w:val="00151208"/>
    <w:rsid w:val="001770AE"/>
    <w:rsid w:val="0018296F"/>
    <w:rsid w:val="00182E7A"/>
    <w:rsid w:val="00185A6C"/>
    <w:rsid w:val="00192A82"/>
    <w:rsid w:val="001A6CA4"/>
    <w:rsid w:val="001C799C"/>
    <w:rsid w:val="001D178D"/>
    <w:rsid w:val="001F5688"/>
    <w:rsid w:val="00214A29"/>
    <w:rsid w:val="00274B10"/>
    <w:rsid w:val="002824C5"/>
    <w:rsid w:val="00293A09"/>
    <w:rsid w:val="002A7918"/>
    <w:rsid w:val="002C7709"/>
    <w:rsid w:val="002F29F7"/>
    <w:rsid w:val="00313B5D"/>
    <w:rsid w:val="00320B25"/>
    <w:rsid w:val="0035256D"/>
    <w:rsid w:val="00367348"/>
    <w:rsid w:val="003748C1"/>
    <w:rsid w:val="003957CD"/>
    <w:rsid w:val="003A5E6E"/>
    <w:rsid w:val="003B4DFE"/>
    <w:rsid w:val="003C2DA0"/>
    <w:rsid w:val="004025ED"/>
    <w:rsid w:val="004026EC"/>
    <w:rsid w:val="004115D0"/>
    <w:rsid w:val="004130ED"/>
    <w:rsid w:val="0041396C"/>
    <w:rsid w:val="004168BF"/>
    <w:rsid w:val="00445516"/>
    <w:rsid w:val="00475E06"/>
    <w:rsid w:val="004E0277"/>
    <w:rsid w:val="004E6291"/>
    <w:rsid w:val="00524E01"/>
    <w:rsid w:val="00535440"/>
    <w:rsid w:val="00570F39"/>
    <w:rsid w:val="00592817"/>
    <w:rsid w:val="005A7F14"/>
    <w:rsid w:val="005C2355"/>
    <w:rsid w:val="005C3523"/>
    <w:rsid w:val="005D32D8"/>
    <w:rsid w:val="006162B7"/>
    <w:rsid w:val="00622F3E"/>
    <w:rsid w:val="00631DA0"/>
    <w:rsid w:val="00643027"/>
    <w:rsid w:val="0064373F"/>
    <w:rsid w:val="00644251"/>
    <w:rsid w:val="00646080"/>
    <w:rsid w:val="006524E6"/>
    <w:rsid w:val="00672C0B"/>
    <w:rsid w:val="006773A0"/>
    <w:rsid w:val="00681D99"/>
    <w:rsid w:val="00691521"/>
    <w:rsid w:val="00691865"/>
    <w:rsid w:val="00696A98"/>
    <w:rsid w:val="006A031C"/>
    <w:rsid w:val="006B5A74"/>
    <w:rsid w:val="006C3F7C"/>
    <w:rsid w:val="006D26E9"/>
    <w:rsid w:val="006D31C8"/>
    <w:rsid w:val="006D35D7"/>
    <w:rsid w:val="006E2668"/>
    <w:rsid w:val="00714945"/>
    <w:rsid w:val="0072395F"/>
    <w:rsid w:val="007337D7"/>
    <w:rsid w:val="007507FC"/>
    <w:rsid w:val="0076346A"/>
    <w:rsid w:val="00770FE0"/>
    <w:rsid w:val="0077415D"/>
    <w:rsid w:val="007747D4"/>
    <w:rsid w:val="007B3291"/>
    <w:rsid w:val="007D3A57"/>
    <w:rsid w:val="007E7133"/>
    <w:rsid w:val="00823AFA"/>
    <w:rsid w:val="00832446"/>
    <w:rsid w:val="008374B8"/>
    <w:rsid w:val="00847A04"/>
    <w:rsid w:val="00852481"/>
    <w:rsid w:val="00880DEC"/>
    <w:rsid w:val="00884D93"/>
    <w:rsid w:val="008F4141"/>
    <w:rsid w:val="00907342"/>
    <w:rsid w:val="009510B9"/>
    <w:rsid w:val="00952271"/>
    <w:rsid w:val="00996B72"/>
    <w:rsid w:val="009C072D"/>
    <w:rsid w:val="00A0480E"/>
    <w:rsid w:val="00A11BF7"/>
    <w:rsid w:val="00A22022"/>
    <w:rsid w:val="00A26162"/>
    <w:rsid w:val="00A46CC0"/>
    <w:rsid w:val="00A64830"/>
    <w:rsid w:val="00A75F94"/>
    <w:rsid w:val="00A806CB"/>
    <w:rsid w:val="00A824F0"/>
    <w:rsid w:val="00A8790A"/>
    <w:rsid w:val="00A935C0"/>
    <w:rsid w:val="00A95C7B"/>
    <w:rsid w:val="00AC426D"/>
    <w:rsid w:val="00AC7D17"/>
    <w:rsid w:val="00AD0714"/>
    <w:rsid w:val="00B10880"/>
    <w:rsid w:val="00B11391"/>
    <w:rsid w:val="00B128F8"/>
    <w:rsid w:val="00B24B62"/>
    <w:rsid w:val="00B31A80"/>
    <w:rsid w:val="00B477CA"/>
    <w:rsid w:val="00B543BE"/>
    <w:rsid w:val="00B66F53"/>
    <w:rsid w:val="00B75795"/>
    <w:rsid w:val="00B93DC6"/>
    <w:rsid w:val="00BA0661"/>
    <w:rsid w:val="00BA19E0"/>
    <w:rsid w:val="00BE50A0"/>
    <w:rsid w:val="00C12C38"/>
    <w:rsid w:val="00C52570"/>
    <w:rsid w:val="00C65FD6"/>
    <w:rsid w:val="00C71A97"/>
    <w:rsid w:val="00CB23FE"/>
    <w:rsid w:val="00CB6A44"/>
    <w:rsid w:val="00CC170A"/>
    <w:rsid w:val="00CC3946"/>
    <w:rsid w:val="00CC5056"/>
    <w:rsid w:val="00CE6106"/>
    <w:rsid w:val="00CF56D5"/>
    <w:rsid w:val="00CF779A"/>
    <w:rsid w:val="00D2718B"/>
    <w:rsid w:val="00D55096"/>
    <w:rsid w:val="00DA6E98"/>
    <w:rsid w:val="00DB6472"/>
    <w:rsid w:val="00DF322D"/>
    <w:rsid w:val="00DF480E"/>
    <w:rsid w:val="00E0623D"/>
    <w:rsid w:val="00E32105"/>
    <w:rsid w:val="00E35F5C"/>
    <w:rsid w:val="00E3775F"/>
    <w:rsid w:val="00E478C9"/>
    <w:rsid w:val="00E65E11"/>
    <w:rsid w:val="00E82FC4"/>
    <w:rsid w:val="00EA42CC"/>
    <w:rsid w:val="00ED1B8D"/>
    <w:rsid w:val="00EE2C2C"/>
    <w:rsid w:val="00EE7B45"/>
    <w:rsid w:val="00F011E0"/>
    <w:rsid w:val="00F03CF1"/>
    <w:rsid w:val="00F07769"/>
    <w:rsid w:val="00F14AD6"/>
    <w:rsid w:val="00F63487"/>
    <w:rsid w:val="00F944B6"/>
    <w:rsid w:val="00FD1668"/>
    <w:rsid w:val="00FD21ED"/>
    <w:rsid w:val="00FF7C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E28A3D"/>
  <w15:chartTrackingRefBased/>
  <w15:docId w15:val="{2BC7F41E-7FB9-419D-B164-83C5464FE7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37D7"/>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B543BE"/>
    <w:pPr>
      <w:keepNext/>
      <w:keepLines/>
      <w:spacing w:before="360" w:after="80"/>
      <w:outlineLvl w:val="0"/>
    </w:pPr>
    <w:rPr>
      <w:rFonts w:ascii="Arial" w:eastAsiaTheme="majorEastAsia" w:hAnsi="Arial" w:cs="Arial"/>
      <w:b/>
      <w:sz w:val="28"/>
      <w:szCs w:val="40"/>
    </w:rPr>
  </w:style>
  <w:style w:type="paragraph" w:styleId="Heading2">
    <w:name w:val="heading 2"/>
    <w:basedOn w:val="Normal"/>
    <w:next w:val="Normal"/>
    <w:link w:val="Heading2Char"/>
    <w:autoRedefine/>
    <w:uiPriority w:val="9"/>
    <w:unhideWhenUsed/>
    <w:qFormat/>
    <w:rsid w:val="001251D4"/>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autoRedefine/>
    <w:uiPriority w:val="9"/>
    <w:unhideWhenUsed/>
    <w:qFormat/>
    <w:rsid w:val="00CB6A44"/>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2A7918"/>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A7918"/>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2A791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A791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A791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A791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43BE"/>
    <w:rPr>
      <w:rFonts w:ascii="Arial" w:eastAsiaTheme="majorEastAsia" w:hAnsi="Arial" w:cs="Arial"/>
      <w:b/>
      <w:sz w:val="28"/>
      <w:szCs w:val="40"/>
    </w:rPr>
  </w:style>
  <w:style w:type="character" w:customStyle="1" w:styleId="Heading2Char">
    <w:name w:val="Heading 2 Char"/>
    <w:basedOn w:val="DefaultParagraphFont"/>
    <w:link w:val="Heading2"/>
    <w:uiPriority w:val="9"/>
    <w:rsid w:val="001251D4"/>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CB6A44"/>
    <w:rPr>
      <w:rFonts w:ascii="Times New Roman" w:eastAsiaTheme="majorEastAsia" w:hAnsi="Times New Roman" w:cstheme="majorBidi"/>
      <w:b/>
      <w:szCs w:val="28"/>
    </w:rPr>
  </w:style>
  <w:style w:type="character" w:customStyle="1" w:styleId="Heading4Char">
    <w:name w:val="Heading 4 Char"/>
    <w:basedOn w:val="DefaultParagraphFont"/>
    <w:link w:val="Heading4"/>
    <w:uiPriority w:val="9"/>
    <w:semiHidden/>
    <w:rsid w:val="002A791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A791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A79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79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79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7918"/>
    <w:rPr>
      <w:rFonts w:eastAsiaTheme="majorEastAsia" w:cstheme="majorBidi"/>
      <w:color w:val="272727" w:themeColor="text1" w:themeTint="D8"/>
    </w:rPr>
  </w:style>
  <w:style w:type="paragraph" w:styleId="Title">
    <w:name w:val="Title"/>
    <w:basedOn w:val="Normal"/>
    <w:next w:val="Normal"/>
    <w:link w:val="TitleChar"/>
    <w:uiPriority w:val="10"/>
    <w:qFormat/>
    <w:rsid w:val="002A79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79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791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79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7918"/>
    <w:pPr>
      <w:spacing w:before="160"/>
      <w:jc w:val="center"/>
    </w:pPr>
    <w:rPr>
      <w:i/>
      <w:iCs/>
      <w:color w:val="404040" w:themeColor="text1" w:themeTint="BF"/>
    </w:rPr>
  </w:style>
  <w:style w:type="character" w:customStyle="1" w:styleId="QuoteChar">
    <w:name w:val="Quote Char"/>
    <w:basedOn w:val="DefaultParagraphFont"/>
    <w:link w:val="Quote"/>
    <w:uiPriority w:val="29"/>
    <w:rsid w:val="002A7918"/>
    <w:rPr>
      <w:rFonts w:ascii="Times New Roman" w:hAnsi="Times New Roman"/>
      <w:i/>
      <w:iCs/>
      <w:color w:val="404040" w:themeColor="text1" w:themeTint="BF"/>
    </w:rPr>
  </w:style>
  <w:style w:type="paragraph" w:styleId="ListParagraph">
    <w:name w:val="List Paragraph"/>
    <w:basedOn w:val="Normal"/>
    <w:uiPriority w:val="34"/>
    <w:qFormat/>
    <w:rsid w:val="002A7918"/>
    <w:pPr>
      <w:ind w:left="720"/>
      <w:contextualSpacing/>
    </w:pPr>
  </w:style>
  <w:style w:type="character" w:styleId="IntenseEmphasis">
    <w:name w:val="Intense Emphasis"/>
    <w:basedOn w:val="DefaultParagraphFont"/>
    <w:uiPriority w:val="21"/>
    <w:qFormat/>
    <w:rsid w:val="002A7918"/>
    <w:rPr>
      <w:i/>
      <w:iCs/>
      <w:color w:val="2F5496" w:themeColor="accent1" w:themeShade="BF"/>
    </w:rPr>
  </w:style>
  <w:style w:type="paragraph" w:styleId="IntenseQuote">
    <w:name w:val="Intense Quote"/>
    <w:basedOn w:val="Normal"/>
    <w:next w:val="Normal"/>
    <w:link w:val="IntenseQuoteChar"/>
    <w:uiPriority w:val="30"/>
    <w:qFormat/>
    <w:rsid w:val="002A791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A7918"/>
    <w:rPr>
      <w:rFonts w:ascii="Times New Roman" w:hAnsi="Times New Roman"/>
      <w:i/>
      <w:iCs/>
      <w:color w:val="2F5496" w:themeColor="accent1" w:themeShade="BF"/>
    </w:rPr>
  </w:style>
  <w:style w:type="character" w:styleId="IntenseReference">
    <w:name w:val="Intense Reference"/>
    <w:basedOn w:val="DefaultParagraphFont"/>
    <w:uiPriority w:val="32"/>
    <w:qFormat/>
    <w:rsid w:val="002A7918"/>
    <w:rPr>
      <w:b/>
      <w:bCs/>
      <w:smallCaps/>
      <w:color w:val="2F5496" w:themeColor="accent1" w:themeShade="BF"/>
      <w:spacing w:val="5"/>
    </w:rPr>
  </w:style>
  <w:style w:type="paragraph" w:styleId="Header">
    <w:name w:val="header"/>
    <w:basedOn w:val="Normal"/>
    <w:link w:val="HeaderChar"/>
    <w:uiPriority w:val="99"/>
    <w:unhideWhenUsed/>
    <w:rsid w:val="002A79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2A7918"/>
    <w:rPr>
      <w:rFonts w:ascii="Times New Roman" w:hAnsi="Times New Roman"/>
    </w:rPr>
  </w:style>
  <w:style w:type="paragraph" w:styleId="Footer">
    <w:name w:val="footer"/>
    <w:basedOn w:val="Normal"/>
    <w:link w:val="FooterChar"/>
    <w:uiPriority w:val="99"/>
    <w:unhideWhenUsed/>
    <w:rsid w:val="002A79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2A7918"/>
    <w:rPr>
      <w:rFonts w:ascii="Times New Roman" w:hAnsi="Times New Roman"/>
    </w:rPr>
  </w:style>
  <w:style w:type="table" w:styleId="GridTable4-Accent1">
    <w:name w:val="Grid Table 4 Accent 1"/>
    <w:basedOn w:val="TableNormal"/>
    <w:uiPriority w:val="49"/>
    <w:rsid w:val="00A8790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2">
    <w:name w:val="Grid Table 4 Accent 2"/>
    <w:basedOn w:val="TableNormal"/>
    <w:uiPriority w:val="49"/>
    <w:rsid w:val="006B5A74"/>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622F3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1">
    <w:name w:val="Grid Table 5 Dark Accent 1"/>
    <w:basedOn w:val="TableNormal"/>
    <w:uiPriority w:val="50"/>
    <w:rsid w:val="00823AF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TOCHeading">
    <w:name w:val="TOC Heading"/>
    <w:basedOn w:val="Heading1"/>
    <w:next w:val="Normal"/>
    <w:uiPriority w:val="39"/>
    <w:unhideWhenUsed/>
    <w:qFormat/>
    <w:rsid w:val="006162B7"/>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6162B7"/>
    <w:pPr>
      <w:spacing w:after="100"/>
    </w:pPr>
  </w:style>
  <w:style w:type="paragraph" w:styleId="TOC2">
    <w:name w:val="toc 2"/>
    <w:basedOn w:val="Normal"/>
    <w:next w:val="Normal"/>
    <w:autoRedefine/>
    <w:uiPriority w:val="39"/>
    <w:unhideWhenUsed/>
    <w:rsid w:val="006162B7"/>
    <w:pPr>
      <w:spacing w:after="100"/>
      <w:ind w:left="240"/>
    </w:pPr>
  </w:style>
  <w:style w:type="character" w:styleId="Hyperlink">
    <w:name w:val="Hyperlink"/>
    <w:basedOn w:val="DefaultParagraphFont"/>
    <w:uiPriority w:val="99"/>
    <w:unhideWhenUsed/>
    <w:rsid w:val="006162B7"/>
    <w:rPr>
      <w:color w:val="0563C1" w:themeColor="hyperlink"/>
      <w:u w:val="single"/>
    </w:rPr>
  </w:style>
  <w:style w:type="character" w:styleId="CommentReference">
    <w:name w:val="annotation reference"/>
    <w:basedOn w:val="DefaultParagraphFont"/>
    <w:uiPriority w:val="99"/>
    <w:semiHidden/>
    <w:unhideWhenUsed/>
    <w:rsid w:val="0035256D"/>
    <w:rPr>
      <w:sz w:val="16"/>
      <w:szCs w:val="16"/>
    </w:rPr>
  </w:style>
  <w:style w:type="paragraph" w:styleId="CommentText">
    <w:name w:val="annotation text"/>
    <w:basedOn w:val="Normal"/>
    <w:link w:val="CommentTextChar"/>
    <w:uiPriority w:val="99"/>
    <w:unhideWhenUsed/>
    <w:rsid w:val="0035256D"/>
    <w:pPr>
      <w:spacing w:line="240" w:lineRule="auto"/>
    </w:pPr>
    <w:rPr>
      <w:sz w:val="20"/>
      <w:szCs w:val="20"/>
    </w:rPr>
  </w:style>
  <w:style w:type="character" w:customStyle="1" w:styleId="CommentTextChar">
    <w:name w:val="Comment Text Char"/>
    <w:basedOn w:val="DefaultParagraphFont"/>
    <w:link w:val="CommentText"/>
    <w:uiPriority w:val="99"/>
    <w:rsid w:val="0035256D"/>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5256D"/>
    <w:rPr>
      <w:b/>
      <w:bCs/>
    </w:rPr>
  </w:style>
  <w:style w:type="character" w:customStyle="1" w:styleId="CommentSubjectChar">
    <w:name w:val="Comment Subject Char"/>
    <w:basedOn w:val="CommentTextChar"/>
    <w:link w:val="CommentSubject"/>
    <w:uiPriority w:val="99"/>
    <w:semiHidden/>
    <w:rsid w:val="0035256D"/>
    <w:rPr>
      <w:rFonts w:ascii="Times New Roman" w:hAnsi="Times New Roman"/>
      <w:b/>
      <w:bCs/>
      <w:sz w:val="20"/>
      <w:szCs w:val="20"/>
    </w:rPr>
  </w:style>
  <w:style w:type="table" w:styleId="TableGrid">
    <w:name w:val="Table Grid"/>
    <w:basedOn w:val="TableNormal"/>
    <w:uiPriority w:val="39"/>
    <w:rsid w:val="006437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D:\Reetam\Novenber\13.11.2025\job%207\last%20done\EXE40-RC-045-NOV-10112025-1025AM-485%20Keshu%20LCMB%207002-Copy%202-FINANCE%2010-11-2025%2019_27_42_118.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Reetam\Novenber\13.11.2025\job%207\last%20done\EXE40-RC-045-NOV-10112025-1025AM-485%20Keshu%20LCMB%207002-Copy%202-FINANCE%2010-11-2025%2019_27_42_118.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Reetam\Novenber\13.11.2025\job%207\last%20done\EXE40-RC-045-NOV-10112025-1025AM-485%20Keshu%20LCMB%207002-Copy%202-FINANCE%2010-11-2025%2019_27_42_118.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Reetam\Novenber\13.11.2025\job%207\last%20done\EXE40-RC-045-NOV-10112025-1025AM-485%20Keshu%20LCMB%207002-Copy%202-FINANCE%2010-11-2025%2019_27_42_118.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Ratio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Ratios!$B$2</c:f>
              <c:strCache>
                <c:ptCount val="1"/>
                <c:pt idx="0">
                  <c:v>2020</c:v>
                </c:pt>
              </c:strCache>
            </c:strRef>
          </c:tx>
          <c:spPr>
            <a:ln w="28575" cap="rnd">
              <a:solidFill>
                <a:schemeClr val="accent1"/>
              </a:solidFill>
              <a:round/>
            </a:ln>
            <a:effectLst/>
          </c:spPr>
          <c:marker>
            <c:symbol val="none"/>
          </c:marker>
          <c:cat>
            <c:strRef>
              <c:f>Ratios!$A$3:$A$19</c:f>
              <c:strCache>
                <c:ptCount val="17"/>
                <c:pt idx="0">
                  <c:v>Gross Margin (%)</c:v>
                </c:pt>
                <c:pt idx="1">
                  <c:v>Operating Margin (%)</c:v>
                </c:pt>
                <c:pt idx="2">
                  <c:v>Net Margin (%)</c:v>
                </c:pt>
                <c:pt idx="3">
                  <c:v>Current Ratio</c:v>
                </c:pt>
                <c:pt idx="4">
                  <c:v>Quick Ratio</c:v>
                </c:pt>
                <c:pt idx="5">
                  <c:v>Cash Ratio</c:v>
                </c:pt>
                <c:pt idx="6">
                  <c:v>Inventory Turnover (times)</c:v>
                </c:pt>
                <c:pt idx="7">
                  <c:v>Days Inventory Outstanding (days)</c:v>
                </c:pt>
                <c:pt idx="8">
                  <c:v>Receivables Turnover (times)</c:v>
                </c:pt>
                <c:pt idx="9">
                  <c:v>Days Sales Outstanding (days)</c:v>
                </c:pt>
                <c:pt idx="10">
                  <c:v>Payables Turnover (times)</c:v>
                </c:pt>
                <c:pt idx="11">
                  <c:v>Days Payable Outstanding (days)</c:v>
                </c:pt>
                <c:pt idx="12">
                  <c:v>Cash Conversion Cycle (days)</c:v>
                </c:pt>
                <c:pt idx="13">
                  <c:v>Debt to Equity (times)</c:v>
                </c:pt>
                <c:pt idx="14">
                  <c:v>Interest Coverage (times)</c:v>
                </c:pt>
                <c:pt idx="15">
                  <c:v>ROA (%)</c:v>
                </c:pt>
                <c:pt idx="16">
                  <c:v>ROE (%)</c:v>
                </c:pt>
              </c:strCache>
            </c:strRef>
          </c:cat>
          <c:val>
            <c:numRef>
              <c:f>Ratios!$B$3:$B$19</c:f>
              <c:numCache>
                <c:formatCode>0.00%</c:formatCode>
                <c:ptCount val="17"/>
                <c:pt idx="0">
                  <c:v>0.28674432224897506</c:v>
                </c:pt>
                <c:pt idx="1">
                  <c:v>6.0628294397084663E-2</c:v>
                </c:pt>
                <c:pt idx="2">
                  <c:v>6.2751350296089026E-2</c:v>
                </c:pt>
                <c:pt idx="3" formatCode="0.000">
                  <c:v>1.8207509330956493</c:v>
                </c:pt>
                <c:pt idx="4" formatCode="0.000">
                  <c:v>1.1498690880730877</c:v>
                </c:pt>
                <c:pt idx="5" formatCode="0.000">
                  <c:v>0.31838337697064228</c:v>
                </c:pt>
                <c:pt idx="6" formatCode="General">
                  <c:v>-3.6404882504359377</c:v>
                </c:pt>
                <c:pt idx="7" formatCode="General">
                  <c:v>4.1817036145958639E-3</c:v>
                </c:pt>
                <c:pt idx="8" formatCode="General">
                  <c:v>3.286262770872649E-3</c:v>
                </c:pt>
                <c:pt idx="9" formatCode="General">
                  <c:v>1.8518518518518517E-2</c:v>
                </c:pt>
                <c:pt idx="10" formatCode="General">
                  <c:v>0.14539696249910028</c:v>
                </c:pt>
                <c:pt idx="11" formatCode="General">
                  <c:v>1.8696854830447699E-2</c:v>
                </c:pt>
                <c:pt idx="12" formatCode="General">
                  <c:v>573519</c:v>
                </c:pt>
                <c:pt idx="13" formatCode="General">
                  <c:v>0</c:v>
                </c:pt>
                <c:pt idx="14" formatCode="0.000">
                  <c:v>0.78856322621641251</c:v>
                </c:pt>
                <c:pt idx="15">
                  <c:v>7.5588390914969925E-2</c:v>
                </c:pt>
                <c:pt idx="16">
                  <c:v>0.1231148320624575</c:v>
                </c:pt>
              </c:numCache>
            </c:numRef>
          </c:val>
          <c:smooth val="0"/>
          <c:extLst>
            <c:ext xmlns:c16="http://schemas.microsoft.com/office/drawing/2014/chart" uri="{C3380CC4-5D6E-409C-BE32-E72D297353CC}">
              <c16:uniqueId val="{00000000-485D-4004-9833-E179400E9E3F}"/>
            </c:ext>
          </c:extLst>
        </c:ser>
        <c:ser>
          <c:idx val="1"/>
          <c:order val="1"/>
          <c:tx>
            <c:strRef>
              <c:f>Ratios!$C$2</c:f>
              <c:strCache>
                <c:ptCount val="1"/>
                <c:pt idx="0">
                  <c:v>2021</c:v>
                </c:pt>
              </c:strCache>
            </c:strRef>
          </c:tx>
          <c:spPr>
            <a:ln w="28575" cap="rnd">
              <a:solidFill>
                <a:schemeClr val="accent2"/>
              </a:solidFill>
              <a:round/>
            </a:ln>
            <a:effectLst/>
          </c:spPr>
          <c:marker>
            <c:symbol val="none"/>
          </c:marker>
          <c:cat>
            <c:strRef>
              <c:f>Ratios!$A$3:$A$19</c:f>
              <c:strCache>
                <c:ptCount val="17"/>
                <c:pt idx="0">
                  <c:v>Gross Margin (%)</c:v>
                </c:pt>
                <c:pt idx="1">
                  <c:v>Operating Margin (%)</c:v>
                </c:pt>
                <c:pt idx="2">
                  <c:v>Net Margin (%)</c:v>
                </c:pt>
                <c:pt idx="3">
                  <c:v>Current Ratio</c:v>
                </c:pt>
                <c:pt idx="4">
                  <c:v>Quick Ratio</c:v>
                </c:pt>
                <c:pt idx="5">
                  <c:v>Cash Ratio</c:v>
                </c:pt>
                <c:pt idx="6">
                  <c:v>Inventory Turnover (times)</c:v>
                </c:pt>
                <c:pt idx="7">
                  <c:v>Days Inventory Outstanding (days)</c:v>
                </c:pt>
                <c:pt idx="8">
                  <c:v>Receivables Turnover (times)</c:v>
                </c:pt>
                <c:pt idx="9">
                  <c:v>Days Sales Outstanding (days)</c:v>
                </c:pt>
                <c:pt idx="10">
                  <c:v>Payables Turnover (times)</c:v>
                </c:pt>
                <c:pt idx="11">
                  <c:v>Days Payable Outstanding (days)</c:v>
                </c:pt>
                <c:pt idx="12">
                  <c:v>Cash Conversion Cycle (days)</c:v>
                </c:pt>
                <c:pt idx="13">
                  <c:v>Debt to Equity (times)</c:v>
                </c:pt>
                <c:pt idx="14">
                  <c:v>Interest Coverage (times)</c:v>
                </c:pt>
                <c:pt idx="15">
                  <c:v>ROA (%)</c:v>
                </c:pt>
                <c:pt idx="16">
                  <c:v>ROE (%)</c:v>
                </c:pt>
              </c:strCache>
            </c:strRef>
          </c:cat>
          <c:val>
            <c:numRef>
              <c:f>Ratios!$C$3:$C$19</c:f>
              <c:numCache>
                <c:formatCode>0.00%</c:formatCode>
                <c:ptCount val="17"/>
                <c:pt idx="0">
                  <c:v>0.28759212901552855</c:v>
                </c:pt>
                <c:pt idx="1">
                  <c:v>3.8651799694814845E-2</c:v>
                </c:pt>
                <c:pt idx="2">
                  <c:v>8.8114733661124791E-3</c:v>
                </c:pt>
                <c:pt idx="3" formatCode="0.000">
                  <c:v>1.5551947303113194</c:v>
                </c:pt>
                <c:pt idx="4" formatCode="0.000">
                  <c:v>0.93491307135575474</c:v>
                </c:pt>
                <c:pt idx="5" formatCode="0.000">
                  <c:v>0.28051958835170004</c:v>
                </c:pt>
                <c:pt idx="6" formatCode="General">
                  <c:v>-3.1872476184101912</c:v>
                </c:pt>
                <c:pt idx="7" formatCode="General">
                  <c:v>4.8896807641298379E-3</c:v>
                </c:pt>
                <c:pt idx="8" formatCode="General">
                  <c:v>3.3593638319021546E-3</c:v>
                </c:pt>
                <c:pt idx="9" formatCode="General">
                  <c:v>1.8097079676731617E-2</c:v>
                </c:pt>
                <c:pt idx="10" formatCode="General">
                  <c:v>0.15009283327144449</c:v>
                </c:pt>
                <c:pt idx="11" formatCode="General">
                  <c:v>1.839068876908349E-2</c:v>
                </c:pt>
                <c:pt idx="12" formatCode="General">
                  <c:v>547055</c:v>
                </c:pt>
                <c:pt idx="13" formatCode="General">
                  <c:v>0</c:v>
                </c:pt>
                <c:pt idx="14" formatCode="0.000">
                  <c:v>0.86560202524621999</c:v>
                </c:pt>
                <c:pt idx="15">
                  <c:v>1.0387030026570106E-2</c:v>
                </c:pt>
                <c:pt idx="16">
                  <c:v>1.9210071426241804E-2</c:v>
                </c:pt>
              </c:numCache>
            </c:numRef>
          </c:val>
          <c:smooth val="0"/>
          <c:extLst>
            <c:ext xmlns:c16="http://schemas.microsoft.com/office/drawing/2014/chart" uri="{C3380CC4-5D6E-409C-BE32-E72D297353CC}">
              <c16:uniqueId val="{00000001-485D-4004-9833-E179400E9E3F}"/>
            </c:ext>
          </c:extLst>
        </c:ser>
        <c:ser>
          <c:idx val="2"/>
          <c:order val="2"/>
          <c:tx>
            <c:strRef>
              <c:f>Ratios!$D$2</c:f>
              <c:strCache>
                <c:ptCount val="1"/>
                <c:pt idx="0">
                  <c:v>2022</c:v>
                </c:pt>
              </c:strCache>
            </c:strRef>
          </c:tx>
          <c:spPr>
            <a:ln w="28575" cap="rnd">
              <a:solidFill>
                <a:schemeClr val="accent3"/>
              </a:solidFill>
              <a:round/>
            </a:ln>
            <a:effectLst/>
          </c:spPr>
          <c:marker>
            <c:symbol val="none"/>
          </c:marker>
          <c:cat>
            <c:strRef>
              <c:f>Ratios!$A$3:$A$19</c:f>
              <c:strCache>
                <c:ptCount val="17"/>
                <c:pt idx="0">
                  <c:v>Gross Margin (%)</c:v>
                </c:pt>
                <c:pt idx="1">
                  <c:v>Operating Margin (%)</c:v>
                </c:pt>
                <c:pt idx="2">
                  <c:v>Net Margin (%)</c:v>
                </c:pt>
                <c:pt idx="3">
                  <c:v>Current Ratio</c:v>
                </c:pt>
                <c:pt idx="4">
                  <c:v>Quick Ratio</c:v>
                </c:pt>
                <c:pt idx="5">
                  <c:v>Cash Ratio</c:v>
                </c:pt>
                <c:pt idx="6">
                  <c:v>Inventory Turnover (times)</c:v>
                </c:pt>
                <c:pt idx="7">
                  <c:v>Days Inventory Outstanding (days)</c:v>
                </c:pt>
                <c:pt idx="8">
                  <c:v>Receivables Turnover (times)</c:v>
                </c:pt>
                <c:pt idx="9">
                  <c:v>Days Sales Outstanding (days)</c:v>
                </c:pt>
                <c:pt idx="10">
                  <c:v>Payables Turnover (times)</c:v>
                </c:pt>
                <c:pt idx="11">
                  <c:v>Days Payable Outstanding (days)</c:v>
                </c:pt>
                <c:pt idx="12">
                  <c:v>Cash Conversion Cycle (days)</c:v>
                </c:pt>
                <c:pt idx="13">
                  <c:v>Debt to Equity (times)</c:v>
                </c:pt>
                <c:pt idx="14">
                  <c:v>Interest Coverage (times)</c:v>
                </c:pt>
                <c:pt idx="15">
                  <c:v>ROA (%)</c:v>
                </c:pt>
                <c:pt idx="16">
                  <c:v>ROE (%)</c:v>
                </c:pt>
              </c:strCache>
            </c:strRef>
          </c:cat>
          <c:val>
            <c:numRef>
              <c:f>Ratios!$D$3:$D$19</c:f>
              <c:numCache>
                <c:formatCode>0.00%</c:formatCode>
                <c:ptCount val="17"/>
                <c:pt idx="0">
                  <c:v>0.28059275800505207</c:v>
                </c:pt>
                <c:pt idx="1">
                  <c:v>2.6804188292605634E-2</c:v>
                </c:pt>
                <c:pt idx="2">
                  <c:v>7.4988346405626153E-4</c:v>
                </c:pt>
                <c:pt idx="3" formatCode="0.000">
                  <c:v>1.5615804280441441</c:v>
                </c:pt>
                <c:pt idx="4" formatCode="0.000">
                  <c:v>0.9140123710578224</c:v>
                </c:pt>
                <c:pt idx="5" formatCode="0.000">
                  <c:v>0.30830634767384385</c:v>
                </c:pt>
                <c:pt idx="6" formatCode="General">
                  <c:v>-2.7853917435315769</c:v>
                </c:pt>
                <c:pt idx="7" formatCode="General">
                  <c:v>5.8129349747575287E-3</c:v>
                </c:pt>
                <c:pt idx="8" formatCode="General">
                  <c:v>3.7254652686038348E-3</c:v>
                </c:pt>
                <c:pt idx="9" formatCode="General">
                  <c:v>1.491622394769105E-2</c:v>
                </c:pt>
                <c:pt idx="10" formatCode="General">
                  <c:v>0.15917499803196095</c:v>
                </c:pt>
                <c:pt idx="11" formatCode="General">
                  <c:v>1.6898930506041947E-2</c:v>
                </c:pt>
                <c:pt idx="12" formatCode="General">
                  <c:v>487536</c:v>
                </c:pt>
                <c:pt idx="13" formatCode="General">
                  <c:v>0</c:v>
                </c:pt>
                <c:pt idx="14" formatCode="0.000">
                  <c:v>0.9044729861056392</c:v>
                </c:pt>
                <c:pt idx="15">
                  <c:v>8.0727859838980649E-4</c:v>
                </c:pt>
                <c:pt idx="16">
                  <c:v>1.5163595448685946E-3</c:v>
                </c:pt>
              </c:numCache>
            </c:numRef>
          </c:val>
          <c:smooth val="0"/>
          <c:extLst>
            <c:ext xmlns:c16="http://schemas.microsoft.com/office/drawing/2014/chart" uri="{C3380CC4-5D6E-409C-BE32-E72D297353CC}">
              <c16:uniqueId val="{00000002-485D-4004-9833-E179400E9E3F}"/>
            </c:ext>
          </c:extLst>
        </c:ser>
        <c:ser>
          <c:idx val="3"/>
          <c:order val="3"/>
          <c:tx>
            <c:strRef>
              <c:f>Ratios!$E$2</c:f>
              <c:strCache>
                <c:ptCount val="1"/>
                <c:pt idx="0">
                  <c:v>2023</c:v>
                </c:pt>
              </c:strCache>
            </c:strRef>
          </c:tx>
          <c:spPr>
            <a:ln w="28575" cap="rnd">
              <a:solidFill>
                <a:schemeClr val="accent4"/>
              </a:solidFill>
              <a:round/>
            </a:ln>
            <a:effectLst/>
          </c:spPr>
          <c:marker>
            <c:symbol val="none"/>
          </c:marker>
          <c:cat>
            <c:strRef>
              <c:f>Ratios!$A$3:$A$19</c:f>
              <c:strCache>
                <c:ptCount val="17"/>
                <c:pt idx="0">
                  <c:v>Gross Margin (%)</c:v>
                </c:pt>
                <c:pt idx="1">
                  <c:v>Operating Margin (%)</c:v>
                </c:pt>
                <c:pt idx="2">
                  <c:v>Net Margin (%)</c:v>
                </c:pt>
                <c:pt idx="3">
                  <c:v>Current Ratio</c:v>
                </c:pt>
                <c:pt idx="4">
                  <c:v>Quick Ratio</c:v>
                </c:pt>
                <c:pt idx="5">
                  <c:v>Cash Ratio</c:v>
                </c:pt>
                <c:pt idx="6">
                  <c:v>Inventory Turnover (times)</c:v>
                </c:pt>
                <c:pt idx="7">
                  <c:v>Days Inventory Outstanding (days)</c:v>
                </c:pt>
                <c:pt idx="8">
                  <c:v>Receivables Turnover (times)</c:v>
                </c:pt>
                <c:pt idx="9">
                  <c:v>Days Sales Outstanding (days)</c:v>
                </c:pt>
                <c:pt idx="10">
                  <c:v>Payables Turnover (times)</c:v>
                </c:pt>
                <c:pt idx="11">
                  <c:v>Days Payable Outstanding (days)</c:v>
                </c:pt>
                <c:pt idx="12">
                  <c:v>Cash Conversion Cycle (days)</c:v>
                </c:pt>
                <c:pt idx="13">
                  <c:v>Debt to Equity (times)</c:v>
                </c:pt>
                <c:pt idx="14">
                  <c:v>Interest Coverage (times)</c:v>
                </c:pt>
                <c:pt idx="15">
                  <c:v>ROA (%)</c:v>
                </c:pt>
                <c:pt idx="16">
                  <c:v>ROE (%)</c:v>
                </c:pt>
              </c:strCache>
            </c:strRef>
          </c:cat>
          <c:val>
            <c:numRef>
              <c:f>Ratios!$E$3:$E$19</c:f>
              <c:numCache>
                <c:formatCode>0.00%</c:formatCode>
                <c:ptCount val="17"/>
                <c:pt idx="0">
                  <c:v>0.23203324002216635</c:v>
                </c:pt>
                <c:pt idx="1">
                  <c:v>-0.20287686969178775</c:v>
                </c:pt>
                <c:pt idx="2">
                  <c:v>-0.23364577114901167</c:v>
                </c:pt>
                <c:pt idx="3" formatCode="0.000">
                  <c:v>1.6062935934668752</c:v>
                </c:pt>
                <c:pt idx="4" formatCode="0.000">
                  <c:v>1.0585176359619728</c:v>
                </c:pt>
                <c:pt idx="5" formatCode="0.000">
                  <c:v>0.26529029215379651</c:v>
                </c:pt>
                <c:pt idx="6" formatCode="General">
                  <c:v>-3.6579361752744326</c:v>
                </c:pt>
                <c:pt idx="7" formatCode="General">
                  <c:v>8.1803715905780054E-3</c:v>
                </c:pt>
                <c:pt idx="8" formatCode="General">
                  <c:v>4.8114313711033474E-3</c:v>
                </c:pt>
                <c:pt idx="9" formatCode="General">
                  <c:v>1.4398990098228728E-2</c:v>
                </c:pt>
                <c:pt idx="10" formatCode="General">
                  <c:v>0.15737067288992609</c:v>
                </c:pt>
                <c:pt idx="11" formatCode="General">
                  <c:v>1.952602578505323E-2</c:v>
                </c:pt>
                <c:pt idx="12" formatCode="General">
                  <c:v>357905</c:v>
                </c:pt>
                <c:pt idx="13" formatCode="General">
                  <c:v>0.36074858409258803</c:v>
                </c:pt>
                <c:pt idx="14" formatCode="0.000">
                  <c:v>1.8743439934399344</c:v>
                </c:pt>
                <c:pt idx="15">
                  <c:v>-0.27604869166441864</c:v>
                </c:pt>
                <c:pt idx="16">
                  <c:v>-0.54906103286384977</c:v>
                </c:pt>
              </c:numCache>
            </c:numRef>
          </c:val>
          <c:smooth val="0"/>
          <c:extLst>
            <c:ext xmlns:c16="http://schemas.microsoft.com/office/drawing/2014/chart" uri="{C3380CC4-5D6E-409C-BE32-E72D297353CC}">
              <c16:uniqueId val="{00000003-485D-4004-9833-E179400E9E3F}"/>
            </c:ext>
          </c:extLst>
        </c:ser>
        <c:ser>
          <c:idx val="4"/>
          <c:order val="4"/>
          <c:tx>
            <c:strRef>
              <c:f>Ratios!$F$2</c:f>
              <c:strCache>
                <c:ptCount val="1"/>
                <c:pt idx="0">
                  <c:v>2024</c:v>
                </c:pt>
              </c:strCache>
            </c:strRef>
          </c:tx>
          <c:spPr>
            <a:ln w="28575" cap="rnd">
              <a:solidFill>
                <a:schemeClr val="accent5"/>
              </a:solidFill>
              <a:round/>
            </a:ln>
            <a:effectLst/>
          </c:spPr>
          <c:marker>
            <c:symbol val="none"/>
          </c:marker>
          <c:cat>
            <c:strRef>
              <c:f>Ratios!$A$3:$A$19</c:f>
              <c:strCache>
                <c:ptCount val="17"/>
                <c:pt idx="0">
                  <c:v>Gross Margin (%)</c:v>
                </c:pt>
                <c:pt idx="1">
                  <c:v>Operating Margin (%)</c:v>
                </c:pt>
                <c:pt idx="2">
                  <c:v>Net Margin (%)</c:v>
                </c:pt>
                <c:pt idx="3">
                  <c:v>Current Ratio</c:v>
                </c:pt>
                <c:pt idx="4">
                  <c:v>Quick Ratio</c:v>
                </c:pt>
                <c:pt idx="5">
                  <c:v>Cash Ratio</c:v>
                </c:pt>
                <c:pt idx="6">
                  <c:v>Inventory Turnover (times)</c:v>
                </c:pt>
                <c:pt idx="7">
                  <c:v>Days Inventory Outstanding (days)</c:v>
                </c:pt>
                <c:pt idx="8">
                  <c:v>Receivables Turnover (times)</c:v>
                </c:pt>
                <c:pt idx="9">
                  <c:v>Days Sales Outstanding (days)</c:v>
                </c:pt>
                <c:pt idx="10">
                  <c:v>Payables Turnover (times)</c:v>
                </c:pt>
                <c:pt idx="11">
                  <c:v>Days Payable Outstanding (days)</c:v>
                </c:pt>
                <c:pt idx="12">
                  <c:v>Cash Conversion Cycle (days)</c:v>
                </c:pt>
                <c:pt idx="13">
                  <c:v>Debt to Equity (times)</c:v>
                </c:pt>
                <c:pt idx="14">
                  <c:v>Interest Coverage (times)</c:v>
                </c:pt>
                <c:pt idx="15">
                  <c:v>ROA (%)</c:v>
                </c:pt>
                <c:pt idx="16">
                  <c:v>ROE (%)</c:v>
                </c:pt>
              </c:strCache>
            </c:strRef>
          </c:cat>
          <c:val>
            <c:numRef>
              <c:f>Ratios!$F$3:$F$19</c:f>
              <c:numCache>
                <c:formatCode>0.00%</c:formatCode>
                <c:ptCount val="17"/>
                <c:pt idx="0">
                  <c:v>0.28868083640811487</c:v>
                </c:pt>
                <c:pt idx="1">
                  <c:v>-3.8738448993235905E-2</c:v>
                </c:pt>
                <c:pt idx="2">
                  <c:v>-6.0851551994408414E-2</c:v>
                </c:pt>
                <c:pt idx="3" formatCode="0.000">
                  <c:v>1.5319506478574272</c:v>
                </c:pt>
                <c:pt idx="4" formatCode="0.000">
                  <c:v>1.0306271360974408</c:v>
                </c:pt>
                <c:pt idx="5" formatCode="0.000">
                  <c:v>0.16920102848551086</c:v>
                </c:pt>
                <c:pt idx="6" formatCode="General">
                  <c:v>-3.5396005292672168</c:v>
                </c:pt>
                <c:pt idx="7" formatCode="General">
                  <c:v>1.0670330634080743E-2</c:v>
                </c:pt>
                <c:pt idx="8" formatCode="General">
                  <c:v>5.125620759777046E-3</c:v>
                </c:pt>
                <c:pt idx="9" formatCode="General">
                  <c:v>1.5184291538397537E-2</c:v>
                </c:pt>
                <c:pt idx="10" formatCode="General">
                  <c:v>0.15618489080947603</c:v>
                </c:pt>
                <c:pt idx="11" formatCode="General">
                  <c:v>2.548526742075129E-2</c:v>
                </c:pt>
                <c:pt idx="12" formatCode="General">
                  <c:v>358425</c:v>
                </c:pt>
                <c:pt idx="13" formatCode="General">
                  <c:v>0.45290772686003727</c:v>
                </c:pt>
                <c:pt idx="14" formatCode="0.000">
                  <c:v>1.1341912732249066</c:v>
                </c:pt>
                <c:pt idx="15">
                  <c:v>-7.4311745022483097E-2</c:v>
                </c:pt>
                <c:pt idx="16">
                  <c:v>-0.1569445805166389</c:v>
                </c:pt>
              </c:numCache>
            </c:numRef>
          </c:val>
          <c:smooth val="0"/>
          <c:extLst>
            <c:ext xmlns:c16="http://schemas.microsoft.com/office/drawing/2014/chart" uri="{C3380CC4-5D6E-409C-BE32-E72D297353CC}">
              <c16:uniqueId val="{00000004-485D-4004-9833-E179400E9E3F}"/>
            </c:ext>
          </c:extLst>
        </c:ser>
        <c:dLbls>
          <c:showLegendKey val="0"/>
          <c:showVal val="0"/>
          <c:showCatName val="0"/>
          <c:showSerName val="0"/>
          <c:showPercent val="0"/>
          <c:showBubbleSize val="0"/>
        </c:dLbls>
        <c:smooth val="0"/>
        <c:axId val="429511744"/>
        <c:axId val="429512528"/>
      </c:lineChart>
      <c:catAx>
        <c:axId val="429511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9512528"/>
        <c:crosses val="autoZero"/>
        <c:auto val="1"/>
        <c:lblAlgn val="ctr"/>
        <c:lblOffset val="100"/>
        <c:noMultiLvlLbl val="0"/>
      </c:catAx>
      <c:valAx>
        <c:axId val="4295125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95117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Investment Appraisal - Projects A, B, C (All £m)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Investment_Appraisal!$C$5</c:f>
              <c:strCache>
                <c:ptCount val="1"/>
                <c:pt idx="0">
                  <c:v>A</c:v>
                </c:pt>
              </c:strCache>
            </c:strRef>
          </c:tx>
          <c:spPr>
            <a:solidFill>
              <a:schemeClr val="accent1"/>
            </a:solidFill>
            <a:ln>
              <a:noFill/>
            </a:ln>
            <a:effectLst/>
          </c:spPr>
          <c:invertIfNegative val="0"/>
          <c:cat>
            <c:strRef>
              <c:f>Investment_Appraisal!$B$6:$B$13</c:f>
              <c:strCache>
                <c:ptCount val="8"/>
                <c:pt idx="0">
                  <c:v>Initial Investment (enter negative number)</c:v>
                </c:pt>
                <c:pt idx="1">
                  <c:v>Year 1 Cash Inflow</c:v>
                </c:pt>
                <c:pt idx="2">
                  <c:v>Year 2 Cash Inflow</c:v>
                </c:pt>
                <c:pt idx="3">
                  <c:v>Year 3 Cash Inflow</c:v>
                </c:pt>
                <c:pt idx="4">
                  <c:v>Year 4 Cash Inflow</c:v>
                </c:pt>
                <c:pt idx="5">
                  <c:v>Year 5 Cash Inflow</c:v>
                </c:pt>
                <c:pt idx="6">
                  <c:v>Depreciation (SL)</c:v>
                </c:pt>
                <c:pt idx="7">
                  <c:v>Annual Accounting Profit (Cash inflow - Depreciation)</c:v>
                </c:pt>
              </c:strCache>
            </c:strRef>
          </c:cat>
          <c:val>
            <c:numRef>
              <c:f>Investment_Appraisal!$C$6:$C$13</c:f>
              <c:numCache>
                <c:formatCode>General</c:formatCode>
                <c:ptCount val="8"/>
                <c:pt idx="0">
                  <c:v>-40</c:v>
                </c:pt>
                <c:pt idx="1">
                  <c:v>10</c:v>
                </c:pt>
                <c:pt idx="2">
                  <c:v>12</c:v>
                </c:pt>
                <c:pt idx="3">
                  <c:v>14</c:v>
                </c:pt>
                <c:pt idx="4">
                  <c:v>10</c:v>
                </c:pt>
                <c:pt idx="5">
                  <c:v>8</c:v>
                </c:pt>
                <c:pt idx="6">
                  <c:v>0</c:v>
                </c:pt>
                <c:pt idx="7">
                  <c:v>10</c:v>
                </c:pt>
              </c:numCache>
            </c:numRef>
          </c:val>
          <c:extLst>
            <c:ext xmlns:c16="http://schemas.microsoft.com/office/drawing/2014/chart" uri="{C3380CC4-5D6E-409C-BE32-E72D297353CC}">
              <c16:uniqueId val="{00000000-0F20-463E-BFD9-BB65BEA854A8}"/>
            </c:ext>
          </c:extLst>
        </c:ser>
        <c:ser>
          <c:idx val="1"/>
          <c:order val="1"/>
          <c:tx>
            <c:strRef>
              <c:f>Investment_Appraisal!$D$5</c:f>
              <c:strCache>
                <c:ptCount val="1"/>
                <c:pt idx="0">
                  <c:v>B</c:v>
                </c:pt>
              </c:strCache>
            </c:strRef>
          </c:tx>
          <c:spPr>
            <a:solidFill>
              <a:schemeClr val="accent2"/>
            </a:solidFill>
            <a:ln>
              <a:noFill/>
            </a:ln>
            <a:effectLst/>
          </c:spPr>
          <c:invertIfNegative val="0"/>
          <c:cat>
            <c:strRef>
              <c:f>Investment_Appraisal!$B$6:$B$13</c:f>
              <c:strCache>
                <c:ptCount val="8"/>
                <c:pt idx="0">
                  <c:v>Initial Investment (enter negative number)</c:v>
                </c:pt>
                <c:pt idx="1">
                  <c:v>Year 1 Cash Inflow</c:v>
                </c:pt>
                <c:pt idx="2">
                  <c:v>Year 2 Cash Inflow</c:v>
                </c:pt>
                <c:pt idx="3">
                  <c:v>Year 3 Cash Inflow</c:v>
                </c:pt>
                <c:pt idx="4">
                  <c:v>Year 4 Cash Inflow</c:v>
                </c:pt>
                <c:pt idx="5">
                  <c:v>Year 5 Cash Inflow</c:v>
                </c:pt>
                <c:pt idx="6">
                  <c:v>Depreciation (SL)</c:v>
                </c:pt>
                <c:pt idx="7">
                  <c:v>Annual Accounting Profit (Cash inflow - Depreciation)</c:v>
                </c:pt>
              </c:strCache>
            </c:strRef>
          </c:cat>
          <c:val>
            <c:numRef>
              <c:f>Investment_Appraisal!$D$6:$D$13</c:f>
              <c:numCache>
                <c:formatCode>General</c:formatCode>
                <c:ptCount val="8"/>
                <c:pt idx="0">
                  <c:v>-30</c:v>
                </c:pt>
                <c:pt idx="1">
                  <c:v>6</c:v>
                </c:pt>
                <c:pt idx="2">
                  <c:v>6</c:v>
                </c:pt>
                <c:pt idx="3">
                  <c:v>6</c:v>
                </c:pt>
                <c:pt idx="4">
                  <c:v>6</c:v>
                </c:pt>
                <c:pt idx="5">
                  <c:v>6</c:v>
                </c:pt>
                <c:pt idx="6">
                  <c:v>0</c:v>
                </c:pt>
                <c:pt idx="7">
                  <c:v>6</c:v>
                </c:pt>
              </c:numCache>
            </c:numRef>
          </c:val>
          <c:extLst>
            <c:ext xmlns:c16="http://schemas.microsoft.com/office/drawing/2014/chart" uri="{C3380CC4-5D6E-409C-BE32-E72D297353CC}">
              <c16:uniqueId val="{00000001-0F20-463E-BFD9-BB65BEA854A8}"/>
            </c:ext>
          </c:extLst>
        </c:ser>
        <c:ser>
          <c:idx val="2"/>
          <c:order val="2"/>
          <c:tx>
            <c:strRef>
              <c:f>Investment_Appraisal!$E$5</c:f>
              <c:strCache>
                <c:ptCount val="1"/>
                <c:pt idx="0">
                  <c:v>C</c:v>
                </c:pt>
              </c:strCache>
            </c:strRef>
          </c:tx>
          <c:spPr>
            <a:solidFill>
              <a:schemeClr val="accent3"/>
            </a:solidFill>
            <a:ln>
              <a:noFill/>
            </a:ln>
            <a:effectLst/>
          </c:spPr>
          <c:invertIfNegative val="0"/>
          <c:cat>
            <c:strRef>
              <c:f>Investment_Appraisal!$B$6:$B$13</c:f>
              <c:strCache>
                <c:ptCount val="8"/>
                <c:pt idx="0">
                  <c:v>Initial Investment (enter negative number)</c:v>
                </c:pt>
                <c:pt idx="1">
                  <c:v>Year 1 Cash Inflow</c:v>
                </c:pt>
                <c:pt idx="2">
                  <c:v>Year 2 Cash Inflow</c:v>
                </c:pt>
                <c:pt idx="3">
                  <c:v>Year 3 Cash Inflow</c:v>
                </c:pt>
                <c:pt idx="4">
                  <c:v>Year 4 Cash Inflow</c:v>
                </c:pt>
                <c:pt idx="5">
                  <c:v>Year 5 Cash Inflow</c:v>
                </c:pt>
                <c:pt idx="6">
                  <c:v>Depreciation (SL)</c:v>
                </c:pt>
                <c:pt idx="7">
                  <c:v>Annual Accounting Profit (Cash inflow - Depreciation)</c:v>
                </c:pt>
              </c:strCache>
            </c:strRef>
          </c:cat>
          <c:val>
            <c:numRef>
              <c:f>Investment_Appraisal!$E$6:$E$13</c:f>
              <c:numCache>
                <c:formatCode>General</c:formatCode>
                <c:ptCount val="8"/>
                <c:pt idx="0">
                  <c:v>-50</c:v>
                </c:pt>
                <c:pt idx="1">
                  <c:v>5</c:v>
                </c:pt>
                <c:pt idx="2">
                  <c:v>10</c:v>
                </c:pt>
                <c:pt idx="3">
                  <c:v>20</c:v>
                </c:pt>
                <c:pt idx="4">
                  <c:v>25</c:v>
                </c:pt>
                <c:pt idx="5">
                  <c:v>15</c:v>
                </c:pt>
                <c:pt idx="6">
                  <c:v>0</c:v>
                </c:pt>
                <c:pt idx="7">
                  <c:v>5</c:v>
                </c:pt>
              </c:numCache>
            </c:numRef>
          </c:val>
          <c:extLst>
            <c:ext xmlns:c16="http://schemas.microsoft.com/office/drawing/2014/chart" uri="{C3380CC4-5D6E-409C-BE32-E72D297353CC}">
              <c16:uniqueId val="{00000002-0F20-463E-BFD9-BB65BEA854A8}"/>
            </c:ext>
          </c:extLst>
        </c:ser>
        <c:dLbls>
          <c:showLegendKey val="0"/>
          <c:showVal val="0"/>
          <c:showCatName val="0"/>
          <c:showSerName val="0"/>
          <c:showPercent val="0"/>
          <c:showBubbleSize val="0"/>
        </c:dLbls>
        <c:gapWidth val="182"/>
        <c:axId val="394481584"/>
        <c:axId val="394484720"/>
      </c:barChart>
      <c:catAx>
        <c:axId val="3944815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484720"/>
        <c:crosses val="autoZero"/>
        <c:auto val="1"/>
        <c:lblAlgn val="ctr"/>
        <c:lblOffset val="100"/>
        <c:noMultiLvlLbl val="0"/>
      </c:catAx>
      <c:valAx>
        <c:axId val="3944847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4815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Ratio Analysis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Ratios!$B$2</c:f>
              <c:strCache>
                <c:ptCount val="1"/>
                <c:pt idx="0">
                  <c:v>2020</c:v>
                </c:pt>
              </c:strCache>
            </c:strRef>
          </c:tx>
          <c:spPr>
            <a:ln w="28575" cap="rnd">
              <a:solidFill>
                <a:schemeClr val="accent1"/>
              </a:solidFill>
              <a:round/>
            </a:ln>
            <a:effectLst/>
          </c:spPr>
          <c:marker>
            <c:symbol val="none"/>
          </c:marker>
          <c:cat>
            <c:strRef>
              <c:f>Ratios!$A$3:$A$19</c:f>
              <c:strCache>
                <c:ptCount val="17"/>
                <c:pt idx="0">
                  <c:v>Gross Margin (%)</c:v>
                </c:pt>
                <c:pt idx="1">
                  <c:v>Operating Margin (%)</c:v>
                </c:pt>
                <c:pt idx="2">
                  <c:v>Net Margin (%)</c:v>
                </c:pt>
                <c:pt idx="3">
                  <c:v>Current Ratio</c:v>
                </c:pt>
                <c:pt idx="4">
                  <c:v>Quick Ratio</c:v>
                </c:pt>
                <c:pt idx="5">
                  <c:v>Cash Ratio</c:v>
                </c:pt>
                <c:pt idx="6">
                  <c:v>Inventory Turnover (times)</c:v>
                </c:pt>
                <c:pt idx="7">
                  <c:v>Days Inventory Outstanding (days)</c:v>
                </c:pt>
                <c:pt idx="8">
                  <c:v>Receivables Turnover (times)</c:v>
                </c:pt>
                <c:pt idx="9">
                  <c:v>Days Sales Outstanding (days)</c:v>
                </c:pt>
                <c:pt idx="10">
                  <c:v>Payables Turnover (times)</c:v>
                </c:pt>
                <c:pt idx="11">
                  <c:v>Days Payable Outstanding (days)</c:v>
                </c:pt>
                <c:pt idx="12">
                  <c:v>Cash Conversion Cycle (days)</c:v>
                </c:pt>
                <c:pt idx="13">
                  <c:v>Debt to Equity (times)</c:v>
                </c:pt>
                <c:pt idx="14">
                  <c:v>Interest Coverage (times)</c:v>
                </c:pt>
                <c:pt idx="15">
                  <c:v>ROA (%)</c:v>
                </c:pt>
                <c:pt idx="16">
                  <c:v>ROE (%)</c:v>
                </c:pt>
              </c:strCache>
            </c:strRef>
          </c:cat>
          <c:val>
            <c:numRef>
              <c:f>Ratios!$B$3:$B$19</c:f>
              <c:numCache>
                <c:formatCode>0.00%</c:formatCode>
                <c:ptCount val="17"/>
                <c:pt idx="0">
                  <c:v>0.28674432224897506</c:v>
                </c:pt>
                <c:pt idx="1">
                  <c:v>6.0628294397084663E-2</c:v>
                </c:pt>
                <c:pt idx="2">
                  <c:v>6.2751350296089026E-2</c:v>
                </c:pt>
                <c:pt idx="3" formatCode="0.000">
                  <c:v>1.8207509330956493</c:v>
                </c:pt>
                <c:pt idx="4" formatCode="0.000">
                  <c:v>1.1498690880730877</c:v>
                </c:pt>
                <c:pt idx="5" formatCode="0.000">
                  <c:v>0.31838337697064228</c:v>
                </c:pt>
                <c:pt idx="6" formatCode="General">
                  <c:v>-3.6404882504359377</c:v>
                </c:pt>
                <c:pt idx="7" formatCode="General">
                  <c:v>4.1817036145958639E-3</c:v>
                </c:pt>
                <c:pt idx="8" formatCode="General">
                  <c:v>3.286262770872649E-3</c:v>
                </c:pt>
                <c:pt idx="9" formatCode="General">
                  <c:v>1.8518518518518517E-2</c:v>
                </c:pt>
                <c:pt idx="10" formatCode="General">
                  <c:v>0.14539696249910028</c:v>
                </c:pt>
                <c:pt idx="11" formatCode="General">
                  <c:v>1.8696854830447699E-2</c:v>
                </c:pt>
                <c:pt idx="12" formatCode="General">
                  <c:v>573519</c:v>
                </c:pt>
                <c:pt idx="13" formatCode="General">
                  <c:v>0</c:v>
                </c:pt>
                <c:pt idx="14" formatCode="0.000">
                  <c:v>0.78856322621641251</c:v>
                </c:pt>
                <c:pt idx="15">
                  <c:v>7.5588390914969925E-2</c:v>
                </c:pt>
                <c:pt idx="16">
                  <c:v>0.1231148320624575</c:v>
                </c:pt>
              </c:numCache>
            </c:numRef>
          </c:val>
          <c:smooth val="0"/>
          <c:extLst>
            <c:ext xmlns:c16="http://schemas.microsoft.com/office/drawing/2014/chart" uri="{C3380CC4-5D6E-409C-BE32-E72D297353CC}">
              <c16:uniqueId val="{00000000-4AC5-442A-9E5F-A3243A356292}"/>
            </c:ext>
          </c:extLst>
        </c:ser>
        <c:ser>
          <c:idx val="1"/>
          <c:order val="1"/>
          <c:tx>
            <c:strRef>
              <c:f>Ratios!$C$2</c:f>
              <c:strCache>
                <c:ptCount val="1"/>
                <c:pt idx="0">
                  <c:v>2021</c:v>
                </c:pt>
              </c:strCache>
            </c:strRef>
          </c:tx>
          <c:spPr>
            <a:ln w="28575" cap="rnd">
              <a:solidFill>
                <a:schemeClr val="accent2"/>
              </a:solidFill>
              <a:round/>
            </a:ln>
            <a:effectLst/>
          </c:spPr>
          <c:marker>
            <c:symbol val="none"/>
          </c:marker>
          <c:cat>
            <c:strRef>
              <c:f>Ratios!$A$3:$A$19</c:f>
              <c:strCache>
                <c:ptCount val="17"/>
                <c:pt idx="0">
                  <c:v>Gross Margin (%)</c:v>
                </c:pt>
                <c:pt idx="1">
                  <c:v>Operating Margin (%)</c:v>
                </c:pt>
                <c:pt idx="2">
                  <c:v>Net Margin (%)</c:v>
                </c:pt>
                <c:pt idx="3">
                  <c:v>Current Ratio</c:v>
                </c:pt>
                <c:pt idx="4">
                  <c:v>Quick Ratio</c:v>
                </c:pt>
                <c:pt idx="5">
                  <c:v>Cash Ratio</c:v>
                </c:pt>
                <c:pt idx="6">
                  <c:v>Inventory Turnover (times)</c:v>
                </c:pt>
                <c:pt idx="7">
                  <c:v>Days Inventory Outstanding (days)</c:v>
                </c:pt>
                <c:pt idx="8">
                  <c:v>Receivables Turnover (times)</c:v>
                </c:pt>
                <c:pt idx="9">
                  <c:v>Days Sales Outstanding (days)</c:v>
                </c:pt>
                <c:pt idx="10">
                  <c:v>Payables Turnover (times)</c:v>
                </c:pt>
                <c:pt idx="11">
                  <c:v>Days Payable Outstanding (days)</c:v>
                </c:pt>
                <c:pt idx="12">
                  <c:v>Cash Conversion Cycle (days)</c:v>
                </c:pt>
                <c:pt idx="13">
                  <c:v>Debt to Equity (times)</c:v>
                </c:pt>
                <c:pt idx="14">
                  <c:v>Interest Coverage (times)</c:v>
                </c:pt>
                <c:pt idx="15">
                  <c:v>ROA (%)</c:v>
                </c:pt>
                <c:pt idx="16">
                  <c:v>ROE (%)</c:v>
                </c:pt>
              </c:strCache>
            </c:strRef>
          </c:cat>
          <c:val>
            <c:numRef>
              <c:f>Ratios!$C$3:$C$19</c:f>
              <c:numCache>
                <c:formatCode>0.00%</c:formatCode>
                <c:ptCount val="17"/>
                <c:pt idx="0">
                  <c:v>0.28759212901552855</c:v>
                </c:pt>
                <c:pt idx="1">
                  <c:v>3.8651799694814845E-2</c:v>
                </c:pt>
                <c:pt idx="2">
                  <c:v>8.8114733661124791E-3</c:v>
                </c:pt>
                <c:pt idx="3" formatCode="0.000">
                  <c:v>1.5551947303113194</c:v>
                </c:pt>
                <c:pt idx="4" formatCode="0.000">
                  <c:v>0.93491307135575474</c:v>
                </c:pt>
                <c:pt idx="5" formatCode="0.000">
                  <c:v>0.28051958835170004</c:v>
                </c:pt>
                <c:pt idx="6" formatCode="General">
                  <c:v>-3.1872476184101912</c:v>
                </c:pt>
                <c:pt idx="7" formatCode="General">
                  <c:v>4.8896807641298379E-3</c:v>
                </c:pt>
                <c:pt idx="8" formatCode="General">
                  <c:v>3.3593638319021546E-3</c:v>
                </c:pt>
                <c:pt idx="9" formatCode="General">
                  <c:v>1.8097079676731617E-2</c:v>
                </c:pt>
                <c:pt idx="10" formatCode="General">
                  <c:v>0.15009283327144449</c:v>
                </c:pt>
                <c:pt idx="11" formatCode="General">
                  <c:v>1.839068876908349E-2</c:v>
                </c:pt>
                <c:pt idx="12" formatCode="General">
                  <c:v>547055</c:v>
                </c:pt>
                <c:pt idx="13" formatCode="General">
                  <c:v>0</c:v>
                </c:pt>
                <c:pt idx="14" formatCode="0.000">
                  <c:v>0.86560202524621999</c:v>
                </c:pt>
                <c:pt idx="15">
                  <c:v>1.0387030026570106E-2</c:v>
                </c:pt>
                <c:pt idx="16">
                  <c:v>1.9210071426241804E-2</c:v>
                </c:pt>
              </c:numCache>
            </c:numRef>
          </c:val>
          <c:smooth val="0"/>
          <c:extLst>
            <c:ext xmlns:c16="http://schemas.microsoft.com/office/drawing/2014/chart" uri="{C3380CC4-5D6E-409C-BE32-E72D297353CC}">
              <c16:uniqueId val="{00000001-4AC5-442A-9E5F-A3243A356292}"/>
            </c:ext>
          </c:extLst>
        </c:ser>
        <c:ser>
          <c:idx val="2"/>
          <c:order val="2"/>
          <c:tx>
            <c:strRef>
              <c:f>Ratios!$D$2</c:f>
              <c:strCache>
                <c:ptCount val="1"/>
                <c:pt idx="0">
                  <c:v>2022</c:v>
                </c:pt>
              </c:strCache>
            </c:strRef>
          </c:tx>
          <c:spPr>
            <a:ln w="28575" cap="rnd">
              <a:solidFill>
                <a:schemeClr val="accent3"/>
              </a:solidFill>
              <a:round/>
            </a:ln>
            <a:effectLst/>
          </c:spPr>
          <c:marker>
            <c:symbol val="none"/>
          </c:marker>
          <c:cat>
            <c:strRef>
              <c:f>Ratios!$A$3:$A$19</c:f>
              <c:strCache>
                <c:ptCount val="17"/>
                <c:pt idx="0">
                  <c:v>Gross Margin (%)</c:v>
                </c:pt>
                <c:pt idx="1">
                  <c:v>Operating Margin (%)</c:v>
                </c:pt>
                <c:pt idx="2">
                  <c:v>Net Margin (%)</c:v>
                </c:pt>
                <c:pt idx="3">
                  <c:v>Current Ratio</c:v>
                </c:pt>
                <c:pt idx="4">
                  <c:v>Quick Ratio</c:v>
                </c:pt>
                <c:pt idx="5">
                  <c:v>Cash Ratio</c:v>
                </c:pt>
                <c:pt idx="6">
                  <c:v>Inventory Turnover (times)</c:v>
                </c:pt>
                <c:pt idx="7">
                  <c:v>Days Inventory Outstanding (days)</c:v>
                </c:pt>
                <c:pt idx="8">
                  <c:v>Receivables Turnover (times)</c:v>
                </c:pt>
                <c:pt idx="9">
                  <c:v>Days Sales Outstanding (days)</c:v>
                </c:pt>
                <c:pt idx="10">
                  <c:v>Payables Turnover (times)</c:v>
                </c:pt>
                <c:pt idx="11">
                  <c:v>Days Payable Outstanding (days)</c:v>
                </c:pt>
                <c:pt idx="12">
                  <c:v>Cash Conversion Cycle (days)</c:v>
                </c:pt>
                <c:pt idx="13">
                  <c:v>Debt to Equity (times)</c:v>
                </c:pt>
                <c:pt idx="14">
                  <c:v>Interest Coverage (times)</c:v>
                </c:pt>
                <c:pt idx="15">
                  <c:v>ROA (%)</c:v>
                </c:pt>
                <c:pt idx="16">
                  <c:v>ROE (%)</c:v>
                </c:pt>
              </c:strCache>
            </c:strRef>
          </c:cat>
          <c:val>
            <c:numRef>
              <c:f>Ratios!$D$3:$D$19</c:f>
              <c:numCache>
                <c:formatCode>0.00%</c:formatCode>
                <c:ptCount val="17"/>
                <c:pt idx="0">
                  <c:v>0.28059275800505207</c:v>
                </c:pt>
                <c:pt idx="1">
                  <c:v>2.6804188292605634E-2</c:v>
                </c:pt>
                <c:pt idx="2">
                  <c:v>7.4988346405626153E-4</c:v>
                </c:pt>
                <c:pt idx="3" formatCode="0.000">
                  <c:v>1.5615804280441441</c:v>
                </c:pt>
                <c:pt idx="4" formatCode="0.000">
                  <c:v>0.9140123710578224</c:v>
                </c:pt>
                <c:pt idx="5" formatCode="0.000">
                  <c:v>0.30830634767384385</c:v>
                </c:pt>
                <c:pt idx="6" formatCode="General">
                  <c:v>-2.7853917435315769</c:v>
                </c:pt>
                <c:pt idx="7" formatCode="General">
                  <c:v>5.8129349747575287E-3</c:v>
                </c:pt>
                <c:pt idx="8" formatCode="General">
                  <c:v>3.7254652686038348E-3</c:v>
                </c:pt>
                <c:pt idx="9" formatCode="General">
                  <c:v>1.491622394769105E-2</c:v>
                </c:pt>
                <c:pt idx="10" formatCode="General">
                  <c:v>0.15917499803196095</c:v>
                </c:pt>
                <c:pt idx="11" formatCode="General">
                  <c:v>1.6898930506041947E-2</c:v>
                </c:pt>
                <c:pt idx="12" formatCode="General">
                  <c:v>487536</c:v>
                </c:pt>
                <c:pt idx="13" formatCode="General">
                  <c:v>0</c:v>
                </c:pt>
                <c:pt idx="14" formatCode="0.000">
                  <c:v>0.9044729861056392</c:v>
                </c:pt>
                <c:pt idx="15">
                  <c:v>8.0727859838980649E-4</c:v>
                </c:pt>
                <c:pt idx="16">
                  <c:v>1.5163595448685946E-3</c:v>
                </c:pt>
              </c:numCache>
            </c:numRef>
          </c:val>
          <c:smooth val="0"/>
          <c:extLst>
            <c:ext xmlns:c16="http://schemas.microsoft.com/office/drawing/2014/chart" uri="{C3380CC4-5D6E-409C-BE32-E72D297353CC}">
              <c16:uniqueId val="{00000002-4AC5-442A-9E5F-A3243A356292}"/>
            </c:ext>
          </c:extLst>
        </c:ser>
        <c:ser>
          <c:idx val="3"/>
          <c:order val="3"/>
          <c:tx>
            <c:strRef>
              <c:f>Ratios!$E$2</c:f>
              <c:strCache>
                <c:ptCount val="1"/>
                <c:pt idx="0">
                  <c:v>2023</c:v>
                </c:pt>
              </c:strCache>
            </c:strRef>
          </c:tx>
          <c:spPr>
            <a:ln w="28575" cap="rnd">
              <a:solidFill>
                <a:schemeClr val="accent4"/>
              </a:solidFill>
              <a:round/>
            </a:ln>
            <a:effectLst/>
          </c:spPr>
          <c:marker>
            <c:symbol val="none"/>
          </c:marker>
          <c:cat>
            <c:strRef>
              <c:f>Ratios!$A$3:$A$19</c:f>
              <c:strCache>
                <c:ptCount val="17"/>
                <c:pt idx="0">
                  <c:v>Gross Margin (%)</c:v>
                </c:pt>
                <c:pt idx="1">
                  <c:v>Operating Margin (%)</c:v>
                </c:pt>
                <c:pt idx="2">
                  <c:v>Net Margin (%)</c:v>
                </c:pt>
                <c:pt idx="3">
                  <c:v>Current Ratio</c:v>
                </c:pt>
                <c:pt idx="4">
                  <c:v>Quick Ratio</c:v>
                </c:pt>
                <c:pt idx="5">
                  <c:v>Cash Ratio</c:v>
                </c:pt>
                <c:pt idx="6">
                  <c:v>Inventory Turnover (times)</c:v>
                </c:pt>
                <c:pt idx="7">
                  <c:v>Days Inventory Outstanding (days)</c:v>
                </c:pt>
                <c:pt idx="8">
                  <c:v>Receivables Turnover (times)</c:v>
                </c:pt>
                <c:pt idx="9">
                  <c:v>Days Sales Outstanding (days)</c:v>
                </c:pt>
                <c:pt idx="10">
                  <c:v>Payables Turnover (times)</c:v>
                </c:pt>
                <c:pt idx="11">
                  <c:v>Days Payable Outstanding (days)</c:v>
                </c:pt>
                <c:pt idx="12">
                  <c:v>Cash Conversion Cycle (days)</c:v>
                </c:pt>
                <c:pt idx="13">
                  <c:v>Debt to Equity (times)</c:v>
                </c:pt>
                <c:pt idx="14">
                  <c:v>Interest Coverage (times)</c:v>
                </c:pt>
                <c:pt idx="15">
                  <c:v>ROA (%)</c:v>
                </c:pt>
                <c:pt idx="16">
                  <c:v>ROE (%)</c:v>
                </c:pt>
              </c:strCache>
            </c:strRef>
          </c:cat>
          <c:val>
            <c:numRef>
              <c:f>Ratios!$E$3:$E$19</c:f>
              <c:numCache>
                <c:formatCode>0.00%</c:formatCode>
                <c:ptCount val="17"/>
                <c:pt idx="0">
                  <c:v>0.23203324002216635</c:v>
                </c:pt>
                <c:pt idx="1">
                  <c:v>-0.20287686969178775</c:v>
                </c:pt>
                <c:pt idx="2">
                  <c:v>-0.23364577114901167</c:v>
                </c:pt>
                <c:pt idx="3" formatCode="0.000">
                  <c:v>1.6062935934668752</c:v>
                </c:pt>
                <c:pt idx="4" formatCode="0.000">
                  <c:v>1.0585176359619728</c:v>
                </c:pt>
                <c:pt idx="5" formatCode="0.000">
                  <c:v>0.26529029215379651</c:v>
                </c:pt>
                <c:pt idx="6" formatCode="General">
                  <c:v>-3.6579361752744326</c:v>
                </c:pt>
                <c:pt idx="7" formatCode="General">
                  <c:v>8.1803715905780054E-3</c:v>
                </c:pt>
                <c:pt idx="8" formatCode="General">
                  <c:v>4.8114313711033474E-3</c:v>
                </c:pt>
                <c:pt idx="9" formatCode="General">
                  <c:v>1.4398990098228728E-2</c:v>
                </c:pt>
                <c:pt idx="10" formatCode="General">
                  <c:v>0.15737067288992609</c:v>
                </c:pt>
                <c:pt idx="11" formatCode="General">
                  <c:v>1.952602578505323E-2</c:v>
                </c:pt>
                <c:pt idx="12" formatCode="General">
                  <c:v>357905</c:v>
                </c:pt>
                <c:pt idx="13" formatCode="General">
                  <c:v>0.36074858409258803</c:v>
                </c:pt>
                <c:pt idx="14" formatCode="0.000">
                  <c:v>1.8743439934399344</c:v>
                </c:pt>
                <c:pt idx="15">
                  <c:v>-0.27604869166441864</c:v>
                </c:pt>
                <c:pt idx="16">
                  <c:v>-0.54906103286384977</c:v>
                </c:pt>
              </c:numCache>
            </c:numRef>
          </c:val>
          <c:smooth val="0"/>
          <c:extLst>
            <c:ext xmlns:c16="http://schemas.microsoft.com/office/drawing/2014/chart" uri="{C3380CC4-5D6E-409C-BE32-E72D297353CC}">
              <c16:uniqueId val="{00000003-4AC5-442A-9E5F-A3243A356292}"/>
            </c:ext>
          </c:extLst>
        </c:ser>
        <c:ser>
          <c:idx val="4"/>
          <c:order val="4"/>
          <c:tx>
            <c:strRef>
              <c:f>Ratios!$F$2</c:f>
              <c:strCache>
                <c:ptCount val="1"/>
                <c:pt idx="0">
                  <c:v>2024</c:v>
                </c:pt>
              </c:strCache>
            </c:strRef>
          </c:tx>
          <c:spPr>
            <a:ln w="28575" cap="rnd">
              <a:solidFill>
                <a:schemeClr val="accent5"/>
              </a:solidFill>
              <a:round/>
            </a:ln>
            <a:effectLst/>
          </c:spPr>
          <c:marker>
            <c:symbol val="none"/>
          </c:marker>
          <c:cat>
            <c:strRef>
              <c:f>Ratios!$A$3:$A$19</c:f>
              <c:strCache>
                <c:ptCount val="17"/>
                <c:pt idx="0">
                  <c:v>Gross Margin (%)</c:v>
                </c:pt>
                <c:pt idx="1">
                  <c:v>Operating Margin (%)</c:v>
                </c:pt>
                <c:pt idx="2">
                  <c:v>Net Margin (%)</c:v>
                </c:pt>
                <c:pt idx="3">
                  <c:v>Current Ratio</c:v>
                </c:pt>
                <c:pt idx="4">
                  <c:v>Quick Ratio</c:v>
                </c:pt>
                <c:pt idx="5">
                  <c:v>Cash Ratio</c:v>
                </c:pt>
                <c:pt idx="6">
                  <c:v>Inventory Turnover (times)</c:v>
                </c:pt>
                <c:pt idx="7">
                  <c:v>Days Inventory Outstanding (days)</c:v>
                </c:pt>
                <c:pt idx="8">
                  <c:v>Receivables Turnover (times)</c:v>
                </c:pt>
                <c:pt idx="9">
                  <c:v>Days Sales Outstanding (days)</c:v>
                </c:pt>
                <c:pt idx="10">
                  <c:v>Payables Turnover (times)</c:v>
                </c:pt>
                <c:pt idx="11">
                  <c:v>Days Payable Outstanding (days)</c:v>
                </c:pt>
                <c:pt idx="12">
                  <c:v>Cash Conversion Cycle (days)</c:v>
                </c:pt>
                <c:pt idx="13">
                  <c:v>Debt to Equity (times)</c:v>
                </c:pt>
                <c:pt idx="14">
                  <c:v>Interest Coverage (times)</c:v>
                </c:pt>
                <c:pt idx="15">
                  <c:v>ROA (%)</c:v>
                </c:pt>
                <c:pt idx="16">
                  <c:v>ROE (%)</c:v>
                </c:pt>
              </c:strCache>
            </c:strRef>
          </c:cat>
          <c:val>
            <c:numRef>
              <c:f>Ratios!$F$3:$F$19</c:f>
              <c:numCache>
                <c:formatCode>0.00%</c:formatCode>
                <c:ptCount val="17"/>
                <c:pt idx="0">
                  <c:v>0.28868083640811487</c:v>
                </c:pt>
                <c:pt idx="1">
                  <c:v>-3.8738448993235905E-2</c:v>
                </c:pt>
                <c:pt idx="2">
                  <c:v>-6.0851551994408414E-2</c:v>
                </c:pt>
                <c:pt idx="3" formatCode="0.000">
                  <c:v>1.5319506478574272</c:v>
                </c:pt>
                <c:pt idx="4" formatCode="0.000">
                  <c:v>1.0306271360974408</c:v>
                </c:pt>
                <c:pt idx="5" formatCode="0.000">
                  <c:v>0.16920102848551086</c:v>
                </c:pt>
                <c:pt idx="6" formatCode="General">
                  <c:v>-3.5396005292672168</c:v>
                </c:pt>
                <c:pt idx="7" formatCode="General">
                  <c:v>1.0670330634080743E-2</c:v>
                </c:pt>
                <c:pt idx="8" formatCode="General">
                  <c:v>5.125620759777046E-3</c:v>
                </c:pt>
                <c:pt idx="9" formatCode="General">
                  <c:v>1.5184291538397537E-2</c:v>
                </c:pt>
                <c:pt idx="10" formatCode="General">
                  <c:v>0.15618489080947603</c:v>
                </c:pt>
                <c:pt idx="11" formatCode="General">
                  <c:v>2.548526742075129E-2</c:v>
                </c:pt>
                <c:pt idx="12" formatCode="General">
                  <c:v>358425</c:v>
                </c:pt>
                <c:pt idx="13" formatCode="General">
                  <c:v>0.45290772686003727</c:v>
                </c:pt>
                <c:pt idx="14" formatCode="0.000">
                  <c:v>1.1341912732249066</c:v>
                </c:pt>
                <c:pt idx="15">
                  <c:v>-7.4311745022483097E-2</c:v>
                </c:pt>
                <c:pt idx="16">
                  <c:v>-0.1569445805166389</c:v>
                </c:pt>
              </c:numCache>
            </c:numRef>
          </c:val>
          <c:smooth val="0"/>
          <c:extLst>
            <c:ext xmlns:c16="http://schemas.microsoft.com/office/drawing/2014/chart" uri="{C3380CC4-5D6E-409C-BE32-E72D297353CC}">
              <c16:uniqueId val="{00000004-4AC5-442A-9E5F-A3243A356292}"/>
            </c:ext>
          </c:extLst>
        </c:ser>
        <c:dLbls>
          <c:showLegendKey val="0"/>
          <c:showVal val="0"/>
          <c:showCatName val="0"/>
          <c:showSerName val="0"/>
          <c:showPercent val="0"/>
          <c:showBubbleSize val="0"/>
        </c:dLbls>
        <c:smooth val="0"/>
        <c:axId val="394485504"/>
        <c:axId val="394485896"/>
      </c:lineChart>
      <c:catAx>
        <c:axId val="394485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485896"/>
        <c:crosses val="autoZero"/>
        <c:auto val="1"/>
        <c:lblAlgn val="ctr"/>
        <c:lblOffset val="100"/>
        <c:noMultiLvlLbl val="0"/>
      </c:catAx>
      <c:valAx>
        <c:axId val="39448589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4855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Working Capital &amp; Cash Conversion Cycle (CCC)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Working_Capital!$A$4</c:f>
              <c:strCache>
                <c:ptCount val="1"/>
                <c:pt idx="0">
                  <c:v>Current Assets</c:v>
                </c:pt>
              </c:strCache>
            </c:strRef>
          </c:tx>
          <c:spPr>
            <a:solidFill>
              <a:schemeClr val="accent1"/>
            </a:solidFill>
            <a:ln>
              <a:noFill/>
            </a:ln>
            <a:effectLst/>
          </c:spPr>
          <c:invertIfNegative val="0"/>
          <c:cat>
            <c:numRef>
              <c:f>Working_Capital!$B$3:$F$3</c:f>
              <c:numCache>
                <c:formatCode>General</c:formatCode>
                <c:ptCount val="5"/>
                <c:pt idx="0">
                  <c:v>2020</c:v>
                </c:pt>
                <c:pt idx="1">
                  <c:v>2021</c:v>
                </c:pt>
                <c:pt idx="2">
                  <c:v>2022</c:v>
                </c:pt>
                <c:pt idx="3">
                  <c:v>2023</c:v>
                </c:pt>
                <c:pt idx="4">
                  <c:v>2024</c:v>
                </c:pt>
              </c:numCache>
            </c:numRef>
          </c:cat>
          <c:val>
            <c:numRef>
              <c:f>Working_Capital!$B$4:$F$4</c:f>
              <c:numCache>
                <c:formatCode>General</c:formatCode>
                <c:ptCount val="5"/>
                <c:pt idx="0">
                  <c:v>326843</c:v>
                </c:pt>
                <c:pt idx="1">
                  <c:v>337146</c:v>
                </c:pt>
                <c:pt idx="2">
                  <c:v>338040</c:v>
                </c:pt>
                <c:pt idx="3">
                  <c:v>258851</c:v>
                </c:pt>
                <c:pt idx="4">
                  <c:v>242494</c:v>
                </c:pt>
              </c:numCache>
            </c:numRef>
          </c:val>
          <c:extLst>
            <c:ext xmlns:c16="http://schemas.microsoft.com/office/drawing/2014/chart" uri="{C3380CC4-5D6E-409C-BE32-E72D297353CC}">
              <c16:uniqueId val="{00000000-A125-4CBF-9435-5CBE8823898E}"/>
            </c:ext>
          </c:extLst>
        </c:ser>
        <c:ser>
          <c:idx val="1"/>
          <c:order val="1"/>
          <c:tx>
            <c:strRef>
              <c:f>Working_Capital!$A$5</c:f>
              <c:strCache>
                <c:ptCount val="1"/>
                <c:pt idx="0">
                  <c:v>Current Liabilities</c:v>
                </c:pt>
              </c:strCache>
            </c:strRef>
          </c:tx>
          <c:spPr>
            <a:solidFill>
              <a:schemeClr val="accent2"/>
            </a:solidFill>
            <a:ln>
              <a:noFill/>
            </a:ln>
            <a:effectLst/>
          </c:spPr>
          <c:invertIfNegative val="0"/>
          <c:cat>
            <c:numRef>
              <c:f>Working_Capital!$B$3:$F$3</c:f>
              <c:numCache>
                <c:formatCode>General</c:formatCode>
                <c:ptCount val="5"/>
                <c:pt idx="0">
                  <c:v>2020</c:v>
                </c:pt>
                <c:pt idx="1">
                  <c:v>2021</c:v>
                </c:pt>
                <c:pt idx="2">
                  <c:v>2022</c:v>
                </c:pt>
                <c:pt idx="3">
                  <c:v>2023</c:v>
                </c:pt>
                <c:pt idx="4">
                  <c:v>2024</c:v>
                </c:pt>
              </c:numCache>
            </c:numRef>
          </c:cat>
          <c:val>
            <c:numRef>
              <c:f>Working_Capital!$B$5:$F$5</c:f>
              <c:numCache>
                <c:formatCode>General</c:formatCode>
                <c:ptCount val="5"/>
                <c:pt idx="0">
                  <c:v>179510</c:v>
                </c:pt>
                <c:pt idx="1">
                  <c:v>216787</c:v>
                </c:pt>
                <c:pt idx="2">
                  <c:v>216473</c:v>
                </c:pt>
                <c:pt idx="3">
                  <c:v>161148</c:v>
                </c:pt>
                <c:pt idx="4">
                  <c:v>158291</c:v>
                </c:pt>
              </c:numCache>
            </c:numRef>
          </c:val>
          <c:extLst>
            <c:ext xmlns:c16="http://schemas.microsoft.com/office/drawing/2014/chart" uri="{C3380CC4-5D6E-409C-BE32-E72D297353CC}">
              <c16:uniqueId val="{00000001-A125-4CBF-9435-5CBE8823898E}"/>
            </c:ext>
          </c:extLst>
        </c:ser>
        <c:ser>
          <c:idx val="2"/>
          <c:order val="2"/>
          <c:tx>
            <c:strRef>
              <c:f>Working_Capital!$A$6</c:f>
              <c:strCache>
                <c:ptCount val="1"/>
                <c:pt idx="0">
                  <c:v>Working Capital</c:v>
                </c:pt>
              </c:strCache>
            </c:strRef>
          </c:tx>
          <c:spPr>
            <a:solidFill>
              <a:schemeClr val="accent3"/>
            </a:solidFill>
            <a:ln>
              <a:noFill/>
            </a:ln>
            <a:effectLst/>
          </c:spPr>
          <c:invertIfNegative val="0"/>
          <c:cat>
            <c:numRef>
              <c:f>Working_Capital!$B$3:$F$3</c:f>
              <c:numCache>
                <c:formatCode>General</c:formatCode>
                <c:ptCount val="5"/>
                <c:pt idx="0">
                  <c:v>2020</c:v>
                </c:pt>
                <c:pt idx="1">
                  <c:v>2021</c:v>
                </c:pt>
                <c:pt idx="2">
                  <c:v>2022</c:v>
                </c:pt>
                <c:pt idx="3">
                  <c:v>2023</c:v>
                </c:pt>
                <c:pt idx="4">
                  <c:v>2024</c:v>
                </c:pt>
              </c:numCache>
            </c:numRef>
          </c:cat>
          <c:val>
            <c:numRef>
              <c:f>Working_Capital!$B$6:$F$6</c:f>
              <c:numCache>
                <c:formatCode>General</c:formatCode>
                <c:ptCount val="5"/>
                <c:pt idx="0">
                  <c:v>147333</c:v>
                </c:pt>
                <c:pt idx="1">
                  <c:v>120359</c:v>
                </c:pt>
                <c:pt idx="2">
                  <c:v>121567</c:v>
                </c:pt>
                <c:pt idx="3">
                  <c:v>97703</c:v>
                </c:pt>
                <c:pt idx="4">
                  <c:v>84203</c:v>
                </c:pt>
              </c:numCache>
            </c:numRef>
          </c:val>
          <c:extLst>
            <c:ext xmlns:c16="http://schemas.microsoft.com/office/drawing/2014/chart" uri="{C3380CC4-5D6E-409C-BE32-E72D297353CC}">
              <c16:uniqueId val="{00000002-A125-4CBF-9435-5CBE8823898E}"/>
            </c:ext>
          </c:extLst>
        </c:ser>
        <c:ser>
          <c:idx val="3"/>
          <c:order val="3"/>
          <c:tx>
            <c:strRef>
              <c:f>Working_Capital!$A$7</c:f>
              <c:strCache>
                <c:ptCount val="1"/>
                <c:pt idx="0">
                  <c:v>Cash and cash equivalents</c:v>
                </c:pt>
              </c:strCache>
            </c:strRef>
          </c:tx>
          <c:spPr>
            <a:solidFill>
              <a:schemeClr val="accent4"/>
            </a:solidFill>
            <a:ln>
              <a:noFill/>
            </a:ln>
            <a:effectLst/>
          </c:spPr>
          <c:invertIfNegative val="0"/>
          <c:cat>
            <c:numRef>
              <c:f>Working_Capital!$B$3:$F$3</c:f>
              <c:numCache>
                <c:formatCode>General</c:formatCode>
                <c:ptCount val="5"/>
                <c:pt idx="0">
                  <c:v>2020</c:v>
                </c:pt>
                <c:pt idx="1">
                  <c:v>2021</c:v>
                </c:pt>
                <c:pt idx="2">
                  <c:v>2022</c:v>
                </c:pt>
                <c:pt idx="3">
                  <c:v>2023</c:v>
                </c:pt>
                <c:pt idx="4">
                  <c:v>2024</c:v>
                </c:pt>
              </c:numCache>
            </c:numRef>
          </c:cat>
          <c:val>
            <c:numRef>
              <c:f>Working_Capital!$B$7:$F$7</c:f>
              <c:numCache>
                <c:formatCode>General</c:formatCode>
                <c:ptCount val="5"/>
                <c:pt idx="0">
                  <c:v>57153</c:v>
                </c:pt>
                <c:pt idx="1">
                  <c:v>60813</c:v>
                </c:pt>
                <c:pt idx="2">
                  <c:v>66740</c:v>
                </c:pt>
                <c:pt idx="3">
                  <c:v>42751</c:v>
                </c:pt>
                <c:pt idx="4">
                  <c:v>26783</c:v>
                </c:pt>
              </c:numCache>
            </c:numRef>
          </c:val>
          <c:extLst>
            <c:ext xmlns:c16="http://schemas.microsoft.com/office/drawing/2014/chart" uri="{C3380CC4-5D6E-409C-BE32-E72D297353CC}">
              <c16:uniqueId val="{00000003-A125-4CBF-9435-5CBE8823898E}"/>
            </c:ext>
          </c:extLst>
        </c:ser>
        <c:ser>
          <c:idx val="4"/>
          <c:order val="4"/>
          <c:tx>
            <c:strRef>
              <c:f>Working_Capital!$A$8</c:f>
              <c:strCache>
                <c:ptCount val="1"/>
                <c:pt idx="0">
                  <c:v>Accounts receivable</c:v>
                </c:pt>
              </c:strCache>
            </c:strRef>
          </c:tx>
          <c:spPr>
            <a:solidFill>
              <a:schemeClr val="accent5"/>
            </a:solidFill>
            <a:ln>
              <a:noFill/>
            </a:ln>
            <a:effectLst/>
          </c:spPr>
          <c:invertIfNegative val="0"/>
          <c:cat>
            <c:numRef>
              <c:f>Working_Capital!$B$3:$F$3</c:f>
              <c:numCache>
                <c:formatCode>General</c:formatCode>
                <c:ptCount val="5"/>
                <c:pt idx="0">
                  <c:v>2020</c:v>
                </c:pt>
                <c:pt idx="1">
                  <c:v>2021</c:v>
                </c:pt>
                <c:pt idx="2">
                  <c:v>2022</c:v>
                </c:pt>
                <c:pt idx="3">
                  <c:v>2023</c:v>
                </c:pt>
                <c:pt idx="4">
                  <c:v>2024</c:v>
                </c:pt>
              </c:numCache>
            </c:numRef>
          </c:cat>
          <c:val>
            <c:numRef>
              <c:f>Working_Capital!$B$8:$F$8</c:f>
              <c:numCache>
                <c:formatCode>General</c:formatCode>
                <c:ptCount val="5"/>
                <c:pt idx="0">
                  <c:v>129433</c:v>
                </c:pt>
                <c:pt idx="1">
                  <c:v>129215</c:v>
                </c:pt>
                <c:pt idx="2">
                  <c:v>112346</c:v>
                </c:pt>
                <c:pt idx="3">
                  <c:v>112596</c:v>
                </c:pt>
                <c:pt idx="4">
                  <c:v>114182</c:v>
                </c:pt>
              </c:numCache>
            </c:numRef>
          </c:val>
          <c:extLst>
            <c:ext xmlns:c16="http://schemas.microsoft.com/office/drawing/2014/chart" uri="{C3380CC4-5D6E-409C-BE32-E72D297353CC}">
              <c16:uniqueId val="{00000004-A125-4CBF-9435-5CBE8823898E}"/>
            </c:ext>
          </c:extLst>
        </c:ser>
        <c:ser>
          <c:idx val="5"/>
          <c:order val="5"/>
          <c:tx>
            <c:strRef>
              <c:f>Working_Capital!$A$9</c:f>
              <c:strCache>
                <c:ptCount val="1"/>
                <c:pt idx="0">
                  <c:v>Inventories</c:v>
                </c:pt>
              </c:strCache>
            </c:strRef>
          </c:tx>
          <c:spPr>
            <a:solidFill>
              <a:schemeClr val="accent6"/>
            </a:solidFill>
            <a:ln>
              <a:noFill/>
            </a:ln>
            <a:effectLst/>
          </c:spPr>
          <c:invertIfNegative val="0"/>
          <c:cat>
            <c:numRef>
              <c:f>Working_Capital!$B$3:$F$3</c:f>
              <c:numCache>
                <c:formatCode>General</c:formatCode>
                <c:ptCount val="5"/>
                <c:pt idx="0">
                  <c:v>2020</c:v>
                </c:pt>
                <c:pt idx="1">
                  <c:v>2021</c:v>
                </c:pt>
                <c:pt idx="2">
                  <c:v>2022</c:v>
                </c:pt>
                <c:pt idx="3">
                  <c:v>2023</c:v>
                </c:pt>
                <c:pt idx="4">
                  <c:v>2024</c:v>
                </c:pt>
              </c:numCache>
            </c:numRef>
          </c:cat>
          <c:val>
            <c:numRef>
              <c:f>Working_Capital!$B$9:$F$9</c:f>
              <c:numCache>
                <c:formatCode>General</c:formatCode>
                <c:ptCount val="5"/>
                <c:pt idx="0">
                  <c:v>120430</c:v>
                </c:pt>
                <c:pt idx="1">
                  <c:v>134469</c:v>
                </c:pt>
                <c:pt idx="2">
                  <c:v>140181</c:v>
                </c:pt>
                <c:pt idx="3">
                  <c:v>88273</c:v>
                </c:pt>
                <c:pt idx="4">
                  <c:v>79355</c:v>
                </c:pt>
              </c:numCache>
            </c:numRef>
          </c:val>
          <c:extLst>
            <c:ext xmlns:c16="http://schemas.microsoft.com/office/drawing/2014/chart" uri="{C3380CC4-5D6E-409C-BE32-E72D297353CC}">
              <c16:uniqueId val="{00000005-A125-4CBF-9435-5CBE8823898E}"/>
            </c:ext>
          </c:extLst>
        </c:ser>
        <c:ser>
          <c:idx val="6"/>
          <c:order val="6"/>
          <c:tx>
            <c:strRef>
              <c:f>Working_Capital!$A$10</c:f>
              <c:strCache>
                <c:ptCount val="1"/>
                <c:pt idx="0">
                  <c:v>Accounts payable</c:v>
                </c:pt>
              </c:strCache>
            </c:strRef>
          </c:tx>
          <c:spPr>
            <a:solidFill>
              <a:schemeClr val="accent1">
                <a:lumMod val="60000"/>
              </a:schemeClr>
            </a:solidFill>
            <a:ln>
              <a:noFill/>
            </a:ln>
            <a:effectLst/>
          </c:spPr>
          <c:invertIfNegative val="0"/>
          <c:cat>
            <c:numRef>
              <c:f>Working_Capital!$B$3:$F$3</c:f>
              <c:numCache>
                <c:formatCode>General</c:formatCode>
                <c:ptCount val="5"/>
                <c:pt idx="0">
                  <c:v>2020</c:v>
                </c:pt>
                <c:pt idx="1">
                  <c:v>2021</c:v>
                </c:pt>
                <c:pt idx="2">
                  <c:v>2022</c:v>
                </c:pt>
                <c:pt idx="3">
                  <c:v>2023</c:v>
                </c:pt>
                <c:pt idx="4">
                  <c:v>2024</c:v>
                </c:pt>
              </c:numCache>
            </c:numRef>
          </c:cat>
          <c:val>
            <c:numRef>
              <c:f>Working_Capital!$B$10:$F$10</c:f>
              <c:numCache>
                <c:formatCode>General</c:formatCode>
                <c:ptCount val="5"/>
                <c:pt idx="0">
                  <c:v>83229</c:v>
                </c:pt>
                <c:pt idx="1">
                  <c:v>92707</c:v>
                </c:pt>
                <c:pt idx="2">
                  <c:v>71373</c:v>
                </c:pt>
                <c:pt idx="3">
                  <c:v>57033</c:v>
                </c:pt>
                <c:pt idx="4">
                  <c:v>72031</c:v>
                </c:pt>
              </c:numCache>
            </c:numRef>
          </c:val>
          <c:extLst>
            <c:ext xmlns:c16="http://schemas.microsoft.com/office/drawing/2014/chart" uri="{C3380CC4-5D6E-409C-BE32-E72D297353CC}">
              <c16:uniqueId val="{00000006-A125-4CBF-9435-5CBE8823898E}"/>
            </c:ext>
          </c:extLst>
        </c:ser>
        <c:dLbls>
          <c:showLegendKey val="0"/>
          <c:showVal val="0"/>
          <c:showCatName val="0"/>
          <c:showSerName val="0"/>
          <c:showPercent val="0"/>
          <c:showBubbleSize val="0"/>
        </c:dLbls>
        <c:gapWidth val="219"/>
        <c:overlap val="-27"/>
        <c:axId val="394478840"/>
        <c:axId val="394479232"/>
      </c:barChart>
      <c:catAx>
        <c:axId val="394478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479232"/>
        <c:crosses val="autoZero"/>
        <c:auto val="1"/>
        <c:lblAlgn val="ctr"/>
        <c:lblOffset val="100"/>
        <c:noMultiLvlLbl val="0"/>
      </c:catAx>
      <c:valAx>
        <c:axId val="3944792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44788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5E2691-30A1-4E65-811B-56E760E7F2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27</Pages>
  <Words>7392</Words>
  <Characters>41031</Characters>
  <Application>Microsoft Office Word</Application>
  <DocSecurity>0</DocSecurity>
  <Lines>1282</Lines>
  <Paragraphs>672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Keshu Jivabhai Karavadra (2439531)</cp:lastModifiedBy>
  <cp:revision>7</cp:revision>
  <dcterms:created xsi:type="dcterms:W3CDTF">2025-11-23T10:17:00Z</dcterms:created>
  <dcterms:modified xsi:type="dcterms:W3CDTF">2025-11-23T21:39:00Z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beb4b341-7fdf-4234-96f3-9d890a71c27a</vt:lpwstr>
  </property>
</Properties>
</file>